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hint="eastAsia" w:ascii="宋体" w:hAnsi="宋体" w:eastAsia="宋体"/>
          <w:szCs w:val="21"/>
          <w:lang w:val="en-US" w:eastAsia="zh-CN"/>
        </w:rPr>
      </w:pPr>
      <w:r>
        <w:rPr>
          <w:rFonts w:hint="eastAsia" w:ascii="宋体" w:hAnsi="宋体"/>
          <w:szCs w:val="21"/>
          <w:lang w:val="en-US" w:eastAsia="zh-CN"/>
        </w:rPr>
        <w:t xml:space="preserve"> </w:t>
      </w:r>
    </w:p>
    <w:p>
      <w:pPr>
        <w:spacing w:line="360" w:lineRule="auto"/>
        <w:rPr>
          <w:rFonts w:ascii="宋体" w:hAnsi="宋体"/>
          <w:szCs w:val="21"/>
        </w:rPr>
      </w:pPr>
    </w:p>
    <w:p>
      <w:pPr>
        <w:spacing w:line="360" w:lineRule="auto"/>
        <w:rPr>
          <w:rFonts w:ascii="宋体" w:hAnsi="宋体"/>
          <w:szCs w:val="21"/>
        </w:rPr>
      </w:pPr>
    </w:p>
    <w:p>
      <w:pPr>
        <w:spacing w:line="360" w:lineRule="auto"/>
        <w:rPr>
          <w:rFonts w:ascii="宋体" w:hAnsi="宋体"/>
          <w:szCs w:val="21"/>
        </w:rPr>
      </w:pPr>
    </w:p>
    <w:p>
      <w:pPr>
        <w:spacing w:line="360" w:lineRule="auto"/>
        <w:rPr>
          <w:rFonts w:ascii="宋体" w:hAnsi="宋体"/>
          <w:szCs w:val="21"/>
        </w:rPr>
      </w:pPr>
    </w:p>
    <w:p>
      <w:pPr>
        <w:spacing w:line="360" w:lineRule="auto"/>
        <w:rPr>
          <w:rFonts w:ascii="宋体" w:hAnsi="宋体"/>
          <w:szCs w:val="21"/>
        </w:rPr>
      </w:pPr>
    </w:p>
    <w:p>
      <w:pPr>
        <w:spacing w:line="360" w:lineRule="auto"/>
        <w:jc w:val="center"/>
        <w:outlineLvl w:val="0"/>
        <w:rPr>
          <w:rFonts w:ascii="宋体" w:hAnsi="宋体"/>
          <w:b/>
          <w:sz w:val="72"/>
          <w:szCs w:val="72"/>
        </w:rPr>
      </w:pPr>
      <w:r>
        <w:rPr>
          <w:rFonts w:hint="eastAsia" w:ascii="宋体" w:hAnsi="宋体"/>
          <w:b/>
          <w:sz w:val="72"/>
          <w:szCs w:val="72"/>
        </w:rPr>
        <w:t>竞争性磋商文件</w:t>
      </w:r>
    </w:p>
    <w:p>
      <w:pPr>
        <w:spacing w:line="360" w:lineRule="auto"/>
        <w:rPr>
          <w:rFonts w:ascii="宋体" w:hAnsi="宋体"/>
          <w:szCs w:val="21"/>
        </w:rPr>
      </w:pPr>
    </w:p>
    <w:p>
      <w:pPr>
        <w:spacing w:line="360" w:lineRule="auto"/>
        <w:rPr>
          <w:rFonts w:ascii="宋体" w:hAnsi="宋体"/>
          <w:szCs w:val="21"/>
        </w:rPr>
      </w:pPr>
    </w:p>
    <w:p>
      <w:pPr>
        <w:spacing w:line="360" w:lineRule="auto"/>
        <w:rPr>
          <w:rFonts w:ascii="宋体" w:hAnsi="宋体"/>
          <w:szCs w:val="21"/>
        </w:rPr>
      </w:pPr>
    </w:p>
    <w:p>
      <w:pPr>
        <w:spacing w:line="360" w:lineRule="auto"/>
        <w:rPr>
          <w:rFonts w:ascii="宋体" w:hAnsi="宋体"/>
          <w:szCs w:val="21"/>
        </w:rPr>
      </w:pPr>
    </w:p>
    <w:p>
      <w:pPr>
        <w:spacing w:line="360" w:lineRule="auto"/>
        <w:rPr>
          <w:rFonts w:ascii="宋体" w:hAnsi="宋体"/>
          <w:szCs w:val="21"/>
        </w:rPr>
      </w:pPr>
    </w:p>
    <w:p>
      <w:pPr>
        <w:spacing w:line="360" w:lineRule="auto"/>
        <w:rPr>
          <w:rFonts w:ascii="宋体" w:hAnsi="宋体"/>
          <w:szCs w:val="21"/>
        </w:rPr>
      </w:pPr>
    </w:p>
    <w:p>
      <w:pPr>
        <w:spacing w:after="240" w:afterLines="100" w:line="480" w:lineRule="auto"/>
        <w:rPr>
          <w:rFonts w:hint="eastAsia" w:ascii="宋体" w:hAnsi="宋体"/>
          <w:b/>
          <w:sz w:val="36"/>
          <w:szCs w:val="36"/>
        </w:rPr>
      </w:pPr>
      <w:r>
        <w:rPr>
          <w:rFonts w:hint="eastAsia" w:ascii="宋体" w:hAnsi="宋体"/>
          <w:sz w:val="32"/>
          <w:szCs w:val="32"/>
        </w:rPr>
        <w:t>项目编号：</w:t>
      </w:r>
      <w:r>
        <w:rPr>
          <w:rFonts w:hint="eastAsia" w:ascii="宋体" w:hAnsi="宋体" w:cs="Arial"/>
          <w:sz w:val="32"/>
          <w:szCs w:val="32"/>
        </w:rPr>
        <w:t>11010724210200012744-XM001</w:t>
      </w:r>
    </w:p>
    <w:p>
      <w:pPr>
        <w:spacing w:line="360" w:lineRule="auto"/>
        <w:ind w:left="1600" w:right="-388" w:rightChars="-185" w:hanging="1600" w:hangingChars="500"/>
        <w:rPr>
          <w:rFonts w:ascii="宋体" w:hAnsi="宋体"/>
          <w:sz w:val="32"/>
          <w:szCs w:val="32"/>
        </w:rPr>
      </w:pPr>
      <w:r>
        <w:rPr>
          <w:rFonts w:hint="eastAsia" w:ascii="宋体" w:hAnsi="宋体"/>
          <w:sz w:val="32"/>
          <w:szCs w:val="32"/>
        </w:rPr>
        <w:t>项目名称：2024年12月至2026年12月北京市石景山区财政局财政投资评审中介机构服务政府采购项目</w:t>
      </w:r>
    </w:p>
    <w:p>
      <w:pPr>
        <w:spacing w:line="360" w:lineRule="auto"/>
        <w:rPr>
          <w:rFonts w:ascii="宋体" w:hAnsi="宋体"/>
          <w:sz w:val="32"/>
          <w:szCs w:val="32"/>
        </w:rPr>
      </w:pPr>
    </w:p>
    <w:p>
      <w:pPr>
        <w:pStyle w:val="2"/>
      </w:pPr>
    </w:p>
    <w:p>
      <w:pPr>
        <w:spacing w:line="360" w:lineRule="auto"/>
        <w:rPr>
          <w:rFonts w:hint="eastAsia" w:ascii="宋体" w:hAnsi="宋体"/>
          <w:sz w:val="32"/>
          <w:szCs w:val="32"/>
        </w:rPr>
      </w:pPr>
    </w:p>
    <w:p>
      <w:pPr>
        <w:pStyle w:val="32"/>
        <w:rPr>
          <w:rFonts w:hint="eastAsia"/>
        </w:rPr>
      </w:pPr>
    </w:p>
    <w:p>
      <w:pPr>
        <w:spacing w:line="360" w:lineRule="auto"/>
        <w:rPr>
          <w:rFonts w:hint="eastAsia" w:ascii="宋体" w:hAnsi="宋体"/>
          <w:sz w:val="32"/>
          <w:szCs w:val="32"/>
        </w:rPr>
      </w:pPr>
    </w:p>
    <w:p>
      <w:pPr>
        <w:spacing w:line="360" w:lineRule="auto"/>
        <w:rPr>
          <w:rFonts w:hint="eastAsia" w:ascii="宋体" w:hAnsi="宋体"/>
          <w:sz w:val="32"/>
          <w:szCs w:val="32"/>
        </w:rPr>
      </w:pPr>
    </w:p>
    <w:p>
      <w:pPr>
        <w:spacing w:line="360" w:lineRule="auto"/>
        <w:jc w:val="center"/>
        <w:outlineLvl w:val="0"/>
        <w:rPr>
          <w:rFonts w:ascii="宋体" w:hAnsi="宋体"/>
          <w:sz w:val="32"/>
          <w:szCs w:val="32"/>
        </w:rPr>
      </w:pPr>
      <w:r>
        <w:rPr>
          <w:rFonts w:hint="eastAsia" w:ascii="宋体" w:hAnsi="宋体"/>
          <w:sz w:val="32"/>
          <w:szCs w:val="32"/>
        </w:rPr>
        <w:t>北京市石景山区政府采购中心</w:t>
      </w:r>
    </w:p>
    <w:p>
      <w:pPr>
        <w:spacing w:line="360" w:lineRule="auto"/>
        <w:rPr>
          <w:rFonts w:ascii="宋体" w:hAnsi="宋体"/>
          <w:sz w:val="32"/>
          <w:szCs w:val="32"/>
          <w:u w:val="single"/>
        </w:rPr>
      </w:pPr>
    </w:p>
    <w:p>
      <w:pPr>
        <w:spacing w:line="360" w:lineRule="auto"/>
        <w:jc w:val="center"/>
        <w:rPr>
          <w:rFonts w:ascii="宋体" w:hAnsi="宋体"/>
          <w:sz w:val="32"/>
          <w:szCs w:val="32"/>
        </w:rPr>
      </w:pPr>
      <w:r>
        <w:rPr>
          <w:rFonts w:hint="eastAsia" w:ascii="宋体" w:hAnsi="宋体"/>
          <w:sz w:val="32"/>
          <w:szCs w:val="32"/>
        </w:rPr>
        <w:t>二○</w:t>
      </w:r>
      <w:r>
        <w:rPr>
          <w:rFonts w:hint="eastAsia" w:ascii="宋体" w:hAnsi="宋体"/>
          <w:sz w:val="32"/>
          <w:szCs w:val="32"/>
          <w:lang w:eastAsia="zh-CN"/>
        </w:rPr>
        <w:t>二四</w:t>
      </w:r>
      <w:r>
        <w:rPr>
          <w:rFonts w:hint="eastAsia" w:ascii="宋体" w:hAnsi="宋体"/>
          <w:sz w:val="32"/>
          <w:szCs w:val="32"/>
        </w:rPr>
        <w:t>年</w:t>
      </w:r>
      <w:r>
        <w:rPr>
          <w:rFonts w:hint="eastAsia" w:ascii="宋体" w:hAnsi="宋体"/>
          <w:sz w:val="32"/>
          <w:szCs w:val="32"/>
          <w:lang w:eastAsia="zh-CN"/>
        </w:rPr>
        <w:t>十二</w:t>
      </w:r>
      <w:r>
        <w:rPr>
          <w:rFonts w:hint="eastAsia" w:ascii="宋体" w:hAnsi="宋体"/>
          <w:sz w:val="32"/>
          <w:szCs w:val="32"/>
        </w:rPr>
        <w:t>月</w:t>
      </w:r>
    </w:p>
    <w:p>
      <w:pPr>
        <w:spacing w:line="360" w:lineRule="auto"/>
        <w:jc w:val="center"/>
        <w:outlineLvl w:val="0"/>
        <w:rPr>
          <w:rFonts w:ascii="宋体" w:hAnsi="宋体"/>
          <w:szCs w:val="21"/>
        </w:rPr>
      </w:pPr>
      <w:r>
        <w:rPr>
          <w:rFonts w:ascii="宋体" w:hAnsi="宋体"/>
          <w:szCs w:val="21"/>
        </w:rPr>
        <w:br w:type="page"/>
      </w:r>
    </w:p>
    <w:p>
      <w:pPr>
        <w:spacing w:line="360" w:lineRule="auto"/>
        <w:jc w:val="center"/>
        <w:outlineLvl w:val="0"/>
        <w:rPr>
          <w:rFonts w:hint="eastAsia" w:ascii="宋体" w:hAnsi="宋体"/>
          <w:b/>
          <w:color w:val="0000FF"/>
          <w:sz w:val="36"/>
          <w:szCs w:val="36"/>
        </w:rPr>
      </w:pPr>
    </w:p>
    <w:p>
      <w:pPr>
        <w:spacing w:line="360" w:lineRule="auto"/>
        <w:jc w:val="center"/>
        <w:outlineLvl w:val="0"/>
        <w:rPr>
          <w:rFonts w:ascii="宋体" w:hAnsi="宋体"/>
          <w:b/>
          <w:color w:val="auto"/>
          <w:sz w:val="36"/>
          <w:szCs w:val="36"/>
        </w:rPr>
      </w:pPr>
      <w:r>
        <w:rPr>
          <w:rFonts w:hint="eastAsia" w:ascii="宋体" w:hAnsi="宋体"/>
          <w:b/>
          <w:color w:val="auto"/>
          <w:sz w:val="36"/>
          <w:szCs w:val="36"/>
        </w:rPr>
        <w:t>目  录</w:t>
      </w:r>
    </w:p>
    <w:p>
      <w:pPr>
        <w:spacing w:line="360" w:lineRule="auto"/>
        <w:jc w:val="center"/>
        <w:outlineLvl w:val="0"/>
        <w:rPr>
          <w:rFonts w:ascii="宋体" w:hAnsi="宋体"/>
          <w:b/>
          <w:color w:val="FF0000"/>
          <w:sz w:val="36"/>
          <w:szCs w:val="36"/>
        </w:rPr>
      </w:pPr>
    </w:p>
    <w:p>
      <w:pPr>
        <w:pStyle w:val="34"/>
        <w:rPr>
          <w:rFonts w:ascii="宋体" w:hAnsi="宋体"/>
          <w:color w:val="0000FF"/>
          <w:sz w:val="24"/>
          <w:szCs w:val="24"/>
          <w:highlight w:val="none"/>
        </w:rPr>
      </w:pPr>
      <w:r>
        <w:rPr>
          <w:rFonts w:ascii="宋体" w:hAnsi="宋体"/>
          <w:color w:val="0000FF"/>
          <w:sz w:val="24"/>
          <w:szCs w:val="24"/>
          <w:highlight w:val="none"/>
        </w:rPr>
        <w:fldChar w:fldCharType="begin"/>
      </w:r>
      <w:r>
        <w:rPr>
          <w:rFonts w:ascii="宋体" w:hAnsi="宋体"/>
          <w:color w:val="0000FF"/>
          <w:sz w:val="24"/>
          <w:szCs w:val="24"/>
          <w:highlight w:val="none"/>
        </w:rPr>
        <w:instrText xml:space="preserve"> </w:instrText>
      </w:r>
      <w:r>
        <w:rPr>
          <w:rFonts w:hint="eastAsia" w:ascii="宋体" w:hAnsi="宋体"/>
          <w:color w:val="0000FF"/>
          <w:sz w:val="24"/>
          <w:szCs w:val="24"/>
          <w:highlight w:val="none"/>
        </w:rPr>
        <w:instrText xml:space="preserve">TOC \o "1-1" \h \z</w:instrText>
      </w:r>
      <w:r>
        <w:rPr>
          <w:rFonts w:ascii="宋体" w:hAnsi="宋体"/>
          <w:color w:val="0000FF"/>
          <w:sz w:val="24"/>
          <w:szCs w:val="24"/>
          <w:highlight w:val="none"/>
        </w:rPr>
        <w:instrText xml:space="preserve"> </w:instrText>
      </w:r>
      <w:r>
        <w:rPr>
          <w:rFonts w:ascii="宋体" w:hAnsi="宋体"/>
          <w:color w:val="0000FF"/>
          <w:sz w:val="24"/>
          <w:szCs w:val="24"/>
          <w:highlight w:val="none"/>
        </w:rPr>
        <w:fldChar w:fldCharType="separate"/>
      </w:r>
      <w:r>
        <w:rPr>
          <w:rFonts w:ascii="宋体" w:hAnsi="宋体"/>
          <w:color w:val="0000FF"/>
          <w:sz w:val="24"/>
          <w:szCs w:val="24"/>
          <w:highlight w:val="none"/>
        </w:rPr>
        <w:fldChar w:fldCharType="begin"/>
      </w:r>
      <w:r>
        <w:rPr>
          <w:rStyle w:val="53"/>
          <w:rFonts w:ascii="宋体" w:hAnsi="宋体"/>
          <w:color w:val="0000FF"/>
          <w:sz w:val="24"/>
          <w:szCs w:val="24"/>
          <w:highlight w:val="none"/>
        </w:rPr>
        <w:instrText xml:space="preserve"> </w:instrText>
      </w:r>
      <w:r>
        <w:rPr>
          <w:rFonts w:ascii="宋体" w:hAnsi="宋体"/>
          <w:color w:val="0000FF"/>
          <w:sz w:val="24"/>
          <w:szCs w:val="24"/>
          <w:highlight w:val="none"/>
        </w:rPr>
        <w:instrText xml:space="preserve">HYPERLINK \l "_Toc436226837"</w:instrText>
      </w:r>
      <w:r>
        <w:rPr>
          <w:rStyle w:val="53"/>
          <w:rFonts w:ascii="宋体" w:hAnsi="宋体"/>
          <w:color w:val="0000FF"/>
          <w:sz w:val="24"/>
          <w:szCs w:val="24"/>
          <w:highlight w:val="none"/>
        </w:rPr>
        <w:instrText xml:space="preserve"> </w:instrText>
      </w:r>
      <w:r>
        <w:rPr>
          <w:rFonts w:ascii="宋体" w:hAnsi="宋体"/>
          <w:color w:val="0000FF"/>
          <w:sz w:val="24"/>
          <w:szCs w:val="24"/>
          <w:highlight w:val="none"/>
        </w:rPr>
        <w:fldChar w:fldCharType="separate"/>
      </w:r>
      <w:r>
        <w:rPr>
          <w:rStyle w:val="53"/>
          <w:rFonts w:hint="eastAsia" w:ascii="宋体" w:hAnsi="宋体"/>
          <w:color w:val="0000FF"/>
          <w:sz w:val="24"/>
          <w:szCs w:val="24"/>
          <w:highlight w:val="none"/>
        </w:rPr>
        <w:t>第一部分</w:t>
      </w:r>
      <w:r>
        <w:rPr>
          <w:rStyle w:val="53"/>
          <w:rFonts w:ascii="宋体" w:hAnsi="宋体"/>
          <w:color w:val="0000FF"/>
          <w:sz w:val="24"/>
          <w:szCs w:val="24"/>
          <w:highlight w:val="none"/>
        </w:rPr>
        <w:t xml:space="preserve">  </w:t>
      </w:r>
      <w:r>
        <w:rPr>
          <w:rStyle w:val="53"/>
          <w:rFonts w:hint="eastAsia" w:ascii="宋体" w:hAnsi="宋体"/>
          <w:color w:val="0000FF"/>
          <w:sz w:val="24"/>
          <w:szCs w:val="24"/>
          <w:highlight w:val="none"/>
        </w:rPr>
        <w:t>竞争性磋商邀请</w:t>
      </w:r>
      <w:r>
        <w:rPr>
          <w:rFonts w:hint="eastAsia" w:ascii="宋体" w:hAnsi="宋体"/>
          <w:color w:val="0000FF"/>
          <w:sz w:val="24"/>
          <w:szCs w:val="24"/>
          <w:highlight w:val="none"/>
          <w:lang w:val="en-US" w:eastAsia="zh-CN"/>
        </w:rPr>
        <w:t>............................................</w:t>
      </w:r>
      <w:r>
        <w:rPr>
          <w:rFonts w:ascii="宋体" w:hAnsi="宋体"/>
          <w:color w:val="0000FF"/>
          <w:sz w:val="24"/>
          <w:szCs w:val="24"/>
          <w:highlight w:val="none"/>
        </w:rPr>
        <w:fldChar w:fldCharType="begin"/>
      </w:r>
      <w:r>
        <w:rPr>
          <w:rFonts w:ascii="宋体" w:hAnsi="宋体"/>
          <w:color w:val="0000FF"/>
          <w:sz w:val="24"/>
          <w:szCs w:val="24"/>
          <w:highlight w:val="none"/>
        </w:rPr>
        <w:instrText xml:space="preserve"> PAGEREF _Toc436226837 \h </w:instrText>
      </w:r>
      <w:r>
        <w:rPr>
          <w:rFonts w:ascii="宋体" w:hAnsi="宋体"/>
          <w:color w:val="0000FF"/>
          <w:sz w:val="24"/>
          <w:szCs w:val="24"/>
          <w:highlight w:val="none"/>
        </w:rPr>
        <w:fldChar w:fldCharType="separate"/>
      </w:r>
      <w:r>
        <w:rPr>
          <w:rFonts w:ascii="宋体" w:hAnsi="宋体"/>
          <w:color w:val="0000FF"/>
          <w:sz w:val="24"/>
          <w:szCs w:val="24"/>
          <w:highlight w:val="none"/>
        </w:rPr>
        <w:t>3</w:t>
      </w:r>
      <w:r>
        <w:rPr>
          <w:rFonts w:ascii="宋体" w:hAnsi="宋体"/>
          <w:color w:val="0000FF"/>
          <w:sz w:val="24"/>
          <w:szCs w:val="24"/>
          <w:highlight w:val="none"/>
        </w:rPr>
        <w:fldChar w:fldCharType="end"/>
      </w:r>
      <w:r>
        <w:rPr>
          <w:rFonts w:ascii="宋体" w:hAnsi="宋体"/>
          <w:color w:val="0000FF"/>
          <w:sz w:val="24"/>
          <w:szCs w:val="24"/>
          <w:highlight w:val="none"/>
        </w:rPr>
        <w:fldChar w:fldCharType="end"/>
      </w:r>
    </w:p>
    <w:p>
      <w:pPr>
        <w:pStyle w:val="34"/>
        <w:rPr>
          <w:rFonts w:ascii="宋体" w:hAnsi="宋体"/>
          <w:color w:val="0000FF"/>
          <w:sz w:val="24"/>
          <w:szCs w:val="24"/>
          <w:highlight w:val="none"/>
        </w:rPr>
      </w:pPr>
      <w:r>
        <w:rPr>
          <w:rFonts w:ascii="宋体" w:hAnsi="宋体"/>
          <w:color w:val="0000FF"/>
          <w:sz w:val="24"/>
          <w:szCs w:val="24"/>
          <w:highlight w:val="none"/>
        </w:rPr>
        <w:fldChar w:fldCharType="begin"/>
      </w:r>
      <w:r>
        <w:rPr>
          <w:rStyle w:val="53"/>
          <w:rFonts w:ascii="宋体" w:hAnsi="宋体"/>
          <w:color w:val="0000FF"/>
          <w:sz w:val="24"/>
          <w:szCs w:val="24"/>
          <w:highlight w:val="none"/>
        </w:rPr>
        <w:instrText xml:space="preserve"> </w:instrText>
      </w:r>
      <w:r>
        <w:rPr>
          <w:rFonts w:ascii="宋体" w:hAnsi="宋体"/>
          <w:color w:val="0000FF"/>
          <w:sz w:val="24"/>
          <w:szCs w:val="24"/>
          <w:highlight w:val="none"/>
        </w:rPr>
        <w:instrText xml:space="preserve">HYPERLINK \l "_Toc436226838"</w:instrText>
      </w:r>
      <w:r>
        <w:rPr>
          <w:rStyle w:val="53"/>
          <w:rFonts w:ascii="宋体" w:hAnsi="宋体"/>
          <w:color w:val="0000FF"/>
          <w:sz w:val="24"/>
          <w:szCs w:val="24"/>
          <w:highlight w:val="none"/>
        </w:rPr>
        <w:instrText xml:space="preserve"> </w:instrText>
      </w:r>
      <w:r>
        <w:rPr>
          <w:rFonts w:ascii="宋体" w:hAnsi="宋体"/>
          <w:color w:val="0000FF"/>
          <w:sz w:val="24"/>
          <w:szCs w:val="24"/>
          <w:highlight w:val="none"/>
        </w:rPr>
        <w:fldChar w:fldCharType="separate"/>
      </w:r>
      <w:r>
        <w:rPr>
          <w:rStyle w:val="53"/>
          <w:rFonts w:hint="eastAsia" w:ascii="宋体" w:hAnsi="宋体"/>
          <w:color w:val="0000FF"/>
          <w:sz w:val="24"/>
          <w:szCs w:val="24"/>
          <w:highlight w:val="none"/>
        </w:rPr>
        <w:t>第二部分</w:t>
      </w:r>
      <w:r>
        <w:rPr>
          <w:rStyle w:val="53"/>
          <w:rFonts w:ascii="宋体" w:hAnsi="宋体"/>
          <w:color w:val="0000FF"/>
          <w:sz w:val="24"/>
          <w:szCs w:val="24"/>
          <w:highlight w:val="none"/>
        </w:rPr>
        <w:t xml:space="preserve">  </w:t>
      </w:r>
      <w:r>
        <w:rPr>
          <w:rStyle w:val="53"/>
          <w:rFonts w:hint="eastAsia" w:ascii="宋体" w:hAnsi="宋体"/>
          <w:color w:val="0000FF"/>
          <w:sz w:val="24"/>
          <w:szCs w:val="24"/>
          <w:highlight w:val="none"/>
          <w:lang w:eastAsia="zh-CN"/>
        </w:rPr>
        <w:t>供应商</w:t>
      </w:r>
      <w:r>
        <w:rPr>
          <w:rStyle w:val="53"/>
          <w:rFonts w:hint="eastAsia" w:ascii="宋体" w:hAnsi="宋体"/>
          <w:color w:val="0000FF"/>
          <w:sz w:val="24"/>
          <w:szCs w:val="24"/>
          <w:highlight w:val="none"/>
        </w:rPr>
        <w:t>须知</w:t>
      </w:r>
      <w:r>
        <w:rPr>
          <w:rStyle w:val="53"/>
          <w:rFonts w:hint="eastAsia" w:ascii="宋体" w:hAnsi="宋体"/>
          <w:color w:val="0000FF"/>
          <w:sz w:val="24"/>
          <w:szCs w:val="24"/>
          <w:highlight w:val="none"/>
          <w:lang w:val="en-US" w:eastAsia="zh-CN"/>
        </w:rPr>
        <w:t>................................................6</w:t>
      </w:r>
      <w:r>
        <w:rPr>
          <w:rFonts w:ascii="宋体" w:hAnsi="宋体"/>
          <w:color w:val="0000FF"/>
          <w:sz w:val="24"/>
          <w:szCs w:val="24"/>
          <w:highlight w:val="none"/>
        </w:rPr>
        <w:fldChar w:fldCharType="end"/>
      </w:r>
    </w:p>
    <w:p>
      <w:pPr>
        <w:pStyle w:val="34"/>
        <w:jc w:val="left"/>
        <w:rPr>
          <w:rFonts w:ascii="宋体" w:hAnsi="宋体"/>
          <w:color w:val="0000FF"/>
          <w:sz w:val="24"/>
          <w:szCs w:val="24"/>
          <w:highlight w:val="none"/>
        </w:rPr>
      </w:pPr>
      <w:r>
        <w:rPr>
          <w:rFonts w:ascii="宋体" w:hAnsi="宋体"/>
          <w:color w:val="0000FF"/>
          <w:sz w:val="24"/>
          <w:szCs w:val="24"/>
          <w:highlight w:val="none"/>
        </w:rPr>
        <w:fldChar w:fldCharType="begin"/>
      </w:r>
      <w:r>
        <w:rPr>
          <w:rStyle w:val="53"/>
          <w:rFonts w:ascii="宋体" w:hAnsi="宋体"/>
          <w:color w:val="0000FF"/>
          <w:sz w:val="24"/>
          <w:szCs w:val="24"/>
          <w:highlight w:val="none"/>
        </w:rPr>
        <w:instrText xml:space="preserve"> </w:instrText>
      </w:r>
      <w:r>
        <w:rPr>
          <w:rFonts w:ascii="宋体" w:hAnsi="宋体"/>
          <w:color w:val="0000FF"/>
          <w:sz w:val="24"/>
          <w:szCs w:val="24"/>
          <w:highlight w:val="none"/>
        </w:rPr>
        <w:instrText xml:space="preserve">HYPERLINK \l "_Toc436226839"</w:instrText>
      </w:r>
      <w:r>
        <w:rPr>
          <w:rStyle w:val="53"/>
          <w:rFonts w:ascii="宋体" w:hAnsi="宋体"/>
          <w:color w:val="0000FF"/>
          <w:sz w:val="24"/>
          <w:szCs w:val="24"/>
          <w:highlight w:val="none"/>
        </w:rPr>
        <w:instrText xml:space="preserve"> </w:instrText>
      </w:r>
      <w:r>
        <w:rPr>
          <w:rFonts w:ascii="宋体" w:hAnsi="宋体"/>
          <w:color w:val="0000FF"/>
          <w:sz w:val="24"/>
          <w:szCs w:val="24"/>
          <w:highlight w:val="none"/>
        </w:rPr>
        <w:fldChar w:fldCharType="separate"/>
      </w:r>
      <w:r>
        <w:rPr>
          <w:rStyle w:val="53"/>
          <w:rFonts w:hint="eastAsia" w:ascii="宋体" w:hAnsi="宋体"/>
          <w:color w:val="0000FF"/>
          <w:sz w:val="24"/>
          <w:szCs w:val="24"/>
          <w:highlight w:val="none"/>
        </w:rPr>
        <w:t>第三部分</w:t>
      </w:r>
      <w:r>
        <w:rPr>
          <w:rStyle w:val="53"/>
          <w:rFonts w:ascii="宋体" w:hAnsi="宋体"/>
          <w:color w:val="0000FF"/>
          <w:sz w:val="24"/>
          <w:szCs w:val="24"/>
          <w:highlight w:val="none"/>
        </w:rPr>
        <w:t xml:space="preserve">  </w:t>
      </w:r>
      <w:r>
        <w:rPr>
          <w:rStyle w:val="53"/>
          <w:rFonts w:hint="eastAsia" w:ascii="宋体" w:hAnsi="宋体"/>
          <w:color w:val="0000FF"/>
          <w:sz w:val="24"/>
          <w:szCs w:val="24"/>
          <w:highlight w:val="none"/>
        </w:rPr>
        <w:t>服务</w:t>
      </w:r>
      <w:r>
        <w:rPr>
          <w:rStyle w:val="53"/>
          <w:rFonts w:hint="eastAsia" w:ascii="宋体" w:hAnsi="宋体"/>
          <w:color w:val="0000FF"/>
          <w:sz w:val="24"/>
          <w:szCs w:val="24"/>
          <w:highlight w:val="none"/>
          <w:lang w:eastAsia="zh-CN"/>
        </w:rPr>
        <w:t>内容及要</w:t>
      </w:r>
      <w:r>
        <w:rPr>
          <w:rFonts w:hint="eastAsia" w:ascii="宋体" w:hAnsi="宋体"/>
          <w:color w:val="0000FF"/>
          <w:sz w:val="24"/>
          <w:szCs w:val="24"/>
          <w:highlight w:val="none"/>
          <w:lang w:val="en-US" w:eastAsia="zh-CN"/>
        </w:rPr>
        <w:t>求...........................................1</w:t>
      </w:r>
      <w:r>
        <w:rPr>
          <w:rFonts w:ascii="宋体" w:hAnsi="宋体"/>
          <w:color w:val="0000FF"/>
          <w:sz w:val="24"/>
          <w:szCs w:val="24"/>
          <w:highlight w:val="none"/>
        </w:rPr>
        <w:fldChar w:fldCharType="end"/>
      </w:r>
      <w:r>
        <w:rPr>
          <w:rFonts w:hint="eastAsia" w:ascii="宋体" w:hAnsi="宋体"/>
          <w:color w:val="0000FF"/>
          <w:sz w:val="24"/>
          <w:szCs w:val="24"/>
          <w:highlight w:val="none"/>
          <w:lang w:val="en-US" w:eastAsia="zh-CN"/>
        </w:rPr>
        <w:t>6</w:t>
      </w:r>
    </w:p>
    <w:p>
      <w:pPr>
        <w:pStyle w:val="34"/>
        <w:rPr>
          <w:rFonts w:hint="default" w:ascii="宋体" w:hAnsi="宋体"/>
          <w:color w:val="0000FF"/>
          <w:sz w:val="24"/>
          <w:szCs w:val="24"/>
          <w:highlight w:val="none"/>
          <w:lang w:val="en-US"/>
        </w:rPr>
      </w:pPr>
      <w:r>
        <w:rPr>
          <w:rFonts w:ascii="宋体" w:hAnsi="宋体"/>
          <w:color w:val="0000FF"/>
          <w:sz w:val="24"/>
          <w:szCs w:val="24"/>
          <w:highlight w:val="none"/>
        </w:rPr>
        <w:fldChar w:fldCharType="begin"/>
      </w:r>
      <w:r>
        <w:rPr>
          <w:rStyle w:val="53"/>
          <w:rFonts w:ascii="宋体" w:hAnsi="宋体"/>
          <w:color w:val="0000FF"/>
          <w:sz w:val="24"/>
          <w:szCs w:val="24"/>
          <w:highlight w:val="none"/>
        </w:rPr>
        <w:instrText xml:space="preserve"> </w:instrText>
      </w:r>
      <w:r>
        <w:rPr>
          <w:rFonts w:ascii="宋体" w:hAnsi="宋体"/>
          <w:color w:val="0000FF"/>
          <w:sz w:val="24"/>
          <w:szCs w:val="24"/>
          <w:highlight w:val="none"/>
        </w:rPr>
        <w:instrText xml:space="preserve">HYPERLINK \l "_Toc436226840"</w:instrText>
      </w:r>
      <w:r>
        <w:rPr>
          <w:rStyle w:val="53"/>
          <w:rFonts w:ascii="宋体" w:hAnsi="宋体"/>
          <w:color w:val="0000FF"/>
          <w:sz w:val="24"/>
          <w:szCs w:val="24"/>
          <w:highlight w:val="none"/>
        </w:rPr>
        <w:instrText xml:space="preserve"> </w:instrText>
      </w:r>
      <w:r>
        <w:rPr>
          <w:rFonts w:ascii="宋体" w:hAnsi="宋体"/>
          <w:color w:val="0000FF"/>
          <w:sz w:val="24"/>
          <w:szCs w:val="24"/>
          <w:highlight w:val="none"/>
        </w:rPr>
        <w:fldChar w:fldCharType="separate"/>
      </w:r>
      <w:r>
        <w:rPr>
          <w:rStyle w:val="53"/>
          <w:rFonts w:hint="eastAsia" w:ascii="宋体" w:hAnsi="宋体"/>
          <w:color w:val="0000FF"/>
          <w:sz w:val="24"/>
          <w:szCs w:val="24"/>
          <w:highlight w:val="none"/>
        </w:rPr>
        <w:t>第四部分</w:t>
      </w:r>
      <w:r>
        <w:rPr>
          <w:rStyle w:val="53"/>
          <w:rFonts w:ascii="宋体" w:hAnsi="宋体"/>
          <w:color w:val="0000FF"/>
          <w:sz w:val="24"/>
          <w:szCs w:val="24"/>
          <w:highlight w:val="none"/>
        </w:rPr>
        <w:t xml:space="preserve">  </w:t>
      </w:r>
      <w:r>
        <w:rPr>
          <w:rStyle w:val="53"/>
          <w:rFonts w:hint="eastAsia" w:ascii="宋体" w:hAnsi="宋体"/>
          <w:color w:val="0000FF"/>
          <w:sz w:val="24"/>
          <w:szCs w:val="24"/>
          <w:highlight w:val="none"/>
        </w:rPr>
        <w:t>响应文件格式</w:t>
      </w:r>
      <w:r>
        <w:rPr>
          <w:rFonts w:hint="eastAsia" w:ascii="宋体" w:hAnsi="宋体"/>
          <w:color w:val="0000FF"/>
          <w:sz w:val="24"/>
          <w:szCs w:val="24"/>
          <w:highlight w:val="none"/>
          <w:lang w:val="en-US" w:eastAsia="zh-CN"/>
        </w:rPr>
        <w:t>.............................................</w:t>
      </w:r>
      <w:r>
        <w:rPr>
          <w:rFonts w:ascii="宋体" w:hAnsi="宋体"/>
          <w:color w:val="0000FF"/>
          <w:sz w:val="24"/>
          <w:szCs w:val="24"/>
          <w:highlight w:val="none"/>
        </w:rPr>
        <w:fldChar w:fldCharType="end"/>
      </w:r>
      <w:r>
        <w:rPr>
          <w:rFonts w:hint="eastAsia" w:ascii="宋体" w:hAnsi="宋体"/>
          <w:color w:val="0000FF"/>
          <w:sz w:val="24"/>
          <w:szCs w:val="24"/>
          <w:highlight w:val="none"/>
          <w:lang w:val="en-US" w:eastAsia="zh-CN"/>
        </w:rPr>
        <w:t>21</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宋体" w:hAnsi="宋体"/>
          <w:color w:val="0000FF"/>
          <w:sz w:val="24"/>
          <w:szCs w:val="24"/>
          <w:highlight w:val="none"/>
          <w:lang w:val="en-US" w:eastAsia="zh-CN"/>
        </w:rPr>
      </w:pPr>
      <w:r>
        <w:rPr>
          <w:rFonts w:hint="eastAsia" w:ascii="宋体" w:hAnsi="宋体"/>
          <w:color w:val="0000FF"/>
          <w:sz w:val="24"/>
          <w:szCs w:val="24"/>
          <w:highlight w:val="none"/>
          <w:lang w:eastAsia="zh-CN"/>
        </w:rPr>
        <w:t>第五部分</w:t>
      </w:r>
      <w:r>
        <w:rPr>
          <w:rFonts w:hint="eastAsia" w:ascii="宋体" w:hAnsi="宋体"/>
          <w:color w:val="0000FF"/>
          <w:sz w:val="24"/>
          <w:szCs w:val="24"/>
          <w:highlight w:val="none"/>
          <w:lang w:val="en-US" w:eastAsia="zh-CN"/>
        </w:rPr>
        <w:t xml:space="preserve">  评审办法.................................................32</w:t>
      </w:r>
    </w:p>
    <w:p>
      <w:pPr>
        <w:rPr>
          <w:rFonts w:hint="eastAsia" w:ascii="宋体" w:hAnsi="宋体"/>
          <w:color w:val="0000FF"/>
          <w:sz w:val="24"/>
          <w:szCs w:val="24"/>
          <w:highlight w:val="none"/>
          <w:lang w:eastAsia="zh-CN"/>
        </w:rPr>
      </w:pPr>
      <w:r>
        <w:rPr>
          <w:rFonts w:hint="eastAsia" w:ascii="宋体" w:hAnsi="宋体"/>
          <w:color w:val="0000FF"/>
          <w:sz w:val="24"/>
          <w:szCs w:val="24"/>
          <w:highlight w:val="none"/>
          <w:lang w:val="en-US" w:eastAsia="zh-CN"/>
        </w:rPr>
        <w:t>第六部分  合同格式.................................................35</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color w:val="0000FF"/>
          <w:sz w:val="24"/>
          <w:szCs w:val="24"/>
          <w:highlight w:val="none"/>
          <w:lang w:val="en-US" w:eastAsia="zh-CN"/>
        </w:rPr>
      </w:pPr>
    </w:p>
    <w:p>
      <w:pPr>
        <w:ind w:right="-143" w:rightChars="-68"/>
        <w:jc w:val="left"/>
        <w:rPr>
          <w:rFonts w:hint="eastAsia" w:ascii="宋体" w:hAnsi="宋体"/>
          <w:sz w:val="24"/>
          <w:szCs w:val="24"/>
        </w:rPr>
      </w:pPr>
      <w:r>
        <w:rPr>
          <w:rFonts w:ascii="宋体" w:hAnsi="宋体"/>
          <w:color w:val="0000FF"/>
          <w:sz w:val="24"/>
          <w:szCs w:val="24"/>
          <w:highlight w:val="none"/>
        </w:rPr>
        <w:fldChar w:fldCharType="end"/>
      </w:r>
    </w:p>
    <w:p>
      <w:pPr>
        <w:pStyle w:val="3"/>
        <w:rPr>
          <w:rFonts w:hAnsi="宋体"/>
        </w:rPr>
      </w:pPr>
      <w:r>
        <w:rPr>
          <w:rFonts w:hAnsi="宋体"/>
        </w:rPr>
        <w:br w:type="page"/>
      </w:r>
      <w:bookmarkStart w:id="0" w:name="_Toc203990326"/>
      <w:bookmarkStart w:id="1" w:name="_Toc436226837"/>
      <w:r>
        <w:rPr>
          <w:rFonts w:hint="eastAsia" w:hAnsi="宋体"/>
        </w:rPr>
        <w:t>第一部分  竞争性磋商邀请</w:t>
      </w:r>
      <w:bookmarkEnd w:id="0"/>
      <w:bookmarkEnd w:id="1"/>
    </w:p>
    <w:p>
      <w:pPr>
        <w:spacing w:line="360" w:lineRule="auto"/>
        <w:ind w:firstLine="480" w:firstLineChars="200"/>
        <w:rPr>
          <w:rFonts w:hint="eastAsia" w:ascii="宋体" w:hAnsi="宋体"/>
          <w:sz w:val="24"/>
          <w:szCs w:val="24"/>
        </w:rPr>
      </w:pPr>
      <w:r>
        <w:rPr>
          <w:rFonts w:hint="eastAsia" w:ascii="宋体" w:hAnsi="宋体"/>
          <w:sz w:val="24"/>
          <w:szCs w:val="24"/>
        </w:rPr>
        <w:t>北京市石景山区政府采购中心受</w:t>
      </w:r>
      <w:r>
        <w:rPr>
          <w:rFonts w:hint="eastAsia" w:ascii="宋体" w:hAnsi="宋体"/>
          <w:color w:val="000000"/>
          <w:sz w:val="24"/>
        </w:rPr>
        <w:t>北京市石景山区财政局</w:t>
      </w:r>
      <w:r>
        <w:rPr>
          <w:rFonts w:hint="eastAsia" w:ascii="宋体" w:hAnsi="宋体"/>
          <w:sz w:val="24"/>
          <w:szCs w:val="24"/>
        </w:rPr>
        <w:t>的委托，对</w:t>
      </w:r>
      <w:r>
        <w:rPr>
          <w:rFonts w:hint="eastAsia" w:ascii="宋体" w:hAnsi="宋体"/>
          <w:color w:val="000000"/>
          <w:sz w:val="24"/>
          <w:lang w:eastAsia="zh-CN"/>
        </w:rPr>
        <w:t>2024年12月至2026年12月北京市石景山区财政局财政投资评审中介机构服务政府采购项目</w:t>
      </w:r>
      <w:r>
        <w:rPr>
          <w:rFonts w:hint="eastAsia" w:ascii="宋体" w:hAnsi="宋体"/>
          <w:sz w:val="24"/>
          <w:szCs w:val="24"/>
        </w:rPr>
        <w:t>以竞争性磋商方式进行采购。现邀请贵单位按此《竞争性磋商文件》的要求前来参加。</w:t>
      </w:r>
    </w:p>
    <w:p>
      <w:pPr>
        <w:keepNext w:val="0"/>
        <w:keepLines w:val="0"/>
        <w:pageBreakBefore w:val="0"/>
        <w:widowControl w:val="0"/>
        <w:kinsoku/>
        <w:wordWrap/>
        <w:overflowPunct/>
        <w:topLinePunct w:val="0"/>
        <w:autoSpaceDE/>
        <w:autoSpaceDN/>
        <w:bidi w:val="0"/>
        <w:adjustRightInd w:val="0"/>
        <w:snapToGrid w:val="0"/>
        <w:spacing w:before="120" w:beforeLines="50" w:after="120" w:afterLines="50" w:line="240" w:lineRule="auto"/>
        <w:ind w:left="0" w:leftChars="0" w:right="0" w:rightChars="0" w:firstLine="0" w:firstLineChars="0"/>
        <w:jc w:val="both"/>
        <w:textAlignment w:val="auto"/>
        <w:outlineLvl w:val="9"/>
        <w:rPr>
          <w:rFonts w:hint="eastAsia" w:ascii="宋体" w:hAnsi="宋体"/>
          <w:sz w:val="24"/>
          <w:szCs w:val="24"/>
        </w:rPr>
      </w:pPr>
      <w:r>
        <w:rPr>
          <w:rFonts w:hint="eastAsia" w:ascii="宋体" w:hAnsi="宋体"/>
          <w:b/>
          <w:sz w:val="24"/>
          <w:szCs w:val="24"/>
          <w:lang w:eastAsia="zh-CN"/>
        </w:rPr>
        <w:t>一</w:t>
      </w:r>
      <w:r>
        <w:rPr>
          <w:rFonts w:hint="eastAsia" w:ascii="宋体" w:hAnsi="宋体"/>
          <w:b/>
          <w:sz w:val="24"/>
          <w:szCs w:val="24"/>
        </w:rPr>
        <w:t>、项目编号</w:t>
      </w:r>
      <w:r>
        <w:rPr>
          <w:rFonts w:hint="eastAsia" w:ascii="宋体" w:hAnsi="宋体"/>
          <w:sz w:val="24"/>
          <w:szCs w:val="24"/>
        </w:rPr>
        <w:t>：</w:t>
      </w:r>
      <w:r>
        <w:rPr>
          <w:rFonts w:hint="eastAsia" w:ascii="宋体" w:hAnsi="宋体" w:cs="Arial"/>
          <w:sz w:val="24"/>
          <w:szCs w:val="24"/>
        </w:rPr>
        <w:t>11010724210200012744-XM001</w:t>
      </w:r>
    </w:p>
    <w:p>
      <w:pPr>
        <w:keepNext w:val="0"/>
        <w:keepLines w:val="0"/>
        <w:pageBreakBefore w:val="0"/>
        <w:widowControl w:val="0"/>
        <w:kinsoku/>
        <w:wordWrap/>
        <w:overflowPunct/>
        <w:topLinePunct w:val="0"/>
        <w:autoSpaceDE/>
        <w:autoSpaceDN/>
        <w:bidi w:val="0"/>
        <w:adjustRightInd w:val="0"/>
        <w:snapToGrid w:val="0"/>
        <w:spacing w:after="0" w:afterLines="60" w:line="240" w:lineRule="auto"/>
        <w:ind w:left="0" w:leftChars="0" w:right="0" w:rightChars="0" w:firstLine="0" w:firstLineChars="0"/>
        <w:jc w:val="both"/>
        <w:textAlignment w:val="auto"/>
        <w:outlineLvl w:val="9"/>
        <w:rPr>
          <w:rFonts w:ascii="宋体" w:hAnsi="宋体"/>
          <w:w w:val="98"/>
          <w:sz w:val="24"/>
          <w:szCs w:val="24"/>
        </w:rPr>
      </w:pPr>
      <w:r>
        <w:rPr>
          <w:rFonts w:hint="eastAsia" w:ascii="宋体" w:hAnsi="宋体"/>
          <w:b/>
          <w:sz w:val="24"/>
          <w:szCs w:val="24"/>
          <w:lang w:eastAsia="zh-CN"/>
        </w:rPr>
        <w:t>二</w:t>
      </w:r>
      <w:r>
        <w:rPr>
          <w:rFonts w:hint="eastAsia" w:ascii="宋体" w:hAnsi="宋体"/>
          <w:b/>
          <w:sz w:val="24"/>
          <w:szCs w:val="24"/>
        </w:rPr>
        <w:t>、项目名称：</w:t>
      </w:r>
      <w:r>
        <w:rPr>
          <w:rFonts w:hint="eastAsia" w:ascii="宋体" w:hAnsi="宋体"/>
          <w:color w:val="000000"/>
          <w:sz w:val="24"/>
          <w:lang w:eastAsia="zh-CN"/>
        </w:rPr>
        <w:t>2024年12月至2026年12月北京市石景山区财政局财政投资评审中介机构服务政府采购项目</w:t>
      </w:r>
    </w:p>
    <w:p>
      <w:pPr>
        <w:keepNext w:val="0"/>
        <w:keepLines w:val="0"/>
        <w:pageBreakBefore w:val="0"/>
        <w:widowControl w:val="0"/>
        <w:kinsoku/>
        <w:wordWrap/>
        <w:overflowPunct/>
        <w:topLinePunct w:val="0"/>
        <w:autoSpaceDE/>
        <w:autoSpaceDN/>
        <w:bidi w:val="0"/>
        <w:adjustRightInd w:val="0"/>
        <w:snapToGrid w:val="0"/>
        <w:spacing w:before="0" w:beforeLines="50" w:after="0" w:afterLines="50" w:line="240" w:lineRule="auto"/>
        <w:ind w:left="0" w:leftChars="0" w:right="0" w:rightChars="0" w:firstLine="0" w:firstLineChars="0"/>
        <w:jc w:val="both"/>
        <w:textAlignment w:val="auto"/>
        <w:outlineLvl w:val="9"/>
        <w:rPr>
          <w:rFonts w:hint="eastAsia" w:ascii="宋体" w:hAnsi="宋体"/>
          <w:color w:val="000000"/>
          <w:sz w:val="24"/>
          <w:lang w:eastAsia="zh-CN"/>
        </w:rPr>
      </w:pPr>
      <w:r>
        <w:rPr>
          <w:rFonts w:hint="eastAsia" w:ascii="宋体" w:hAnsi="宋体"/>
          <w:b/>
          <w:sz w:val="24"/>
          <w:szCs w:val="24"/>
          <w:lang w:eastAsia="zh-CN"/>
        </w:rPr>
        <w:t>三、</w:t>
      </w:r>
      <w:r>
        <w:rPr>
          <w:rFonts w:hint="eastAsia" w:ascii="宋体" w:hAnsi="宋体"/>
          <w:b/>
          <w:sz w:val="24"/>
          <w:szCs w:val="24"/>
        </w:rPr>
        <w:t>采购人名称：</w:t>
      </w:r>
      <w:r>
        <w:rPr>
          <w:rFonts w:hint="eastAsia" w:ascii="宋体" w:hAnsi="宋体"/>
          <w:color w:val="000000"/>
          <w:sz w:val="24"/>
          <w:lang w:eastAsia="zh-CN"/>
        </w:rPr>
        <w:t>北京市石景山区财政局</w:t>
      </w:r>
    </w:p>
    <w:p>
      <w:pPr>
        <w:keepNext w:val="0"/>
        <w:keepLines w:val="0"/>
        <w:pageBreakBefore w:val="0"/>
        <w:widowControl w:val="0"/>
        <w:kinsoku/>
        <w:wordWrap/>
        <w:overflowPunct/>
        <w:topLinePunct w:val="0"/>
        <w:autoSpaceDE/>
        <w:autoSpaceDN/>
        <w:bidi w:val="0"/>
        <w:adjustRightInd w:val="0"/>
        <w:snapToGrid w:val="0"/>
        <w:spacing w:before="0" w:beforeLines="50" w:after="0" w:afterLines="50" w:line="240" w:lineRule="auto"/>
        <w:ind w:left="0" w:leftChars="0" w:right="0" w:rightChars="0" w:firstLine="0" w:firstLineChars="0"/>
        <w:jc w:val="both"/>
        <w:textAlignment w:val="auto"/>
        <w:outlineLvl w:val="9"/>
        <w:rPr>
          <w:rStyle w:val="181"/>
          <w:rFonts w:hint="eastAsia"/>
          <w:sz w:val="24"/>
          <w:szCs w:val="24"/>
          <w:highlight w:val="none"/>
          <w:lang w:val="en-US" w:eastAsia="zh-CN"/>
        </w:rPr>
      </w:pPr>
      <w:r>
        <w:rPr>
          <w:rFonts w:hint="eastAsia" w:ascii="宋体" w:hAnsi="宋体"/>
          <w:b/>
          <w:sz w:val="24"/>
          <w:szCs w:val="24"/>
          <w:lang w:eastAsia="zh-CN"/>
        </w:rPr>
        <w:t>四、</w:t>
      </w:r>
      <w:r>
        <w:rPr>
          <w:rFonts w:hint="eastAsia" w:ascii="宋体" w:hAnsi="宋体"/>
          <w:b/>
          <w:sz w:val="24"/>
          <w:szCs w:val="24"/>
        </w:rPr>
        <w:t>采购人地址：</w:t>
      </w:r>
      <w:r>
        <w:rPr>
          <w:rFonts w:hint="eastAsia" w:ascii="宋体" w:hAnsi="宋体"/>
          <w:color w:val="000000"/>
          <w:sz w:val="24"/>
          <w:lang w:eastAsia="zh-CN"/>
        </w:rPr>
        <w:t>北京市石景山区阜石路167号</w:t>
      </w:r>
    </w:p>
    <w:p>
      <w:pPr>
        <w:keepNext w:val="0"/>
        <w:keepLines w:val="0"/>
        <w:pageBreakBefore w:val="0"/>
        <w:widowControl w:val="0"/>
        <w:kinsoku/>
        <w:wordWrap/>
        <w:overflowPunct/>
        <w:topLinePunct w:val="0"/>
        <w:autoSpaceDE/>
        <w:autoSpaceDN/>
        <w:bidi w:val="0"/>
        <w:adjustRightInd w:val="0"/>
        <w:snapToGrid w:val="0"/>
        <w:spacing w:before="0" w:beforeLines="50" w:after="0" w:afterLines="50" w:line="240" w:lineRule="auto"/>
        <w:ind w:left="0" w:leftChars="0" w:right="0" w:rightChars="0" w:firstLine="0" w:firstLineChars="0"/>
        <w:jc w:val="both"/>
        <w:textAlignment w:val="auto"/>
        <w:outlineLvl w:val="9"/>
        <w:rPr>
          <w:rFonts w:hint="default" w:ascii="宋体" w:hAnsi="宋体"/>
          <w:b w:val="0"/>
          <w:bCs/>
          <w:sz w:val="24"/>
          <w:szCs w:val="24"/>
          <w:highlight w:val="none"/>
          <w:lang w:val="en-US"/>
        </w:rPr>
      </w:pPr>
      <w:r>
        <w:rPr>
          <w:rFonts w:hint="eastAsia" w:ascii="宋体" w:hAnsi="宋体"/>
          <w:b/>
          <w:sz w:val="24"/>
          <w:szCs w:val="24"/>
          <w:highlight w:val="none"/>
          <w:lang w:eastAsia="zh-CN"/>
        </w:rPr>
        <w:t>五、</w:t>
      </w:r>
      <w:r>
        <w:rPr>
          <w:rFonts w:hint="eastAsia" w:ascii="宋体" w:hAnsi="宋体"/>
          <w:b/>
          <w:sz w:val="24"/>
          <w:szCs w:val="24"/>
          <w:highlight w:val="none"/>
        </w:rPr>
        <w:t>采购人联系方式：</w:t>
      </w:r>
      <w:r>
        <w:rPr>
          <w:rFonts w:hint="eastAsia" w:ascii="宋体" w:hAnsi="宋体"/>
          <w:b w:val="0"/>
          <w:bCs/>
          <w:sz w:val="24"/>
          <w:szCs w:val="24"/>
          <w:highlight w:val="none"/>
          <w:lang w:eastAsia="zh-CN"/>
        </w:rPr>
        <w:t>赵霄</w:t>
      </w:r>
      <w:r>
        <w:rPr>
          <w:rFonts w:hint="eastAsia" w:ascii="宋体" w:hAnsi="宋体"/>
          <w:b w:val="0"/>
          <w:bCs/>
          <w:sz w:val="24"/>
          <w:szCs w:val="24"/>
          <w:highlight w:val="none"/>
          <w:lang w:val="en-US" w:eastAsia="zh-CN"/>
        </w:rPr>
        <w:t>68878111</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50" w:after="0" w:afterLines="50" w:line="240" w:lineRule="auto"/>
        <w:ind w:leftChars="0" w:right="0" w:rightChars="0"/>
        <w:jc w:val="both"/>
        <w:textAlignment w:val="auto"/>
        <w:outlineLvl w:val="9"/>
        <w:rPr>
          <w:rFonts w:hint="eastAsia" w:ascii="宋体" w:hAnsi="宋体"/>
          <w:b/>
          <w:sz w:val="24"/>
          <w:szCs w:val="24"/>
        </w:rPr>
      </w:pPr>
      <w:r>
        <w:rPr>
          <w:rFonts w:hint="eastAsia" w:ascii="宋体" w:hAnsi="宋体"/>
          <w:b/>
          <w:bCs/>
          <w:sz w:val="24"/>
          <w:lang w:eastAsia="zh-CN"/>
        </w:rPr>
        <w:t>六、</w:t>
      </w:r>
      <w:r>
        <w:rPr>
          <w:rFonts w:hint="eastAsia" w:ascii="宋体" w:hAnsi="宋体"/>
          <w:b/>
          <w:bCs/>
          <w:sz w:val="24"/>
        </w:rPr>
        <w:t>采购代理机构名称：</w:t>
      </w:r>
      <w:r>
        <w:rPr>
          <w:rFonts w:hint="eastAsia" w:ascii="宋体" w:hAnsi="宋体"/>
          <w:sz w:val="24"/>
        </w:rPr>
        <w:t>北京市石景山区政府采购中心</w:t>
      </w:r>
    </w:p>
    <w:p>
      <w:pPr>
        <w:keepNext w:val="0"/>
        <w:keepLines w:val="0"/>
        <w:pageBreakBefore w:val="0"/>
        <w:widowControl w:val="0"/>
        <w:kinsoku/>
        <w:wordWrap/>
        <w:overflowPunct/>
        <w:topLinePunct w:val="0"/>
        <w:autoSpaceDE/>
        <w:autoSpaceDN/>
        <w:bidi w:val="0"/>
        <w:adjustRightInd/>
        <w:snapToGrid/>
        <w:spacing w:before="0" w:beforeLines="50" w:after="0" w:afterLines="50" w:line="240" w:lineRule="auto"/>
        <w:ind w:right="0" w:rightChars="0"/>
        <w:jc w:val="both"/>
        <w:textAlignment w:val="auto"/>
        <w:outlineLvl w:val="9"/>
        <w:rPr>
          <w:rFonts w:hint="eastAsia" w:ascii="宋体" w:hAnsi="宋体"/>
          <w:sz w:val="24"/>
        </w:rPr>
      </w:pPr>
      <w:r>
        <w:rPr>
          <w:rFonts w:hint="eastAsia" w:ascii="宋体" w:hAnsi="宋体"/>
          <w:b/>
          <w:bCs/>
          <w:sz w:val="24"/>
          <w:lang w:eastAsia="zh-CN"/>
        </w:rPr>
        <w:t>七、</w:t>
      </w:r>
      <w:r>
        <w:rPr>
          <w:rFonts w:hint="eastAsia" w:ascii="宋体" w:hAnsi="宋体"/>
          <w:b/>
          <w:bCs/>
          <w:sz w:val="24"/>
        </w:rPr>
        <w:t>采购代理机构地址：</w:t>
      </w:r>
      <w:r>
        <w:rPr>
          <w:rFonts w:hint="eastAsia" w:ascii="宋体" w:hAnsi="宋体" w:eastAsia="宋体" w:cs="宋体"/>
          <w:sz w:val="24"/>
          <w:lang w:eastAsia="zh-CN"/>
        </w:rPr>
        <w:t>北京市石景山区京原西街6号院3号楼7层</w:t>
      </w:r>
    </w:p>
    <w:p>
      <w:pPr>
        <w:keepNext w:val="0"/>
        <w:keepLines w:val="0"/>
        <w:pageBreakBefore w:val="0"/>
        <w:widowControl w:val="0"/>
        <w:kinsoku/>
        <w:wordWrap/>
        <w:overflowPunct/>
        <w:topLinePunct w:val="0"/>
        <w:autoSpaceDE/>
        <w:autoSpaceDN/>
        <w:bidi w:val="0"/>
        <w:adjustRightInd/>
        <w:snapToGrid/>
        <w:spacing w:before="0" w:beforeLines="50" w:after="0" w:afterLines="50" w:line="360" w:lineRule="auto"/>
        <w:ind w:left="0" w:leftChars="0" w:right="0" w:rightChars="0"/>
        <w:jc w:val="both"/>
        <w:textAlignment w:val="auto"/>
        <w:outlineLvl w:val="9"/>
        <w:rPr>
          <w:rFonts w:hint="eastAsia" w:ascii="宋体" w:hAnsi="宋体"/>
          <w:b/>
          <w:sz w:val="24"/>
          <w:szCs w:val="24"/>
        </w:rPr>
      </w:pPr>
      <w:r>
        <w:rPr>
          <w:rFonts w:hint="eastAsia" w:ascii="宋体" w:hAnsi="宋体"/>
          <w:b/>
          <w:bCs/>
          <w:sz w:val="24"/>
          <w:lang w:eastAsia="zh-CN"/>
        </w:rPr>
        <w:t>八、</w:t>
      </w:r>
      <w:r>
        <w:rPr>
          <w:rFonts w:hint="eastAsia" w:ascii="宋体" w:hAnsi="宋体"/>
          <w:b/>
          <w:bCs/>
          <w:sz w:val="24"/>
        </w:rPr>
        <w:t>采购代理机构联系方式：</w:t>
      </w:r>
      <w:r>
        <w:rPr>
          <w:rFonts w:hint="eastAsia" w:ascii="宋体" w:hAnsi="宋体"/>
          <w:sz w:val="24"/>
          <w:lang w:val="en-US" w:eastAsia="zh-CN"/>
        </w:rPr>
        <w:t>81927379</w:t>
      </w:r>
    </w:p>
    <w:p>
      <w:pPr>
        <w:keepNext w:val="0"/>
        <w:keepLines w:val="0"/>
        <w:pageBreakBefore w:val="0"/>
        <w:widowControl w:val="0"/>
        <w:tabs>
          <w:tab w:val="left" w:pos="360"/>
        </w:tabs>
        <w:kinsoku/>
        <w:wordWrap/>
        <w:overflowPunct/>
        <w:topLinePunct w:val="0"/>
        <w:autoSpaceDE/>
        <w:autoSpaceDN/>
        <w:bidi w:val="0"/>
        <w:adjustRightInd w:val="0"/>
        <w:snapToGrid w:val="0"/>
        <w:spacing w:line="360" w:lineRule="auto"/>
        <w:ind w:left="0" w:leftChars="0" w:right="0" w:rightChars="0"/>
        <w:jc w:val="both"/>
        <w:textAlignment w:val="auto"/>
        <w:outlineLvl w:val="9"/>
        <w:rPr>
          <w:rFonts w:ascii="宋体" w:hAnsi="宋体"/>
          <w:b/>
          <w:sz w:val="24"/>
          <w:szCs w:val="24"/>
          <w:highlight w:val="none"/>
        </w:rPr>
      </w:pPr>
      <w:r>
        <w:rPr>
          <w:rFonts w:hint="eastAsia" w:ascii="宋体" w:hAnsi="宋体"/>
          <w:b/>
          <w:sz w:val="24"/>
          <w:szCs w:val="24"/>
          <w:highlight w:val="none"/>
          <w:lang w:eastAsia="zh-CN"/>
        </w:rPr>
        <w:t>九、</w:t>
      </w:r>
      <w:r>
        <w:rPr>
          <w:rFonts w:hint="eastAsia" w:ascii="宋体" w:hAnsi="宋体"/>
          <w:b/>
          <w:sz w:val="24"/>
          <w:szCs w:val="24"/>
          <w:highlight w:val="none"/>
        </w:rPr>
        <w:t>采购</w:t>
      </w:r>
      <w:r>
        <w:rPr>
          <w:rFonts w:ascii="宋体" w:hAnsi="宋体"/>
          <w:b/>
          <w:sz w:val="24"/>
          <w:szCs w:val="24"/>
          <w:highlight w:val="none"/>
        </w:rPr>
        <w:t>内容</w:t>
      </w:r>
      <w:r>
        <w:rPr>
          <w:rFonts w:hint="eastAsia" w:ascii="宋体" w:hAnsi="宋体"/>
          <w:b/>
          <w:sz w:val="24"/>
          <w:szCs w:val="24"/>
          <w:highlight w:val="none"/>
        </w:rPr>
        <w:t>、项目预算</w:t>
      </w:r>
      <w:r>
        <w:rPr>
          <w:rFonts w:hint="eastAsia" w:ascii="宋体" w:hAnsi="宋体"/>
          <w:b/>
          <w:sz w:val="24"/>
          <w:szCs w:val="24"/>
          <w:highlight w:val="none"/>
          <w:lang w:eastAsia="zh-CN"/>
        </w:rPr>
        <w:t>、供应商资格</w:t>
      </w:r>
      <w:r>
        <w:rPr>
          <w:rFonts w:ascii="宋体" w:hAnsi="宋体"/>
          <w:b/>
          <w:sz w:val="24"/>
          <w:szCs w:val="24"/>
          <w:highlight w:val="none"/>
        </w:rPr>
        <w:t>：</w:t>
      </w:r>
    </w:p>
    <w:p>
      <w:pPr>
        <w:pStyle w:val="16"/>
        <w:keepNext w:val="0"/>
        <w:keepLines w:val="0"/>
        <w:pageBreakBefore w:val="0"/>
        <w:kinsoku/>
        <w:overflowPunct/>
        <w:topLinePunct w:val="0"/>
        <w:autoSpaceDE/>
        <w:autoSpaceDN/>
        <w:bidi w:val="0"/>
        <w:adjustRightInd w:val="0"/>
        <w:snapToGrid w:val="0"/>
        <w:spacing w:line="360" w:lineRule="auto"/>
        <w:ind w:left="0" w:leftChars="0" w:right="0" w:rightChars="0" w:firstLine="480" w:firstLineChars="200"/>
        <w:jc w:val="both"/>
        <w:textAlignment w:val="auto"/>
        <w:rPr>
          <w:rFonts w:hint="eastAsia" w:ascii="Times New Roman" w:hAnsi="Times New Roman" w:eastAsia="宋体" w:cs="Times New Roman"/>
          <w:color w:val="000000"/>
          <w:kern w:val="2"/>
          <w:sz w:val="24"/>
          <w:szCs w:val="22"/>
          <w:lang w:val="en-US" w:eastAsia="zh-CN" w:bidi="ar-SA"/>
        </w:rPr>
      </w:pPr>
      <w:r>
        <w:rPr>
          <w:rFonts w:hint="eastAsia" w:ascii="Times New Roman" w:hAnsi="Times New Roman" w:eastAsia="宋体" w:cs="Times New Roman"/>
          <w:color w:val="000000"/>
          <w:kern w:val="2"/>
          <w:sz w:val="24"/>
          <w:szCs w:val="22"/>
          <w:lang w:val="en-US" w:eastAsia="zh-CN" w:bidi="ar-SA"/>
        </w:rPr>
        <w:t xml:space="preserve">1、采购内容：2024年12月至2026年12月北京市石景山区财政局财政投资评审中介机构服务（详见竞争性磋商文件第三部分）   </w:t>
      </w:r>
    </w:p>
    <w:p>
      <w:pPr>
        <w:pStyle w:val="16"/>
        <w:ind w:firstLine="480" w:firstLineChars="200"/>
        <w:rPr>
          <w:rFonts w:hint="eastAsia" w:ascii="Times New Roman" w:hAnsi="Times New Roman" w:eastAsia="宋体" w:cs="Times New Roman"/>
          <w:color w:val="000000"/>
          <w:kern w:val="2"/>
          <w:sz w:val="24"/>
          <w:szCs w:val="22"/>
          <w:lang w:val="en-US" w:eastAsia="zh-CN" w:bidi="ar-SA"/>
        </w:rPr>
      </w:pPr>
      <w:r>
        <w:rPr>
          <w:rFonts w:hint="eastAsia" w:ascii="Times New Roman" w:hAnsi="Times New Roman" w:eastAsia="宋体" w:cs="Times New Roman"/>
          <w:color w:val="000000"/>
          <w:kern w:val="2"/>
          <w:sz w:val="24"/>
          <w:szCs w:val="22"/>
          <w:lang w:val="en-US" w:eastAsia="zh-CN" w:bidi="ar-SA"/>
        </w:rPr>
        <w:t>第一包：石景山区财政局财政投资评审中介机构服务1</w:t>
      </w:r>
    </w:p>
    <w:p>
      <w:pPr>
        <w:pStyle w:val="16"/>
        <w:rPr>
          <w:rFonts w:hint="eastAsia" w:ascii="Times New Roman" w:hAnsi="Times New Roman" w:eastAsia="宋体" w:cs="Times New Roman"/>
          <w:color w:val="000000"/>
          <w:kern w:val="2"/>
          <w:sz w:val="24"/>
          <w:szCs w:val="22"/>
          <w:lang w:val="en-US" w:eastAsia="zh-CN" w:bidi="ar-SA"/>
        </w:rPr>
      </w:pPr>
      <w:r>
        <w:rPr>
          <w:rFonts w:hint="eastAsia" w:ascii="Times New Roman" w:hAnsi="Times New Roman" w:eastAsia="宋体" w:cs="Times New Roman"/>
          <w:color w:val="000000"/>
          <w:kern w:val="2"/>
          <w:sz w:val="24"/>
          <w:szCs w:val="22"/>
          <w:lang w:val="en-US" w:eastAsia="zh-CN" w:bidi="ar-SA"/>
        </w:rPr>
        <w:t xml:space="preserve">    预算控制金额：4,000,000元</w:t>
      </w:r>
    </w:p>
    <w:p>
      <w:pPr>
        <w:pStyle w:val="16"/>
        <w:ind w:firstLine="480" w:firstLineChars="200"/>
        <w:rPr>
          <w:rFonts w:hint="eastAsia" w:ascii="Times New Roman" w:hAnsi="Times New Roman" w:eastAsia="宋体" w:cs="Times New Roman"/>
          <w:color w:val="000000"/>
          <w:kern w:val="2"/>
          <w:sz w:val="24"/>
          <w:szCs w:val="22"/>
          <w:lang w:val="en-US" w:eastAsia="zh-CN" w:bidi="ar-SA"/>
        </w:rPr>
      </w:pPr>
      <w:r>
        <w:rPr>
          <w:rFonts w:hint="eastAsia" w:ascii="Times New Roman" w:hAnsi="Times New Roman" w:eastAsia="宋体" w:cs="Times New Roman"/>
          <w:color w:val="000000"/>
          <w:kern w:val="2"/>
          <w:sz w:val="24"/>
          <w:szCs w:val="22"/>
          <w:lang w:val="en-US" w:eastAsia="zh-CN" w:bidi="ar-SA"/>
        </w:rPr>
        <w:t>第二包：石景山区财政局财政投资评审中介机构服务2</w:t>
      </w:r>
    </w:p>
    <w:p>
      <w:pPr>
        <w:pStyle w:val="16"/>
        <w:ind w:firstLine="480" w:firstLineChars="200"/>
        <w:rPr>
          <w:rFonts w:hint="eastAsia" w:ascii="Times New Roman" w:hAnsi="Times New Roman" w:eastAsia="宋体" w:cs="Times New Roman"/>
          <w:color w:val="000000"/>
          <w:kern w:val="2"/>
          <w:sz w:val="24"/>
          <w:szCs w:val="22"/>
          <w:lang w:val="en-US" w:eastAsia="zh-CN" w:bidi="ar-SA"/>
        </w:rPr>
      </w:pPr>
      <w:r>
        <w:rPr>
          <w:rFonts w:hint="eastAsia" w:ascii="Times New Roman" w:hAnsi="Times New Roman" w:eastAsia="宋体" w:cs="Times New Roman"/>
          <w:color w:val="000000"/>
          <w:kern w:val="2"/>
          <w:sz w:val="24"/>
          <w:szCs w:val="22"/>
          <w:lang w:val="en-US" w:eastAsia="zh-CN" w:bidi="ar-SA"/>
        </w:rPr>
        <w:t>预算控制金额：4,000,000元</w:t>
      </w:r>
    </w:p>
    <w:p>
      <w:pPr>
        <w:pStyle w:val="16"/>
        <w:ind w:firstLine="480" w:firstLineChars="200"/>
        <w:rPr>
          <w:rFonts w:hint="eastAsia" w:ascii="Times New Roman" w:hAnsi="Times New Roman" w:eastAsia="宋体" w:cs="Times New Roman"/>
          <w:color w:val="000000"/>
          <w:kern w:val="2"/>
          <w:sz w:val="24"/>
          <w:szCs w:val="22"/>
          <w:lang w:val="en-US" w:eastAsia="zh-CN" w:bidi="ar-SA"/>
        </w:rPr>
      </w:pPr>
      <w:r>
        <w:rPr>
          <w:rFonts w:hint="eastAsia" w:ascii="Times New Roman" w:hAnsi="Times New Roman" w:eastAsia="宋体" w:cs="Times New Roman"/>
          <w:color w:val="000000"/>
          <w:kern w:val="2"/>
          <w:sz w:val="24"/>
          <w:szCs w:val="22"/>
          <w:lang w:val="en-US" w:eastAsia="zh-CN" w:bidi="ar-SA"/>
        </w:rPr>
        <w:t>第三包：石景山区财政局财政投资评审中介机构服务3</w:t>
      </w:r>
    </w:p>
    <w:p>
      <w:pPr>
        <w:pStyle w:val="16"/>
        <w:ind w:firstLine="480" w:firstLineChars="200"/>
        <w:rPr>
          <w:rFonts w:hint="eastAsia" w:ascii="Times New Roman" w:hAnsi="Times New Roman" w:eastAsia="宋体" w:cs="Times New Roman"/>
          <w:color w:val="000000"/>
          <w:kern w:val="2"/>
          <w:sz w:val="24"/>
          <w:szCs w:val="22"/>
          <w:lang w:val="en-US" w:eastAsia="zh-CN" w:bidi="ar-SA"/>
        </w:rPr>
      </w:pPr>
      <w:r>
        <w:rPr>
          <w:rFonts w:hint="eastAsia" w:ascii="Times New Roman" w:hAnsi="Times New Roman" w:eastAsia="宋体" w:cs="Times New Roman"/>
          <w:color w:val="000000"/>
          <w:kern w:val="2"/>
          <w:sz w:val="24"/>
          <w:szCs w:val="22"/>
          <w:lang w:val="en-US" w:eastAsia="zh-CN" w:bidi="ar-SA"/>
        </w:rPr>
        <w:t>预算控制金额：4,000,000元</w:t>
      </w:r>
    </w:p>
    <w:p>
      <w:pPr>
        <w:pStyle w:val="16"/>
        <w:ind w:firstLine="480" w:firstLineChars="200"/>
        <w:rPr>
          <w:rFonts w:hint="eastAsia" w:ascii="Times New Roman" w:hAnsi="Times New Roman" w:eastAsia="宋体" w:cs="Times New Roman"/>
          <w:color w:val="000000"/>
          <w:kern w:val="2"/>
          <w:sz w:val="24"/>
          <w:szCs w:val="22"/>
          <w:lang w:val="en-US" w:eastAsia="zh-CN" w:bidi="ar-SA"/>
        </w:rPr>
      </w:pPr>
      <w:r>
        <w:rPr>
          <w:rFonts w:hint="eastAsia" w:ascii="Times New Roman" w:hAnsi="Times New Roman" w:eastAsia="宋体" w:cs="Times New Roman"/>
          <w:color w:val="000000"/>
          <w:kern w:val="2"/>
          <w:sz w:val="24"/>
          <w:szCs w:val="22"/>
          <w:lang w:val="en-US" w:eastAsia="zh-CN" w:bidi="ar-SA"/>
        </w:rPr>
        <w:t>第四包：石景山区财政局财政投资评审中介机构服务4</w:t>
      </w:r>
    </w:p>
    <w:p>
      <w:pPr>
        <w:pStyle w:val="16"/>
        <w:rPr>
          <w:rFonts w:hint="eastAsia" w:ascii="Times New Roman" w:hAnsi="Times New Roman" w:eastAsia="宋体" w:cs="Times New Roman"/>
          <w:color w:val="000000"/>
          <w:kern w:val="2"/>
          <w:sz w:val="24"/>
          <w:szCs w:val="22"/>
          <w:lang w:val="en-US" w:eastAsia="zh-CN" w:bidi="ar-SA"/>
        </w:rPr>
      </w:pPr>
      <w:r>
        <w:rPr>
          <w:rFonts w:hint="eastAsia" w:ascii="Times New Roman" w:hAnsi="Times New Roman" w:eastAsia="宋体" w:cs="Times New Roman"/>
          <w:color w:val="000000"/>
          <w:kern w:val="2"/>
          <w:sz w:val="24"/>
          <w:szCs w:val="22"/>
          <w:lang w:val="en-US" w:eastAsia="zh-CN" w:bidi="ar-SA"/>
        </w:rPr>
        <w:t xml:space="preserve">    预算控制金额：4,000,000元</w:t>
      </w:r>
    </w:p>
    <w:p>
      <w:pPr>
        <w:pStyle w:val="16"/>
        <w:ind w:firstLine="480" w:firstLineChars="200"/>
        <w:rPr>
          <w:rFonts w:hint="eastAsia" w:ascii="Times New Roman" w:hAnsi="Times New Roman" w:eastAsia="宋体" w:cs="Times New Roman"/>
          <w:color w:val="000000"/>
          <w:kern w:val="2"/>
          <w:sz w:val="24"/>
          <w:szCs w:val="22"/>
          <w:lang w:val="en-US" w:eastAsia="zh-CN" w:bidi="ar-SA"/>
        </w:rPr>
      </w:pPr>
      <w:r>
        <w:rPr>
          <w:rFonts w:hint="eastAsia" w:ascii="Times New Roman" w:hAnsi="Times New Roman" w:eastAsia="宋体" w:cs="Times New Roman"/>
          <w:color w:val="000000"/>
          <w:kern w:val="2"/>
          <w:sz w:val="24"/>
          <w:szCs w:val="22"/>
          <w:lang w:val="en-US" w:eastAsia="zh-CN" w:bidi="ar-SA"/>
        </w:rPr>
        <w:t>第五包：石景山区财政局财政投资评审中介机构服务5</w:t>
      </w:r>
    </w:p>
    <w:p>
      <w:pPr>
        <w:pStyle w:val="16"/>
        <w:ind w:firstLine="480" w:firstLineChars="200"/>
        <w:rPr>
          <w:rFonts w:hint="eastAsia" w:ascii="Times New Roman" w:hAnsi="Times New Roman" w:eastAsia="宋体" w:cs="Times New Roman"/>
          <w:color w:val="000000"/>
          <w:kern w:val="2"/>
          <w:sz w:val="24"/>
          <w:szCs w:val="22"/>
          <w:lang w:val="en-US" w:eastAsia="zh-CN" w:bidi="ar-SA"/>
        </w:rPr>
      </w:pPr>
      <w:r>
        <w:rPr>
          <w:rFonts w:hint="eastAsia" w:ascii="Times New Roman" w:hAnsi="Times New Roman" w:eastAsia="宋体" w:cs="Times New Roman"/>
          <w:color w:val="000000"/>
          <w:kern w:val="2"/>
          <w:sz w:val="24"/>
          <w:szCs w:val="22"/>
          <w:lang w:val="en-US" w:eastAsia="zh-CN" w:bidi="ar-SA"/>
        </w:rPr>
        <w:t>预算控制金额：4,000,000元</w:t>
      </w:r>
    </w:p>
    <w:p>
      <w:pPr>
        <w:pStyle w:val="16"/>
        <w:ind w:firstLine="480" w:firstLineChars="200"/>
        <w:rPr>
          <w:rFonts w:hint="eastAsia" w:ascii="Times New Roman" w:hAnsi="Times New Roman" w:eastAsia="宋体" w:cs="Times New Roman"/>
          <w:color w:val="000000"/>
          <w:kern w:val="2"/>
          <w:sz w:val="24"/>
          <w:szCs w:val="22"/>
          <w:lang w:val="en-US" w:eastAsia="zh-CN" w:bidi="ar-SA"/>
        </w:rPr>
      </w:pPr>
      <w:r>
        <w:rPr>
          <w:rFonts w:hint="eastAsia" w:ascii="Times New Roman" w:hAnsi="Times New Roman" w:eastAsia="宋体" w:cs="Times New Roman"/>
          <w:color w:val="000000"/>
          <w:kern w:val="2"/>
          <w:sz w:val="24"/>
          <w:szCs w:val="22"/>
          <w:lang w:val="en-US" w:eastAsia="zh-CN" w:bidi="ar-SA"/>
        </w:rPr>
        <w:t>第六包：石景山区财政局财政投资评审中介机构服务6</w:t>
      </w:r>
    </w:p>
    <w:p>
      <w:pPr>
        <w:pStyle w:val="16"/>
        <w:ind w:firstLine="480" w:firstLineChars="200"/>
        <w:rPr>
          <w:rFonts w:hint="eastAsia" w:ascii="Times New Roman" w:hAnsi="Times New Roman" w:eastAsia="宋体" w:cs="Times New Roman"/>
          <w:color w:val="000000"/>
          <w:kern w:val="2"/>
          <w:sz w:val="24"/>
          <w:szCs w:val="22"/>
          <w:lang w:val="en-US" w:eastAsia="zh-CN" w:bidi="ar-SA"/>
        </w:rPr>
      </w:pPr>
      <w:r>
        <w:rPr>
          <w:rFonts w:hint="eastAsia" w:ascii="Times New Roman" w:hAnsi="Times New Roman" w:eastAsia="宋体" w:cs="Times New Roman"/>
          <w:color w:val="000000"/>
          <w:kern w:val="2"/>
          <w:sz w:val="24"/>
          <w:szCs w:val="22"/>
          <w:lang w:val="en-US" w:eastAsia="zh-CN" w:bidi="ar-SA"/>
        </w:rPr>
        <w:t>预算控制金额：1,000,000元</w:t>
      </w:r>
    </w:p>
    <w:p>
      <w:pPr>
        <w:pStyle w:val="16"/>
        <w:ind w:firstLine="480" w:firstLineChars="200"/>
        <w:rPr>
          <w:rFonts w:hint="eastAsia" w:ascii="Times New Roman" w:hAnsi="Times New Roman" w:eastAsia="宋体" w:cs="Times New Roman"/>
          <w:color w:val="000000"/>
          <w:kern w:val="2"/>
          <w:sz w:val="24"/>
          <w:szCs w:val="22"/>
          <w:lang w:val="en-US" w:eastAsia="zh-CN" w:bidi="ar-SA"/>
        </w:rPr>
      </w:pPr>
      <w:r>
        <w:rPr>
          <w:rFonts w:hint="eastAsia" w:ascii="Times New Roman" w:hAnsi="Times New Roman" w:eastAsia="宋体" w:cs="Times New Roman"/>
          <w:color w:val="000000"/>
          <w:kern w:val="2"/>
          <w:sz w:val="24"/>
          <w:szCs w:val="22"/>
          <w:lang w:val="en-US" w:eastAsia="zh-CN" w:bidi="ar-SA"/>
        </w:rPr>
        <w:t>第七包：石景山区财政局财政投资评审中介机构服务7</w:t>
      </w:r>
    </w:p>
    <w:p>
      <w:pPr>
        <w:pStyle w:val="16"/>
        <w:rPr>
          <w:rFonts w:hint="eastAsia" w:ascii="Times New Roman" w:hAnsi="Times New Roman" w:eastAsia="宋体" w:cs="Times New Roman"/>
          <w:color w:val="000000"/>
          <w:kern w:val="2"/>
          <w:sz w:val="24"/>
          <w:szCs w:val="22"/>
          <w:lang w:val="en-US" w:eastAsia="zh-CN" w:bidi="ar-SA"/>
        </w:rPr>
      </w:pPr>
      <w:r>
        <w:rPr>
          <w:rFonts w:hint="eastAsia" w:ascii="Times New Roman" w:hAnsi="Times New Roman" w:eastAsia="宋体" w:cs="Times New Roman"/>
          <w:color w:val="000000"/>
          <w:kern w:val="2"/>
          <w:sz w:val="24"/>
          <w:szCs w:val="22"/>
          <w:lang w:val="en-US" w:eastAsia="zh-CN" w:bidi="ar-SA"/>
        </w:rPr>
        <w:t xml:space="preserve">    预算控制金额：1,000,000元</w:t>
      </w:r>
    </w:p>
    <w:p>
      <w:pPr>
        <w:pStyle w:val="16"/>
        <w:ind w:firstLine="480" w:firstLineChars="200"/>
        <w:rPr>
          <w:rFonts w:hint="eastAsia" w:ascii="Times New Roman" w:hAnsi="Times New Roman" w:eastAsia="宋体" w:cs="Times New Roman"/>
          <w:color w:val="000000"/>
          <w:kern w:val="2"/>
          <w:sz w:val="24"/>
          <w:szCs w:val="22"/>
          <w:lang w:val="en-US" w:eastAsia="zh-CN" w:bidi="ar-SA"/>
        </w:rPr>
      </w:pPr>
      <w:r>
        <w:rPr>
          <w:rFonts w:hint="eastAsia" w:ascii="Times New Roman" w:hAnsi="Times New Roman" w:eastAsia="宋体" w:cs="Times New Roman"/>
          <w:color w:val="000000"/>
          <w:kern w:val="2"/>
          <w:sz w:val="24"/>
          <w:szCs w:val="22"/>
          <w:lang w:val="en-US" w:eastAsia="zh-CN" w:bidi="ar-SA"/>
        </w:rPr>
        <w:t>第八包：石景山区财政局财政投资评审中介机构服务8</w:t>
      </w:r>
    </w:p>
    <w:p>
      <w:pPr>
        <w:pStyle w:val="16"/>
        <w:ind w:firstLine="480" w:firstLineChars="200"/>
        <w:rPr>
          <w:rFonts w:hint="eastAsia" w:ascii="Times New Roman" w:hAnsi="Times New Roman" w:eastAsia="宋体" w:cs="Times New Roman"/>
          <w:color w:val="000000"/>
          <w:kern w:val="2"/>
          <w:sz w:val="24"/>
          <w:szCs w:val="22"/>
          <w:lang w:val="en-US" w:eastAsia="zh-CN" w:bidi="ar-SA"/>
        </w:rPr>
      </w:pPr>
      <w:r>
        <w:rPr>
          <w:rFonts w:hint="eastAsia" w:ascii="Times New Roman" w:hAnsi="Times New Roman" w:eastAsia="宋体" w:cs="Times New Roman"/>
          <w:color w:val="000000"/>
          <w:kern w:val="2"/>
          <w:sz w:val="24"/>
          <w:szCs w:val="22"/>
          <w:lang w:val="en-US" w:eastAsia="zh-CN" w:bidi="ar-SA"/>
        </w:rPr>
        <w:t>预算控制金额：1,000,000元</w:t>
      </w:r>
    </w:p>
    <w:p>
      <w:pPr>
        <w:pStyle w:val="16"/>
        <w:ind w:firstLine="480" w:firstLineChars="200"/>
        <w:rPr>
          <w:rFonts w:hint="eastAsia" w:ascii="Times New Roman" w:hAnsi="Times New Roman" w:eastAsia="宋体" w:cs="Times New Roman"/>
          <w:color w:val="000000"/>
          <w:kern w:val="2"/>
          <w:sz w:val="24"/>
          <w:szCs w:val="22"/>
          <w:lang w:val="en-US" w:eastAsia="zh-CN" w:bidi="ar-SA"/>
        </w:rPr>
      </w:pPr>
      <w:r>
        <w:rPr>
          <w:rFonts w:hint="eastAsia" w:ascii="Times New Roman" w:hAnsi="Times New Roman" w:eastAsia="宋体" w:cs="Times New Roman"/>
          <w:color w:val="000000"/>
          <w:kern w:val="2"/>
          <w:sz w:val="24"/>
          <w:szCs w:val="22"/>
          <w:lang w:val="en-US" w:eastAsia="zh-CN" w:bidi="ar-SA"/>
        </w:rPr>
        <w:t>第九包：石景山区财政局财政投资评审中介机构服务9</w:t>
      </w:r>
    </w:p>
    <w:p>
      <w:pPr>
        <w:pStyle w:val="16"/>
        <w:ind w:firstLine="480" w:firstLineChars="200"/>
        <w:rPr>
          <w:rFonts w:hint="eastAsia" w:ascii="Times New Roman" w:hAnsi="Times New Roman" w:eastAsia="宋体" w:cs="Times New Roman"/>
          <w:color w:val="000000"/>
          <w:kern w:val="2"/>
          <w:sz w:val="24"/>
          <w:szCs w:val="22"/>
          <w:lang w:val="en-US" w:eastAsia="zh-CN" w:bidi="ar-SA"/>
        </w:rPr>
      </w:pPr>
      <w:r>
        <w:rPr>
          <w:rFonts w:hint="eastAsia" w:ascii="Times New Roman" w:hAnsi="Times New Roman" w:eastAsia="宋体" w:cs="Times New Roman"/>
          <w:color w:val="000000"/>
          <w:kern w:val="2"/>
          <w:sz w:val="24"/>
          <w:szCs w:val="22"/>
          <w:lang w:val="en-US" w:eastAsia="zh-CN" w:bidi="ar-SA"/>
        </w:rPr>
        <w:t>预算控制金额：1,000,000元</w:t>
      </w:r>
    </w:p>
    <w:p>
      <w:pPr>
        <w:pStyle w:val="16"/>
        <w:ind w:firstLine="480" w:firstLineChars="200"/>
        <w:rPr>
          <w:rFonts w:hint="eastAsia" w:ascii="Times New Roman" w:hAnsi="Times New Roman" w:eastAsia="宋体" w:cs="Times New Roman"/>
          <w:color w:val="000000"/>
          <w:kern w:val="2"/>
          <w:sz w:val="24"/>
          <w:szCs w:val="22"/>
          <w:lang w:val="en-US" w:eastAsia="zh-CN" w:bidi="ar-SA"/>
        </w:rPr>
      </w:pPr>
      <w:r>
        <w:rPr>
          <w:rFonts w:hint="eastAsia" w:ascii="Times New Roman" w:hAnsi="Times New Roman" w:eastAsia="宋体" w:cs="Times New Roman"/>
          <w:color w:val="000000"/>
          <w:kern w:val="2"/>
          <w:sz w:val="24"/>
          <w:szCs w:val="22"/>
          <w:lang w:val="en-US" w:eastAsia="zh-CN" w:bidi="ar-SA"/>
        </w:rPr>
        <w:t>第十包：石景山区财政局财政投资评审中介机构服务10</w:t>
      </w:r>
    </w:p>
    <w:p>
      <w:pPr>
        <w:pStyle w:val="16"/>
        <w:rPr>
          <w:rFonts w:hint="eastAsia" w:ascii="Times New Roman" w:hAnsi="Times New Roman" w:eastAsia="宋体" w:cs="Times New Roman"/>
          <w:color w:val="000000"/>
          <w:kern w:val="2"/>
          <w:sz w:val="24"/>
          <w:szCs w:val="22"/>
          <w:lang w:val="en-US" w:eastAsia="zh-CN" w:bidi="ar-SA"/>
        </w:rPr>
      </w:pPr>
      <w:r>
        <w:rPr>
          <w:rFonts w:hint="eastAsia" w:ascii="Times New Roman" w:hAnsi="Times New Roman" w:eastAsia="宋体" w:cs="Times New Roman"/>
          <w:color w:val="000000"/>
          <w:kern w:val="2"/>
          <w:sz w:val="24"/>
          <w:szCs w:val="22"/>
          <w:lang w:val="en-US" w:eastAsia="zh-CN" w:bidi="ar-SA"/>
        </w:rPr>
        <w:t xml:space="preserve">    预算控制金额：1,000,000元</w:t>
      </w:r>
    </w:p>
    <w:p>
      <w:pPr>
        <w:pStyle w:val="16"/>
        <w:ind w:firstLine="480" w:firstLineChars="200"/>
        <w:rPr>
          <w:rFonts w:hint="eastAsia" w:ascii="Times New Roman" w:hAnsi="Times New Roman" w:eastAsia="宋体" w:cs="Times New Roman"/>
          <w:color w:val="000000"/>
          <w:kern w:val="2"/>
          <w:sz w:val="24"/>
          <w:szCs w:val="22"/>
          <w:lang w:val="en-US" w:eastAsia="zh-CN" w:bidi="ar-SA"/>
        </w:rPr>
      </w:pPr>
      <w:r>
        <w:rPr>
          <w:rFonts w:hint="eastAsia" w:ascii="Times New Roman" w:hAnsi="Times New Roman" w:eastAsia="宋体" w:cs="Times New Roman"/>
          <w:color w:val="000000"/>
          <w:kern w:val="2"/>
          <w:sz w:val="24"/>
          <w:szCs w:val="22"/>
          <w:lang w:val="en-US" w:eastAsia="zh-CN" w:bidi="ar-SA"/>
        </w:rPr>
        <w:t>第十一包：石景山区财政局财政投资评审中介机构服务11</w:t>
      </w:r>
    </w:p>
    <w:p>
      <w:pPr>
        <w:pStyle w:val="16"/>
        <w:ind w:firstLine="480" w:firstLineChars="200"/>
        <w:rPr>
          <w:rFonts w:hint="eastAsia"/>
          <w:lang w:val="en-US" w:eastAsia="zh-CN"/>
        </w:rPr>
      </w:pPr>
      <w:r>
        <w:rPr>
          <w:rFonts w:hint="eastAsia" w:ascii="Times New Roman" w:hAnsi="Times New Roman" w:eastAsia="宋体" w:cs="Times New Roman"/>
          <w:color w:val="000000"/>
          <w:kern w:val="2"/>
          <w:sz w:val="24"/>
          <w:szCs w:val="22"/>
          <w:lang w:val="en-US" w:eastAsia="zh-CN" w:bidi="ar-SA"/>
        </w:rPr>
        <w:t>预算控制金额：1,000,000元</w:t>
      </w:r>
    </w:p>
    <w:p>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hint="eastAsia" w:ascii="宋体" w:hAnsi="宋体"/>
          <w:color w:val="000000"/>
          <w:sz w:val="24"/>
        </w:rPr>
      </w:pPr>
      <w:r>
        <w:rPr>
          <w:rFonts w:hint="eastAsia" w:ascii="宋体" w:hAnsi="宋体"/>
          <w:color w:val="000000"/>
          <w:sz w:val="24"/>
          <w:lang w:val="en-US" w:eastAsia="zh-CN"/>
        </w:rPr>
        <w:t>2、</w:t>
      </w:r>
      <w:r>
        <w:rPr>
          <w:rFonts w:hint="eastAsia" w:ascii="宋体" w:hAnsi="宋体"/>
          <w:color w:val="000000"/>
          <w:sz w:val="24"/>
          <w:lang w:eastAsia="zh-CN"/>
        </w:rPr>
        <w:t>供应商</w:t>
      </w:r>
      <w:r>
        <w:rPr>
          <w:rFonts w:hint="eastAsia" w:ascii="宋体" w:hAnsi="宋体"/>
          <w:color w:val="000000"/>
          <w:sz w:val="24"/>
        </w:rPr>
        <w:t>资格要求：</w:t>
      </w:r>
    </w:p>
    <w:p>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宋体" w:hAnsi="宋体" w:cs="宋体"/>
          <w:color w:val="000000"/>
          <w:sz w:val="24"/>
        </w:rPr>
      </w:pPr>
      <w:r>
        <w:rPr>
          <w:rFonts w:hint="eastAsia" w:ascii="宋体" w:hAnsi="宋体" w:cs="宋体"/>
          <w:color w:val="000000"/>
          <w:sz w:val="24"/>
        </w:rPr>
        <w:t>（</w:t>
      </w:r>
      <w:r>
        <w:rPr>
          <w:rFonts w:hint="eastAsia" w:ascii="宋体" w:hAnsi="宋体" w:cs="宋体"/>
          <w:color w:val="000000"/>
          <w:sz w:val="24"/>
          <w:lang w:val="en-US" w:eastAsia="zh-CN"/>
        </w:rPr>
        <w:t>1</w:t>
      </w:r>
      <w:r>
        <w:rPr>
          <w:rFonts w:hint="eastAsia" w:ascii="宋体" w:hAnsi="宋体" w:cs="宋体"/>
          <w:color w:val="000000"/>
          <w:sz w:val="24"/>
        </w:rPr>
        <w:t xml:space="preserve">）具有独立承担民事责任的能力； </w:t>
      </w:r>
    </w:p>
    <w:p>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宋体" w:hAnsi="宋体" w:cs="宋体"/>
          <w:color w:val="000000"/>
          <w:sz w:val="24"/>
        </w:rPr>
      </w:pPr>
      <w:r>
        <w:rPr>
          <w:rFonts w:hint="eastAsia" w:ascii="宋体" w:hAnsi="宋体" w:cs="宋体"/>
          <w:color w:val="000000"/>
          <w:sz w:val="24"/>
        </w:rPr>
        <w:t>（</w:t>
      </w:r>
      <w:r>
        <w:rPr>
          <w:rFonts w:hint="eastAsia" w:ascii="宋体" w:hAnsi="宋体" w:cs="宋体"/>
          <w:color w:val="000000"/>
          <w:sz w:val="24"/>
          <w:lang w:val="en-US" w:eastAsia="zh-CN"/>
        </w:rPr>
        <w:t>2</w:t>
      </w:r>
      <w:r>
        <w:rPr>
          <w:rFonts w:hint="eastAsia" w:ascii="宋体" w:hAnsi="宋体" w:cs="宋体"/>
          <w:color w:val="000000"/>
          <w:sz w:val="24"/>
        </w:rPr>
        <w:t xml:space="preserve">）具有良好的商业信誉和健全的财务会计制度； </w:t>
      </w:r>
    </w:p>
    <w:p>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宋体" w:hAnsi="宋体" w:cs="宋体"/>
          <w:color w:val="000000"/>
          <w:sz w:val="24"/>
        </w:rPr>
      </w:pPr>
      <w:r>
        <w:rPr>
          <w:rFonts w:hint="eastAsia" w:ascii="宋体" w:hAnsi="宋体" w:cs="宋体"/>
          <w:color w:val="000000"/>
          <w:sz w:val="24"/>
        </w:rPr>
        <w:t>（</w:t>
      </w:r>
      <w:r>
        <w:rPr>
          <w:rFonts w:hint="eastAsia" w:ascii="宋体" w:hAnsi="宋体" w:cs="宋体"/>
          <w:color w:val="000000"/>
          <w:sz w:val="24"/>
          <w:lang w:val="en-US" w:eastAsia="zh-CN"/>
        </w:rPr>
        <w:t>3</w:t>
      </w:r>
      <w:r>
        <w:rPr>
          <w:rFonts w:hint="eastAsia" w:ascii="宋体" w:hAnsi="宋体" w:cs="宋体"/>
          <w:color w:val="000000"/>
          <w:sz w:val="24"/>
        </w:rPr>
        <w:t xml:space="preserve">）具有履行合同所必需的设备和专业技术能力； </w:t>
      </w:r>
    </w:p>
    <w:p>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宋体" w:hAnsi="宋体" w:cs="宋体"/>
          <w:color w:val="000000"/>
          <w:sz w:val="24"/>
        </w:rPr>
      </w:pPr>
      <w:r>
        <w:rPr>
          <w:rFonts w:hint="eastAsia" w:ascii="宋体" w:hAnsi="宋体" w:cs="宋体"/>
          <w:color w:val="000000"/>
          <w:sz w:val="24"/>
        </w:rPr>
        <w:t>（</w:t>
      </w:r>
      <w:r>
        <w:rPr>
          <w:rFonts w:hint="eastAsia" w:ascii="宋体" w:hAnsi="宋体" w:cs="宋体"/>
          <w:color w:val="000000"/>
          <w:sz w:val="24"/>
          <w:lang w:val="en-US" w:eastAsia="zh-CN"/>
        </w:rPr>
        <w:t>4</w:t>
      </w:r>
      <w:r>
        <w:rPr>
          <w:rFonts w:hint="eastAsia" w:ascii="宋体" w:hAnsi="宋体" w:cs="宋体"/>
          <w:color w:val="000000"/>
          <w:sz w:val="24"/>
        </w:rPr>
        <w:t xml:space="preserve">）有依法缴纳税收和社会保障资金的良好记录； </w:t>
      </w:r>
    </w:p>
    <w:p>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宋体" w:hAnsi="宋体" w:cs="宋体"/>
          <w:color w:val="000000"/>
          <w:sz w:val="24"/>
        </w:rPr>
      </w:pPr>
      <w:r>
        <w:rPr>
          <w:rFonts w:hint="eastAsia" w:ascii="宋体" w:hAnsi="宋体" w:cs="宋体"/>
          <w:color w:val="000000"/>
          <w:sz w:val="24"/>
        </w:rPr>
        <w:t>（</w:t>
      </w:r>
      <w:r>
        <w:rPr>
          <w:rFonts w:hint="eastAsia" w:ascii="宋体" w:hAnsi="宋体" w:cs="宋体"/>
          <w:color w:val="000000"/>
          <w:sz w:val="24"/>
          <w:lang w:val="en-US" w:eastAsia="zh-CN"/>
        </w:rPr>
        <w:t>5</w:t>
      </w:r>
      <w:r>
        <w:rPr>
          <w:rFonts w:hint="eastAsia" w:ascii="宋体" w:hAnsi="宋体" w:cs="宋体"/>
          <w:color w:val="000000"/>
          <w:sz w:val="24"/>
        </w:rPr>
        <w:t xml:space="preserve">）参加政府采购活动前三年内，在经营活动中没有重大违法记录； </w:t>
      </w:r>
    </w:p>
    <w:p>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宋体" w:hAnsi="宋体" w:cs="宋体"/>
          <w:color w:val="000000"/>
          <w:sz w:val="24"/>
        </w:rPr>
      </w:pPr>
      <w:r>
        <w:rPr>
          <w:rFonts w:hint="eastAsia" w:ascii="宋体" w:hAnsi="宋体" w:cs="宋体"/>
          <w:color w:val="000000"/>
          <w:sz w:val="24"/>
        </w:rPr>
        <w:t>（</w:t>
      </w:r>
      <w:r>
        <w:rPr>
          <w:rFonts w:hint="eastAsia" w:ascii="宋体" w:hAnsi="宋体" w:cs="宋体"/>
          <w:color w:val="000000"/>
          <w:sz w:val="24"/>
          <w:lang w:val="en-US" w:eastAsia="zh-CN"/>
        </w:rPr>
        <w:t>6</w:t>
      </w:r>
      <w:r>
        <w:rPr>
          <w:rFonts w:hint="eastAsia" w:ascii="宋体" w:hAnsi="宋体" w:cs="宋体"/>
          <w:color w:val="000000"/>
          <w:sz w:val="24"/>
        </w:rPr>
        <w:t xml:space="preserve">）法律、行政法规规定的其他条件； </w:t>
      </w:r>
    </w:p>
    <w:p>
      <w:pPr>
        <w:keepNext w:val="0"/>
        <w:keepLines w:val="0"/>
        <w:pageBreakBefore w:val="0"/>
        <w:widowControl/>
        <w:kinsoku/>
        <w:wordWrap/>
        <w:overflowPunct/>
        <w:topLinePunct w:val="0"/>
        <w:autoSpaceDE/>
        <w:autoSpaceDN/>
        <w:bidi w:val="0"/>
        <w:adjustRightInd/>
        <w:snapToGrid/>
        <w:spacing w:line="360" w:lineRule="auto"/>
        <w:ind w:left="959" w:leftChars="228" w:right="-168" w:rightChars="-80" w:hanging="480" w:hangingChars="200"/>
        <w:jc w:val="left"/>
        <w:textAlignment w:val="auto"/>
        <w:outlineLvl w:val="9"/>
        <w:rPr>
          <w:rFonts w:hint="eastAsia" w:ascii="宋体" w:hAnsi="宋体"/>
          <w:sz w:val="24"/>
        </w:rPr>
      </w:pPr>
      <w:r>
        <w:rPr>
          <w:rFonts w:hint="eastAsia" w:ascii="宋体" w:hAnsi="宋体" w:cs="宋体"/>
          <w:color w:val="000000"/>
          <w:sz w:val="24"/>
        </w:rPr>
        <w:t>（</w:t>
      </w:r>
      <w:r>
        <w:rPr>
          <w:rFonts w:hint="eastAsia" w:ascii="宋体" w:hAnsi="宋体" w:cs="宋体"/>
          <w:color w:val="000000"/>
          <w:sz w:val="24"/>
          <w:lang w:val="en-US" w:eastAsia="zh-CN"/>
        </w:rPr>
        <w:t>7</w:t>
      </w:r>
      <w:r>
        <w:rPr>
          <w:rFonts w:hint="eastAsia" w:ascii="宋体" w:hAnsi="宋体" w:cs="宋体"/>
          <w:color w:val="000000"/>
          <w:sz w:val="24"/>
        </w:rPr>
        <w:t>）</w:t>
      </w:r>
      <w:r>
        <w:rPr>
          <w:rFonts w:hint="eastAsia" w:ascii="宋体" w:hAnsi="宋体"/>
          <w:sz w:val="24"/>
          <w:lang w:eastAsia="zh-CN"/>
        </w:rPr>
        <w:t>供应商</w:t>
      </w:r>
      <w:r>
        <w:rPr>
          <w:rFonts w:hint="eastAsia" w:ascii="宋体" w:hAnsi="宋体"/>
          <w:sz w:val="24"/>
        </w:rPr>
        <w:t>被信用中国网站（www.creditchina.gov.cn）、中国政府采购网（www.ccgp.gov.cn）列入失信被执行人、重大税收违法案件当事人名单、政府采购严重违法失信行为记录名单的</w:t>
      </w:r>
      <w:r>
        <w:rPr>
          <w:rFonts w:hint="eastAsia" w:ascii="宋体" w:hAnsi="宋体"/>
          <w:sz w:val="24"/>
          <w:lang w:eastAsia="zh-CN"/>
        </w:rPr>
        <w:t>供应商</w:t>
      </w:r>
      <w:r>
        <w:rPr>
          <w:rFonts w:hint="eastAsia" w:ascii="宋体" w:hAnsi="宋体"/>
          <w:sz w:val="24"/>
        </w:rPr>
        <w:t>，不得参与本项目的政府采购活动；</w:t>
      </w:r>
    </w:p>
    <w:p>
      <w:pPr>
        <w:pStyle w:val="2"/>
        <w:rPr>
          <w:rFonts w:hint="eastAsia"/>
          <w:color w:val="auto"/>
          <w:lang w:val="en-US" w:eastAsia="zh-CN"/>
        </w:rPr>
      </w:pPr>
      <w:r>
        <w:rPr>
          <w:rFonts w:hint="eastAsia" w:hAnsi="宋体" w:cs="宋体"/>
          <w:color w:val="000000"/>
          <w:sz w:val="24"/>
          <w:lang w:eastAsia="zh-CN"/>
        </w:rPr>
        <w:t>（</w:t>
      </w:r>
      <w:r>
        <w:rPr>
          <w:rFonts w:hint="eastAsia" w:hAnsi="宋体" w:cs="宋体"/>
          <w:color w:val="000000"/>
          <w:sz w:val="24"/>
          <w:lang w:val="en-US" w:eastAsia="zh-CN"/>
        </w:rPr>
        <w:t>8</w:t>
      </w:r>
      <w:r>
        <w:rPr>
          <w:rFonts w:hint="eastAsia" w:hAnsi="宋体" w:cs="宋体"/>
          <w:color w:val="000000"/>
          <w:sz w:val="24"/>
          <w:lang w:eastAsia="zh-CN"/>
        </w:rPr>
        <w:t>）</w:t>
      </w:r>
      <w:r>
        <w:rPr>
          <w:rFonts w:hint="eastAsia" w:ascii="宋体" w:hAnsi="宋体" w:cs="宋体"/>
          <w:color w:val="000000"/>
          <w:sz w:val="24"/>
        </w:rPr>
        <w:t>本次</w:t>
      </w:r>
      <w:r>
        <w:rPr>
          <w:rFonts w:hint="eastAsia" w:ascii="宋体" w:hAnsi="宋体" w:cs="宋体"/>
          <w:color w:val="000000"/>
          <w:sz w:val="24"/>
          <w:lang w:eastAsia="zh-CN"/>
        </w:rPr>
        <w:t>竞争性磋商</w:t>
      </w:r>
      <w:r>
        <w:rPr>
          <w:rFonts w:hint="eastAsia" w:ascii="宋体" w:hAnsi="宋体" w:cs="宋体"/>
          <w:color w:val="000000"/>
          <w:sz w:val="24"/>
        </w:rPr>
        <w:t>不接受联合体</w:t>
      </w:r>
      <w:r>
        <w:rPr>
          <w:rFonts w:hint="eastAsia"/>
          <w:color w:val="auto"/>
          <w:lang w:val="en-US" w:eastAsia="zh-CN"/>
        </w:rPr>
        <w:t>；</w:t>
      </w:r>
    </w:p>
    <w:p>
      <w:pPr>
        <w:pStyle w:val="2"/>
        <w:rPr>
          <w:rFonts w:hint="eastAsia" w:ascii="宋体" w:hAnsi="宋体" w:eastAsia="宋体" w:cs="宋体"/>
          <w:color w:val="auto"/>
          <w:sz w:val="24"/>
          <w:highlight w:val="none"/>
          <w:lang w:val="en-US" w:eastAsia="zh-CN"/>
        </w:rPr>
      </w:pPr>
      <w:r>
        <w:rPr>
          <w:rFonts w:hint="eastAsia"/>
          <w:color w:val="auto"/>
          <w:lang w:val="en-US" w:eastAsia="zh-CN"/>
        </w:rPr>
        <w:t>（9）</w:t>
      </w:r>
      <w:r>
        <w:rPr>
          <w:rFonts w:hint="eastAsia" w:ascii="宋体" w:hAnsi="宋体" w:eastAsia="宋体" w:cs="宋体"/>
          <w:color w:val="auto"/>
          <w:sz w:val="24"/>
          <w:lang w:val="en-US" w:eastAsia="zh-CN"/>
        </w:rPr>
        <w:t>本项目</w:t>
      </w:r>
      <w:r>
        <w:rPr>
          <w:rFonts w:hint="eastAsia" w:hAnsi="宋体" w:cs="宋体"/>
          <w:color w:val="auto"/>
          <w:sz w:val="24"/>
          <w:lang w:val="en-US" w:eastAsia="zh-CN"/>
        </w:rPr>
        <w:t>第五包至第十一包</w:t>
      </w:r>
      <w:r>
        <w:rPr>
          <w:rFonts w:hint="eastAsia" w:ascii="宋体" w:hAnsi="宋体" w:eastAsia="宋体" w:cs="宋体"/>
          <w:color w:val="auto"/>
          <w:sz w:val="24"/>
          <w:lang w:val="en-US" w:eastAsia="zh-CN"/>
        </w:rPr>
        <w:t>为专门面向中小企业采购</w:t>
      </w:r>
      <w:r>
        <w:rPr>
          <w:rFonts w:hint="eastAsia" w:hAnsi="宋体" w:cs="宋体"/>
          <w:color w:val="auto"/>
          <w:sz w:val="24"/>
          <w:lang w:val="en-US" w:eastAsia="zh-CN"/>
        </w:rPr>
        <w:t>、</w:t>
      </w:r>
      <w:r>
        <w:rPr>
          <w:rFonts w:hint="eastAsia" w:ascii="宋体" w:hAnsi="宋体" w:eastAsia="宋体" w:cs="宋体"/>
          <w:color w:val="auto"/>
          <w:sz w:val="24"/>
          <w:lang w:val="en-US" w:eastAsia="zh-CN"/>
        </w:rPr>
        <w:t>本项目</w:t>
      </w:r>
      <w:r>
        <w:rPr>
          <w:rFonts w:hint="eastAsia" w:hAnsi="宋体" w:cs="宋体"/>
          <w:color w:val="auto"/>
          <w:sz w:val="24"/>
          <w:lang w:val="en-US" w:eastAsia="zh-CN"/>
        </w:rPr>
        <w:t>第一包至第四包</w:t>
      </w:r>
      <w:r>
        <w:rPr>
          <w:rFonts w:hint="eastAsia" w:ascii="宋体" w:hAnsi="宋体" w:eastAsia="宋体" w:cs="宋体"/>
          <w:color w:val="auto"/>
          <w:sz w:val="24"/>
          <w:lang w:val="en-US" w:eastAsia="zh-CN"/>
        </w:rPr>
        <w:t>为</w:t>
      </w:r>
      <w:r>
        <w:rPr>
          <w:rFonts w:hint="eastAsia" w:hAnsi="宋体" w:cs="宋体"/>
          <w:color w:val="auto"/>
          <w:sz w:val="24"/>
          <w:lang w:val="en-US" w:eastAsia="zh-CN"/>
        </w:rPr>
        <w:t>非</w:t>
      </w:r>
      <w:bookmarkStart w:id="74" w:name="_GoBack"/>
      <w:bookmarkEnd w:id="74"/>
      <w:r>
        <w:rPr>
          <w:rFonts w:hint="eastAsia" w:ascii="宋体" w:hAnsi="宋体" w:eastAsia="宋体" w:cs="宋体"/>
          <w:color w:val="auto"/>
          <w:sz w:val="24"/>
          <w:lang w:val="en-US" w:eastAsia="zh-CN"/>
        </w:rPr>
        <w:t>专门面向中小企业采购</w:t>
      </w:r>
      <w:r>
        <w:rPr>
          <w:rFonts w:hint="eastAsia" w:hAnsi="宋体" w:cs="宋体"/>
          <w:color w:val="auto"/>
          <w:sz w:val="24"/>
          <w:lang w:val="en-US" w:eastAsia="zh-CN"/>
        </w:rPr>
        <w:t>：</w:t>
      </w:r>
      <w:r>
        <w:rPr>
          <w:rFonts w:hint="eastAsia" w:hAnsi="宋体" w:cs="宋体"/>
          <w:color w:val="auto"/>
          <w:sz w:val="24"/>
          <w:highlight w:val="none"/>
          <w:lang w:val="en-US" w:eastAsia="zh-CN"/>
        </w:rPr>
        <w:t>本次项目为部分专门面向中小企业采购，预留给中小企业1000万元，预留给小微企业600万元。</w:t>
      </w:r>
    </w:p>
    <w:p>
      <w:pPr>
        <w:widowControl/>
        <w:spacing w:line="360" w:lineRule="auto"/>
        <w:ind w:right="-317" w:rightChars="-151"/>
        <w:rPr>
          <w:rFonts w:hint="eastAsia" w:ascii="宋体" w:hAnsi="宋体" w:eastAsia="宋体" w:cs="宋体"/>
          <w:color w:val="auto"/>
          <w:sz w:val="24"/>
          <w:highlight w:val="none"/>
        </w:rPr>
      </w:pPr>
      <w:r>
        <w:rPr>
          <w:rFonts w:hint="eastAsia" w:ascii="宋体" w:hAnsi="宋体"/>
          <w:b/>
          <w:sz w:val="24"/>
          <w:szCs w:val="24"/>
          <w:lang w:eastAsia="zh-CN"/>
        </w:rPr>
        <w:t>十、</w:t>
      </w:r>
      <w:r>
        <w:rPr>
          <w:rFonts w:ascii="宋体" w:hAnsi="宋体"/>
          <w:b/>
          <w:sz w:val="24"/>
          <w:szCs w:val="24"/>
        </w:rPr>
        <w:t>竞争性磋商文件</w:t>
      </w:r>
      <w:r>
        <w:rPr>
          <w:rFonts w:hint="eastAsia" w:ascii="宋体" w:hAnsi="宋体" w:cs="宋体"/>
          <w:b/>
          <w:sz w:val="24"/>
        </w:rPr>
        <w:t>获得方式：</w:t>
      </w:r>
      <w:r>
        <w:rPr>
          <w:rFonts w:hint="eastAsia" w:ascii="宋体" w:hAnsi="宋体" w:cs="宋体"/>
          <w:b/>
          <w:sz w:val="24"/>
          <w:lang w:eastAsia="zh-CN"/>
        </w:rPr>
        <w:t>（</w:t>
      </w:r>
      <w:r>
        <w:rPr>
          <w:rStyle w:val="49"/>
          <w:rFonts w:hint="eastAsia" w:ascii="宋体" w:hAnsi="宋体" w:eastAsia="宋体" w:cs="宋体"/>
          <w:sz w:val="24"/>
          <w:shd w:val="clear" w:color="auto" w:fill="FFFFFF"/>
        </w:rPr>
        <w:t>免费下载</w:t>
      </w:r>
      <w:r>
        <w:rPr>
          <w:rFonts w:hint="eastAsia" w:ascii="宋体" w:hAnsi="宋体" w:cs="宋体"/>
          <w:b/>
          <w:sz w:val="24"/>
          <w:lang w:eastAsia="zh-CN"/>
        </w:rPr>
        <w:t>）</w:t>
      </w:r>
      <w:r>
        <w:rPr>
          <w:rFonts w:hint="eastAsia" w:ascii="宋体" w:hAnsi="宋体" w:eastAsia="宋体" w:cs="宋体"/>
          <w:sz w:val="24"/>
        </w:rPr>
        <w:br w:type="textWrapping"/>
      </w:r>
      <w:r>
        <w:rPr>
          <w:rFonts w:hint="eastAsia" w:ascii="宋体" w:hAnsi="宋体" w:eastAsia="宋体" w:cs="宋体"/>
          <w:color w:val="auto"/>
          <w:sz w:val="24"/>
          <w:highlight w:val="none"/>
        </w:rPr>
        <w:t>时间：202</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12</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日至202</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12</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12</w:t>
      </w:r>
      <w:r>
        <w:rPr>
          <w:rFonts w:hint="eastAsia" w:ascii="宋体" w:hAnsi="宋体" w:eastAsia="宋体" w:cs="宋体"/>
          <w:color w:val="auto"/>
          <w:sz w:val="24"/>
          <w:highlight w:val="none"/>
        </w:rPr>
        <w:t>日</w:t>
      </w:r>
    </w:p>
    <w:p>
      <w:pPr>
        <w:widowControl/>
        <w:spacing w:line="360" w:lineRule="auto"/>
        <w:rPr>
          <w:rFonts w:hint="eastAsia" w:ascii="宋体" w:hAnsi="宋体" w:eastAsia="宋体" w:cs="宋体"/>
          <w:color w:val="0000FF"/>
          <w:sz w:val="24"/>
        </w:rPr>
      </w:pPr>
      <w:r>
        <w:rPr>
          <w:rFonts w:hint="eastAsia" w:ascii="宋体" w:hAnsi="宋体" w:eastAsia="宋体" w:cs="宋体"/>
          <w:color w:val="auto"/>
          <w:sz w:val="24"/>
        </w:rPr>
        <w:t>售价及获取方式：免费下载</w:t>
      </w:r>
      <w:r>
        <w:rPr>
          <w:rFonts w:hint="eastAsia" w:ascii="宋体" w:hAnsi="宋体" w:eastAsia="宋体" w:cs="宋体"/>
          <w:color w:val="auto"/>
          <w:sz w:val="24"/>
          <w:lang w:eastAsia="zh-CN"/>
        </w:rPr>
        <w:t>，供应商使用 CA 数字证书或电子营业执照登录北京市政府采购电子交易平台获取电子招标文件</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jc w:val="left"/>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（1）办理CA认证证书或电子营业执照：登录北京市政府采购电子交易平台（</w:t>
      </w:r>
      <w:r>
        <w:rPr>
          <w:rFonts w:hint="eastAsia" w:ascii="宋体" w:hAnsi="宋体" w:eastAsia="宋体" w:cs="宋体"/>
          <w:sz w:val="24"/>
        </w:rPr>
        <w:t>http://zbcg-bjzc.zhongcy.com/bjczj-portal-site/index.html#/home</w:t>
      </w:r>
      <w:r>
        <w:rPr>
          <w:rFonts w:hint="eastAsia" w:ascii="宋体" w:hAnsi="宋体" w:eastAsia="宋体" w:cs="宋体"/>
          <w:b w:val="0"/>
          <w:bCs w:val="0"/>
          <w:sz w:val="24"/>
          <w:szCs w:val="24"/>
          <w:lang w:val="en-US" w:eastAsia="zh-CN"/>
        </w:rPr>
        <w:t>）查阅 “用户指南”—“操作指南”—“市场主体CA办理操作流程指引”，或“电子营业执照使用指南”，按照程序要求办理。</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lang w:val="en-US" w:eastAsia="zh-CN"/>
        </w:rPr>
        <w:t>2</w:t>
      </w:r>
      <w:r>
        <w:rPr>
          <w:rFonts w:hint="eastAsia" w:ascii="宋体" w:hAnsi="宋体" w:eastAsia="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rPr>
        <w:t>证书驱动下载：北京市政府采购电子交易平台“用户指南”—“工具下载”—“招标采购系统文件驱动安装包”</w:t>
      </w:r>
      <w:r>
        <w:rPr>
          <w:rFonts w:hint="eastAsia" w:ascii="宋体" w:hAnsi="宋体" w:eastAsia="宋体" w:cs="宋体"/>
          <w:b w:val="0"/>
          <w:i w:val="0"/>
          <w:caps w:val="0"/>
          <w:color w:val="000000"/>
          <w:spacing w:val="0"/>
          <w:sz w:val="24"/>
          <w:szCs w:val="24"/>
          <w:lang w:eastAsia="zh-CN"/>
        </w:rPr>
        <w:t>或“电子营业执照驱动程序安装包”</w:t>
      </w:r>
      <w:r>
        <w:rPr>
          <w:rFonts w:hint="eastAsia" w:ascii="宋体" w:hAnsi="宋体" w:eastAsia="宋体" w:cs="宋体"/>
          <w:b w:val="0"/>
          <w:i w:val="0"/>
          <w:caps w:val="0"/>
          <w:color w:val="000000"/>
          <w:spacing w:val="0"/>
          <w:sz w:val="24"/>
          <w:szCs w:val="24"/>
        </w:rPr>
        <w:t>下载相关驱动。</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i w:val="0"/>
          <w:caps w:val="0"/>
          <w:color w:val="000000"/>
          <w:spacing w:val="0"/>
          <w:sz w:val="24"/>
          <w:szCs w:val="24"/>
        </w:rPr>
      </w:pPr>
      <w:r>
        <w:rPr>
          <w:rFonts w:hint="eastAsia" w:ascii="宋体" w:hAnsi="宋体" w:eastAsia="宋体" w:cs="宋体"/>
          <w:b w:val="0"/>
          <w:bCs w:val="0"/>
          <w:sz w:val="24"/>
          <w:szCs w:val="24"/>
          <w:lang w:val="en-US" w:eastAsia="zh-CN"/>
        </w:rPr>
        <w:t>（3）投标人</w:t>
      </w:r>
      <w:r>
        <w:rPr>
          <w:rFonts w:hint="eastAsia" w:ascii="宋体" w:hAnsi="宋体" w:eastAsia="宋体" w:cs="宋体"/>
          <w:b w:val="0"/>
          <w:i w:val="0"/>
          <w:caps w:val="0"/>
          <w:color w:val="000000"/>
          <w:spacing w:val="0"/>
          <w:sz w:val="24"/>
          <w:szCs w:val="24"/>
        </w:rPr>
        <w:t>持</w:t>
      </w:r>
      <w:r>
        <w:rPr>
          <w:rFonts w:hint="eastAsia" w:ascii="宋体" w:hAnsi="宋体" w:eastAsia="宋体" w:cs="宋体"/>
          <w:b w:val="0"/>
          <w:i w:val="0"/>
          <w:caps w:val="0"/>
          <w:color w:val="000000"/>
          <w:spacing w:val="0"/>
          <w:sz w:val="24"/>
          <w:szCs w:val="24"/>
          <w:lang w:val="en-US"/>
        </w:rPr>
        <w:t>CA</w:t>
      </w:r>
      <w:r>
        <w:rPr>
          <w:rFonts w:hint="eastAsia" w:ascii="宋体" w:hAnsi="宋体" w:eastAsia="宋体" w:cs="宋体"/>
          <w:b w:val="0"/>
          <w:i w:val="0"/>
          <w:caps w:val="0"/>
          <w:color w:val="000000"/>
          <w:spacing w:val="0"/>
          <w:sz w:val="24"/>
          <w:szCs w:val="24"/>
        </w:rPr>
        <w:t>数字证书</w:t>
      </w:r>
      <w:r>
        <w:rPr>
          <w:rFonts w:hint="eastAsia" w:ascii="宋体" w:hAnsi="宋体" w:eastAsia="宋体" w:cs="宋体"/>
          <w:b w:val="0"/>
          <w:i w:val="0"/>
          <w:caps w:val="0"/>
          <w:color w:val="000000"/>
          <w:spacing w:val="0"/>
          <w:sz w:val="24"/>
          <w:szCs w:val="24"/>
          <w:lang w:eastAsia="zh-CN"/>
        </w:rPr>
        <w:t>或电子营业执照</w:t>
      </w:r>
      <w:r>
        <w:rPr>
          <w:rFonts w:hint="eastAsia" w:ascii="宋体" w:hAnsi="宋体" w:eastAsia="宋体" w:cs="宋体"/>
          <w:b w:val="0"/>
          <w:bCs w:val="0"/>
          <w:sz w:val="24"/>
          <w:szCs w:val="24"/>
          <w:lang w:val="en-US" w:eastAsia="zh-CN"/>
        </w:rPr>
        <w:t>按照</w:t>
      </w:r>
      <w:r>
        <w:rPr>
          <w:rFonts w:hint="eastAsia"/>
          <w:sz w:val="24"/>
          <w:szCs w:val="24"/>
        </w:rPr>
        <w:t>北京市政府采购电子交易平台“用户指南”—“操作指南”—“市场主体注册入库操作流程指引”</w:t>
      </w:r>
      <w:r>
        <w:rPr>
          <w:rFonts w:hint="eastAsia"/>
          <w:sz w:val="24"/>
          <w:szCs w:val="24"/>
          <w:lang w:eastAsia="zh-CN"/>
        </w:rPr>
        <w:t>或“电子营业执照使用指南”</w:t>
      </w:r>
      <w:r>
        <w:rPr>
          <w:rFonts w:hint="eastAsia"/>
          <w:sz w:val="24"/>
          <w:szCs w:val="24"/>
        </w:rPr>
        <w:t>进行自助注册绑定</w:t>
      </w:r>
      <w:r>
        <w:rPr>
          <w:rFonts w:hint="eastAsia"/>
          <w:sz w:val="24"/>
          <w:szCs w:val="24"/>
          <w:lang w:eastAsia="zh-CN"/>
        </w:rPr>
        <w:t>，注册完成后</w:t>
      </w:r>
      <w:r>
        <w:rPr>
          <w:rFonts w:hint="eastAsia" w:ascii="宋体" w:hAnsi="宋体" w:eastAsia="宋体" w:cs="宋体"/>
          <w:b w:val="0"/>
          <w:i w:val="0"/>
          <w:caps w:val="0"/>
          <w:color w:val="000000"/>
          <w:spacing w:val="0"/>
          <w:sz w:val="24"/>
          <w:szCs w:val="24"/>
        </w:rPr>
        <w:t>登录北京市政府采购电子交易平台免费获取电子版招标文件。</w:t>
      </w:r>
    </w:p>
    <w:p>
      <w:pPr>
        <w:widowControl/>
        <w:spacing w:line="360" w:lineRule="auto"/>
        <w:ind w:left="0" w:leftChars="0" w:firstLine="249" w:firstLineChars="104"/>
        <w:rPr>
          <w:rFonts w:hint="eastAsia" w:ascii="宋体" w:hAnsi="宋体" w:eastAsia="宋体" w:cs="宋体"/>
          <w:b w:val="0"/>
          <w:i w:val="0"/>
          <w:caps w:val="0"/>
          <w:color w:val="000000"/>
          <w:spacing w:val="0"/>
          <w:sz w:val="24"/>
          <w:szCs w:val="24"/>
        </w:rPr>
      </w:pPr>
      <w:r>
        <w:rPr>
          <w:rFonts w:hint="eastAsia" w:ascii="宋体" w:hAnsi="宋体" w:eastAsia="宋体" w:cs="宋体"/>
          <w:b w:val="0"/>
          <w:i w:val="0"/>
          <w:caps w:val="0"/>
          <w:color w:val="000000"/>
          <w:spacing w:val="0"/>
          <w:sz w:val="24"/>
          <w:szCs w:val="24"/>
        </w:rPr>
        <w:t>注：请投标人认真学习北京市政府采购电子交易平台发布的相关操作手册（供应商可在交易平台下载相关手册），办理 CA 数字证书或电子营业执照、进行北京市政府采购电子交易平台注册绑定，认真核实</w:t>
      </w:r>
      <w:r>
        <w:rPr>
          <w:rFonts w:hint="eastAsia" w:ascii="宋体" w:hAnsi="宋体" w:eastAsia="宋体" w:cs="宋体"/>
          <w:b w:val="0"/>
          <w:i w:val="0"/>
          <w:caps w:val="0"/>
          <w:color w:val="000000"/>
          <w:spacing w:val="0"/>
          <w:sz w:val="24"/>
          <w:szCs w:val="24"/>
          <w:lang w:val="en-US" w:eastAsia="zh-CN"/>
        </w:rPr>
        <w:t>CA</w:t>
      </w:r>
      <w:r>
        <w:rPr>
          <w:rFonts w:hint="eastAsia" w:ascii="宋体" w:hAnsi="宋体" w:eastAsia="宋体" w:cs="宋体"/>
          <w:b w:val="0"/>
          <w:i w:val="0"/>
          <w:caps w:val="0"/>
          <w:color w:val="000000"/>
          <w:spacing w:val="0"/>
          <w:sz w:val="24"/>
          <w:szCs w:val="24"/>
        </w:rPr>
        <w:t>数字证书</w:t>
      </w:r>
      <w:r>
        <w:rPr>
          <w:rFonts w:hint="eastAsia" w:ascii="宋体" w:hAnsi="宋体" w:eastAsia="宋体" w:cs="宋体"/>
          <w:b w:val="0"/>
          <w:i w:val="0"/>
          <w:caps w:val="0"/>
          <w:color w:val="000000"/>
          <w:spacing w:val="0"/>
          <w:sz w:val="24"/>
          <w:szCs w:val="24"/>
          <w:lang w:eastAsia="zh-CN"/>
        </w:rPr>
        <w:t>或电子营业执照</w:t>
      </w:r>
      <w:r>
        <w:rPr>
          <w:rFonts w:hint="eastAsia" w:ascii="宋体" w:hAnsi="宋体" w:eastAsia="宋体" w:cs="宋体"/>
          <w:b w:val="0"/>
          <w:i w:val="0"/>
          <w:caps w:val="0"/>
          <w:color w:val="000000"/>
          <w:spacing w:val="0"/>
          <w:sz w:val="24"/>
          <w:szCs w:val="24"/>
        </w:rPr>
        <w:t>情况确认是否符合本项目电子投标要求</w:t>
      </w:r>
      <w:r>
        <w:rPr>
          <w:rFonts w:hint="eastAsia" w:ascii="宋体" w:hAnsi="宋体" w:eastAsia="宋体" w:cs="宋体"/>
          <w:b w:val="0"/>
          <w:i w:val="0"/>
          <w:caps w:val="0"/>
          <w:color w:val="000000"/>
          <w:spacing w:val="0"/>
          <w:sz w:val="24"/>
          <w:szCs w:val="24"/>
          <w:lang w:val="en-US" w:eastAsia="zh-CN"/>
        </w:rPr>
        <w:t>,并</w:t>
      </w:r>
      <w:r>
        <w:rPr>
          <w:rFonts w:hint="eastAsia" w:ascii="宋体" w:hAnsi="宋体" w:eastAsia="宋体" w:cs="宋体"/>
          <w:b w:val="0"/>
          <w:i w:val="0"/>
          <w:caps w:val="0"/>
          <w:color w:val="000000"/>
          <w:spacing w:val="0"/>
          <w:sz w:val="24"/>
          <w:szCs w:val="24"/>
        </w:rPr>
        <w:t>按上述获取方式和期限下载招标文件。</w:t>
      </w:r>
    </w:p>
    <w:p>
      <w:pPr>
        <w:pStyle w:val="59"/>
        <w:ind w:firstLine="480" w:firstLineChars="200"/>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rPr>
        <w:t>CA</w:t>
      </w:r>
      <w:r>
        <w:rPr>
          <w:rFonts w:hint="eastAsia" w:ascii="宋体" w:hAnsi="宋体" w:eastAsia="宋体" w:cs="宋体"/>
          <w:b w:val="0"/>
          <w:i w:val="0"/>
          <w:caps w:val="0"/>
          <w:color w:val="000000"/>
          <w:spacing w:val="0"/>
          <w:sz w:val="24"/>
          <w:szCs w:val="24"/>
        </w:rPr>
        <w:t>数字证书服务热线</w:t>
      </w:r>
      <w:r>
        <w:rPr>
          <w:rFonts w:hint="eastAsia" w:ascii="宋体" w:hAnsi="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lang w:val="en-US"/>
        </w:rPr>
        <w:t>010-58511086</w:t>
      </w:r>
    </w:p>
    <w:p>
      <w:pPr>
        <w:pStyle w:val="59"/>
        <w:ind w:firstLine="480" w:firstLineChars="200"/>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eastAsia="zh-CN"/>
        </w:rPr>
        <w:t xml:space="preserve">电子营业执照服务热线 </w:t>
      </w:r>
      <w:r>
        <w:rPr>
          <w:rFonts w:hint="eastAsia" w:ascii="宋体" w:hAnsi="宋体" w:cs="宋体"/>
          <w:b w:val="0"/>
          <w:i w:val="0"/>
          <w:caps w:val="0"/>
          <w:color w:val="000000"/>
          <w:spacing w:val="0"/>
          <w:sz w:val="24"/>
          <w:szCs w:val="24"/>
          <w:lang w:val="en-US" w:eastAsia="zh-CN"/>
        </w:rPr>
        <w:t>：</w:t>
      </w:r>
      <w:r>
        <w:rPr>
          <w:rFonts w:hint="eastAsia" w:ascii="宋体" w:hAnsi="宋体" w:eastAsia="宋体" w:cs="宋体"/>
          <w:b w:val="0"/>
          <w:i w:val="0"/>
          <w:caps w:val="0"/>
          <w:color w:val="000000"/>
          <w:spacing w:val="0"/>
          <w:sz w:val="24"/>
          <w:szCs w:val="24"/>
          <w:lang w:val="en-US" w:eastAsia="zh-CN"/>
        </w:rPr>
        <w:t>400-699-7000</w:t>
      </w:r>
    </w:p>
    <w:p>
      <w:pPr>
        <w:pStyle w:val="59"/>
        <w:ind w:firstLine="480" w:firstLineChars="200"/>
        <w:rPr>
          <w:rFonts w:hint="eastAsia"/>
        </w:rPr>
      </w:pPr>
      <w:r>
        <w:rPr>
          <w:rFonts w:hint="eastAsia" w:ascii="宋体" w:hAnsi="宋体" w:eastAsia="宋体" w:cs="宋体"/>
          <w:b w:val="0"/>
          <w:i w:val="0"/>
          <w:caps w:val="0"/>
          <w:color w:val="000000"/>
          <w:spacing w:val="0"/>
          <w:sz w:val="24"/>
          <w:szCs w:val="24"/>
          <w:lang w:val="en-US" w:eastAsia="zh-CN"/>
        </w:rPr>
        <w:t>平台技术支持服务热线</w:t>
      </w:r>
      <w:r>
        <w:rPr>
          <w:rFonts w:hint="eastAsia" w:ascii="宋体" w:hAnsi="宋体" w:cs="宋体"/>
          <w:b w:val="0"/>
          <w:i w:val="0"/>
          <w:caps w:val="0"/>
          <w:color w:val="000000"/>
          <w:spacing w:val="0"/>
          <w:sz w:val="24"/>
          <w:szCs w:val="24"/>
          <w:lang w:val="en-US" w:eastAsia="zh-CN"/>
        </w:rPr>
        <w:t>：</w:t>
      </w:r>
      <w:r>
        <w:rPr>
          <w:rFonts w:hint="eastAsia" w:ascii="宋体" w:hAnsi="宋体" w:eastAsia="宋体" w:cs="宋体"/>
          <w:b w:val="0"/>
          <w:i w:val="0"/>
          <w:caps w:val="0"/>
          <w:color w:val="000000"/>
          <w:spacing w:val="0"/>
          <w:sz w:val="24"/>
          <w:szCs w:val="24"/>
          <w:lang w:val="en-US" w:eastAsia="zh-CN"/>
        </w:rPr>
        <w:t>010-86483801</w:t>
      </w:r>
    </w:p>
    <w:p>
      <w:pPr>
        <w:keepNext w:val="0"/>
        <w:keepLines w:val="0"/>
        <w:pageBreakBefore w:val="0"/>
        <w:numPr>
          <w:ilvl w:val="0"/>
          <w:numId w:val="0"/>
        </w:numPr>
        <w:kinsoku/>
        <w:wordWrap/>
        <w:overflowPunct/>
        <w:topLinePunct w:val="0"/>
        <w:autoSpaceDE/>
        <w:autoSpaceDN/>
        <w:bidi w:val="0"/>
        <w:adjustRightInd/>
        <w:snapToGrid/>
        <w:spacing w:before="120" w:beforeLines="50" w:after="120" w:afterLines="50" w:line="360" w:lineRule="auto"/>
        <w:ind w:leftChars="0" w:right="0" w:rightChars="0"/>
        <w:jc w:val="both"/>
        <w:textAlignment w:val="auto"/>
        <w:outlineLvl w:val="9"/>
        <w:rPr>
          <w:rFonts w:ascii="宋体" w:hAnsi="宋体"/>
          <w:b/>
          <w:color w:val="auto"/>
          <w:sz w:val="24"/>
          <w:szCs w:val="24"/>
        </w:rPr>
      </w:pPr>
      <w:r>
        <w:rPr>
          <w:rFonts w:hint="eastAsia" w:ascii="宋体" w:hAnsi="宋体"/>
          <w:b/>
          <w:sz w:val="24"/>
          <w:szCs w:val="24"/>
          <w:lang w:eastAsia="zh-CN"/>
        </w:rPr>
        <w:t>十一、竞争性磋商文</w:t>
      </w:r>
      <w:r>
        <w:rPr>
          <w:rFonts w:hint="eastAsia" w:ascii="宋体" w:hAnsi="宋体"/>
          <w:b/>
          <w:color w:val="auto"/>
          <w:sz w:val="24"/>
          <w:szCs w:val="24"/>
          <w:lang w:eastAsia="zh-CN"/>
        </w:rPr>
        <w:t>件</w:t>
      </w:r>
      <w:r>
        <w:rPr>
          <w:rFonts w:hint="eastAsia" w:ascii="宋体" w:hAnsi="宋体"/>
          <w:b/>
          <w:color w:val="auto"/>
          <w:sz w:val="24"/>
          <w:szCs w:val="24"/>
        </w:rPr>
        <w:t>答疑</w:t>
      </w:r>
    </w:p>
    <w:p>
      <w:pPr>
        <w:keepNext w:val="0"/>
        <w:keepLines w:val="0"/>
        <w:pageBreakBefore w:val="0"/>
        <w:kinsoku/>
        <w:wordWrap/>
        <w:overflowPunct/>
        <w:topLinePunct w:val="0"/>
        <w:autoSpaceDE/>
        <w:autoSpaceDN/>
        <w:bidi w:val="0"/>
        <w:adjustRightInd/>
        <w:snapToGrid/>
        <w:spacing w:line="360" w:lineRule="auto"/>
        <w:ind w:right="0" w:rightChars="0" w:firstLine="360" w:firstLineChars="150"/>
        <w:jc w:val="both"/>
        <w:textAlignment w:val="auto"/>
        <w:outlineLvl w:val="9"/>
        <w:rPr>
          <w:rFonts w:ascii="宋体" w:hAnsi="宋体"/>
          <w:sz w:val="24"/>
          <w:szCs w:val="24"/>
        </w:rPr>
      </w:pPr>
      <w:r>
        <w:rPr>
          <w:rFonts w:hint="eastAsia" w:ascii="宋体" w:hAnsi="宋体"/>
          <w:color w:val="auto"/>
          <w:sz w:val="24"/>
          <w:szCs w:val="24"/>
        </w:rPr>
        <w:t>（1）答疑时</w:t>
      </w:r>
      <w:r>
        <w:rPr>
          <w:rFonts w:hint="eastAsia" w:ascii="宋体" w:hAnsi="宋体"/>
          <w:color w:val="auto"/>
          <w:sz w:val="24"/>
          <w:szCs w:val="24"/>
          <w:highlight w:val="none"/>
        </w:rPr>
        <w:t>间：</w:t>
      </w:r>
      <w:r>
        <w:rPr>
          <w:rFonts w:hint="eastAsia" w:ascii="宋体" w:hAnsi="宋体"/>
          <w:b/>
          <w:color w:val="auto"/>
          <w:sz w:val="24"/>
          <w:szCs w:val="24"/>
          <w:highlight w:val="none"/>
        </w:rPr>
        <w:t>20</w:t>
      </w:r>
      <w:r>
        <w:rPr>
          <w:rFonts w:hint="eastAsia" w:ascii="宋体" w:hAnsi="宋体"/>
          <w:b/>
          <w:color w:val="auto"/>
          <w:sz w:val="24"/>
          <w:szCs w:val="24"/>
          <w:highlight w:val="none"/>
          <w:lang w:val="en-US" w:eastAsia="zh-CN"/>
        </w:rPr>
        <w:t>24</w:t>
      </w:r>
      <w:r>
        <w:rPr>
          <w:rFonts w:hint="eastAsia" w:ascii="宋体" w:hAnsi="宋体"/>
          <w:b/>
          <w:color w:val="auto"/>
          <w:sz w:val="24"/>
          <w:szCs w:val="24"/>
          <w:highlight w:val="none"/>
        </w:rPr>
        <w:t>年</w:t>
      </w:r>
      <w:r>
        <w:rPr>
          <w:rFonts w:hint="eastAsia" w:ascii="宋体" w:hAnsi="宋体"/>
          <w:b/>
          <w:color w:val="auto"/>
          <w:sz w:val="24"/>
          <w:szCs w:val="24"/>
          <w:highlight w:val="none"/>
          <w:lang w:val="en-US" w:eastAsia="zh-CN"/>
        </w:rPr>
        <w:t>12</w:t>
      </w:r>
      <w:r>
        <w:rPr>
          <w:rFonts w:hint="eastAsia" w:ascii="宋体" w:hAnsi="宋体"/>
          <w:b/>
          <w:color w:val="auto"/>
          <w:sz w:val="24"/>
          <w:szCs w:val="24"/>
          <w:highlight w:val="none"/>
        </w:rPr>
        <w:t>月</w:t>
      </w:r>
      <w:r>
        <w:rPr>
          <w:rFonts w:hint="eastAsia" w:ascii="宋体" w:hAnsi="宋体"/>
          <w:b/>
          <w:color w:val="auto"/>
          <w:sz w:val="24"/>
          <w:szCs w:val="24"/>
          <w:highlight w:val="none"/>
          <w:lang w:val="en-US" w:eastAsia="zh-CN"/>
        </w:rPr>
        <w:t>13</w:t>
      </w:r>
      <w:r>
        <w:rPr>
          <w:rFonts w:hint="eastAsia" w:ascii="宋体" w:hAnsi="宋体"/>
          <w:b/>
          <w:color w:val="auto"/>
          <w:sz w:val="24"/>
          <w:szCs w:val="24"/>
          <w:highlight w:val="none"/>
        </w:rPr>
        <w:t>日</w:t>
      </w:r>
      <w:r>
        <w:rPr>
          <w:rFonts w:hint="eastAsia" w:ascii="宋体" w:hAnsi="宋体"/>
          <w:b/>
          <w:color w:val="auto"/>
          <w:sz w:val="24"/>
          <w:szCs w:val="24"/>
          <w:highlight w:val="none"/>
          <w:lang w:eastAsia="zh-CN"/>
        </w:rPr>
        <w:t>下</w:t>
      </w:r>
      <w:r>
        <w:rPr>
          <w:rFonts w:hint="eastAsia" w:ascii="宋体" w:hAnsi="宋体"/>
          <w:b/>
          <w:color w:val="auto"/>
          <w:sz w:val="24"/>
          <w:szCs w:val="24"/>
          <w:highlight w:val="none"/>
        </w:rPr>
        <w:t>午</w:t>
      </w:r>
      <w:r>
        <w:rPr>
          <w:rFonts w:hint="eastAsia" w:ascii="宋体" w:hAnsi="宋体"/>
          <w:b/>
          <w:color w:val="auto"/>
          <w:sz w:val="24"/>
          <w:szCs w:val="24"/>
          <w:highlight w:val="none"/>
          <w:lang w:val="en-US" w:eastAsia="zh-CN"/>
        </w:rPr>
        <w:t>14</w:t>
      </w:r>
      <w:r>
        <w:rPr>
          <w:rFonts w:hint="eastAsia" w:ascii="宋体" w:hAnsi="宋体"/>
          <w:b/>
          <w:color w:val="auto"/>
          <w:sz w:val="24"/>
          <w:szCs w:val="24"/>
          <w:highlight w:val="none"/>
        </w:rPr>
        <w:t>:</w:t>
      </w:r>
      <w:r>
        <w:rPr>
          <w:rFonts w:ascii="宋体" w:hAnsi="宋体"/>
          <w:b/>
          <w:color w:val="auto"/>
          <w:sz w:val="24"/>
          <w:szCs w:val="24"/>
          <w:highlight w:val="none"/>
        </w:rPr>
        <w:t>3</w:t>
      </w:r>
      <w:r>
        <w:rPr>
          <w:rFonts w:hint="eastAsia" w:ascii="宋体" w:hAnsi="宋体"/>
          <w:b/>
          <w:color w:val="auto"/>
          <w:sz w:val="24"/>
          <w:szCs w:val="24"/>
          <w:highlight w:val="none"/>
        </w:rPr>
        <w:t>0</w:t>
      </w:r>
      <w:r>
        <w:rPr>
          <w:rFonts w:hint="eastAsia" w:ascii="宋体" w:hAnsi="宋体"/>
          <w:color w:val="auto"/>
          <w:sz w:val="24"/>
          <w:szCs w:val="24"/>
          <w:highlight w:val="none"/>
        </w:rPr>
        <w:t>（北</w:t>
      </w:r>
      <w:r>
        <w:rPr>
          <w:rFonts w:hint="eastAsia" w:ascii="宋体" w:hAnsi="宋体"/>
          <w:color w:val="auto"/>
          <w:sz w:val="24"/>
          <w:szCs w:val="24"/>
        </w:rPr>
        <w:t>京时</w:t>
      </w:r>
      <w:r>
        <w:rPr>
          <w:rFonts w:hint="eastAsia" w:ascii="宋体" w:hAnsi="宋体"/>
          <w:sz w:val="24"/>
          <w:szCs w:val="24"/>
        </w:rPr>
        <w:t>间）</w:t>
      </w:r>
    </w:p>
    <w:p>
      <w:pPr>
        <w:keepNext w:val="0"/>
        <w:keepLines w:val="0"/>
        <w:pageBreakBefore w:val="0"/>
        <w:kinsoku/>
        <w:wordWrap/>
        <w:overflowPunct/>
        <w:topLinePunct w:val="0"/>
        <w:autoSpaceDE/>
        <w:autoSpaceDN/>
        <w:bidi w:val="0"/>
        <w:adjustRightInd/>
        <w:snapToGrid/>
        <w:spacing w:line="360" w:lineRule="auto"/>
        <w:ind w:right="0" w:rightChars="0" w:firstLine="360" w:firstLineChars="150"/>
        <w:jc w:val="both"/>
        <w:textAlignment w:val="auto"/>
        <w:outlineLvl w:val="9"/>
        <w:rPr>
          <w:rFonts w:ascii="宋体" w:hAnsi="宋体"/>
          <w:sz w:val="24"/>
          <w:szCs w:val="24"/>
          <w:highlight w:val="none"/>
        </w:rPr>
      </w:pPr>
      <w:r>
        <w:rPr>
          <w:rFonts w:hint="eastAsia" w:ascii="宋体" w:hAnsi="宋体"/>
          <w:sz w:val="24"/>
          <w:szCs w:val="24"/>
        </w:rPr>
        <w:t>（2）答疑地点：</w:t>
      </w:r>
      <w:r>
        <w:rPr>
          <w:rFonts w:hint="eastAsia" w:ascii="宋体" w:hAnsi="宋体" w:eastAsia="宋体" w:cs="宋体"/>
          <w:color w:val="000000"/>
          <w:sz w:val="24"/>
          <w:highlight w:val="none"/>
          <w:lang w:val="en-US" w:eastAsia="zh-CN"/>
        </w:rPr>
        <w:t>北京市石景山区京原西街6号院3号楼7层</w:t>
      </w:r>
      <w:r>
        <w:rPr>
          <w:rFonts w:hint="eastAsia" w:ascii="宋体" w:hAnsi="宋体" w:cs="宋体"/>
          <w:color w:val="000000"/>
          <w:sz w:val="24"/>
          <w:highlight w:val="none"/>
          <w:lang w:val="en-US" w:eastAsia="zh-CN"/>
        </w:rPr>
        <w:t>711室</w:t>
      </w:r>
    </w:p>
    <w:p>
      <w:pPr>
        <w:keepNext w:val="0"/>
        <w:keepLines w:val="0"/>
        <w:pageBreakBefore w:val="0"/>
        <w:kinsoku/>
        <w:wordWrap/>
        <w:overflowPunct/>
        <w:topLinePunct w:val="0"/>
        <w:autoSpaceDE/>
        <w:autoSpaceDN/>
        <w:bidi w:val="0"/>
        <w:adjustRightInd/>
        <w:snapToGrid/>
        <w:spacing w:line="360" w:lineRule="auto"/>
        <w:ind w:right="0" w:rightChars="0" w:firstLine="360" w:firstLineChars="150"/>
        <w:jc w:val="both"/>
        <w:textAlignment w:val="auto"/>
        <w:outlineLvl w:val="9"/>
        <w:rPr>
          <w:rFonts w:ascii="宋体" w:hAnsi="宋体"/>
          <w:sz w:val="24"/>
          <w:szCs w:val="24"/>
        </w:rPr>
      </w:pPr>
      <w:r>
        <w:rPr>
          <w:rFonts w:hint="eastAsia" w:ascii="宋体" w:hAnsi="宋体"/>
          <w:sz w:val="24"/>
          <w:szCs w:val="24"/>
        </w:rPr>
        <w:t>（3）答疑内容：对《竞争性磋商文件》技术部分、商务部分现场答疑。</w:t>
      </w:r>
    </w:p>
    <w:p>
      <w:pPr>
        <w:keepNext w:val="0"/>
        <w:keepLines w:val="0"/>
        <w:pageBreakBefore w:val="0"/>
        <w:numPr>
          <w:ilvl w:val="0"/>
          <w:numId w:val="0"/>
        </w:numPr>
        <w:kinsoku/>
        <w:wordWrap/>
        <w:overflowPunct/>
        <w:topLinePunct w:val="0"/>
        <w:autoSpaceDE/>
        <w:autoSpaceDN/>
        <w:bidi w:val="0"/>
        <w:adjustRightInd/>
        <w:snapToGrid/>
        <w:spacing w:before="120" w:beforeLines="50" w:after="120" w:afterLines="50" w:line="360" w:lineRule="auto"/>
        <w:ind w:leftChars="0" w:right="0" w:rightChars="0"/>
        <w:jc w:val="both"/>
        <w:textAlignment w:val="auto"/>
        <w:outlineLvl w:val="9"/>
        <w:rPr>
          <w:rFonts w:ascii="宋体" w:hAnsi="宋体"/>
          <w:b/>
          <w:sz w:val="24"/>
          <w:szCs w:val="24"/>
        </w:rPr>
      </w:pPr>
      <w:r>
        <w:rPr>
          <w:rFonts w:hint="eastAsia" w:ascii="宋体" w:hAnsi="宋体"/>
          <w:b/>
          <w:sz w:val="24"/>
          <w:szCs w:val="24"/>
          <w:lang w:eastAsia="zh-CN"/>
        </w:rPr>
        <w:t>十二、</w:t>
      </w:r>
      <w:r>
        <w:rPr>
          <w:rFonts w:hint="eastAsia" w:ascii="宋体" w:hAnsi="宋体"/>
          <w:b/>
          <w:sz w:val="24"/>
          <w:szCs w:val="24"/>
        </w:rPr>
        <w:t>响应文件送达、磋商</w:t>
      </w:r>
    </w:p>
    <w:p>
      <w:pPr>
        <w:keepNext w:val="0"/>
        <w:keepLines w:val="0"/>
        <w:pageBreakBefore w:val="0"/>
        <w:kinsoku/>
        <w:wordWrap/>
        <w:overflowPunct/>
        <w:topLinePunct w:val="0"/>
        <w:autoSpaceDE/>
        <w:autoSpaceDN/>
        <w:bidi w:val="0"/>
        <w:adjustRightInd/>
        <w:snapToGrid/>
        <w:spacing w:before="120" w:beforeLines="50" w:after="120" w:afterLines="50" w:line="360" w:lineRule="auto"/>
        <w:ind w:left="357" w:right="0" w:rightChars="0"/>
        <w:jc w:val="both"/>
        <w:textAlignment w:val="auto"/>
        <w:outlineLvl w:val="9"/>
        <w:rPr>
          <w:rFonts w:hint="eastAsia" w:ascii="宋体" w:hAnsi="宋体"/>
          <w:b/>
          <w:bCs/>
          <w:sz w:val="24"/>
          <w:szCs w:val="24"/>
          <w:highlight w:val="none"/>
          <w:lang w:val="en-US" w:eastAsia="zh-CN"/>
        </w:rPr>
      </w:pPr>
      <w:r>
        <w:rPr>
          <w:rFonts w:hint="eastAsia" w:ascii="宋体" w:hAnsi="宋体"/>
          <w:b/>
          <w:bCs/>
          <w:sz w:val="24"/>
          <w:szCs w:val="24"/>
          <w:highlight w:val="none"/>
          <w:lang w:eastAsia="zh-CN"/>
        </w:rPr>
        <w:t>第一包</w:t>
      </w:r>
      <w:r>
        <w:rPr>
          <w:rFonts w:hint="eastAsia" w:ascii="宋体" w:hAnsi="宋体"/>
          <w:b/>
          <w:bCs/>
          <w:sz w:val="24"/>
          <w:szCs w:val="24"/>
          <w:highlight w:val="none"/>
          <w:lang w:val="en-US" w:eastAsia="zh-CN"/>
        </w:rPr>
        <w:t>至第五包：</w:t>
      </w:r>
    </w:p>
    <w:p>
      <w:pPr>
        <w:keepNext w:val="0"/>
        <w:keepLines w:val="0"/>
        <w:pageBreakBefore w:val="0"/>
        <w:kinsoku/>
        <w:wordWrap/>
        <w:overflowPunct/>
        <w:topLinePunct w:val="0"/>
        <w:autoSpaceDE/>
        <w:autoSpaceDN/>
        <w:bidi w:val="0"/>
        <w:adjustRightInd/>
        <w:snapToGrid/>
        <w:spacing w:before="120" w:beforeLines="50" w:after="120" w:afterLines="50" w:line="360" w:lineRule="auto"/>
        <w:ind w:left="357" w:right="0" w:rightChars="0"/>
        <w:jc w:val="both"/>
        <w:textAlignment w:val="auto"/>
        <w:outlineLvl w:val="9"/>
        <w:rPr>
          <w:rFonts w:hint="eastAsia" w:ascii="宋体" w:hAnsi="宋体"/>
          <w:color w:val="auto"/>
          <w:sz w:val="24"/>
          <w:szCs w:val="24"/>
          <w:highlight w:val="none"/>
        </w:rPr>
      </w:pPr>
      <w:r>
        <w:rPr>
          <w:rFonts w:hint="eastAsia" w:ascii="宋体" w:hAnsi="宋体"/>
          <w:sz w:val="24"/>
          <w:szCs w:val="24"/>
          <w:highlight w:val="none"/>
        </w:rPr>
        <w:t>响应文件递交</w:t>
      </w:r>
      <w:r>
        <w:rPr>
          <w:rFonts w:ascii="宋体" w:hAnsi="宋体"/>
          <w:sz w:val="24"/>
          <w:szCs w:val="24"/>
          <w:highlight w:val="none"/>
        </w:rPr>
        <w:t>时间</w:t>
      </w:r>
      <w:r>
        <w:rPr>
          <w:rFonts w:hint="eastAsia" w:ascii="宋体" w:hAnsi="宋体"/>
          <w:color w:val="auto"/>
          <w:sz w:val="24"/>
          <w:szCs w:val="24"/>
          <w:highlight w:val="none"/>
        </w:rPr>
        <w:t>：</w:t>
      </w:r>
      <w:r>
        <w:rPr>
          <w:rFonts w:hint="eastAsia" w:ascii="宋体" w:hAnsi="宋体"/>
          <w:b/>
          <w:color w:val="auto"/>
          <w:sz w:val="24"/>
          <w:szCs w:val="24"/>
          <w:highlight w:val="none"/>
        </w:rPr>
        <w:t>20</w:t>
      </w:r>
      <w:r>
        <w:rPr>
          <w:rFonts w:hint="eastAsia" w:ascii="宋体" w:hAnsi="宋体"/>
          <w:b/>
          <w:color w:val="auto"/>
          <w:sz w:val="24"/>
          <w:szCs w:val="24"/>
          <w:highlight w:val="none"/>
          <w:lang w:val="en-US" w:eastAsia="zh-CN"/>
        </w:rPr>
        <w:t>24</w:t>
      </w:r>
      <w:r>
        <w:rPr>
          <w:rFonts w:hint="eastAsia" w:ascii="宋体" w:hAnsi="宋体"/>
          <w:b/>
          <w:color w:val="auto"/>
          <w:sz w:val="24"/>
          <w:szCs w:val="24"/>
          <w:highlight w:val="none"/>
        </w:rPr>
        <w:t>年</w:t>
      </w:r>
      <w:r>
        <w:rPr>
          <w:rFonts w:hint="eastAsia" w:ascii="宋体" w:hAnsi="宋体"/>
          <w:b/>
          <w:color w:val="auto"/>
          <w:sz w:val="24"/>
          <w:szCs w:val="24"/>
          <w:highlight w:val="none"/>
          <w:lang w:val="en-US" w:eastAsia="zh-CN"/>
        </w:rPr>
        <w:t>12</w:t>
      </w:r>
      <w:r>
        <w:rPr>
          <w:rFonts w:hint="eastAsia" w:ascii="宋体" w:hAnsi="宋体"/>
          <w:b/>
          <w:color w:val="auto"/>
          <w:sz w:val="24"/>
          <w:szCs w:val="24"/>
          <w:highlight w:val="none"/>
        </w:rPr>
        <w:t>月</w:t>
      </w:r>
      <w:r>
        <w:rPr>
          <w:rFonts w:hint="eastAsia" w:ascii="宋体" w:hAnsi="宋体"/>
          <w:b/>
          <w:color w:val="auto"/>
          <w:sz w:val="24"/>
          <w:szCs w:val="24"/>
          <w:highlight w:val="none"/>
          <w:lang w:val="en-US" w:eastAsia="zh-CN"/>
        </w:rPr>
        <w:t>16</w:t>
      </w:r>
      <w:r>
        <w:rPr>
          <w:rFonts w:hint="eastAsia" w:ascii="宋体" w:hAnsi="宋体"/>
          <w:b/>
          <w:color w:val="auto"/>
          <w:sz w:val="24"/>
          <w:szCs w:val="24"/>
          <w:highlight w:val="none"/>
        </w:rPr>
        <w:t>日上午</w:t>
      </w:r>
      <w:r>
        <w:rPr>
          <w:rFonts w:hint="eastAsia" w:ascii="宋体" w:hAnsi="宋体"/>
          <w:b/>
          <w:color w:val="auto"/>
          <w:sz w:val="24"/>
          <w:szCs w:val="24"/>
          <w:highlight w:val="none"/>
          <w:lang w:val="en-US" w:eastAsia="zh-CN"/>
        </w:rPr>
        <w:t>9</w:t>
      </w:r>
      <w:r>
        <w:rPr>
          <w:rFonts w:hint="eastAsia" w:ascii="宋体" w:hAnsi="宋体"/>
          <w:b/>
          <w:color w:val="auto"/>
          <w:sz w:val="24"/>
          <w:szCs w:val="24"/>
          <w:highlight w:val="none"/>
        </w:rPr>
        <w:t>:</w:t>
      </w:r>
      <w:r>
        <w:rPr>
          <w:rFonts w:hint="eastAsia" w:ascii="宋体" w:hAnsi="宋体"/>
          <w:b/>
          <w:color w:val="auto"/>
          <w:sz w:val="24"/>
          <w:szCs w:val="24"/>
          <w:highlight w:val="none"/>
          <w:lang w:val="en-US" w:eastAsia="zh-CN"/>
        </w:rPr>
        <w:t>0</w:t>
      </w:r>
      <w:r>
        <w:rPr>
          <w:rFonts w:hint="eastAsia" w:ascii="宋体" w:hAnsi="宋体"/>
          <w:b/>
          <w:color w:val="auto"/>
          <w:sz w:val="24"/>
          <w:szCs w:val="24"/>
          <w:highlight w:val="none"/>
        </w:rPr>
        <w:t>0-9</w:t>
      </w:r>
      <w:r>
        <w:rPr>
          <w:rFonts w:ascii="宋体" w:hAnsi="宋体"/>
          <w:b/>
          <w:color w:val="auto"/>
          <w:sz w:val="24"/>
          <w:szCs w:val="24"/>
          <w:highlight w:val="none"/>
        </w:rPr>
        <w:t>:</w:t>
      </w:r>
      <w:r>
        <w:rPr>
          <w:rFonts w:hint="eastAsia" w:ascii="宋体" w:hAnsi="宋体"/>
          <w:b/>
          <w:color w:val="auto"/>
          <w:sz w:val="24"/>
          <w:szCs w:val="24"/>
          <w:highlight w:val="none"/>
          <w:lang w:val="en-US" w:eastAsia="zh-CN"/>
        </w:rPr>
        <w:t>3</w:t>
      </w:r>
      <w:r>
        <w:rPr>
          <w:rFonts w:hint="eastAsia" w:ascii="宋体" w:hAnsi="宋体"/>
          <w:b/>
          <w:color w:val="auto"/>
          <w:sz w:val="24"/>
          <w:szCs w:val="24"/>
          <w:highlight w:val="none"/>
        </w:rPr>
        <w:t>0</w:t>
      </w:r>
      <w:r>
        <w:rPr>
          <w:rFonts w:ascii="宋体" w:hAnsi="宋体"/>
          <w:color w:val="auto"/>
          <w:sz w:val="24"/>
          <w:szCs w:val="24"/>
          <w:highlight w:val="none"/>
        </w:rPr>
        <w:t>(北京时间)</w:t>
      </w:r>
      <w:r>
        <w:rPr>
          <w:rFonts w:hint="eastAsia" w:ascii="宋体" w:hAnsi="宋体"/>
          <w:color w:val="auto"/>
          <w:sz w:val="24"/>
          <w:szCs w:val="24"/>
          <w:highlight w:val="none"/>
        </w:rPr>
        <w:t xml:space="preserve"> </w:t>
      </w:r>
    </w:p>
    <w:p>
      <w:pPr>
        <w:keepNext w:val="0"/>
        <w:keepLines w:val="0"/>
        <w:pageBreakBefore w:val="0"/>
        <w:kinsoku/>
        <w:wordWrap/>
        <w:overflowPunct/>
        <w:topLinePunct w:val="0"/>
        <w:autoSpaceDE/>
        <w:autoSpaceDN/>
        <w:bidi w:val="0"/>
        <w:adjustRightInd/>
        <w:snapToGrid/>
        <w:spacing w:before="120" w:beforeLines="50" w:after="120" w:afterLines="50" w:line="360" w:lineRule="auto"/>
        <w:ind w:left="357" w:right="0" w:rightChars="0"/>
        <w:jc w:val="both"/>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逾期送达或不符合规定的《响应文件》恕不接受。</w:t>
      </w:r>
    </w:p>
    <w:p>
      <w:pPr>
        <w:keepNext w:val="0"/>
        <w:keepLines w:val="0"/>
        <w:pageBreakBefore w:val="0"/>
        <w:kinsoku/>
        <w:wordWrap/>
        <w:overflowPunct/>
        <w:topLinePunct w:val="0"/>
        <w:autoSpaceDE/>
        <w:autoSpaceDN/>
        <w:bidi w:val="0"/>
        <w:adjustRightInd/>
        <w:snapToGrid/>
        <w:spacing w:line="360" w:lineRule="auto"/>
        <w:ind w:left="359" w:leftChars="171" w:right="0" w:rightChars="0"/>
        <w:jc w:val="both"/>
        <w:textAlignment w:val="auto"/>
        <w:outlineLvl w:val="9"/>
        <w:rPr>
          <w:rFonts w:ascii="宋体" w:hAnsi="宋体"/>
          <w:sz w:val="24"/>
          <w:szCs w:val="24"/>
          <w:highlight w:val="none"/>
        </w:rPr>
      </w:pPr>
      <w:r>
        <w:rPr>
          <w:rFonts w:hint="eastAsia" w:ascii="宋体" w:hAnsi="宋体"/>
          <w:color w:val="auto"/>
          <w:sz w:val="24"/>
          <w:szCs w:val="24"/>
          <w:highlight w:val="none"/>
        </w:rPr>
        <w:t>磋商时间：</w:t>
      </w:r>
      <w:r>
        <w:rPr>
          <w:rFonts w:hint="eastAsia" w:ascii="宋体" w:hAnsi="宋体"/>
          <w:b/>
          <w:color w:val="auto"/>
          <w:sz w:val="24"/>
          <w:szCs w:val="24"/>
          <w:highlight w:val="none"/>
          <w:lang w:val="en-US" w:eastAsia="zh-CN"/>
        </w:rPr>
        <w:t>2024年12月16日上午9:30</w:t>
      </w:r>
      <w:r>
        <w:rPr>
          <w:rFonts w:ascii="宋体" w:hAnsi="宋体"/>
          <w:color w:val="auto"/>
          <w:sz w:val="24"/>
          <w:szCs w:val="24"/>
          <w:highlight w:val="none"/>
        </w:rPr>
        <w:t>(北京</w:t>
      </w:r>
      <w:r>
        <w:rPr>
          <w:rFonts w:ascii="宋体" w:hAnsi="宋体"/>
          <w:sz w:val="24"/>
          <w:szCs w:val="24"/>
          <w:highlight w:val="none"/>
        </w:rPr>
        <w:t xml:space="preserve">时间) </w:t>
      </w:r>
    </w:p>
    <w:p>
      <w:pPr>
        <w:keepNext w:val="0"/>
        <w:keepLines w:val="0"/>
        <w:pageBreakBefore w:val="0"/>
        <w:kinsoku/>
        <w:wordWrap/>
        <w:overflowPunct/>
        <w:topLinePunct w:val="0"/>
        <w:autoSpaceDE/>
        <w:autoSpaceDN/>
        <w:bidi w:val="0"/>
        <w:adjustRightInd/>
        <w:snapToGrid/>
        <w:spacing w:line="360" w:lineRule="auto"/>
        <w:ind w:left="359" w:leftChars="171" w:right="-737" w:rightChars="-351"/>
        <w:jc w:val="both"/>
        <w:textAlignment w:val="auto"/>
        <w:outlineLvl w:val="9"/>
        <w:rPr>
          <w:rFonts w:hint="eastAsia" w:ascii="宋体" w:hAnsi="宋体" w:eastAsia="宋体" w:cs="宋体"/>
          <w:color w:val="000000"/>
          <w:sz w:val="24"/>
          <w:highlight w:val="none"/>
          <w:lang w:val="en-US" w:eastAsia="zh-CN"/>
        </w:rPr>
      </w:pPr>
      <w:r>
        <w:rPr>
          <w:rFonts w:hint="eastAsia" w:ascii="宋体" w:hAnsi="宋体"/>
          <w:sz w:val="24"/>
          <w:szCs w:val="24"/>
        </w:rPr>
        <w:t>响应文件送达、磋商地点</w:t>
      </w:r>
      <w:r>
        <w:rPr>
          <w:rFonts w:hint="eastAsia" w:ascii="宋体" w:hAnsi="宋体"/>
          <w:sz w:val="24"/>
          <w:szCs w:val="24"/>
          <w:highlight w:val="none"/>
        </w:rPr>
        <w:t>：</w:t>
      </w:r>
      <w:r>
        <w:rPr>
          <w:rFonts w:hint="eastAsia" w:ascii="宋体" w:hAnsi="宋体" w:eastAsia="宋体" w:cs="宋体"/>
          <w:color w:val="000000"/>
          <w:sz w:val="24"/>
          <w:highlight w:val="none"/>
          <w:lang w:val="en-US" w:eastAsia="zh-CN"/>
        </w:rPr>
        <w:t>北京市石景山区京原西街6号院3号楼7层</w:t>
      </w:r>
    </w:p>
    <w:p>
      <w:pPr>
        <w:pStyle w:val="16"/>
        <w:ind w:firstLine="241" w:firstLineChars="100"/>
        <w:rPr>
          <w:rFonts w:hint="eastAsia" w:ascii="宋体" w:hAnsi="宋体"/>
          <w:b/>
          <w:bCs/>
          <w:sz w:val="24"/>
          <w:szCs w:val="24"/>
          <w:highlight w:val="none"/>
          <w:lang w:val="en-US" w:eastAsia="zh-CN"/>
        </w:rPr>
      </w:pPr>
      <w:r>
        <w:rPr>
          <w:rFonts w:hint="eastAsia" w:ascii="宋体" w:hAnsi="宋体"/>
          <w:b/>
          <w:bCs/>
          <w:sz w:val="24"/>
          <w:szCs w:val="24"/>
          <w:highlight w:val="none"/>
          <w:lang w:eastAsia="zh-CN"/>
        </w:rPr>
        <w:t>第六包</w:t>
      </w:r>
      <w:r>
        <w:rPr>
          <w:rFonts w:hint="eastAsia" w:ascii="宋体" w:hAnsi="宋体"/>
          <w:b/>
          <w:bCs/>
          <w:sz w:val="24"/>
          <w:szCs w:val="24"/>
          <w:highlight w:val="none"/>
          <w:lang w:val="en-US" w:eastAsia="zh-CN"/>
        </w:rPr>
        <w:t>至第十一包：</w:t>
      </w:r>
    </w:p>
    <w:p>
      <w:pPr>
        <w:keepNext w:val="0"/>
        <w:keepLines w:val="0"/>
        <w:pageBreakBefore w:val="0"/>
        <w:kinsoku/>
        <w:wordWrap/>
        <w:overflowPunct/>
        <w:topLinePunct w:val="0"/>
        <w:autoSpaceDE/>
        <w:autoSpaceDN/>
        <w:bidi w:val="0"/>
        <w:adjustRightInd/>
        <w:snapToGrid/>
        <w:spacing w:before="120" w:beforeLines="50" w:after="120" w:afterLines="50" w:line="360" w:lineRule="auto"/>
        <w:ind w:left="357" w:right="0" w:rightChars="0"/>
        <w:jc w:val="both"/>
        <w:textAlignment w:val="auto"/>
        <w:outlineLvl w:val="9"/>
        <w:rPr>
          <w:rFonts w:hint="eastAsia" w:ascii="宋体" w:hAnsi="宋体"/>
          <w:color w:val="auto"/>
          <w:sz w:val="24"/>
          <w:szCs w:val="24"/>
          <w:highlight w:val="none"/>
        </w:rPr>
      </w:pPr>
      <w:r>
        <w:rPr>
          <w:rFonts w:hint="eastAsia" w:ascii="宋体" w:hAnsi="宋体"/>
          <w:sz w:val="24"/>
          <w:szCs w:val="24"/>
          <w:highlight w:val="none"/>
        </w:rPr>
        <w:t>响应文件递交</w:t>
      </w:r>
      <w:r>
        <w:rPr>
          <w:rFonts w:ascii="宋体" w:hAnsi="宋体"/>
          <w:sz w:val="24"/>
          <w:szCs w:val="24"/>
          <w:highlight w:val="none"/>
        </w:rPr>
        <w:t>时间</w:t>
      </w:r>
      <w:r>
        <w:rPr>
          <w:rFonts w:hint="eastAsia" w:ascii="宋体" w:hAnsi="宋体"/>
          <w:color w:val="auto"/>
          <w:sz w:val="24"/>
          <w:szCs w:val="24"/>
          <w:highlight w:val="none"/>
        </w:rPr>
        <w:t>：</w:t>
      </w:r>
      <w:r>
        <w:rPr>
          <w:rFonts w:hint="eastAsia" w:ascii="宋体" w:hAnsi="宋体"/>
          <w:b/>
          <w:color w:val="auto"/>
          <w:sz w:val="24"/>
          <w:szCs w:val="24"/>
          <w:highlight w:val="none"/>
        </w:rPr>
        <w:t>20</w:t>
      </w:r>
      <w:r>
        <w:rPr>
          <w:rFonts w:hint="eastAsia" w:ascii="宋体" w:hAnsi="宋体"/>
          <w:b/>
          <w:color w:val="auto"/>
          <w:sz w:val="24"/>
          <w:szCs w:val="24"/>
          <w:highlight w:val="none"/>
          <w:lang w:val="en-US" w:eastAsia="zh-CN"/>
        </w:rPr>
        <w:t>24</w:t>
      </w:r>
      <w:r>
        <w:rPr>
          <w:rFonts w:hint="eastAsia" w:ascii="宋体" w:hAnsi="宋体"/>
          <w:b/>
          <w:color w:val="auto"/>
          <w:sz w:val="24"/>
          <w:szCs w:val="24"/>
          <w:highlight w:val="none"/>
        </w:rPr>
        <w:t>年</w:t>
      </w:r>
      <w:r>
        <w:rPr>
          <w:rFonts w:hint="eastAsia" w:ascii="宋体" w:hAnsi="宋体"/>
          <w:b/>
          <w:color w:val="auto"/>
          <w:sz w:val="24"/>
          <w:szCs w:val="24"/>
          <w:highlight w:val="none"/>
          <w:lang w:val="en-US" w:eastAsia="zh-CN"/>
        </w:rPr>
        <w:t>12</w:t>
      </w:r>
      <w:r>
        <w:rPr>
          <w:rFonts w:hint="eastAsia" w:ascii="宋体" w:hAnsi="宋体"/>
          <w:b/>
          <w:color w:val="auto"/>
          <w:sz w:val="24"/>
          <w:szCs w:val="24"/>
          <w:highlight w:val="none"/>
        </w:rPr>
        <w:t>月</w:t>
      </w:r>
      <w:r>
        <w:rPr>
          <w:rFonts w:hint="eastAsia" w:ascii="宋体" w:hAnsi="宋体"/>
          <w:b/>
          <w:color w:val="auto"/>
          <w:sz w:val="24"/>
          <w:szCs w:val="24"/>
          <w:highlight w:val="none"/>
          <w:lang w:val="en-US" w:eastAsia="zh-CN"/>
        </w:rPr>
        <w:t>17</w:t>
      </w:r>
      <w:r>
        <w:rPr>
          <w:rFonts w:hint="eastAsia" w:ascii="宋体" w:hAnsi="宋体"/>
          <w:b/>
          <w:color w:val="auto"/>
          <w:sz w:val="24"/>
          <w:szCs w:val="24"/>
          <w:highlight w:val="none"/>
        </w:rPr>
        <w:t>日上午</w:t>
      </w:r>
      <w:r>
        <w:rPr>
          <w:rFonts w:hint="eastAsia" w:ascii="宋体" w:hAnsi="宋体"/>
          <w:b/>
          <w:color w:val="auto"/>
          <w:sz w:val="24"/>
          <w:szCs w:val="24"/>
          <w:highlight w:val="none"/>
          <w:lang w:val="en-US" w:eastAsia="zh-CN"/>
        </w:rPr>
        <w:t>9</w:t>
      </w:r>
      <w:r>
        <w:rPr>
          <w:rFonts w:hint="eastAsia" w:ascii="宋体" w:hAnsi="宋体"/>
          <w:b/>
          <w:color w:val="auto"/>
          <w:sz w:val="24"/>
          <w:szCs w:val="24"/>
          <w:highlight w:val="none"/>
        </w:rPr>
        <w:t>:</w:t>
      </w:r>
      <w:r>
        <w:rPr>
          <w:rFonts w:hint="eastAsia" w:ascii="宋体" w:hAnsi="宋体"/>
          <w:b/>
          <w:color w:val="auto"/>
          <w:sz w:val="24"/>
          <w:szCs w:val="24"/>
          <w:highlight w:val="none"/>
          <w:lang w:val="en-US" w:eastAsia="zh-CN"/>
        </w:rPr>
        <w:t>0</w:t>
      </w:r>
      <w:r>
        <w:rPr>
          <w:rFonts w:hint="eastAsia" w:ascii="宋体" w:hAnsi="宋体"/>
          <w:b/>
          <w:color w:val="auto"/>
          <w:sz w:val="24"/>
          <w:szCs w:val="24"/>
          <w:highlight w:val="none"/>
        </w:rPr>
        <w:t>0-9</w:t>
      </w:r>
      <w:r>
        <w:rPr>
          <w:rFonts w:ascii="宋体" w:hAnsi="宋体"/>
          <w:b/>
          <w:color w:val="auto"/>
          <w:sz w:val="24"/>
          <w:szCs w:val="24"/>
          <w:highlight w:val="none"/>
        </w:rPr>
        <w:t>:</w:t>
      </w:r>
      <w:r>
        <w:rPr>
          <w:rFonts w:hint="eastAsia" w:ascii="宋体" w:hAnsi="宋体"/>
          <w:b/>
          <w:color w:val="auto"/>
          <w:sz w:val="24"/>
          <w:szCs w:val="24"/>
          <w:highlight w:val="none"/>
          <w:lang w:val="en-US" w:eastAsia="zh-CN"/>
        </w:rPr>
        <w:t>3</w:t>
      </w:r>
      <w:r>
        <w:rPr>
          <w:rFonts w:hint="eastAsia" w:ascii="宋体" w:hAnsi="宋体"/>
          <w:b/>
          <w:color w:val="auto"/>
          <w:sz w:val="24"/>
          <w:szCs w:val="24"/>
          <w:highlight w:val="none"/>
        </w:rPr>
        <w:t>0</w:t>
      </w:r>
      <w:r>
        <w:rPr>
          <w:rFonts w:ascii="宋体" w:hAnsi="宋体"/>
          <w:color w:val="auto"/>
          <w:sz w:val="24"/>
          <w:szCs w:val="24"/>
          <w:highlight w:val="none"/>
        </w:rPr>
        <w:t>(北京时间)</w:t>
      </w:r>
      <w:r>
        <w:rPr>
          <w:rFonts w:hint="eastAsia" w:ascii="宋体" w:hAnsi="宋体"/>
          <w:color w:val="auto"/>
          <w:sz w:val="24"/>
          <w:szCs w:val="24"/>
          <w:highlight w:val="none"/>
        </w:rPr>
        <w:t xml:space="preserve"> </w:t>
      </w:r>
    </w:p>
    <w:p>
      <w:pPr>
        <w:keepNext w:val="0"/>
        <w:keepLines w:val="0"/>
        <w:pageBreakBefore w:val="0"/>
        <w:kinsoku/>
        <w:wordWrap/>
        <w:overflowPunct/>
        <w:topLinePunct w:val="0"/>
        <w:autoSpaceDE/>
        <w:autoSpaceDN/>
        <w:bidi w:val="0"/>
        <w:adjustRightInd/>
        <w:snapToGrid/>
        <w:spacing w:before="120" w:beforeLines="50" w:after="120" w:afterLines="50" w:line="360" w:lineRule="auto"/>
        <w:ind w:left="357" w:right="0" w:rightChars="0"/>
        <w:jc w:val="both"/>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逾期送达或不符合规定的《响应文件》恕不接受。</w:t>
      </w:r>
    </w:p>
    <w:p>
      <w:pPr>
        <w:keepNext w:val="0"/>
        <w:keepLines w:val="0"/>
        <w:pageBreakBefore w:val="0"/>
        <w:kinsoku/>
        <w:wordWrap/>
        <w:overflowPunct/>
        <w:topLinePunct w:val="0"/>
        <w:autoSpaceDE/>
        <w:autoSpaceDN/>
        <w:bidi w:val="0"/>
        <w:adjustRightInd/>
        <w:snapToGrid/>
        <w:spacing w:line="360" w:lineRule="auto"/>
        <w:ind w:left="359" w:leftChars="171" w:right="0" w:rightChars="0"/>
        <w:jc w:val="both"/>
        <w:textAlignment w:val="auto"/>
        <w:outlineLvl w:val="9"/>
        <w:rPr>
          <w:rFonts w:ascii="宋体" w:hAnsi="宋体"/>
          <w:sz w:val="24"/>
          <w:szCs w:val="24"/>
          <w:highlight w:val="none"/>
        </w:rPr>
      </w:pPr>
      <w:r>
        <w:rPr>
          <w:rFonts w:hint="eastAsia" w:ascii="宋体" w:hAnsi="宋体"/>
          <w:color w:val="auto"/>
          <w:sz w:val="24"/>
          <w:szCs w:val="24"/>
          <w:highlight w:val="none"/>
        </w:rPr>
        <w:t>磋商时间：</w:t>
      </w:r>
      <w:r>
        <w:rPr>
          <w:rFonts w:hint="eastAsia" w:ascii="宋体" w:hAnsi="宋体"/>
          <w:b/>
          <w:color w:val="auto"/>
          <w:sz w:val="24"/>
          <w:szCs w:val="24"/>
          <w:highlight w:val="none"/>
          <w:lang w:val="en-US" w:eastAsia="zh-CN"/>
        </w:rPr>
        <w:t>2024年12月17日上午9:30</w:t>
      </w:r>
      <w:r>
        <w:rPr>
          <w:rFonts w:ascii="宋体" w:hAnsi="宋体"/>
          <w:color w:val="auto"/>
          <w:sz w:val="24"/>
          <w:szCs w:val="24"/>
          <w:highlight w:val="none"/>
        </w:rPr>
        <w:t>(北京</w:t>
      </w:r>
      <w:r>
        <w:rPr>
          <w:rFonts w:ascii="宋体" w:hAnsi="宋体"/>
          <w:sz w:val="24"/>
          <w:szCs w:val="24"/>
          <w:highlight w:val="none"/>
        </w:rPr>
        <w:t xml:space="preserve">时间) </w:t>
      </w:r>
    </w:p>
    <w:p>
      <w:pPr>
        <w:keepNext w:val="0"/>
        <w:keepLines w:val="0"/>
        <w:pageBreakBefore w:val="0"/>
        <w:kinsoku/>
        <w:wordWrap/>
        <w:overflowPunct/>
        <w:topLinePunct w:val="0"/>
        <w:autoSpaceDE/>
        <w:autoSpaceDN/>
        <w:bidi w:val="0"/>
        <w:adjustRightInd/>
        <w:snapToGrid/>
        <w:spacing w:line="360" w:lineRule="auto"/>
        <w:ind w:left="359" w:leftChars="171" w:right="-737" w:rightChars="-351"/>
        <w:jc w:val="both"/>
        <w:textAlignment w:val="auto"/>
        <w:outlineLvl w:val="9"/>
      </w:pPr>
      <w:r>
        <w:rPr>
          <w:rFonts w:hint="eastAsia" w:ascii="宋体" w:hAnsi="宋体"/>
          <w:sz w:val="24"/>
          <w:szCs w:val="24"/>
        </w:rPr>
        <w:t>响应文件送达、磋商地点</w:t>
      </w:r>
      <w:r>
        <w:rPr>
          <w:rFonts w:hint="eastAsia" w:ascii="宋体" w:hAnsi="宋体"/>
          <w:sz w:val="24"/>
          <w:szCs w:val="24"/>
          <w:highlight w:val="none"/>
        </w:rPr>
        <w:t>：</w:t>
      </w:r>
      <w:r>
        <w:rPr>
          <w:rFonts w:hint="eastAsia" w:ascii="宋体" w:hAnsi="宋体" w:eastAsia="宋体" w:cs="宋体"/>
          <w:color w:val="000000"/>
          <w:sz w:val="24"/>
          <w:highlight w:val="none"/>
          <w:lang w:val="en-US" w:eastAsia="zh-CN"/>
        </w:rPr>
        <w:t>北京市石景山区京原西街6号院3号楼7层</w:t>
      </w:r>
    </w:p>
    <w:p>
      <w:pPr>
        <w:keepNext w:val="0"/>
        <w:keepLines w:val="0"/>
        <w:pageBreakBefore w:val="0"/>
        <w:numPr>
          <w:ilvl w:val="0"/>
          <w:numId w:val="0"/>
        </w:numPr>
        <w:kinsoku/>
        <w:wordWrap/>
        <w:overflowPunct/>
        <w:topLinePunct w:val="0"/>
        <w:autoSpaceDE/>
        <w:autoSpaceDN/>
        <w:bidi w:val="0"/>
        <w:adjustRightInd/>
        <w:snapToGrid/>
        <w:spacing w:before="120" w:beforeLines="50" w:line="360" w:lineRule="auto"/>
        <w:ind w:leftChars="0" w:right="0" w:rightChars="0"/>
        <w:jc w:val="both"/>
        <w:textAlignment w:val="auto"/>
        <w:outlineLvl w:val="9"/>
        <w:rPr>
          <w:rFonts w:ascii="宋体" w:hAnsi="宋体"/>
          <w:sz w:val="24"/>
          <w:szCs w:val="24"/>
        </w:rPr>
      </w:pPr>
      <w:r>
        <w:rPr>
          <w:rFonts w:hint="eastAsia" w:ascii="宋体" w:hAnsi="宋体"/>
          <w:b/>
          <w:sz w:val="24"/>
          <w:szCs w:val="24"/>
          <w:lang w:eastAsia="zh-CN"/>
        </w:rPr>
        <w:t>十三、</w:t>
      </w:r>
      <w:r>
        <w:rPr>
          <w:rFonts w:hint="eastAsia" w:ascii="宋体" w:hAnsi="宋体"/>
          <w:b/>
          <w:sz w:val="24"/>
          <w:szCs w:val="24"/>
        </w:rPr>
        <w:t>送达《响应文件》时，参加竞争性磋商的</w:t>
      </w:r>
      <w:r>
        <w:rPr>
          <w:rFonts w:hint="eastAsia" w:ascii="宋体" w:hAnsi="宋体"/>
          <w:b/>
          <w:sz w:val="24"/>
          <w:szCs w:val="24"/>
          <w:lang w:eastAsia="zh-CN"/>
        </w:rPr>
        <w:t>供应商</w:t>
      </w:r>
      <w:r>
        <w:rPr>
          <w:rFonts w:hint="eastAsia" w:ascii="宋体" w:hAnsi="宋体"/>
          <w:b/>
          <w:sz w:val="24"/>
          <w:szCs w:val="24"/>
        </w:rPr>
        <w:t>代表须出示本人身份证(非法定代表人时还须提供《法定代表人授权书》)</w:t>
      </w:r>
      <w:r>
        <w:rPr>
          <w:rFonts w:hint="eastAsia" w:ascii="宋体" w:hAnsi="宋体"/>
          <w:b/>
          <w:sz w:val="24"/>
          <w:szCs w:val="24"/>
          <w:lang w:eastAsia="zh-CN"/>
        </w:rPr>
        <w:t>。</w:t>
      </w:r>
      <w:r>
        <w:rPr>
          <w:rFonts w:hint="eastAsia" w:ascii="宋体" w:hAnsi="宋体" w:cs="宋体"/>
          <w:b/>
          <w:bCs/>
          <w:color w:val="auto"/>
          <w:sz w:val="24"/>
        </w:rPr>
        <w:t>限</w:t>
      </w:r>
      <w:r>
        <w:rPr>
          <w:rFonts w:hint="eastAsia" w:ascii="宋体" w:hAnsi="宋体" w:cs="宋体"/>
          <w:b/>
          <w:bCs/>
          <w:color w:val="auto"/>
          <w:sz w:val="24"/>
          <w:lang w:eastAsia="zh-CN"/>
        </w:rPr>
        <w:t>供应商</w:t>
      </w:r>
      <w:r>
        <w:rPr>
          <w:rFonts w:hint="eastAsia" w:ascii="宋体" w:hAnsi="宋体" w:cs="宋体"/>
          <w:b/>
          <w:bCs/>
          <w:color w:val="auto"/>
          <w:sz w:val="24"/>
        </w:rPr>
        <w:t>代表一人参加。</w:t>
      </w:r>
    </w:p>
    <w:p>
      <w:pPr>
        <w:keepNext w:val="0"/>
        <w:keepLines w:val="0"/>
        <w:pageBreakBefore w:val="0"/>
        <w:widowControl w:val="0"/>
        <w:numPr>
          <w:ilvl w:val="0"/>
          <w:numId w:val="0"/>
        </w:numPr>
        <w:kinsoku/>
        <w:wordWrap/>
        <w:overflowPunct/>
        <w:topLinePunct w:val="0"/>
        <w:autoSpaceDE/>
        <w:autoSpaceDN/>
        <w:bidi w:val="0"/>
        <w:adjustRightInd/>
        <w:snapToGrid/>
        <w:spacing w:before="120" w:beforeLines="50" w:line="360" w:lineRule="auto"/>
        <w:ind w:leftChars="0" w:right="0" w:rightChars="0" w:firstLine="0" w:firstLineChars="0"/>
        <w:jc w:val="both"/>
        <w:textAlignment w:val="auto"/>
        <w:outlineLvl w:val="9"/>
        <w:rPr>
          <w:rFonts w:ascii="宋体" w:hAnsi="宋体"/>
          <w:sz w:val="24"/>
          <w:szCs w:val="24"/>
        </w:rPr>
      </w:pPr>
      <w:r>
        <w:rPr>
          <w:rFonts w:hint="eastAsia" w:ascii="宋体" w:hAnsi="宋体"/>
          <w:b/>
          <w:sz w:val="24"/>
          <w:szCs w:val="24"/>
          <w:lang w:val="en-US" w:eastAsia="zh-CN"/>
        </w:rPr>
        <w:t>十四、</w:t>
      </w:r>
      <w:r>
        <w:rPr>
          <w:rFonts w:hint="eastAsia" w:ascii="宋体" w:hAnsi="宋体"/>
          <w:b/>
          <w:sz w:val="24"/>
          <w:szCs w:val="24"/>
        </w:rPr>
        <w:t>联系单位</w:t>
      </w:r>
      <w:r>
        <w:rPr>
          <w:rFonts w:hint="eastAsia" w:ascii="宋体" w:hAnsi="宋体"/>
          <w:sz w:val="24"/>
          <w:szCs w:val="24"/>
        </w:rPr>
        <w:t>：北京市石景山区政府采购中心</w:t>
      </w:r>
    </w:p>
    <w:p>
      <w:pPr>
        <w:keepNext w:val="0"/>
        <w:keepLines w:val="0"/>
        <w:pageBreakBefore w:val="0"/>
        <w:widowControl w:val="0"/>
        <w:kinsoku/>
        <w:wordWrap/>
        <w:overflowPunct/>
        <w:topLinePunct w:val="0"/>
        <w:autoSpaceDE/>
        <w:autoSpaceDN/>
        <w:bidi w:val="0"/>
        <w:adjustRightInd/>
        <w:snapToGrid/>
        <w:spacing w:line="360" w:lineRule="auto"/>
        <w:ind w:left="357" w:right="0" w:rightChars="0" w:firstLine="0" w:firstLineChars="0"/>
        <w:jc w:val="both"/>
        <w:textAlignment w:val="auto"/>
        <w:outlineLvl w:val="9"/>
        <w:rPr>
          <w:rFonts w:ascii="宋体" w:hAnsi="宋体"/>
          <w:sz w:val="24"/>
          <w:szCs w:val="24"/>
        </w:rPr>
      </w:pPr>
      <w:r>
        <w:rPr>
          <w:rFonts w:hint="eastAsia" w:ascii="宋体" w:hAnsi="宋体"/>
          <w:sz w:val="24"/>
          <w:szCs w:val="24"/>
        </w:rPr>
        <w:t>地　　址：</w:t>
      </w:r>
      <w:r>
        <w:rPr>
          <w:rFonts w:hint="eastAsia" w:ascii="宋体" w:hAnsi="宋体" w:eastAsia="宋体" w:cs="宋体"/>
          <w:sz w:val="24"/>
          <w:lang w:eastAsia="zh-CN"/>
        </w:rPr>
        <w:t>北京市石景山区京原西街6号院3号楼7层</w:t>
      </w:r>
    </w:p>
    <w:p>
      <w:pPr>
        <w:keepNext w:val="0"/>
        <w:keepLines w:val="0"/>
        <w:pageBreakBefore w:val="0"/>
        <w:widowControl w:val="0"/>
        <w:kinsoku/>
        <w:wordWrap/>
        <w:overflowPunct/>
        <w:topLinePunct w:val="0"/>
        <w:autoSpaceDE/>
        <w:autoSpaceDN/>
        <w:bidi w:val="0"/>
        <w:adjustRightInd/>
        <w:snapToGrid/>
        <w:spacing w:line="360" w:lineRule="auto"/>
        <w:ind w:left="357" w:right="0" w:rightChars="0" w:firstLine="0" w:firstLineChars="0"/>
        <w:jc w:val="both"/>
        <w:textAlignment w:val="auto"/>
        <w:outlineLvl w:val="9"/>
        <w:rPr>
          <w:rFonts w:hint="eastAsia" w:ascii="宋体" w:hAnsi="宋体"/>
          <w:sz w:val="24"/>
          <w:szCs w:val="24"/>
          <w:lang w:val="en-US" w:eastAsia="zh-CN"/>
        </w:rPr>
      </w:pPr>
      <w:r>
        <w:rPr>
          <w:rFonts w:hint="eastAsia" w:ascii="宋体" w:hAnsi="宋体"/>
          <w:sz w:val="24"/>
          <w:szCs w:val="24"/>
        </w:rPr>
        <w:t>电　　话：</w:t>
      </w:r>
      <w:r>
        <w:rPr>
          <w:rFonts w:hint="eastAsia" w:ascii="宋体" w:hAnsi="宋体"/>
          <w:sz w:val="24"/>
          <w:szCs w:val="24"/>
          <w:lang w:val="en-US" w:eastAsia="zh-CN"/>
        </w:rPr>
        <w:t xml:space="preserve">81927379             </w:t>
      </w:r>
    </w:p>
    <w:p>
      <w:pPr>
        <w:keepNext w:val="0"/>
        <w:keepLines w:val="0"/>
        <w:pageBreakBefore w:val="0"/>
        <w:widowControl w:val="0"/>
        <w:kinsoku/>
        <w:wordWrap/>
        <w:overflowPunct/>
        <w:topLinePunct w:val="0"/>
        <w:autoSpaceDE/>
        <w:autoSpaceDN/>
        <w:bidi w:val="0"/>
        <w:adjustRightInd/>
        <w:snapToGrid/>
        <w:spacing w:line="360" w:lineRule="auto"/>
        <w:ind w:left="357" w:right="0" w:rightChars="0" w:firstLine="0" w:firstLineChars="0"/>
        <w:jc w:val="both"/>
        <w:textAlignment w:val="auto"/>
        <w:outlineLvl w:val="9"/>
        <w:rPr>
          <w:rFonts w:hAnsi="宋体"/>
        </w:rPr>
      </w:pPr>
      <w:r>
        <w:rPr>
          <w:rFonts w:hint="eastAsia" w:ascii="宋体" w:hAnsi="宋体"/>
          <w:sz w:val="24"/>
          <w:szCs w:val="24"/>
        </w:rPr>
        <w:t>联 系 人：</w:t>
      </w:r>
      <w:r>
        <w:rPr>
          <w:rFonts w:hint="eastAsia" w:ascii="宋体" w:hAnsi="宋体"/>
          <w:color w:val="000000"/>
          <w:sz w:val="24"/>
          <w:szCs w:val="24"/>
          <w:lang w:eastAsia="zh-CN"/>
        </w:rPr>
        <w:t>刘思彤</w:t>
      </w:r>
      <w:r>
        <w:rPr>
          <w:rFonts w:hAnsi="宋体"/>
          <w:color w:val="000000"/>
          <w:szCs w:val="21"/>
        </w:rPr>
        <w:br w:type="page"/>
      </w:r>
      <w:bookmarkStart w:id="2" w:name="_Toc436226838"/>
      <w:bookmarkStart w:id="3" w:name="_Toc203990327"/>
      <w:r>
        <w:rPr>
          <w:rFonts w:hint="eastAsia" w:hAnsi="宋体"/>
          <w:szCs w:val="21"/>
          <w:lang w:val="en-US" w:eastAsia="zh-CN"/>
        </w:rPr>
        <w:t xml:space="preserve">                      </w:t>
      </w:r>
      <w:r>
        <w:rPr>
          <w:rFonts w:hint="eastAsia" w:hAnsi="宋体"/>
          <w:b/>
          <w:bCs/>
          <w:sz w:val="32"/>
          <w:szCs w:val="32"/>
        </w:rPr>
        <w:t xml:space="preserve">第二部分  </w:t>
      </w:r>
      <w:r>
        <w:rPr>
          <w:rFonts w:hint="eastAsia" w:hAnsi="宋体"/>
          <w:b/>
          <w:bCs/>
          <w:sz w:val="32"/>
          <w:szCs w:val="32"/>
          <w:lang w:eastAsia="zh-CN"/>
        </w:rPr>
        <w:t>供应商</w:t>
      </w:r>
      <w:r>
        <w:rPr>
          <w:rFonts w:hint="eastAsia" w:hAnsi="宋体"/>
          <w:b/>
          <w:bCs/>
          <w:sz w:val="32"/>
          <w:szCs w:val="32"/>
        </w:rPr>
        <w:t>须知</w:t>
      </w:r>
      <w:bookmarkEnd w:id="2"/>
      <w:bookmarkEnd w:id="3"/>
    </w:p>
    <w:p>
      <w:pPr>
        <w:spacing w:line="360" w:lineRule="auto"/>
        <w:rPr>
          <w:rFonts w:ascii="宋体" w:hAnsi="宋体"/>
          <w:szCs w:val="21"/>
        </w:rPr>
      </w:pPr>
    </w:p>
    <w:p>
      <w:pPr>
        <w:pStyle w:val="4"/>
        <w:spacing w:before="0" w:line="360" w:lineRule="auto"/>
        <w:rPr>
          <w:rFonts w:ascii="宋体" w:hAnsi="宋体" w:eastAsia="宋体"/>
          <w:sz w:val="24"/>
          <w:szCs w:val="24"/>
        </w:rPr>
      </w:pPr>
      <w:bookmarkStart w:id="4" w:name="_Toc520356143"/>
      <w:r>
        <w:rPr>
          <w:rFonts w:hint="eastAsia" w:ascii="宋体" w:hAnsi="宋体" w:eastAsia="宋体"/>
          <w:sz w:val="24"/>
          <w:szCs w:val="24"/>
        </w:rPr>
        <w:t>一   说明</w:t>
      </w:r>
      <w:bookmarkEnd w:id="4"/>
    </w:p>
    <w:p>
      <w:pPr>
        <w:numPr>
          <w:ilvl w:val="0"/>
          <w:numId w:val="3"/>
        </w:numPr>
        <w:tabs>
          <w:tab w:val="left" w:pos="397"/>
          <w:tab w:val="left" w:pos="540"/>
        </w:tabs>
        <w:spacing w:line="360" w:lineRule="auto"/>
        <w:ind w:left="0"/>
        <w:outlineLvl w:val="2"/>
        <w:rPr>
          <w:rFonts w:hint="eastAsia" w:ascii="宋体" w:hAnsi="宋体"/>
          <w:b/>
          <w:sz w:val="24"/>
          <w:szCs w:val="24"/>
        </w:rPr>
      </w:pPr>
      <w:bookmarkStart w:id="5" w:name="_Toc520356145"/>
      <w:r>
        <w:rPr>
          <w:rFonts w:hint="eastAsia" w:ascii="宋体" w:hAnsi="宋体"/>
          <w:b/>
          <w:sz w:val="24"/>
          <w:szCs w:val="24"/>
        </w:rPr>
        <w:t xml:space="preserve"> </w:t>
      </w:r>
      <w:bookmarkStart w:id="6" w:name="_Toc129190708"/>
      <w:bookmarkStart w:id="7" w:name="_Toc134066973"/>
      <w:bookmarkStart w:id="8" w:name="_Toc341715959"/>
      <w:r>
        <w:rPr>
          <w:rFonts w:hint="eastAsia" w:ascii="宋体" w:hAnsi="宋体"/>
          <w:b/>
          <w:sz w:val="24"/>
          <w:szCs w:val="24"/>
        </w:rPr>
        <w:t>合格</w:t>
      </w:r>
      <w:r>
        <w:rPr>
          <w:rFonts w:hint="eastAsia" w:ascii="宋体" w:hAnsi="宋体"/>
          <w:b/>
          <w:sz w:val="24"/>
          <w:szCs w:val="24"/>
          <w:lang w:eastAsia="zh-CN"/>
        </w:rPr>
        <w:t>供应商</w:t>
      </w:r>
      <w:r>
        <w:rPr>
          <w:rFonts w:hint="eastAsia" w:ascii="宋体" w:hAnsi="宋体"/>
          <w:b/>
          <w:sz w:val="24"/>
          <w:szCs w:val="24"/>
        </w:rPr>
        <w:t>的</w:t>
      </w:r>
      <w:bookmarkEnd w:id="6"/>
      <w:bookmarkEnd w:id="7"/>
      <w:r>
        <w:rPr>
          <w:rFonts w:hint="eastAsia" w:ascii="宋体" w:hAnsi="宋体"/>
          <w:b/>
          <w:sz w:val="24"/>
          <w:szCs w:val="24"/>
        </w:rPr>
        <w:t>条件</w:t>
      </w:r>
      <w:bookmarkEnd w:id="8"/>
    </w:p>
    <w:p>
      <w:pPr>
        <w:numPr>
          <w:ilvl w:val="1"/>
          <w:numId w:val="3"/>
        </w:numPr>
        <w:tabs>
          <w:tab w:val="left" w:pos="180"/>
          <w:tab w:val="clear" w:pos="992"/>
        </w:tabs>
        <w:spacing w:line="360" w:lineRule="auto"/>
        <w:ind w:left="0" w:firstLine="0"/>
        <w:rPr>
          <w:rFonts w:hint="eastAsia" w:ascii="宋体" w:hAnsi="宋体"/>
          <w:sz w:val="24"/>
          <w:szCs w:val="24"/>
        </w:rPr>
      </w:pPr>
      <w:r>
        <w:rPr>
          <w:rFonts w:hint="eastAsia" w:cs="微软雅黑"/>
          <w:sz w:val="24"/>
          <w:szCs w:val="24"/>
          <w:lang w:val="en-US" w:eastAsia="zh-CN"/>
        </w:rPr>
        <w:t xml:space="preserve"> </w:t>
      </w:r>
      <w:r>
        <w:rPr>
          <w:rFonts w:hint="eastAsia" w:cs="微软雅黑"/>
          <w:sz w:val="24"/>
          <w:szCs w:val="24"/>
        </w:rPr>
        <w:t>在中华人民共和国境内注册，具有本项目生产、制造、供应或实施能力，符合、承认并承诺履行本</w:t>
      </w:r>
      <w:r>
        <w:rPr>
          <w:rFonts w:hint="eastAsia" w:cs="微软雅黑"/>
          <w:sz w:val="24"/>
          <w:szCs w:val="24"/>
          <w:lang w:eastAsia="zh-CN"/>
        </w:rPr>
        <w:t>磋商</w:t>
      </w:r>
      <w:r>
        <w:rPr>
          <w:rFonts w:hint="eastAsia" w:cs="微软雅黑"/>
          <w:sz w:val="24"/>
          <w:szCs w:val="24"/>
        </w:rPr>
        <w:t>文件各项规定的供应商，包括</w:t>
      </w:r>
      <w:r>
        <w:rPr>
          <w:rFonts w:hint="eastAsia"/>
          <w:color w:val="000000"/>
          <w:sz w:val="24"/>
          <w:szCs w:val="24"/>
        </w:rPr>
        <w:t>法人、其他组织或者自然人</w:t>
      </w:r>
      <w:r>
        <w:rPr>
          <w:rFonts w:hint="eastAsia" w:cs="微软雅黑"/>
          <w:sz w:val="24"/>
          <w:szCs w:val="24"/>
        </w:rPr>
        <w:t>。</w:t>
      </w:r>
    </w:p>
    <w:p>
      <w:pPr>
        <w:numPr>
          <w:ilvl w:val="1"/>
          <w:numId w:val="3"/>
        </w:numPr>
        <w:tabs>
          <w:tab w:val="left" w:pos="532"/>
          <w:tab w:val="clear" w:pos="992"/>
        </w:tabs>
        <w:spacing w:line="360" w:lineRule="auto"/>
        <w:ind w:left="0" w:firstLine="0"/>
        <w:rPr>
          <w:rFonts w:hint="eastAsia" w:ascii="宋体" w:hAnsi="宋体"/>
          <w:sz w:val="24"/>
          <w:szCs w:val="24"/>
        </w:rPr>
      </w:pPr>
      <w:r>
        <w:rPr>
          <w:rFonts w:hint="eastAsia" w:ascii="宋体" w:hAnsi="宋体"/>
          <w:sz w:val="24"/>
          <w:szCs w:val="24"/>
          <w:lang w:eastAsia="zh-CN"/>
        </w:rPr>
        <w:t>供应商</w:t>
      </w:r>
      <w:r>
        <w:rPr>
          <w:rFonts w:hint="eastAsia" w:ascii="宋体" w:hAnsi="宋体"/>
          <w:sz w:val="24"/>
          <w:szCs w:val="24"/>
        </w:rPr>
        <w:t>必须遵守中华人民共和国及北京市的有关政府采购</w:t>
      </w:r>
      <w:r>
        <w:rPr>
          <w:rFonts w:hint="eastAsia" w:ascii="宋体" w:hAnsi="宋体"/>
          <w:sz w:val="24"/>
          <w:szCs w:val="24"/>
          <w:lang w:eastAsia="zh-CN"/>
        </w:rPr>
        <w:t>磋商</w:t>
      </w:r>
      <w:r>
        <w:rPr>
          <w:rFonts w:hint="eastAsia" w:ascii="宋体" w:hAnsi="宋体"/>
          <w:sz w:val="24"/>
          <w:szCs w:val="24"/>
        </w:rPr>
        <w:t>相关的法律、法规。</w:t>
      </w:r>
    </w:p>
    <w:p>
      <w:pPr>
        <w:numPr>
          <w:ilvl w:val="1"/>
          <w:numId w:val="3"/>
        </w:numPr>
        <w:tabs>
          <w:tab w:val="left" w:pos="532"/>
          <w:tab w:val="clear" w:pos="992"/>
        </w:tabs>
        <w:spacing w:line="360" w:lineRule="auto"/>
        <w:ind w:left="0" w:firstLine="0"/>
        <w:rPr>
          <w:rFonts w:hint="eastAsia" w:ascii="宋体" w:hAnsi="宋体"/>
          <w:sz w:val="24"/>
          <w:szCs w:val="24"/>
        </w:rPr>
      </w:pPr>
      <w:r>
        <w:rPr>
          <w:rFonts w:hint="eastAsia" w:ascii="宋体" w:hAnsi="宋体"/>
          <w:sz w:val="24"/>
          <w:szCs w:val="24"/>
          <w:lang w:eastAsia="zh-CN"/>
        </w:rPr>
        <w:t>供应商</w:t>
      </w:r>
      <w:r>
        <w:rPr>
          <w:rFonts w:hint="eastAsia" w:ascii="宋体" w:hAnsi="宋体"/>
          <w:sz w:val="24"/>
          <w:szCs w:val="24"/>
        </w:rPr>
        <w:t>具有良好的商业信誉和健全的财务会计制度。</w:t>
      </w:r>
    </w:p>
    <w:p>
      <w:pPr>
        <w:numPr>
          <w:ilvl w:val="1"/>
          <w:numId w:val="3"/>
        </w:numPr>
        <w:tabs>
          <w:tab w:val="left" w:pos="532"/>
          <w:tab w:val="clear" w:pos="992"/>
        </w:tabs>
        <w:spacing w:line="360" w:lineRule="auto"/>
        <w:ind w:left="540" w:hanging="540" w:hangingChars="225"/>
        <w:jc w:val="left"/>
        <w:rPr>
          <w:rFonts w:hint="eastAsia" w:ascii="宋体" w:hAnsi="宋体"/>
          <w:sz w:val="24"/>
          <w:szCs w:val="24"/>
        </w:rPr>
      </w:pPr>
      <w:r>
        <w:rPr>
          <w:rFonts w:hint="eastAsia" w:ascii="宋体" w:hAnsi="宋体"/>
          <w:sz w:val="24"/>
          <w:szCs w:val="24"/>
          <w:lang w:eastAsia="zh-CN"/>
        </w:rPr>
        <w:t>供应商</w:t>
      </w:r>
      <w:r>
        <w:rPr>
          <w:rFonts w:hint="eastAsia" w:ascii="宋体" w:hAnsi="宋体"/>
          <w:sz w:val="24"/>
          <w:szCs w:val="24"/>
        </w:rPr>
        <w:t>具有履行合同所必需的管理人员和专业技术能力，具有提供</w:t>
      </w:r>
      <w:r>
        <w:rPr>
          <w:rFonts w:hint="eastAsia" w:ascii="宋体" w:hAnsi="宋体"/>
          <w:sz w:val="24"/>
          <w:szCs w:val="24"/>
          <w:lang w:eastAsia="zh-CN"/>
        </w:rPr>
        <w:t>磋商</w:t>
      </w:r>
      <w:r>
        <w:rPr>
          <w:rFonts w:hint="eastAsia" w:ascii="宋体" w:hAnsi="宋体"/>
          <w:sz w:val="24"/>
          <w:szCs w:val="24"/>
        </w:rPr>
        <w:t>服务和保障服务质量的能力。</w:t>
      </w:r>
    </w:p>
    <w:p>
      <w:pPr>
        <w:numPr>
          <w:ilvl w:val="1"/>
          <w:numId w:val="3"/>
        </w:numPr>
        <w:tabs>
          <w:tab w:val="left" w:pos="532"/>
          <w:tab w:val="clear" w:pos="992"/>
        </w:tabs>
        <w:spacing w:line="360" w:lineRule="auto"/>
        <w:ind w:left="0" w:firstLine="0"/>
        <w:rPr>
          <w:rFonts w:hint="eastAsia" w:ascii="宋体" w:hAnsi="宋体"/>
          <w:sz w:val="24"/>
          <w:szCs w:val="24"/>
        </w:rPr>
      </w:pPr>
      <w:r>
        <w:rPr>
          <w:rFonts w:hint="eastAsia" w:ascii="宋体" w:hAnsi="宋体"/>
          <w:sz w:val="24"/>
          <w:szCs w:val="24"/>
          <w:lang w:eastAsia="zh-CN"/>
        </w:rPr>
        <w:t>供应商</w:t>
      </w:r>
      <w:r>
        <w:rPr>
          <w:rFonts w:hint="eastAsia" w:ascii="宋体" w:hAnsi="宋体"/>
          <w:sz w:val="24"/>
          <w:szCs w:val="24"/>
        </w:rPr>
        <w:t>具有依法缴纳税收和社会保障资金的良好记录。</w:t>
      </w:r>
    </w:p>
    <w:p>
      <w:pPr>
        <w:numPr>
          <w:ilvl w:val="1"/>
          <w:numId w:val="3"/>
        </w:numPr>
        <w:tabs>
          <w:tab w:val="left" w:pos="532"/>
          <w:tab w:val="clear" w:pos="992"/>
        </w:tabs>
        <w:spacing w:line="360" w:lineRule="auto"/>
        <w:ind w:left="0" w:firstLine="0"/>
        <w:rPr>
          <w:rFonts w:hint="eastAsia" w:ascii="宋体" w:hAnsi="宋体"/>
          <w:sz w:val="24"/>
          <w:szCs w:val="24"/>
        </w:rPr>
      </w:pPr>
      <w:r>
        <w:rPr>
          <w:rFonts w:hint="eastAsia" w:ascii="宋体" w:hAnsi="宋体"/>
          <w:sz w:val="24"/>
          <w:szCs w:val="24"/>
        </w:rPr>
        <w:t>在参加本次政府采购活动前三年内没有重大违法记录。</w:t>
      </w:r>
    </w:p>
    <w:p>
      <w:pPr>
        <w:numPr>
          <w:ilvl w:val="1"/>
          <w:numId w:val="3"/>
        </w:numPr>
        <w:tabs>
          <w:tab w:val="left" w:pos="532"/>
          <w:tab w:val="clear" w:pos="992"/>
        </w:tabs>
        <w:spacing w:line="360" w:lineRule="auto"/>
        <w:ind w:left="0" w:firstLine="0"/>
        <w:rPr>
          <w:rFonts w:hint="eastAsia" w:ascii="宋体" w:hAnsi="宋体"/>
          <w:sz w:val="24"/>
          <w:szCs w:val="24"/>
        </w:rPr>
      </w:pPr>
      <w:r>
        <w:rPr>
          <w:rFonts w:hint="eastAsia" w:ascii="宋体" w:hAnsi="宋体"/>
          <w:sz w:val="24"/>
          <w:szCs w:val="24"/>
          <w:lang w:eastAsia="zh-CN"/>
        </w:rPr>
        <w:t>供应商</w:t>
      </w:r>
      <w:r>
        <w:rPr>
          <w:rFonts w:hint="eastAsia" w:ascii="宋体" w:hAnsi="宋体"/>
          <w:sz w:val="24"/>
          <w:szCs w:val="24"/>
        </w:rPr>
        <w:t>在</w:t>
      </w:r>
      <w:r>
        <w:rPr>
          <w:rFonts w:hint="eastAsia" w:ascii="宋体" w:hAnsi="宋体"/>
          <w:sz w:val="24"/>
          <w:szCs w:val="24"/>
          <w:lang w:eastAsia="zh-CN"/>
        </w:rPr>
        <w:t>磋商</w:t>
      </w:r>
      <w:r>
        <w:rPr>
          <w:rFonts w:hint="eastAsia" w:ascii="宋体" w:hAnsi="宋体"/>
          <w:sz w:val="24"/>
          <w:szCs w:val="24"/>
        </w:rPr>
        <w:t>过程中不得以任何方式影响政府采购正常活动。</w:t>
      </w:r>
      <w:r>
        <w:rPr>
          <w:rFonts w:hint="eastAsia" w:ascii="宋体" w:hAnsi="宋体"/>
          <w:sz w:val="24"/>
          <w:lang w:eastAsia="zh-CN"/>
        </w:rPr>
        <w:t>供应商</w:t>
      </w:r>
      <w:r>
        <w:rPr>
          <w:rFonts w:hint="eastAsia" w:ascii="宋体" w:hAnsi="宋体"/>
          <w:sz w:val="24"/>
        </w:rPr>
        <w:t>在</w:t>
      </w:r>
      <w:r>
        <w:rPr>
          <w:rFonts w:hint="eastAsia" w:ascii="宋体" w:hAnsi="宋体"/>
          <w:sz w:val="24"/>
          <w:lang w:eastAsia="zh-CN"/>
        </w:rPr>
        <w:t>磋商</w:t>
      </w:r>
      <w:r>
        <w:rPr>
          <w:rFonts w:hint="eastAsia" w:ascii="宋体" w:hAnsi="宋体"/>
          <w:sz w:val="24"/>
        </w:rPr>
        <w:t>过程中不得向</w:t>
      </w:r>
      <w:r>
        <w:rPr>
          <w:rFonts w:hint="eastAsia" w:ascii="宋体" w:hAnsi="宋体"/>
          <w:sz w:val="24"/>
          <w:lang w:eastAsia="zh-CN"/>
        </w:rPr>
        <w:t>磋商</w:t>
      </w:r>
      <w:r>
        <w:rPr>
          <w:rFonts w:hint="eastAsia" w:ascii="宋体" w:hAnsi="宋体"/>
          <w:sz w:val="24"/>
        </w:rPr>
        <w:t>采购单位提供、给予任何有价值的物品，影响其正常决策行为。一经发现，其</w:t>
      </w:r>
      <w:r>
        <w:rPr>
          <w:rFonts w:hint="eastAsia" w:ascii="宋体" w:hAnsi="宋体"/>
          <w:sz w:val="24"/>
          <w:lang w:eastAsia="zh-CN"/>
        </w:rPr>
        <w:t>供应商</w:t>
      </w:r>
      <w:r>
        <w:rPr>
          <w:rFonts w:hint="eastAsia" w:ascii="宋体" w:hAnsi="宋体"/>
          <w:sz w:val="24"/>
        </w:rPr>
        <w:t>资格将被取消。</w:t>
      </w:r>
    </w:p>
    <w:p>
      <w:pPr>
        <w:numPr>
          <w:ilvl w:val="1"/>
          <w:numId w:val="3"/>
        </w:numPr>
        <w:tabs>
          <w:tab w:val="left" w:pos="532"/>
          <w:tab w:val="clear" w:pos="992"/>
        </w:tabs>
        <w:spacing w:line="360" w:lineRule="auto"/>
        <w:ind w:left="0" w:firstLine="0"/>
        <w:rPr>
          <w:rFonts w:hint="eastAsia" w:ascii="宋体" w:hAnsi="宋体"/>
          <w:sz w:val="24"/>
          <w:szCs w:val="24"/>
        </w:rPr>
      </w:pPr>
      <w:r>
        <w:rPr>
          <w:rFonts w:hint="eastAsia" w:ascii="宋体" w:hAnsi="宋体"/>
          <w:sz w:val="24"/>
        </w:rPr>
        <w:t>凡受托为采购本次</w:t>
      </w:r>
      <w:r>
        <w:rPr>
          <w:rFonts w:hint="eastAsia" w:ascii="宋体" w:hAnsi="宋体"/>
          <w:sz w:val="24"/>
          <w:lang w:eastAsia="zh-CN"/>
        </w:rPr>
        <w:t>磋商</w:t>
      </w:r>
      <w:r>
        <w:rPr>
          <w:rFonts w:hint="eastAsia" w:ascii="宋体" w:hAnsi="宋体"/>
          <w:sz w:val="24"/>
        </w:rPr>
        <w:t>进行设计、编制规范和其他文件的咨询公司，及相关联的附属机构，不得参加</w:t>
      </w:r>
      <w:r>
        <w:rPr>
          <w:rFonts w:hint="eastAsia" w:ascii="宋体" w:hAnsi="宋体"/>
          <w:sz w:val="24"/>
          <w:lang w:eastAsia="zh-CN"/>
        </w:rPr>
        <w:t>本次采购活动</w:t>
      </w:r>
      <w:r>
        <w:rPr>
          <w:rFonts w:hint="eastAsia" w:ascii="宋体" w:hAnsi="宋体"/>
          <w:sz w:val="24"/>
        </w:rPr>
        <w:t>。</w:t>
      </w:r>
    </w:p>
    <w:p>
      <w:pPr>
        <w:keepNext w:val="0"/>
        <w:keepLines w:val="0"/>
        <w:pageBreakBefore w:val="0"/>
        <w:widowControl w:val="0"/>
        <w:numPr>
          <w:ilvl w:val="1"/>
          <w:numId w:val="3"/>
        </w:numPr>
        <w:tabs>
          <w:tab w:val="left" w:pos="532"/>
          <w:tab w:val="clear" w:pos="992"/>
        </w:tabs>
        <w:kinsoku/>
        <w:wordWrap/>
        <w:overflowPunct/>
        <w:topLinePunct w:val="0"/>
        <w:autoSpaceDE/>
        <w:autoSpaceDN/>
        <w:bidi w:val="0"/>
        <w:spacing w:line="360" w:lineRule="auto"/>
        <w:ind w:left="539" w:leftChars="1" w:right="0" w:rightChars="0" w:hanging="537" w:hangingChars="224"/>
        <w:jc w:val="both"/>
        <w:textAlignment w:val="auto"/>
        <w:outlineLvl w:val="9"/>
        <w:rPr>
          <w:rFonts w:hint="eastAsia" w:ascii="宋体" w:hAnsi="宋体"/>
          <w:sz w:val="24"/>
          <w:szCs w:val="24"/>
        </w:rPr>
      </w:pPr>
      <w:r>
        <w:rPr>
          <w:rFonts w:hint="eastAsia" w:ascii="宋体" w:hAnsi="宋体"/>
          <w:sz w:val="24"/>
          <w:lang w:eastAsia="zh-CN"/>
        </w:rPr>
        <w:t>供应商</w:t>
      </w:r>
      <w:r>
        <w:rPr>
          <w:rFonts w:ascii="宋体" w:hAnsi="宋体"/>
          <w:sz w:val="24"/>
        </w:rPr>
        <w:t>必须</w:t>
      </w:r>
      <w:r>
        <w:rPr>
          <w:rFonts w:hint="eastAsia" w:ascii="宋体" w:hAnsi="宋体"/>
          <w:sz w:val="24"/>
          <w:lang w:eastAsia="zh-CN"/>
        </w:rPr>
        <w:t>按照要求下载竞争性磋商</w:t>
      </w:r>
      <w:r>
        <w:rPr>
          <w:rFonts w:ascii="宋体" w:hAnsi="宋体"/>
          <w:sz w:val="24"/>
        </w:rPr>
        <w:t>文件并</w:t>
      </w:r>
      <w:r>
        <w:rPr>
          <w:rFonts w:hint="eastAsia" w:ascii="宋体" w:hAnsi="宋体"/>
          <w:sz w:val="24"/>
          <w:lang w:eastAsia="zh-CN"/>
        </w:rPr>
        <w:t>报名</w:t>
      </w:r>
      <w:r>
        <w:rPr>
          <w:rFonts w:ascii="宋体" w:hAnsi="宋体"/>
          <w:sz w:val="24"/>
        </w:rPr>
        <w:t>，未</w:t>
      </w:r>
      <w:r>
        <w:rPr>
          <w:rFonts w:hint="eastAsia" w:ascii="宋体" w:hAnsi="宋体"/>
          <w:sz w:val="24"/>
          <w:lang w:eastAsia="zh-CN"/>
        </w:rPr>
        <w:t>报名</w:t>
      </w:r>
      <w:r>
        <w:rPr>
          <w:rFonts w:ascii="宋体" w:hAnsi="宋体"/>
          <w:sz w:val="24"/>
        </w:rPr>
        <w:t>的潜在</w:t>
      </w:r>
      <w:r>
        <w:rPr>
          <w:rFonts w:hint="eastAsia" w:ascii="宋体" w:hAnsi="宋体"/>
          <w:sz w:val="24"/>
          <w:lang w:eastAsia="zh-CN"/>
        </w:rPr>
        <w:t>供应商</w:t>
      </w:r>
      <w:r>
        <w:rPr>
          <w:rFonts w:ascii="宋体" w:hAnsi="宋体"/>
          <w:sz w:val="24"/>
        </w:rPr>
        <w:t>均无资格参加本次</w:t>
      </w:r>
      <w:r>
        <w:rPr>
          <w:rFonts w:hint="eastAsia" w:ascii="宋体" w:hAnsi="宋体"/>
          <w:sz w:val="24"/>
          <w:lang w:eastAsia="zh-CN"/>
        </w:rPr>
        <w:t>采购活动</w:t>
      </w:r>
      <w:r>
        <w:rPr>
          <w:rFonts w:hint="eastAsia" w:ascii="宋体" w:hAnsi="宋体"/>
          <w:sz w:val="24"/>
        </w:rPr>
        <w:t>。</w:t>
      </w:r>
    </w:p>
    <w:p>
      <w:pPr>
        <w:pStyle w:val="98"/>
        <w:keepNext w:val="0"/>
        <w:keepLines w:val="0"/>
        <w:pageBreakBefore w:val="0"/>
        <w:widowControl w:val="0"/>
        <w:numPr>
          <w:ilvl w:val="0"/>
          <w:numId w:val="0"/>
        </w:numPr>
        <w:kinsoku/>
        <w:wordWrap/>
        <w:overflowPunct/>
        <w:topLinePunct w:val="0"/>
        <w:autoSpaceDE/>
        <w:autoSpaceDN/>
        <w:bidi w:val="0"/>
        <w:snapToGrid w:val="0"/>
        <w:spacing w:line="360" w:lineRule="auto"/>
        <w:ind w:leftChars="0" w:right="0" w:rightChars="0"/>
        <w:jc w:val="both"/>
        <w:textAlignment w:val="auto"/>
        <w:outlineLvl w:val="9"/>
        <w:rPr>
          <w:rFonts w:hint="eastAsia" w:cs="微软雅黑"/>
          <w:sz w:val="24"/>
          <w:szCs w:val="24"/>
        </w:rPr>
      </w:pPr>
      <w:r>
        <w:rPr>
          <w:rFonts w:hint="eastAsia" w:cs="微软雅黑"/>
          <w:sz w:val="24"/>
          <w:szCs w:val="24"/>
          <w:lang w:val="en-US" w:eastAsia="zh-CN"/>
        </w:rPr>
        <w:t>1.10</w:t>
      </w:r>
      <w:r>
        <w:rPr>
          <w:rFonts w:hint="eastAsia" w:cs="微软雅黑"/>
          <w:sz w:val="24"/>
          <w:szCs w:val="24"/>
        </w:rPr>
        <w:t>单位负责人为同一人或者存在直接控股、管理关系的不同供应商，不得同时参加本项目同一包</w:t>
      </w:r>
      <w:r>
        <w:rPr>
          <w:rFonts w:hint="eastAsia" w:cs="微软雅黑"/>
          <w:sz w:val="24"/>
          <w:szCs w:val="24"/>
          <w:lang w:eastAsia="zh-CN"/>
        </w:rPr>
        <w:t>磋商</w:t>
      </w:r>
      <w:r>
        <w:rPr>
          <w:rFonts w:hint="eastAsia" w:cs="微软雅黑"/>
          <w:sz w:val="24"/>
          <w:szCs w:val="24"/>
        </w:rPr>
        <w:t>。违反规定的，相关</w:t>
      </w:r>
      <w:r>
        <w:rPr>
          <w:rFonts w:hint="eastAsia" w:cs="微软雅黑"/>
          <w:sz w:val="24"/>
          <w:szCs w:val="24"/>
          <w:lang w:eastAsia="zh-CN"/>
        </w:rPr>
        <w:t>文件</w:t>
      </w:r>
      <w:r>
        <w:rPr>
          <w:rFonts w:hint="eastAsia" w:cs="微软雅黑"/>
          <w:sz w:val="24"/>
          <w:szCs w:val="24"/>
        </w:rPr>
        <w:t>均无效。</w:t>
      </w:r>
    </w:p>
    <w:p>
      <w:pPr>
        <w:pStyle w:val="98"/>
        <w:keepNext w:val="0"/>
        <w:keepLines w:val="0"/>
        <w:pageBreakBefore w:val="0"/>
        <w:widowControl w:val="0"/>
        <w:numPr>
          <w:ilvl w:val="0"/>
          <w:numId w:val="0"/>
        </w:numPr>
        <w:kinsoku/>
        <w:wordWrap/>
        <w:overflowPunct/>
        <w:topLinePunct w:val="0"/>
        <w:autoSpaceDE/>
        <w:autoSpaceDN/>
        <w:bidi w:val="0"/>
        <w:snapToGrid w:val="0"/>
        <w:spacing w:line="360" w:lineRule="auto"/>
        <w:ind w:leftChars="0" w:right="0" w:rightChars="0"/>
        <w:jc w:val="both"/>
        <w:textAlignment w:val="auto"/>
        <w:outlineLvl w:val="9"/>
        <w:rPr>
          <w:rFonts w:hint="eastAsia" w:eastAsia="宋体" w:cs="微软雅黑"/>
          <w:sz w:val="24"/>
          <w:szCs w:val="24"/>
          <w:lang w:val="en-US" w:eastAsia="zh-CN"/>
        </w:rPr>
      </w:pPr>
      <w:r>
        <w:rPr>
          <w:rFonts w:hint="eastAsia" w:cs="微软雅黑"/>
          <w:sz w:val="24"/>
          <w:szCs w:val="24"/>
          <w:lang w:val="en-US" w:eastAsia="zh-CN"/>
        </w:rPr>
        <w:t>1.11</w:t>
      </w:r>
      <w:r>
        <w:rPr>
          <w:rFonts w:hint="eastAsia" w:cs="微软雅黑"/>
          <w:sz w:val="24"/>
          <w:szCs w:val="24"/>
          <w:lang w:eastAsia="zh-CN"/>
        </w:rPr>
        <w:t>供应商</w:t>
      </w:r>
      <w:r>
        <w:rPr>
          <w:rFonts w:hint="eastAsia" w:cs="微软雅黑"/>
          <w:sz w:val="24"/>
          <w:szCs w:val="24"/>
        </w:rPr>
        <w:t>不得被列入相关部门规定的失信被执行人、重大税收违法案件当事人名单、政府采购严重违法失信行为记录名单。</w:t>
      </w:r>
    </w:p>
    <w:p>
      <w:pPr>
        <w:keepNext w:val="0"/>
        <w:keepLines w:val="0"/>
        <w:pageBreakBefore w:val="0"/>
        <w:widowControl w:val="0"/>
        <w:numPr>
          <w:ilvl w:val="0"/>
          <w:numId w:val="0"/>
        </w:numPr>
        <w:tabs>
          <w:tab w:val="left" w:pos="532"/>
        </w:tabs>
        <w:kinsoku/>
        <w:wordWrap/>
        <w:overflowPunct/>
        <w:topLinePunct w:val="0"/>
        <w:autoSpaceDE/>
        <w:autoSpaceDN/>
        <w:bidi w:val="0"/>
        <w:spacing w:line="360" w:lineRule="auto"/>
        <w:ind w:leftChars="-223" w:right="0" w:rightChars="0" w:firstLine="480" w:firstLineChars="200"/>
        <w:jc w:val="both"/>
        <w:textAlignment w:val="auto"/>
        <w:outlineLvl w:val="9"/>
        <w:rPr>
          <w:rFonts w:hint="eastAsia" w:ascii="宋体" w:hAnsi="宋体"/>
          <w:sz w:val="24"/>
          <w:szCs w:val="24"/>
        </w:rPr>
      </w:pPr>
      <w:r>
        <w:rPr>
          <w:rFonts w:hint="eastAsia" w:ascii="宋体" w:hAnsi="宋体"/>
          <w:sz w:val="24"/>
          <w:szCs w:val="24"/>
          <w:lang w:val="en-US" w:eastAsia="zh-CN"/>
        </w:rPr>
        <w:t>1.12</w:t>
      </w:r>
      <w:r>
        <w:rPr>
          <w:rFonts w:hint="eastAsia" w:ascii="宋体" w:hAnsi="宋体"/>
          <w:sz w:val="24"/>
          <w:szCs w:val="24"/>
        </w:rPr>
        <w:t>本项目不接受企业联合体形式。</w:t>
      </w:r>
    </w:p>
    <w:p>
      <w:pPr>
        <w:pStyle w:val="16"/>
        <w:keepNext w:val="0"/>
        <w:keepLines w:val="0"/>
        <w:pageBreakBefore w:val="0"/>
        <w:widowControl w:val="0"/>
        <w:kinsoku/>
        <w:wordWrap/>
        <w:overflowPunct/>
        <w:topLinePunct w:val="0"/>
        <w:autoSpaceDE/>
        <w:autoSpaceDN/>
        <w:bidi w:val="0"/>
        <w:spacing w:line="360" w:lineRule="auto"/>
        <w:ind w:right="0" w:rightChars="0"/>
        <w:jc w:val="both"/>
        <w:textAlignment w:val="auto"/>
        <w:rPr>
          <w:rFonts w:hint="eastAsia"/>
          <w:lang w:val="en-US" w:eastAsia="zh-CN"/>
        </w:rPr>
      </w:pPr>
      <w:r>
        <w:rPr>
          <w:rFonts w:hint="eastAsia" w:ascii="宋体" w:hAnsi="宋体"/>
          <w:sz w:val="24"/>
          <w:szCs w:val="24"/>
          <w:lang w:val="en-US" w:eastAsia="zh-CN"/>
        </w:rPr>
        <w:t>1.13本项目执行《北京市财政局中国人民银行营业管理部关于推进政府采购合同线上融资有关工作的通知》（京财采购[2023]637号）“政采贷”相关政策。</w:t>
      </w:r>
    </w:p>
    <w:p>
      <w:pPr>
        <w:keepNext w:val="0"/>
        <w:keepLines w:val="0"/>
        <w:pageBreakBefore w:val="0"/>
        <w:widowControl w:val="0"/>
        <w:numPr>
          <w:ilvl w:val="0"/>
          <w:numId w:val="3"/>
        </w:numPr>
        <w:tabs>
          <w:tab w:val="left" w:pos="397"/>
        </w:tabs>
        <w:kinsoku/>
        <w:wordWrap/>
        <w:overflowPunct/>
        <w:topLinePunct w:val="0"/>
        <w:autoSpaceDE/>
        <w:autoSpaceDN/>
        <w:bidi w:val="0"/>
        <w:spacing w:line="360" w:lineRule="auto"/>
        <w:ind w:left="0" w:right="0" w:rightChars="0"/>
        <w:jc w:val="both"/>
        <w:textAlignment w:val="auto"/>
        <w:outlineLvl w:val="2"/>
        <w:rPr>
          <w:rFonts w:hint="eastAsia" w:ascii="宋体" w:hAnsi="宋体"/>
          <w:b/>
          <w:sz w:val="24"/>
          <w:szCs w:val="24"/>
        </w:rPr>
      </w:pPr>
      <w:bookmarkStart w:id="9" w:name="_Toc341715960"/>
      <w:bookmarkStart w:id="10" w:name="_Toc134066974"/>
      <w:bookmarkStart w:id="11" w:name="_Toc129190709"/>
      <w:r>
        <w:rPr>
          <w:rFonts w:hint="eastAsia" w:ascii="宋体" w:hAnsi="宋体"/>
          <w:b/>
          <w:sz w:val="24"/>
          <w:szCs w:val="24"/>
          <w:lang w:eastAsia="zh-CN"/>
        </w:rPr>
        <w:t>磋商</w:t>
      </w:r>
      <w:r>
        <w:rPr>
          <w:rFonts w:hint="eastAsia" w:ascii="宋体" w:hAnsi="宋体"/>
          <w:b/>
          <w:sz w:val="24"/>
          <w:szCs w:val="24"/>
        </w:rPr>
        <w:t>委托</w:t>
      </w:r>
      <w:bookmarkEnd w:id="9"/>
      <w:bookmarkEnd w:id="10"/>
      <w:bookmarkEnd w:id="11"/>
    </w:p>
    <w:p>
      <w:pPr>
        <w:keepNext w:val="0"/>
        <w:keepLines w:val="0"/>
        <w:pageBreakBefore w:val="0"/>
        <w:widowControl w:val="0"/>
        <w:numPr>
          <w:ilvl w:val="1"/>
          <w:numId w:val="3"/>
        </w:numPr>
        <w:tabs>
          <w:tab w:val="left" w:pos="540"/>
          <w:tab w:val="clear" w:pos="992"/>
        </w:tabs>
        <w:kinsoku/>
        <w:wordWrap/>
        <w:overflowPunct/>
        <w:topLinePunct w:val="0"/>
        <w:autoSpaceDE/>
        <w:autoSpaceDN/>
        <w:bidi w:val="0"/>
        <w:spacing w:line="360" w:lineRule="auto"/>
        <w:ind w:left="0" w:right="0" w:rightChars="0" w:firstLine="0"/>
        <w:jc w:val="both"/>
        <w:textAlignment w:val="auto"/>
        <w:rPr>
          <w:rFonts w:hint="eastAsia" w:ascii="宋体" w:hAnsi="宋体"/>
          <w:sz w:val="24"/>
          <w:szCs w:val="24"/>
        </w:rPr>
      </w:pPr>
      <w:r>
        <w:rPr>
          <w:rFonts w:hint="eastAsia" w:ascii="宋体" w:hAnsi="宋体"/>
          <w:sz w:val="24"/>
          <w:szCs w:val="24"/>
          <w:lang w:eastAsia="zh-CN"/>
        </w:rPr>
        <w:t>供应商</w:t>
      </w:r>
      <w:r>
        <w:rPr>
          <w:rFonts w:hint="eastAsia" w:ascii="宋体" w:hAnsi="宋体"/>
          <w:sz w:val="24"/>
          <w:szCs w:val="24"/>
        </w:rPr>
        <w:t>代表是指</w:t>
      </w:r>
      <w:r>
        <w:rPr>
          <w:rFonts w:hint="eastAsia" w:ascii="宋体" w:hAnsi="宋体"/>
          <w:sz w:val="24"/>
          <w:szCs w:val="24"/>
          <w:lang w:eastAsia="zh-CN"/>
        </w:rPr>
        <w:t>供应商</w:t>
      </w:r>
      <w:r>
        <w:rPr>
          <w:rFonts w:hint="eastAsia" w:ascii="宋体" w:hAnsi="宋体"/>
          <w:sz w:val="24"/>
          <w:szCs w:val="24"/>
        </w:rPr>
        <w:t>的法定代表人或法定代表人授权的代理人。</w:t>
      </w:r>
    </w:p>
    <w:p>
      <w:pPr>
        <w:keepNext w:val="0"/>
        <w:keepLines w:val="0"/>
        <w:pageBreakBefore w:val="0"/>
        <w:widowControl w:val="0"/>
        <w:numPr>
          <w:ilvl w:val="1"/>
          <w:numId w:val="3"/>
        </w:numPr>
        <w:tabs>
          <w:tab w:val="left" w:pos="540"/>
          <w:tab w:val="clear" w:pos="992"/>
        </w:tabs>
        <w:kinsoku/>
        <w:wordWrap/>
        <w:overflowPunct/>
        <w:topLinePunct w:val="0"/>
        <w:autoSpaceDE/>
        <w:autoSpaceDN/>
        <w:bidi w:val="0"/>
        <w:spacing w:line="360" w:lineRule="auto"/>
        <w:ind w:left="530" w:right="0" w:rightChars="0" w:hanging="530" w:hangingChars="221"/>
        <w:jc w:val="both"/>
        <w:textAlignment w:val="auto"/>
        <w:rPr>
          <w:rFonts w:hint="eastAsia" w:ascii="宋体" w:hAnsi="宋体"/>
          <w:sz w:val="24"/>
          <w:szCs w:val="24"/>
        </w:rPr>
      </w:pPr>
      <w:r>
        <w:rPr>
          <w:rFonts w:hint="eastAsia" w:ascii="宋体" w:hAnsi="宋体"/>
          <w:sz w:val="24"/>
          <w:szCs w:val="24"/>
        </w:rPr>
        <w:t>若</w:t>
      </w:r>
      <w:r>
        <w:rPr>
          <w:rFonts w:hint="eastAsia" w:ascii="宋体" w:hAnsi="宋体"/>
          <w:sz w:val="24"/>
          <w:szCs w:val="24"/>
          <w:lang w:eastAsia="zh-CN"/>
        </w:rPr>
        <w:t>供应商</w:t>
      </w:r>
      <w:r>
        <w:rPr>
          <w:rFonts w:hint="eastAsia" w:ascii="宋体" w:hAnsi="宋体"/>
          <w:sz w:val="24"/>
          <w:szCs w:val="24"/>
        </w:rPr>
        <w:t>代表是法定代表人，</w:t>
      </w:r>
      <w:r>
        <w:rPr>
          <w:rFonts w:hint="eastAsia" w:ascii="宋体" w:hAnsi="宋体"/>
          <w:sz w:val="24"/>
          <w:szCs w:val="24"/>
          <w:lang w:eastAsia="zh-CN"/>
        </w:rPr>
        <w:t>磋商</w:t>
      </w:r>
      <w:r>
        <w:rPr>
          <w:rFonts w:hint="eastAsia" w:ascii="宋体" w:hAnsi="宋体"/>
          <w:sz w:val="24"/>
          <w:szCs w:val="24"/>
        </w:rPr>
        <w:t>时，须持有本人有效身份证明；若</w:t>
      </w:r>
      <w:r>
        <w:rPr>
          <w:rFonts w:hint="eastAsia" w:ascii="宋体" w:hAnsi="宋体"/>
          <w:sz w:val="24"/>
          <w:szCs w:val="24"/>
          <w:lang w:eastAsia="zh-CN"/>
        </w:rPr>
        <w:t>供应商</w:t>
      </w:r>
      <w:r>
        <w:rPr>
          <w:rFonts w:hint="eastAsia" w:ascii="宋体" w:hAnsi="宋体"/>
          <w:sz w:val="24"/>
          <w:szCs w:val="24"/>
        </w:rPr>
        <w:t>代表不是法定代表人，须持有《法定代表人授权书》 ( 按本</w:t>
      </w:r>
      <w:r>
        <w:rPr>
          <w:rFonts w:hint="eastAsia" w:ascii="宋体" w:hAnsi="宋体"/>
          <w:sz w:val="24"/>
          <w:szCs w:val="24"/>
          <w:lang w:eastAsia="zh-CN"/>
        </w:rPr>
        <w:t>磋商</w:t>
      </w:r>
      <w:r>
        <w:rPr>
          <w:rFonts w:hint="eastAsia" w:ascii="宋体" w:hAnsi="宋体"/>
          <w:sz w:val="24"/>
          <w:szCs w:val="24"/>
        </w:rPr>
        <w:t>文件统一格式)及本人有效身份证明。</w:t>
      </w:r>
    </w:p>
    <w:p>
      <w:pPr>
        <w:numPr>
          <w:ilvl w:val="0"/>
          <w:numId w:val="3"/>
        </w:numPr>
        <w:tabs>
          <w:tab w:val="left" w:pos="397"/>
        </w:tabs>
        <w:spacing w:line="360" w:lineRule="auto"/>
        <w:ind w:left="0"/>
        <w:outlineLvl w:val="2"/>
        <w:rPr>
          <w:rFonts w:hint="eastAsia" w:ascii="宋体" w:hAnsi="宋体"/>
          <w:b/>
          <w:sz w:val="24"/>
          <w:szCs w:val="24"/>
        </w:rPr>
      </w:pPr>
      <w:bookmarkStart w:id="12" w:name="_Toc134066975"/>
      <w:bookmarkStart w:id="13" w:name="_Toc129190710"/>
      <w:bookmarkStart w:id="14" w:name="_Toc341715961"/>
      <w:r>
        <w:rPr>
          <w:rFonts w:hint="eastAsia" w:ascii="宋体" w:hAnsi="宋体"/>
          <w:b/>
          <w:sz w:val="24"/>
          <w:szCs w:val="24"/>
          <w:lang w:eastAsia="zh-CN"/>
        </w:rPr>
        <w:t>服务</w:t>
      </w:r>
      <w:r>
        <w:rPr>
          <w:rFonts w:hint="eastAsia" w:ascii="宋体" w:hAnsi="宋体"/>
          <w:b/>
          <w:sz w:val="24"/>
          <w:szCs w:val="24"/>
        </w:rPr>
        <w:t>要求</w:t>
      </w:r>
      <w:bookmarkEnd w:id="12"/>
      <w:bookmarkEnd w:id="13"/>
      <w:bookmarkEnd w:id="14"/>
    </w:p>
    <w:p>
      <w:pPr>
        <w:tabs>
          <w:tab w:val="left" w:pos="720"/>
        </w:tabs>
        <w:spacing w:line="360" w:lineRule="auto"/>
        <w:ind w:firstLine="480" w:firstLineChars="200"/>
        <w:rPr>
          <w:rFonts w:ascii="宋体" w:hAnsi="宋体"/>
          <w:sz w:val="24"/>
          <w:szCs w:val="24"/>
        </w:rPr>
      </w:pPr>
      <w:r>
        <w:rPr>
          <w:rFonts w:hint="eastAsia" w:ascii="宋体" w:hAnsi="宋体"/>
          <w:sz w:val="24"/>
          <w:szCs w:val="24"/>
          <w:lang w:eastAsia="zh-CN"/>
        </w:rPr>
        <w:t>供应商</w:t>
      </w:r>
      <w:r>
        <w:rPr>
          <w:rFonts w:hint="eastAsia" w:ascii="宋体" w:hAnsi="宋体"/>
          <w:sz w:val="24"/>
          <w:szCs w:val="24"/>
        </w:rPr>
        <w:t>提供的服务必须满足《</w:t>
      </w:r>
      <w:r>
        <w:rPr>
          <w:rFonts w:hint="eastAsia" w:ascii="宋体" w:hAnsi="宋体"/>
          <w:sz w:val="24"/>
          <w:szCs w:val="24"/>
          <w:lang w:eastAsia="zh-CN"/>
        </w:rPr>
        <w:t>磋商</w:t>
      </w:r>
      <w:r>
        <w:rPr>
          <w:rFonts w:hint="eastAsia" w:ascii="宋体" w:hAnsi="宋体"/>
          <w:sz w:val="24"/>
          <w:szCs w:val="24"/>
        </w:rPr>
        <w:t>文件》规定的范围、内容和标准，如</w:t>
      </w:r>
      <w:r>
        <w:rPr>
          <w:rFonts w:hint="eastAsia" w:ascii="宋体" w:hAnsi="宋体"/>
          <w:sz w:val="24"/>
          <w:szCs w:val="24"/>
          <w:lang w:eastAsia="zh-CN"/>
        </w:rPr>
        <w:t>供应商</w:t>
      </w:r>
      <w:r>
        <w:rPr>
          <w:rFonts w:hint="eastAsia" w:ascii="宋体" w:hAnsi="宋体"/>
          <w:sz w:val="24"/>
          <w:szCs w:val="24"/>
        </w:rPr>
        <w:t>提供的服务标准高于《</w:t>
      </w:r>
      <w:r>
        <w:rPr>
          <w:rFonts w:hint="eastAsia" w:ascii="宋体" w:hAnsi="宋体"/>
          <w:sz w:val="24"/>
          <w:szCs w:val="24"/>
          <w:lang w:eastAsia="zh-CN"/>
        </w:rPr>
        <w:t>磋商</w:t>
      </w:r>
      <w:r>
        <w:rPr>
          <w:rFonts w:hint="eastAsia" w:ascii="宋体" w:hAnsi="宋体"/>
          <w:sz w:val="24"/>
          <w:szCs w:val="24"/>
        </w:rPr>
        <w:t>文件》规定，以高标准执行。</w:t>
      </w:r>
    </w:p>
    <w:p>
      <w:pPr>
        <w:spacing w:line="360" w:lineRule="auto"/>
        <w:rPr>
          <w:rFonts w:ascii="宋体" w:hAnsi="宋体"/>
          <w:b/>
          <w:sz w:val="24"/>
          <w:szCs w:val="24"/>
        </w:rPr>
      </w:pPr>
      <w:r>
        <w:rPr>
          <w:rFonts w:hint="eastAsia" w:ascii="宋体" w:hAnsi="宋体"/>
          <w:b/>
          <w:sz w:val="24"/>
          <w:szCs w:val="24"/>
          <w:lang w:val="en-US" w:eastAsia="zh-CN"/>
        </w:rPr>
        <w:t xml:space="preserve">4. </w:t>
      </w:r>
      <w:r>
        <w:rPr>
          <w:rFonts w:hint="eastAsia" w:ascii="宋体" w:hAnsi="宋体"/>
          <w:b/>
          <w:sz w:val="24"/>
          <w:szCs w:val="24"/>
        </w:rPr>
        <w:t>磋商费用</w:t>
      </w:r>
      <w:bookmarkEnd w:id="5"/>
    </w:p>
    <w:p>
      <w:pPr>
        <w:tabs>
          <w:tab w:val="left" w:pos="720"/>
        </w:tabs>
        <w:spacing w:line="360" w:lineRule="auto"/>
        <w:rPr>
          <w:rFonts w:ascii="宋体" w:hAnsi="宋体"/>
          <w:sz w:val="24"/>
          <w:szCs w:val="24"/>
        </w:rPr>
      </w:pPr>
      <w:r>
        <w:rPr>
          <w:rFonts w:hint="eastAsia" w:ascii="宋体" w:hAnsi="宋体"/>
          <w:sz w:val="24"/>
          <w:szCs w:val="24"/>
          <w:lang w:val="en-US" w:eastAsia="zh-CN"/>
        </w:rPr>
        <w:t>4</w:t>
      </w:r>
      <w:r>
        <w:rPr>
          <w:rFonts w:hint="eastAsia" w:ascii="宋体" w:hAnsi="宋体"/>
          <w:sz w:val="24"/>
          <w:szCs w:val="24"/>
        </w:rPr>
        <w:t xml:space="preserve">.1 </w:t>
      </w:r>
      <w:r>
        <w:rPr>
          <w:rFonts w:hint="eastAsia" w:ascii="宋体" w:hAnsi="宋体"/>
          <w:sz w:val="24"/>
          <w:szCs w:val="24"/>
          <w:lang w:eastAsia="zh-CN"/>
        </w:rPr>
        <w:t>供应商</w:t>
      </w:r>
      <w:r>
        <w:rPr>
          <w:rFonts w:hint="eastAsia" w:ascii="宋体" w:hAnsi="宋体"/>
          <w:sz w:val="24"/>
          <w:szCs w:val="24"/>
        </w:rPr>
        <w:t>应承担所有与准备和参加磋商有关的费用，不论磋商的结果如何，采购人及北京市石景山区政府采购中心均无承担的义务和责任。</w:t>
      </w:r>
    </w:p>
    <w:p>
      <w:pPr>
        <w:tabs>
          <w:tab w:val="left" w:pos="720"/>
        </w:tabs>
        <w:spacing w:line="360" w:lineRule="auto"/>
        <w:rPr>
          <w:rFonts w:ascii="宋体" w:hAnsi="宋体"/>
          <w:sz w:val="24"/>
          <w:szCs w:val="24"/>
        </w:rPr>
      </w:pPr>
      <w:r>
        <w:rPr>
          <w:rFonts w:hint="eastAsia" w:ascii="宋体" w:hAnsi="宋体"/>
          <w:sz w:val="24"/>
          <w:szCs w:val="24"/>
          <w:lang w:val="en-US" w:eastAsia="zh-CN"/>
        </w:rPr>
        <w:t>4</w:t>
      </w:r>
      <w:r>
        <w:rPr>
          <w:rFonts w:hint="eastAsia" w:ascii="宋体" w:hAnsi="宋体"/>
          <w:sz w:val="24"/>
          <w:szCs w:val="24"/>
        </w:rPr>
        <w:t>.2北京市石景山区政府采购中心不收取成交服务费。</w:t>
      </w:r>
    </w:p>
    <w:p>
      <w:pPr>
        <w:pStyle w:val="4"/>
        <w:spacing w:beforeLines="50" w:after="120" w:afterLines="50" w:line="360" w:lineRule="auto"/>
        <w:rPr>
          <w:rFonts w:ascii="宋体" w:hAnsi="宋体" w:eastAsia="宋体"/>
          <w:sz w:val="24"/>
          <w:szCs w:val="24"/>
        </w:rPr>
      </w:pPr>
      <w:bookmarkStart w:id="15" w:name="_Toc520356146"/>
      <w:r>
        <w:rPr>
          <w:rFonts w:hint="eastAsia" w:ascii="宋体" w:hAnsi="宋体" w:eastAsia="宋体"/>
          <w:sz w:val="24"/>
          <w:szCs w:val="24"/>
        </w:rPr>
        <w:t>二   竞争性磋商文件</w:t>
      </w:r>
      <w:bookmarkEnd w:id="15"/>
    </w:p>
    <w:p>
      <w:pPr>
        <w:numPr>
          <w:ilvl w:val="0"/>
          <w:numId w:val="0"/>
        </w:numPr>
        <w:spacing w:line="360" w:lineRule="auto"/>
        <w:ind w:leftChars="0"/>
        <w:rPr>
          <w:rFonts w:ascii="宋体" w:hAnsi="宋体"/>
          <w:b/>
          <w:sz w:val="24"/>
          <w:szCs w:val="24"/>
        </w:rPr>
      </w:pPr>
      <w:bookmarkStart w:id="16" w:name="_Toc520356147"/>
      <w:r>
        <w:rPr>
          <w:rFonts w:hint="eastAsia" w:ascii="宋体" w:hAnsi="宋体"/>
          <w:b/>
          <w:sz w:val="24"/>
          <w:szCs w:val="24"/>
          <w:lang w:val="en-US" w:eastAsia="zh-CN"/>
        </w:rPr>
        <w:t xml:space="preserve">5. </w:t>
      </w:r>
      <w:r>
        <w:rPr>
          <w:rFonts w:hint="eastAsia" w:ascii="宋体" w:hAnsi="宋体"/>
          <w:b/>
          <w:sz w:val="24"/>
          <w:szCs w:val="24"/>
        </w:rPr>
        <w:t>竞争性磋商文件构成</w:t>
      </w:r>
      <w:bookmarkEnd w:id="16"/>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5.1 </w:t>
      </w:r>
      <w:r>
        <w:rPr>
          <w:rFonts w:hint="eastAsia" w:ascii="宋体" w:hAnsi="宋体"/>
          <w:sz w:val="24"/>
          <w:szCs w:val="24"/>
        </w:rPr>
        <w:t xml:space="preserve"> 磋商要求提供服务的内容及详细技术需求、报价须知和合同条件等在《竞争性磋商文件》中均有说明。</w:t>
      </w:r>
    </w:p>
    <w:p>
      <w:pPr>
        <w:spacing w:line="360" w:lineRule="auto"/>
        <w:ind w:left="514" w:leftChars="245" w:firstLine="240" w:firstLineChars="100"/>
        <w:rPr>
          <w:rFonts w:ascii="宋体" w:hAnsi="宋体"/>
          <w:sz w:val="24"/>
          <w:szCs w:val="24"/>
        </w:rPr>
      </w:pPr>
      <w:r>
        <w:rPr>
          <w:rFonts w:hint="eastAsia" w:ascii="宋体" w:hAnsi="宋体"/>
          <w:sz w:val="24"/>
          <w:szCs w:val="24"/>
        </w:rPr>
        <w:t>《竞争性磋商文件》共</w:t>
      </w:r>
      <w:r>
        <w:rPr>
          <w:rFonts w:hint="eastAsia" w:ascii="宋体" w:hAnsi="宋体"/>
          <w:sz w:val="24"/>
          <w:szCs w:val="24"/>
          <w:lang w:eastAsia="zh-CN"/>
        </w:rPr>
        <w:t>六</w:t>
      </w:r>
      <w:r>
        <w:rPr>
          <w:rFonts w:hint="eastAsia" w:ascii="宋体" w:hAnsi="宋体"/>
          <w:sz w:val="24"/>
          <w:szCs w:val="24"/>
        </w:rPr>
        <w:t>部分，内容如下：</w:t>
      </w:r>
    </w:p>
    <w:p>
      <w:pPr>
        <w:spacing w:line="360" w:lineRule="auto"/>
        <w:ind w:left="900"/>
        <w:rPr>
          <w:rFonts w:ascii="宋体" w:hAnsi="宋体"/>
          <w:color w:val="auto"/>
          <w:sz w:val="24"/>
          <w:szCs w:val="24"/>
        </w:rPr>
      </w:pPr>
      <w:r>
        <w:rPr>
          <w:rFonts w:hint="eastAsia" w:ascii="宋体" w:hAnsi="宋体"/>
          <w:color w:val="auto"/>
          <w:sz w:val="24"/>
          <w:szCs w:val="24"/>
        </w:rPr>
        <w:t>第一部分  竞争性磋商邀请</w:t>
      </w:r>
    </w:p>
    <w:p>
      <w:pPr>
        <w:spacing w:line="360" w:lineRule="auto"/>
        <w:ind w:left="900"/>
        <w:rPr>
          <w:rFonts w:ascii="宋体" w:hAnsi="宋体"/>
          <w:color w:val="auto"/>
          <w:sz w:val="24"/>
          <w:szCs w:val="24"/>
        </w:rPr>
      </w:pPr>
      <w:r>
        <w:rPr>
          <w:rFonts w:hint="eastAsia" w:ascii="宋体" w:hAnsi="宋体"/>
          <w:color w:val="auto"/>
          <w:sz w:val="24"/>
          <w:szCs w:val="24"/>
        </w:rPr>
        <w:t xml:space="preserve">第二部分  </w:t>
      </w:r>
      <w:r>
        <w:rPr>
          <w:rFonts w:hint="eastAsia" w:ascii="宋体" w:hAnsi="宋体"/>
          <w:color w:val="auto"/>
          <w:sz w:val="24"/>
          <w:szCs w:val="24"/>
          <w:lang w:eastAsia="zh-CN"/>
        </w:rPr>
        <w:t>供应商</w:t>
      </w:r>
      <w:r>
        <w:rPr>
          <w:rFonts w:hint="eastAsia" w:ascii="宋体" w:hAnsi="宋体"/>
          <w:color w:val="auto"/>
          <w:sz w:val="24"/>
          <w:szCs w:val="24"/>
        </w:rPr>
        <w:t>须知</w:t>
      </w:r>
    </w:p>
    <w:p>
      <w:pPr>
        <w:spacing w:line="360" w:lineRule="auto"/>
        <w:ind w:left="895"/>
        <w:rPr>
          <w:rFonts w:ascii="宋体" w:hAnsi="宋体"/>
          <w:color w:val="auto"/>
          <w:sz w:val="24"/>
          <w:szCs w:val="24"/>
        </w:rPr>
      </w:pPr>
      <w:r>
        <w:rPr>
          <w:rFonts w:hint="eastAsia" w:ascii="宋体" w:hAnsi="宋体"/>
          <w:color w:val="auto"/>
          <w:sz w:val="24"/>
          <w:szCs w:val="24"/>
        </w:rPr>
        <w:t>第三部分  服务</w:t>
      </w:r>
      <w:r>
        <w:rPr>
          <w:rFonts w:hint="eastAsia" w:ascii="宋体" w:hAnsi="宋体"/>
          <w:color w:val="auto"/>
          <w:sz w:val="24"/>
          <w:szCs w:val="24"/>
          <w:lang w:eastAsia="zh-CN"/>
        </w:rPr>
        <w:t>内容及</w:t>
      </w:r>
      <w:r>
        <w:rPr>
          <w:rFonts w:hint="eastAsia" w:ascii="宋体" w:hAnsi="宋体"/>
          <w:color w:val="auto"/>
          <w:sz w:val="24"/>
          <w:szCs w:val="24"/>
        </w:rPr>
        <w:t>要求</w:t>
      </w:r>
    </w:p>
    <w:p>
      <w:pPr>
        <w:spacing w:line="360" w:lineRule="auto"/>
        <w:ind w:left="895"/>
        <w:rPr>
          <w:rFonts w:hint="eastAsia" w:ascii="宋体" w:hAnsi="宋体"/>
          <w:color w:val="auto"/>
          <w:sz w:val="24"/>
          <w:szCs w:val="24"/>
        </w:rPr>
      </w:pPr>
      <w:r>
        <w:rPr>
          <w:rFonts w:hint="eastAsia" w:ascii="宋体" w:hAnsi="宋体"/>
          <w:color w:val="auto"/>
          <w:sz w:val="24"/>
          <w:szCs w:val="24"/>
        </w:rPr>
        <w:t>第四部分  响应文件格式</w:t>
      </w:r>
    </w:p>
    <w:p>
      <w:pPr>
        <w:spacing w:line="360" w:lineRule="auto"/>
        <w:ind w:left="895"/>
        <w:rPr>
          <w:rFonts w:hint="eastAsia" w:ascii="宋体" w:hAnsi="宋体"/>
          <w:color w:val="auto"/>
          <w:sz w:val="24"/>
          <w:szCs w:val="24"/>
          <w:lang w:val="en-US" w:eastAsia="zh-CN"/>
        </w:rPr>
      </w:pPr>
      <w:r>
        <w:rPr>
          <w:rFonts w:hint="eastAsia" w:ascii="宋体" w:hAnsi="宋体"/>
          <w:color w:val="auto"/>
          <w:sz w:val="24"/>
          <w:szCs w:val="24"/>
          <w:lang w:eastAsia="zh-CN"/>
        </w:rPr>
        <w:t>第五部分</w:t>
      </w:r>
      <w:r>
        <w:rPr>
          <w:rFonts w:hint="eastAsia" w:ascii="宋体" w:hAnsi="宋体"/>
          <w:color w:val="auto"/>
          <w:sz w:val="24"/>
          <w:szCs w:val="24"/>
          <w:lang w:val="en-US" w:eastAsia="zh-CN"/>
        </w:rPr>
        <w:t xml:space="preserve">  评审办法</w:t>
      </w:r>
    </w:p>
    <w:p>
      <w:pPr>
        <w:spacing w:line="360" w:lineRule="auto"/>
        <w:ind w:left="895"/>
        <w:rPr>
          <w:rFonts w:hint="eastAsia" w:ascii="宋体" w:hAnsi="宋体"/>
          <w:color w:val="auto"/>
          <w:sz w:val="24"/>
          <w:szCs w:val="24"/>
          <w:lang w:val="en-US" w:eastAsia="zh-CN"/>
        </w:rPr>
      </w:pPr>
      <w:r>
        <w:rPr>
          <w:rFonts w:hint="eastAsia" w:ascii="宋体" w:hAnsi="宋体"/>
          <w:color w:val="auto"/>
          <w:sz w:val="24"/>
          <w:szCs w:val="24"/>
          <w:lang w:val="en-US" w:eastAsia="zh-CN"/>
        </w:rPr>
        <w:t>第六部分  合同格式</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5.2  </w:t>
      </w:r>
      <w:r>
        <w:rPr>
          <w:rFonts w:hint="eastAsia" w:ascii="宋体" w:hAnsi="宋体"/>
          <w:sz w:val="24"/>
          <w:szCs w:val="24"/>
          <w:lang w:eastAsia="zh-CN"/>
        </w:rPr>
        <w:t>供应商</w:t>
      </w:r>
      <w:r>
        <w:rPr>
          <w:rFonts w:hint="eastAsia" w:ascii="宋体" w:hAnsi="宋体"/>
          <w:sz w:val="24"/>
          <w:szCs w:val="24"/>
        </w:rPr>
        <w:t>应认真阅读《竞争性磋商文件》所有的事项、格式、条款和技术规范等。如</w:t>
      </w:r>
      <w:r>
        <w:rPr>
          <w:rFonts w:hint="eastAsia" w:ascii="宋体" w:hAnsi="宋体"/>
          <w:sz w:val="24"/>
          <w:szCs w:val="24"/>
          <w:lang w:eastAsia="zh-CN"/>
        </w:rPr>
        <w:t>供应商</w:t>
      </w:r>
      <w:r>
        <w:rPr>
          <w:rFonts w:hint="eastAsia" w:ascii="宋体" w:hAnsi="宋体"/>
          <w:sz w:val="24"/>
          <w:szCs w:val="24"/>
        </w:rPr>
        <w:t>没有按照《竞争性磋商文件》要求提交全部资料，或者响应文件没有对《竞争性磋商文件》在各方面做出实质性响应是</w:t>
      </w:r>
      <w:r>
        <w:rPr>
          <w:rFonts w:hint="eastAsia" w:ascii="宋体" w:hAnsi="宋体"/>
          <w:sz w:val="24"/>
          <w:szCs w:val="24"/>
          <w:lang w:eastAsia="zh-CN"/>
        </w:rPr>
        <w:t>供应商</w:t>
      </w:r>
      <w:r>
        <w:rPr>
          <w:rFonts w:hint="eastAsia" w:ascii="宋体" w:hAnsi="宋体"/>
          <w:sz w:val="24"/>
          <w:szCs w:val="24"/>
        </w:rPr>
        <w:t>的风险，并可能导致其磋商被拒绝。</w:t>
      </w:r>
    </w:p>
    <w:p>
      <w:pPr>
        <w:numPr>
          <w:ilvl w:val="0"/>
          <w:numId w:val="0"/>
        </w:numPr>
        <w:spacing w:line="360" w:lineRule="auto"/>
        <w:ind w:leftChars="0"/>
        <w:rPr>
          <w:rFonts w:ascii="宋体" w:hAnsi="宋体"/>
          <w:b/>
          <w:sz w:val="24"/>
          <w:szCs w:val="24"/>
        </w:rPr>
      </w:pPr>
      <w:bookmarkStart w:id="17" w:name="_Toc520356148"/>
      <w:r>
        <w:rPr>
          <w:rFonts w:hint="eastAsia" w:ascii="宋体" w:hAnsi="宋体"/>
          <w:b/>
          <w:sz w:val="24"/>
          <w:szCs w:val="24"/>
          <w:lang w:val="en-US" w:eastAsia="zh-CN"/>
        </w:rPr>
        <w:t xml:space="preserve">6.  </w:t>
      </w:r>
      <w:r>
        <w:rPr>
          <w:rFonts w:hint="eastAsia" w:ascii="宋体" w:hAnsi="宋体"/>
          <w:b/>
          <w:sz w:val="24"/>
          <w:szCs w:val="24"/>
        </w:rPr>
        <w:t>竞争性磋商文件的澄清</w:t>
      </w:r>
      <w:bookmarkEnd w:id="17"/>
      <w:r>
        <w:rPr>
          <w:rFonts w:hint="eastAsia" w:ascii="宋体" w:hAnsi="宋体"/>
          <w:b/>
          <w:sz w:val="24"/>
          <w:szCs w:val="24"/>
        </w:rPr>
        <w:t>或修改</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6.1 </w:t>
      </w:r>
      <w:r>
        <w:rPr>
          <w:rFonts w:hint="eastAsia" w:ascii="宋体" w:hAnsi="宋体"/>
          <w:sz w:val="24"/>
          <w:szCs w:val="24"/>
        </w:rPr>
        <w:t>任何要求对《竞争性磋商文件》进行澄清的</w:t>
      </w:r>
      <w:r>
        <w:rPr>
          <w:rFonts w:hint="eastAsia" w:ascii="宋体" w:hAnsi="宋体"/>
          <w:sz w:val="24"/>
          <w:szCs w:val="24"/>
          <w:lang w:eastAsia="zh-CN"/>
        </w:rPr>
        <w:t>供应商</w:t>
      </w:r>
      <w:r>
        <w:rPr>
          <w:rFonts w:hint="eastAsia" w:ascii="宋体" w:hAnsi="宋体"/>
          <w:sz w:val="24"/>
          <w:szCs w:val="24"/>
        </w:rPr>
        <w:t>，均应以书面形式在答疑时间前</w:t>
      </w:r>
      <w:r>
        <w:rPr>
          <w:rFonts w:ascii="宋体" w:hAnsi="宋体"/>
          <w:sz w:val="24"/>
          <w:szCs w:val="24"/>
        </w:rPr>
        <w:t>通知北京市石景山区政府采购中心。北京市石景山区政府采购中心将</w:t>
      </w:r>
      <w:r>
        <w:rPr>
          <w:rFonts w:hint="eastAsia" w:ascii="宋体" w:hAnsi="宋体"/>
          <w:sz w:val="24"/>
          <w:szCs w:val="24"/>
        </w:rPr>
        <w:t>对认为有必要澄清的问题在递交响应文件截止时间5</w:t>
      </w:r>
      <w:r>
        <w:rPr>
          <w:rFonts w:ascii="宋体" w:hAnsi="宋体"/>
          <w:sz w:val="24"/>
          <w:szCs w:val="24"/>
        </w:rPr>
        <w:t>日前予以</w:t>
      </w:r>
      <w:r>
        <w:rPr>
          <w:rFonts w:hint="eastAsia" w:ascii="宋体" w:hAnsi="宋体"/>
          <w:sz w:val="24"/>
          <w:szCs w:val="24"/>
          <w:lang w:eastAsia="zh-CN"/>
        </w:rPr>
        <w:t>书面</w:t>
      </w:r>
      <w:r>
        <w:rPr>
          <w:rFonts w:ascii="宋体" w:hAnsi="宋体"/>
          <w:sz w:val="24"/>
          <w:szCs w:val="24"/>
        </w:rPr>
        <w:t>答复（答复中不包括问题的来源）。</w:t>
      </w:r>
      <w:r>
        <w:rPr>
          <w:rFonts w:hint="eastAsia" w:ascii="宋体" w:hAnsi="宋体"/>
          <w:sz w:val="24"/>
          <w:szCs w:val="24"/>
        </w:rPr>
        <w:t>《竞争性磋商文件》的修改、补充或更正，均以书面形式通知下载《竞争性磋商文件》的潜在</w:t>
      </w:r>
      <w:r>
        <w:rPr>
          <w:rFonts w:hint="eastAsia" w:ascii="宋体" w:hAnsi="宋体"/>
          <w:sz w:val="24"/>
          <w:szCs w:val="24"/>
          <w:lang w:eastAsia="zh-CN"/>
        </w:rPr>
        <w:t>供应商</w:t>
      </w:r>
      <w:r>
        <w:rPr>
          <w:rFonts w:hint="eastAsia" w:ascii="宋体" w:hAnsi="宋体"/>
          <w:sz w:val="24"/>
          <w:szCs w:val="24"/>
        </w:rPr>
        <w:t>，并对其具有约束力。</w:t>
      </w:r>
      <w:r>
        <w:rPr>
          <w:rFonts w:hint="eastAsia" w:ascii="宋体" w:hAnsi="宋体"/>
          <w:sz w:val="24"/>
          <w:szCs w:val="24"/>
          <w:lang w:eastAsia="zh-CN"/>
        </w:rPr>
        <w:t>供应商</w:t>
      </w:r>
      <w:r>
        <w:rPr>
          <w:rFonts w:hint="eastAsia" w:ascii="宋体" w:hAnsi="宋体"/>
          <w:sz w:val="24"/>
          <w:szCs w:val="24"/>
        </w:rPr>
        <w:t>在收到上述通知后，应立即向北京市石景山区政府采购中心回函确认。</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6.2 </w:t>
      </w:r>
      <w:r>
        <w:rPr>
          <w:rFonts w:hint="eastAsia" w:ascii="宋体" w:hAnsi="宋体"/>
          <w:sz w:val="24"/>
          <w:szCs w:val="24"/>
        </w:rPr>
        <w:t>为使</w:t>
      </w:r>
      <w:r>
        <w:rPr>
          <w:rFonts w:hint="eastAsia" w:ascii="宋体" w:hAnsi="宋体"/>
          <w:sz w:val="24"/>
          <w:szCs w:val="24"/>
          <w:lang w:eastAsia="zh-CN"/>
        </w:rPr>
        <w:t>供应商</w:t>
      </w:r>
      <w:r>
        <w:rPr>
          <w:rFonts w:hint="eastAsia" w:ascii="宋体" w:hAnsi="宋体"/>
          <w:sz w:val="24"/>
          <w:szCs w:val="24"/>
        </w:rPr>
        <w:t>准备报价时有足够的时间对《竞争性磋商文件》的修改部分进行响应，北京市石景山区政府采购中心有权决定是否顺延提交首次响应文件截止时间。</w:t>
      </w:r>
    </w:p>
    <w:p>
      <w:pPr>
        <w:pStyle w:val="4"/>
        <w:spacing w:beforeLines="50" w:after="120" w:afterLines="50" w:line="360" w:lineRule="auto"/>
        <w:rPr>
          <w:rFonts w:ascii="宋体" w:hAnsi="宋体" w:eastAsia="宋体"/>
          <w:sz w:val="24"/>
          <w:szCs w:val="24"/>
        </w:rPr>
      </w:pPr>
      <w:bookmarkStart w:id="18" w:name="_Toc516367020"/>
      <w:bookmarkStart w:id="19" w:name="_Toc520356150"/>
      <w:r>
        <w:rPr>
          <w:rFonts w:hint="eastAsia" w:ascii="宋体" w:hAnsi="宋体" w:eastAsia="宋体"/>
          <w:sz w:val="24"/>
          <w:szCs w:val="24"/>
        </w:rPr>
        <w:t>三   响应文件</w:t>
      </w:r>
      <w:bookmarkEnd w:id="18"/>
      <w:r>
        <w:rPr>
          <w:rFonts w:hint="eastAsia" w:ascii="宋体" w:hAnsi="宋体" w:eastAsia="宋体"/>
          <w:sz w:val="24"/>
          <w:szCs w:val="24"/>
        </w:rPr>
        <w:t>的编制</w:t>
      </w:r>
      <w:bookmarkEnd w:id="19"/>
    </w:p>
    <w:p>
      <w:pPr>
        <w:numPr>
          <w:ilvl w:val="0"/>
          <w:numId w:val="0"/>
        </w:numPr>
        <w:spacing w:line="360" w:lineRule="auto"/>
        <w:ind w:leftChars="0"/>
        <w:rPr>
          <w:rFonts w:ascii="宋体" w:hAnsi="宋体"/>
          <w:b/>
          <w:sz w:val="24"/>
          <w:szCs w:val="24"/>
        </w:rPr>
      </w:pPr>
      <w:bookmarkStart w:id="20" w:name="_Toc520356151"/>
      <w:bookmarkStart w:id="21" w:name="_Toc516367021"/>
      <w:r>
        <w:rPr>
          <w:rFonts w:hint="eastAsia" w:ascii="宋体" w:hAnsi="宋体"/>
          <w:b/>
          <w:sz w:val="24"/>
          <w:szCs w:val="24"/>
          <w:lang w:val="en-US" w:eastAsia="zh-CN"/>
        </w:rPr>
        <w:t xml:space="preserve">7. </w:t>
      </w:r>
      <w:r>
        <w:rPr>
          <w:rFonts w:hint="eastAsia" w:ascii="宋体" w:hAnsi="宋体"/>
          <w:b/>
          <w:sz w:val="24"/>
          <w:szCs w:val="24"/>
        </w:rPr>
        <w:t>报价范围及响应文件中计量单位的使用</w:t>
      </w:r>
      <w:bookmarkEnd w:id="20"/>
      <w:bookmarkEnd w:id="21"/>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7.1 </w:t>
      </w:r>
      <w:r>
        <w:rPr>
          <w:rFonts w:hint="eastAsia" w:ascii="宋体" w:hAnsi="宋体"/>
          <w:sz w:val="24"/>
          <w:szCs w:val="24"/>
          <w:lang w:eastAsia="zh-CN"/>
        </w:rPr>
        <w:t>供应商</w:t>
      </w:r>
      <w:r>
        <w:rPr>
          <w:rFonts w:hint="eastAsia" w:ascii="宋体" w:hAnsi="宋体"/>
          <w:sz w:val="24"/>
          <w:szCs w:val="24"/>
        </w:rPr>
        <w:t>可对《竞争性磋商文件》中所列的所有服务进行报价，不得将同一包中的内容拆开报价。</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7.2 </w:t>
      </w:r>
      <w:r>
        <w:rPr>
          <w:rFonts w:hint="eastAsia" w:ascii="宋体" w:hAnsi="宋体"/>
          <w:sz w:val="24"/>
          <w:szCs w:val="24"/>
        </w:rPr>
        <w:t>《响应文件》中所使用的计量单位，除《竞争性磋商文件》中有特殊要求外，应采用中华人民共和国法定计量单位。</w:t>
      </w:r>
    </w:p>
    <w:p>
      <w:pPr>
        <w:numPr>
          <w:ilvl w:val="0"/>
          <w:numId w:val="0"/>
        </w:numPr>
        <w:spacing w:line="360" w:lineRule="auto"/>
        <w:ind w:leftChars="0"/>
        <w:rPr>
          <w:rFonts w:ascii="宋体" w:hAnsi="宋体"/>
          <w:b/>
          <w:sz w:val="24"/>
          <w:szCs w:val="24"/>
        </w:rPr>
      </w:pPr>
      <w:bookmarkStart w:id="22" w:name="_Toc520356152"/>
      <w:r>
        <w:rPr>
          <w:rFonts w:hint="eastAsia" w:ascii="宋体" w:hAnsi="宋体"/>
          <w:b/>
          <w:sz w:val="24"/>
          <w:szCs w:val="24"/>
          <w:lang w:val="en-US" w:eastAsia="zh-CN"/>
        </w:rPr>
        <w:t xml:space="preserve">8. </w:t>
      </w:r>
      <w:r>
        <w:rPr>
          <w:rFonts w:hint="eastAsia" w:ascii="宋体" w:hAnsi="宋体"/>
          <w:b/>
          <w:sz w:val="24"/>
          <w:szCs w:val="24"/>
        </w:rPr>
        <w:t>响应文件构成</w:t>
      </w:r>
      <w:bookmarkEnd w:id="22"/>
    </w:p>
    <w:p>
      <w:pPr>
        <w:tabs>
          <w:tab w:val="left" w:pos="720"/>
        </w:tabs>
        <w:spacing w:line="360" w:lineRule="auto"/>
        <w:rPr>
          <w:rFonts w:hint="eastAsia" w:ascii="宋体" w:hAnsi="宋体"/>
          <w:sz w:val="24"/>
          <w:szCs w:val="24"/>
        </w:rPr>
      </w:pPr>
      <w:bookmarkStart w:id="23" w:name="_Ref467052588"/>
      <w:r>
        <w:rPr>
          <w:rFonts w:hint="eastAsia" w:ascii="宋体" w:hAnsi="宋体"/>
          <w:sz w:val="24"/>
          <w:szCs w:val="24"/>
          <w:lang w:eastAsia="zh-CN"/>
        </w:rPr>
        <w:t>供应商</w:t>
      </w:r>
      <w:r>
        <w:rPr>
          <w:rFonts w:hint="eastAsia" w:ascii="宋体" w:hAnsi="宋体"/>
          <w:sz w:val="24"/>
          <w:szCs w:val="24"/>
        </w:rPr>
        <w:t>应完整地按《竞争性磋商文件》第四部分“响应文件格式”提供的响应文件格式</w:t>
      </w:r>
      <w:r>
        <w:rPr>
          <w:rFonts w:hint="eastAsia" w:ascii="宋体" w:hAnsi="宋体"/>
          <w:sz w:val="24"/>
          <w:szCs w:val="24"/>
          <w:lang w:eastAsia="zh-CN"/>
        </w:rPr>
        <w:t>及顺序编制</w:t>
      </w:r>
      <w:r>
        <w:rPr>
          <w:rFonts w:hint="eastAsia" w:ascii="宋体" w:hAnsi="宋体"/>
          <w:sz w:val="24"/>
          <w:szCs w:val="24"/>
        </w:rPr>
        <w:t>《响应文件</w:t>
      </w:r>
      <w:bookmarkEnd w:id="23"/>
      <w:r>
        <w:rPr>
          <w:rFonts w:hint="eastAsia" w:ascii="宋体" w:hAnsi="宋体"/>
          <w:sz w:val="24"/>
          <w:szCs w:val="24"/>
        </w:rPr>
        <w:t>》。</w:t>
      </w:r>
    </w:p>
    <w:p>
      <w:pPr>
        <w:numPr>
          <w:ilvl w:val="0"/>
          <w:numId w:val="0"/>
        </w:numPr>
        <w:spacing w:line="360" w:lineRule="auto"/>
        <w:ind w:leftChars="0"/>
        <w:rPr>
          <w:rFonts w:ascii="宋体" w:hAnsi="宋体"/>
          <w:b/>
          <w:sz w:val="24"/>
          <w:szCs w:val="24"/>
        </w:rPr>
      </w:pPr>
      <w:bookmarkStart w:id="24" w:name="_Toc520356155"/>
      <w:r>
        <w:rPr>
          <w:rFonts w:hint="eastAsia" w:ascii="宋体" w:hAnsi="宋体"/>
          <w:b/>
          <w:sz w:val="24"/>
          <w:szCs w:val="24"/>
          <w:lang w:val="en-US" w:eastAsia="zh-CN"/>
        </w:rPr>
        <w:t xml:space="preserve">9. </w:t>
      </w:r>
      <w:r>
        <w:rPr>
          <w:rFonts w:hint="eastAsia" w:ascii="宋体" w:hAnsi="宋体"/>
          <w:b/>
          <w:sz w:val="24"/>
          <w:szCs w:val="24"/>
        </w:rPr>
        <w:t>报价</w:t>
      </w:r>
      <w:bookmarkEnd w:id="24"/>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9.1 </w:t>
      </w:r>
      <w:r>
        <w:rPr>
          <w:rFonts w:hint="eastAsia" w:ascii="宋体" w:hAnsi="宋体"/>
          <w:sz w:val="24"/>
          <w:szCs w:val="24"/>
        </w:rPr>
        <w:t>所有磋商均以人民币报价，</w:t>
      </w:r>
      <w:r>
        <w:rPr>
          <w:rFonts w:hint="eastAsia" w:ascii="宋体" w:hAnsi="宋体"/>
          <w:sz w:val="24"/>
          <w:szCs w:val="24"/>
          <w:lang w:eastAsia="zh-CN"/>
        </w:rPr>
        <w:t>供应商</w:t>
      </w:r>
      <w:r>
        <w:rPr>
          <w:rFonts w:hint="eastAsia" w:ascii="宋体" w:hAnsi="宋体"/>
          <w:sz w:val="24"/>
          <w:szCs w:val="24"/>
        </w:rPr>
        <w:t>的报价应遵守《中华人民共和国价格法》。</w:t>
      </w:r>
    </w:p>
    <w:p>
      <w:pPr>
        <w:numPr>
          <w:ilvl w:val="0"/>
          <w:numId w:val="0"/>
        </w:numPr>
        <w:spacing w:line="360" w:lineRule="auto"/>
        <w:ind w:leftChars="0"/>
        <w:rPr>
          <w:rFonts w:ascii="宋体" w:hAnsi="宋体"/>
          <w:sz w:val="24"/>
          <w:szCs w:val="24"/>
        </w:rPr>
      </w:pPr>
      <w:r>
        <w:rPr>
          <w:rFonts w:hint="eastAsia" w:ascii="宋体" w:hAnsi="宋体"/>
          <w:sz w:val="24"/>
          <w:szCs w:val="24"/>
          <w:lang w:val="en-US" w:eastAsia="zh-CN"/>
        </w:rPr>
        <w:t xml:space="preserve">9.2 </w:t>
      </w:r>
      <w:r>
        <w:rPr>
          <w:rFonts w:hint="eastAsia" w:ascii="宋体" w:hAnsi="宋体"/>
          <w:sz w:val="24"/>
          <w:szCs w:val="24"/>
        </w:rPr>
        <w:t>每种服务只能有一个报价，</w:t>
      </w:r>
      <w:r>
        <w:rPr>
          <w:rFonts w:hint="eastAsia" w:ascii="宋体" w:hAnsi="宋体"/>
          <w:sz w:val="24"/>
          <w:szCs w:val="24"/>
          <w:lang w:val="zh-CN"/>
        </w:rPr>
        <w:t>任何有选择的或可调整的报价将被视为非实质性响应，其响应文件无效。</w:t>
      </w:r>
    </w:p>
    <w:p>
      <w:pPr>
        <w:numPr>
          <w:ilvl w:val="0"/>
          <w:numId w:val="0"/>
        </w:numPr>
        <w:spacing w:line="360" w:lineRule="auto"/>
        <w:ind w:leftChars="0"/>
        <w:rPr>
          <w:rFonts w:ascii="宋体" w:hAnsi="宋体"/>
          <w:sz w:val="24"/>
          <w:szCs w:val="24"/>
        </w:rPr>
      </w:pPr>
      <w:bookmarkStart w:id="25" w:name="_Ref467306513"/>
      <w:bookmarkStart w:id="26" w:name="_Toc520356156"/>
      <w:r>
        <w:rPr>
          <w:rFonts w:hint="eastAsia" w:ascii="宋体" w:hAnsi="宋体"/>
          <w:b/>
          <w:sz w:val="24"/>
          <w:szCs w:val="24"/>
          <w:lang w:val="en-US" w:eastAsia="zh-CN"/>
        </w:rPr>
        <w:t xml:space="preserve">10. </w:t>
      </w:r>
      <w:r>
        <w:rPr>
          <w:rFonts w:hint="eastAsia" w:ascii="宋体" w:hAnsi="宋体"/>
          <w:b/>
          <w:sz w:val="24"/>
          <w:szCs w:val="24"/>
        </w:rPr>
        <w:t>磋商保证金</w:t>
      </w:r>
      <w:bookmarkEnd w:id="25"/>
      <w:bookmarkEnd w:id="26"/>
      <w:r>
        <w:rPr>
          <w:rFonts w:hint="eastAsia" w:ascii="宋体" w:hAnsi="宋体"/>
          <w:b/>
          <w:sz w:val="24"/>
          <w:szCs w:val="24"/>
          <w:lang w:eastAsia="zh-CN"/>
        </w:rPr>
        <w:t>：</w:t>
      </w:r>
      <w:r>
        <w:rPr>
          <w:rFonts w:hint="eastAsia" w:ascii="宋体" w:hAnsi="宋体"/>
          <w:sz w:val="24"/>
          <w:szCs w:val="24"/>
        </w:rPr>
        <w:t>本次竞争性磋商项目不收取保证金。</w:t>
      </w:r>
    </w:p>
    <w:p>
      <w:pPr>
        <w:numPr>
          <w:ilvl w:val="0"/>
          <w:numId w:val="0"/>
        </w:numPr>
        <w:spacing w:line="360" w:lineRule="auto"/>
        <w:ind w:leftChars="0"/>
        <w:rPr>
          <w:rFonts w:ascii="宋体" w:hAnsi="宋体"/>
          <w:b/>
          <w:sz w:val="24"/>
          <w:szCs w:val="24"/>
        </w:rPr>
      </w:pPr>
      <w:bookmarkStart w:id="27" w:name="_Toc520356157"/>
      <w:r>
        <w:rPr>
          <w:rFonts w:hint="eastAsia" w:ascii="宋体" w:hAnsi="宋体"/>
          <w:b/>
          <w:sz w:val="24"/>
          <w:szCs w:val="24"/>
          <w:lang w:val="en-US" w:eastAsia="zh-CN"/>
        </w:rPr>
        <w:t xml:space="preserve">11. </w:t>
      </w:r>
      <w:r>
        <w:rPr>
          <w:rFonts w:hint="eastAsia" w:ascii="宋体" w:hAnsi="宋体"/>
          <w:b/>
          <w:sz w:val="24"/>
          <w:szCs w:val="24"/>
        </w:rPr>
        <w:t>磋商有效期</w:t>
      </w:r>
      <w:bookmarkEnd w:id="27"/>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11.1 </w:t>
      </w:r>
      <w:r>
        <w:rPr>
          <w:rFonts w:hint="eastAsia" w:ascii="宋体" w:hAnsi="宋体"/>
          <w:sz w:val="24"/>
          <w:szCs w:val="24"/>
        </w:rPr>
        <w:t>报价应在规定的磋商日后的</w:t>
      </w:r>
      <w:r>
        <w:rPr>
          <w:rFonts w:hint="eastAsia" w:ascii="宋体" w:hAnsi="宋体"/>
          <w:sz w:val="24"/>
          <w:szCs w:val="24"/>
          <w:u w:val="single"/>
        </w:rPr>
        <w:t xml:space="preserve"> 90 </w:t>
      </w:r>
      <w:r>
        <w:rPr>
          <w:rFonts w:hint="eastAsia" w:ascii="宋体" w:hAnsi="宋体"/>
          <w:sz w:val="24"/>
          <w:szCs w:val="24"/>
        </w:rPr>
        <w:t>天内保持有效，有效期不满足要求的《响应文件》将做无效处理。</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11.2</w:t>
      </w:r>
      <w:r>
        <w:rPr>
          <w:rFonts w:hint="eastAsia" w:ascii="宋体" w:hAnsi="宋体"/>
          <w:sz w:val="24"/>
          <w:szCs w:val="24"/>
        </w:rPr>
        <w:t>北京市石景山区政府采购中心可根据实际情况，在原有效期截止之前，要求</w:t>
      </w:r>
      <w:r>
        <w:rPr>
          <w:rFonts w:hint="eastAsia" w:ascii="宋体" w:hAnsi="宋体"/>
          <w:sz w:val="24"/>
          <w:szCs w:val="24"/>
          <w:lang w:eastAsia="zh-CN"/>
        </w:rPr>
        <w:t>供应商</w:t>
      </w:r>
      <w:r>
        <w:rPr>
          <w:rFonts w:hint="eastAsia" w:ascii="宋体" w:hAnsi="宋体"/>
          <w:sz w:val="24"/>
          <w:szCs w:val="24"/>
        </w:rPr>
        <w:t>同意延长响应文件的有效期。接受该要求的</w:t>
      </w:r>
      <w:r>
        <w:rPr>
          <w:rFonts w:hint="eastAsia" w:ascii="宋体" w:hAnsi="宋体"/>
          <w:sz w:val="24"/>
          <w:szCs w:val="24"/>
          <w:lang w:eastAsia="zh-CN"/>
        </w:rPr>
        <w:t>供应商</w:t>
      </w:r>
      <w:r>
        <w:rPr>
          <w:rFonts w:hint="eastAsia" w:ascii="宋体" w:hAnsi="宋体"/>
          <w:sz w:val="24"/>
          <w:szCs w:val="24"/>
        </w:rPr>
        <w:t>将不会被要求和允许修正其报价。</w:t>
      </w:r>
      <w:r>
        <w:rPr>
          <w:rFonts w:hint="eastAsia" w:ascii="宋体" w:hAnsi="宋体"/>
          <w:sz w:val="24"/>
          <w:szCs w:val="24"/>
          <w:lang w:eastAsia="zh-CN"/>
        </w:rPr>
        <w:t>供应商</w:t>
      </w:r>
      <w:r>
        <w:rPr>
          <w:rFonts w:hint="eastAsia" w:ascii="宋体" w:hAnsi="宋体"/>
          <w:sz w:val="24"/>
          <w:szCs w:val="24"/>
        </w:rPr>
        <w:t>也可以拒绝北京市石景山区政府采购中心的这种要求。上述要求和答复将以书面形式作出。</w:t>
      </w:r>
    </w:p>
    <w:p>
      <w:pPr>
        <w:numPr>
          <w:ilvl w:val="0"/>
          <w:numId w:val="0"/>
        </w:numPr>
        <w:spacing w:line="360" w:lineRule="auto"/>
        <w:ind w:leftChars="0"/>
        <w:rPr>
          <w:rFonts w:ascii="宋体" w:hAnsi="宋体"/>
          <w:b/>
          <w:sz w:val="24"/>
          <w:szCs w:val="24"/>
        </w:rPr>
      </w:pPr>
      <w:bookmarkStart w:id="28" w:name="_Toc520356158"/>
      <w:r>
        <w:rPr>
          <w:rFonts w:hint="eastAsia" w:ascii="宋体" w:hAnsi="宋体"/>
          <w:b/>
          <w:sz w:val="24"/>
          <w:szCs w:val="24"/>
          <w:lang w:val="en-US" w:eastAsia="zh-CN"/>
        </w:rPr>
        <w:t xml:space="preserve">12. </w:t>
      </w:r>
      <w:r>
        <w:rPr>
          <w:rFonts w:hint="eastAsia" w:ascii="宋体" w:hAnsi="宋体"/>
          <w:b/>
          <w:sz w:val="24"/>
          <w:szCs w:val="24"/>
        </w:rPr>
        <w:t>响应文件的签署</w:t>
      </w:r>
      <w:bookmarkEnd w:id="28"/>
      <w:r>
        <w:rPr>
          <w:rFonts w:hint="eastAsia" w:ascii="宋体" w:hAnsi="宋体"/>
          <w:b/>
          <w:sz w:val="24"/>
          <w:szCs w:val="24"/>
        </w:rPr>
        <w:t>及规定</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12.1 </w:t>
      </w:r>
      <w:r>
        <w:rPr>
          <w:rFonts w:hint="eastAsia" w:ascii="宋体" w:hAnsi="宋体"/>
          <w:sz w:val="24"/>
          <w:szCs w:val="24"/>
          <w:lang w:eastAsia="zh-CN"/>
        </w:rPr>
        <w:t>供应商</w:t>
      </w:r>
      <w:r>
        <w:rPr>
          <w:rFonts w:hint="eastAsia" w:ascii="宋体" w:hAnsi="宋体"/>
          <w:sz w:val="24"/>
          <w:szCs w:val="24"/>
        </w:rPr>
        <w:t>应准备《响应文件》正本</w:t>
      </w:r>
      <w:r>
        <w:rPr>
          <w:rFonts w:hint="eastAsia" w:ascii="宋体" w:hAnsi="宋体"/>
          <w:sz w:val="24"/>
          <w:szCs w:val="24"/>
          <w:u w:val="single"/>
        </w:rPr>
        <w:t>1</w:t>
      </w:r>
      <w:r>
        <w:rPr>
          <w:rFonts w:hint="eastAsia" w:ascii="宋体" w:hAnsi="宋体"/>
          <w:sz w:val="24"/>
          <w:szCs w:val="24"/>
          <w:u w:val="none"/>
        </w:rPr>
        <w:t xml:space="preserve"> </w:t>
      </w:r>
      <w:r>
        <w:rPr>
          <w:rFonts w:hint="eastAsia" w:ascii="宋体" w:hAnsi="宋体"/>
          <w:sz w:val="24"/>
          <w:szCs w:val="24"/>
        </w:rPr>
        <w:t>份和副本</w:t>
      </w:r>
      <w:r>
        <w:rPr>
          <w:rFonts w:ascii="宋体" w:hAnsi="宋体"/>
          <w:sz w:val="24"/>
          <w:szCs w:val="24"/>
          <w:u w:val="single"/>
        </w:rPr>
        <w:t>2</w:t>
      </w:r>
      <w:r>
        <w:rPr>
          <w:rFonts w:hint="eastAsia" w:ascii="宋体" w:hAnsi="宋体"/>
          <w:sz w:val="24"/>
          <w:szCs w:val="24"/>
        </w:rPr>
        <w:t>份，每份《响应文件》须清楚地标明“正本”或“副本”。若正本和副本不符，以正本为准。</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12.2 </w:t>
      </w:r>
      <w:r>
        <w:rPr>
          <w:rFonts w:hint="eastAsia" w:ascii="宋体" w:hAnsi="宋体"/>
          <w:sz w:val="24"/>
          <w:szCs w:val="24"/>
        </w:rPr>
        <w:t>《响应文件》的规格尺寸为A4（29.7厘米×21厘米）纸型。《</w:t>
      </w:r>
      <w:r>
        <w:rPr>
          <w:rFonts w:hint="eastAsia" w:ascii="宋体" w:hAnsi="宋体"/>
          <w:sz w:val="24"/>
          <w:szCs w:val="24"/>
          <w:lang w:eastAsia="zh-CN"/>
        </w:rPr>
        <w:t>磋商</w:t>
      </w:r>
      <w:r>
        <w:rPr>
          <w:rFonts w:hint="eastAsia" w:ascii="宋体" w:hAnsi="宋体"/>
          <w:sz w:val="24"/>
          <w:szCs w:val="24"/>
        </w:rPr>
        <w:t>文件》按统一格式填写，使用宋体小四号字，并按本须知第</w:t>
      </w:r>
      <w:r>
        <w:rPr>
          <w:rFonts w:hint="eastAsia" w:ascii="宋体" w:hAnsi="宋体"/>
          <w:sz w:val="24"/>
          <w:szCs w:val="24"/>
          <w:lang w:val="en-US" w:eastAsia="zh-CN"/>
        </w:rPr>
        <w:t>8</w:t>
      </w:r>
      <w:r>
        <w:rPr>
          <w:rFonts w:hint="eastAsia" w:ascii="宋体" w:hAnsi="宋体"/>
          <w:sz w:val="24"/>
          <w:szCs w:val="24"/>
        </w:rPr>
        <w:t>条规定的顺序排列，左侧胶封装订成册。附件规格幅面应与正本一致，按照《</w:t>
      </w:r>
      <w:r>
        <w:rPr>
          <w:rFonts w:hint="eastAsia" w:ascii="宋体" w:hAnsi="宋体"/>
          <w:sz w:val="24"/>
          <w:szCs w:val="24"/>
          <w:lang w:eastAsia="zh-CN"/>
        </w:rPr>
        <w:t>竞争性磋商</w:t>
      </w:r>
      <w:r>
        <w:rPr>
          <w:rFonts w:hint="eastAsia" w:ascii="宋体" w:hAnsi="宋体"/>
          <w:sz w:val="24"/>
          <w:szCs w:val="24"/>
        </w:rPr>
        <w:t>文件》规定的顺序，统一编目编码装订，各项表格必须按照《</w:t>
      </w:r>
      <w:r>
        <w:rPr>
          <w:rFonts w:hint="eastAsia" w:ascii="宋体" w:hAnsi="宋体"/>
          <w:sz w:val="24"/>
          <w:szCs w:val="24"/>
          <w:lang w:eastAsia="zh-CN"/>
        </w:rPr>
        <w:t>磋商</w:t>
      </w:r>
      <w:r>
        <w:rPr>
          <w:rFonts w:hint="eastAsia" w:ascii="宋体" w:hAnsi="宋体"/>
          <w:sz w:val="24"/>
          <w:szCs w:val="24"/>
        </w:rPr>
        <w:t>文件》格式要求制作。由于编排混乱导致《</w:t>
      </w:r>
      <w:r>
        <w:rPr>
          <w:rFonts w:hint="eastAsia" w:ascii="宋体" w:hAnsi="宋体"/>
          <w:sz w:val="24"/>
          <w:szCs w:val="24"/>
          <w:lang w:eastAsia="zh-CN"/>
        </w:rPr>
        <w:t>磋商</w:t>
      </w:r>
      <w:r>
        <w:rPr>
          <w:rFonts w:hint="eastAsia" w:ascii="宋体" w:hAnsi="宋体"/>
          <w:sz w:val="24"/>
          <w:szCs w:val="24"/>
        </w:rPr>
        <w:t>文件》被误读或查找不到，其后果由</w:t>
      </w:r>
      <w:r>
        <w:rPr>
          <w:rFonts w:hint="eastAsia" w:ascii="宋体" w:hAnsi="宋体"/>
          <w:sz w:val="24"/>
          <w:szCs w:val="24"/>
          <w:lang w:eastAsia="zh-CN"/>
        </w:rPr>
        <w:t>供应商</w:t>
      </w:r>
      <w:r>
        <w:rPr>
          <w:rFonts w:hint="eastAsia" w:ascii="宋体" w:hAnsi="宋体"/>
          <w:sz w:val="24"/>
          <w:szCs w:val="24"/>
        </w:rPr>
        <w:t>承担。</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12.3 </w:t>
      </w:r>
      <w:r>
        <w:rPr>
          <w:rFonts w:hint="eastAsia" w:ascii="宋体" w:hAnsi="宋体"/>
          <w:sz w:val="24"/>
          <w:szCs w:val="24"/>
        </w:rPr>
        <w:t>《响应文件》的正本需打印或用不退色墨水书写，并由</w:t>
      </w:r>
      <w:r>
        <w:rPr>
          <w:rFonts w:hint="eastAsia" w:ascii="宋体" w:hAnsi="宋体"/>
          <w:sz w:val="24"/>
          <w:szCs w:val="24"/>
          <w:lang w:eastAsia="zh-CN"/>
        </w:rPr>
        <w:t>供应商</w:t>
      </w:r>
      <w:r>
        <w:rPr>
          <w:rFonts w:hint="eastAsia" w:ascii="宋体" w:hAnsi="宋体"/>
          <w:sz w:val="24"/>
          <w:szCs w:val="24"/>
        </w:rPr>
        <w:t>的法定代表人或经其正式授权的代表在响应文件上签字并加盖单位公章。授权代表须持有书面的“法定代表人授权书”（格式附后），并将其附在《响应文件》中。《响应文件》的副本可采用正本的复印件。</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12.4 </w:t>
      </w:r>
      <w:r>
        <w:rPr>
          <w:rFonts w:hint="eastAsia" w:ascii="宋体" w:hAnsi="宋体"/>
          <w:sz w:val="24"/>
          <w:szCs w:val="24"/>
        </w:rPr>
        <w:t>任何行间插字、涂改和增删，必须由签字或盖章后才有效。</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12.5 </w:t>
      </w:r>
      <w:r>
        <w:rPr>
          <w:rFonts w:hint="eastAsia" w:ascii="宋体" w:hAnsi="宋体"/>
          <w:sz w:val="24"/>
          <w:szCs w:val="24"/>
        </w:rPr>
        <w:t>《响应文件》因字迹潦草或表达不清所引起的后果由</w:t>
      </w:r>
      <w:r>
        <w:rPr>
          <w:rFonts w:hint="eastAsia" w:ascii="宋体" w:hAnsi="宋体"/>
          <w:sz w:val="24"/>
          <w:szCs w:val="24"/>
          <w:lang w:eastAsia="zh-CN"/>
        </w:rPr>
        <w:t>供应商</w:t>
      </w:r>
      <w:r>
        <w:rPr>
          <w:rFonts w:hint="eastAsia" w:ascii="宋体" w:hAnsi="宋体"/>
          <w:sz w:val="24"/>
          <w:szCs w:val="24"/>
        </w:rPr>
        <w:t>负责。</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12.6 </w:t>
      </w:r>
      <w:r>
        <w:rPr>
          <w:rFonts w:hint="eastAsia" w:ascii="宋体" w:hAnsi="宋体"/>
          <w:sz w:val="24"/>
          <w:szCs w:val="24"/>
        </w:rPr>
        <w:t>本《竞争性磋商文件》中所要求的公章是指行政公章，加盖合同专用章、报价专用章等非行政公章的《响应文件》无效。</w:t>
      </w:r>
    </w:p>
    <w:p>
      <w:pPr>
        <w:pStyle w:val="4"/>
        <w:spacing w:beforeLines="50" w:after="120" w:afterLines="50" w:line="360" w:lineRule="auto"/>
        <w:rPr>
          <w:rFonts w:ascii="宋体" w:hAnsi="宋体" w:eastAsia="宋体"/>
          <w:sz w:val="24"/>
          <w:szCs w:val="24"/>
        </w:rPr>
      </w:pPr>
      <w:bookmarkStart w:id="29" w:name="_Toc520356159"/>
      <w:r>
        <w:rPr>
          <w:rFonts w:hint="eastAsia" w:ascii="宋体" w:hAnsi="宋体" w:eastAsia="宋体"/>
          <w:sz w:val="24"/>
          <w:szCs w:val="24"/>
        </w:rPr>
        <w:t>四   响应文件的递交</w:t>
      </w:r>
      <w:bookmarkEnd w:id="29"/>
    </w:p>
    <w:p>
      <w:pPr>
        <w:numPr>
          <w:ilvl w:val="0"/>
          <w:numId w:val="0"/>
        </w:numPr>
        <w:spacing w:line="360" w:lineRule="auto"/>
        <w:ind w:leftChars="0"/>
        <w:rPr>
          <w:rFonts w:ascii="宋体" w:hAnsi="宋体"/>
          <w:b/>
          <w:sz w:val="24"/>
          <w:szCs w:val="24"/>
        </w:rPr>
      </w:pPr>
      <w:bookmarkStart w:id="30" w:name="_Toc520356160"/>
      <w:r>
        <w:rPr>
          <w:rFonts w:hint="eastAsia" w:ascii="宋体" w:hAnsi="宋体"/>
          <w:b/>
          <w:sz w:val="24"/>
          <w:szCs w:val="24"/>
          <w:lang w:val="en-US" w:eastAsia="zh-CN"/>
        </w:rPr>
        <w:t xml:space="preserve">13. </w:t>
      </w:r>
      <w:r>
        <w:rPr>
          <w:rFonts w:hint="eastAsia" w:ascii="宋体" w:hAnsi="宋体"/>
          <w:b/>
          <w:sz w:val="24"/>
          <w:szCs w:val="24"/>
        </w:rPr>
        <w:t>响应文件的密封和标记</w:t>
      </w:r>
      <w:bookmarkEnd w:id="30"/>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13.1 </w:t>
      </w:r>
      <w:r>
        <w:rPr>
          <w:rFonts w:hint="eastAsia" w:ascii="宋体" w:hAnsi="宋体"/>
          <w:sz w:val="24"/>
          <w:szCs w:val="24"/>
        </w:rPr>
        <w:t>送达《响应文件》时，</w:t>
      </w:r>
      <w:r>
        <w:rPr>
          <w:rFonts w:hint="eastAsia" w:ascii="宋体" w:hAnsi="宋体"/>
          <w:sz w:val="24"/>
          <w:szCs w:val="24"/>
          <w:lang w:eastAsia="zh-CN"/>
        </w:rPr>
        <w:t>供应商</w:t>
      </w:r>
      <w:r>
        <w:rPr>
          <w:rFonts w:hint="eastAsia" w:ascii="宋体" w:hAnsi="宋体"/>
          <w:sz w:val="24"/>
          <w:szCs w:val="24"/>
        </w:rPr>
        <w:t>应将《响应文件》密封。《响应文件》正本和副本密封装在单独的信封中，且在封面标明“正本”“副本”字样。</w:t>
      </w:r>
    </w:p>
    <w:p>
      <w:pPr>
        <w:numPr>
          <w:ilvl w:val="0"/>
          <w:numId w:val="0"/>
        </w:numPr>
        <w:tabs>
          <w:tab w:val="left" w:pos="720"/>
        </w:tabs>
        <w:spacing w:line="360" w:lineRule="auto"/>
        <w:ind w:leftChars="0"/>
        <w:rPr>
          <w:rFonts w:ascii="宋体" w:hAnsi="宋体"/>
          <w:sz w:val="24"/>
          <w:szCs w:val="24"/>
          <w:highlight w:val="none"/>
        </w:rPr>
      </w:pPr>
      <w:r>
        <w:rPr>
          <w:rFonts w:hint="eastAsia" w:ascii="宋体" w:hAnsi="宋体"/>
          <w:sz w:val="24"/>
          <w:szCs w:val="24"/>
          <w:lang w:val="en-US" w:eastAsia="zh-CN"/>
        </w:rPr>
        <w:t xml:space="preserve">13.2 </w:t>
      </w:r>
      <w:r>
        <w:rPr>
          <w:rFonts w:hint="eastAsia" w:ascii="宋体" w:hAnsi="宋体"/>
          <w:sz w:val="24"/>
          <w:szCs w:val="24"/>
        </w:rPr>
        <w:t>所有信封上均应：</w:t>
      </w:r>
    </w:p>
    <w:p>
      <w:pPr>
        <w:pStyle w:val="24"/>
        <w:tabs>
          <w:tab w:val="left" w:pos="630"/>
          <w:tab w:val="left" w:pos="1365"/>
        </w:tabs>
        <w:spacing w:line="360" w:lineRule="auto"/>
        <w:ind w:firstLine="600" w:firstLineChars="250"/>
        <w:rPr>
          <w:rFonts w:hAnsi="宋体"/>
          <w:color w:val="auto"/>
          <w:sz w:val="24"/>
          <w:szCs w:val="24"/>
          <w:highlight w:val="none"/>
        </w:rPr>
      </w:pPr>
      <w:r>
        <w:rPr>
          <w:rFonts w:hint="eastAsia" w:hAnsi="宋体"/>
          <w:sz w:val="24"/>
          <w:szCs w:val="24"/>
          <w:highlight w:val="none"/>
        </w:rPr>
        <w:t>（1）标明项目名称、</w:t>
      </w:r>
      <w:r>
        <w:rPr>
          <w:rFonts w:hint="eastAsia" w:hAnsi="宋体"/>
          <w:sz w:val="24"/>
          <w:szCs w:val="24"/>
          <w:highlight w:val="none"/>
          <w:lang w:eastAsia="zh-CN"/>
        </w:rPr>
        <w:t>项目</w:t>
      </w:r>
      <w:r>
        <w:rPr>
          <w:rFonts w:hint="eastAsia" w:hAnsi="宋体"/>
          <w:sz w:val="24"/>
          <w:szCs w:val="24"/>
          <w:highlight w:val="none"/>
        </w:rPr>
        <w:t>编号</w:t>
      </w:r>
      <w:r>
        <w:rPr>
          <w:rFonts w:hint="eastAsia" w:hAnsi="宋体"/>
          <w:sz w:val="24"/>
          <w:szCs w:val="24"/>
          <w:highlight w:val="none"/>
          <w:lang w:eastAsia="zh-CN"/>
        </w:rPr>
        <w:t>、磋商包号、供应商</w:t>
      </w:r>
      <w:r>
        <w:rPr>
          <w:rFonts w:hint="eastAsia" w:hAnsi="宋体"/>
          <w:sz w:val="24"/>
          <w:szCs w:val="24"/>
          <w:highlight w:val="none"/>
        </w:rPr>
        <w:t>名称</w:t>
      </w:r>
      <w:r>
        <w:rPr>
          <w:rFonts w:hint="eastAsia" w:hAnsi="宋体"/>
          <w:sz w:val="24"/>
          <w:szCs w:val="24"/>
          <w:highlight w:val="none"/>
          <w:lang w:eastAsia="zh-CN"/>
        </w:rPr>
        <w:t>、</w:t>
      </w:r>
      <w:r>
        <w:rPr>
          <w:rFonts w:hint="eastAsia" w:hAnsi="宋体"/>
          <w:sz w:val="24"/>
          <w:szCs w:val="24"/>
          <w:highlight w:val="none"/>
        </w:rPr>
        <w:t>地址</w:t>
      </w:r>
      <w:r>
        <w:rPr>
          <w:rFonts w:hint="eastAsia" w:hAnsi="宋体"/>
          <w:sz w:val="24"/>
          <w:szCs w:val="24"/>
          <w:highlight w:val="none"/>
          <w:lang w:eastAsia="zh-CN"/>
        </w:rPr>
        <w:t>，</w:t>
      </w:r>
      <w:r>
        <w:rPr>
          <w:rFonts w:hint="eastAsia" w:hAnsi="宋体"/>
          <w:b/>
          <w:bCs/>
          <w:sz w:val="24"/>
          <w:szCs w:val="24"/>
          <w:highlight w:val="none"/>
          <w:lang w:eastAsia="zh-CN"/>
        </w:rPr>
        <w:t>第一包</w:t>
      </w:r>
      <w:r>
        <w:rPr>
          <w:rFonts w:hint="eastAsia" w:hAnsi="宋体"/>
          <w:b/>
          <w:bCs/>
          <w:sz w:val="24"/>
          <w:szCs w:val="24"/>
          <w:highlight w:val="none"/>
          <w:lang w:val="en-US" w:eastAsia="zh-CN"/>
        </w:rPr>
        <w:t>至第五包</w:t>
      </w:r>
      <w:r>
        <w:rPr>
          <w:rFonts w:hint="eastAsia" w:hAnsi="宋体"/>
          <w:sz w:val="24"/>
          <w:szCs w:val="24"/>
          <w:highlight w:val="none"/>
          <w:lang w:val="en-US" w:eastAsia="zh-CN"/>
        </w:rPr>
        <w:t>标明</w:t>
      </w:r>
      <w:r>
        <w:rPr>
          <w:rFonts w:hint="eastAsia" w:hAnsi="宋体"/>
          <w:sz w:val="24"/>
          <w:szCs w:val="24"/>
          <w:highlight w:val="none"/>
        </w:rPr>
        <w:t>“</w:t>
      </w:r>
      <w:r>
        <w:rPr>
          <w:rFonts w:hint="eastAsia" w:hAnsi="宋体"/>
          <w:color w:val="auto"/>
          <w:sz w:val="24"/>
          <w:szCs w:val="24"/>
          <w:highlight w:val="none"/>
        </w:rPr>
        <w:t>在</w:t>
      </w:r>
      <w:r>
        <w:rPr>
          <w:rFonts w:hint="eastAsia" w:hAnsi="宋体"/>
          <w:b/>
          <w:color w:val="auto"/>
          <w:sz w:val="24"/>
          <w:szCs w:val="24"/>
          <w:highlight w:val="none"/>
        </w:rPr>
        <w:t>20</w:t>
      </w:r>
      <w:r>
        <w:rPr>
          <w:rFonts w:hint="eastAsia" w:hAnsi="宋体"/>
          <w:b/>
          <w:color w:val="auto"/>
          <w:sz w:val="24"/>
          <w:szCs w:val="24"/>
          <w:highlight w:val="none"/>
          <w:lang w:val="en-US" w:eastAsia="zh-CN"/>
        </w:rPr>
        <w:t>24</w:t>
      </w:r>
      <w:r>
        <w:rPr>
          <w:rFonts w:hint="eastAsia" w:hAnsi="宋体"/>
          <w:b/>
          <w:color w:val="auto"/>
          <w:sz w:val="24"/>
          <w:szCs w:val="24"/>
          <w:highlight w:val="none"/>
        </w:rPr>
        <w:t>年</w:t>
      </w:r>
      <w:r>
        <w:rPr>
          <w:rFonts w:hint="eastAsia" w:hAnsi="宋体"/>
          <w:b/>
          <w:color w:val="auto"/>
          <w:sz w:val="24"/>
          <w:szCs w:val="24"/>
          <w:highlight w:val="none"/>
          <w:lang w:val="en-US" w:eastAsia="zh-CN"/>
        </w:rPr>
        <w:t>12</w:t>
      </w:r>
      <w:r>
        <w:rPr>
          <w:rFonts w:hint="eastAsia" w:hAnsi="宋体"/>
          <w:b/>
          <w:color w:val="auto"/>
          <w:sz w:val="24"/>
          <w:szCs w:val="24"/>
          <w:highlight w:val="none"/>
        </w:rPr>
        <w:t>月</w:t>
      </w:r>
      <w:r>
        <w:rPr>
          <w:rFonts w:hint="eastAsia" w:hAnsi="宋体"/>
          <w:b/>
          <w:color w:val="auto"/>
          <w:sz w:val="24"/>
          <w:szCs w:val="24"/>
          <w:highlight w:val="none"/>
          <w:lang w:val="en-US" w:eastAsia="zh-CN"/>
        </w:rPr>
        <w:t>16</w:t>
      </w:r>
      <w:r>
        <w:rPr>
          <w:rFonts w:hint="eastAsia" w:hAnsi="宋体"/>
          <w:b/>
          <w:color w:val="auto"/>
          <w:sz w:val="24"/>
          <w:szCs w:val="24"/>
          <w:highlight w:val="none"/>
        </w:rPr>
        <w:t>日上午9:</w:t>
      </w:r>
      <w:r>
        <w:rPr>
          <w:rFonts w:hint="eastAsia" w:hAnsi="宋体"/>
          <w:b/>
          <w:color w:val="auto"/>
          <w:sz w:val="24"/>
          <w:szCs w:val="24"/>
          <w:highlight w:val="none"/>
          <w:lang w:val="en-US" w:eastAsia="zh-CN"/>
        </w:rPr>
        <w:t>3</w:t>
      </w:r>
      <w:r>
        <w:rPr>
          <w:rFonts w:hint="eastAsia" w:hAnsi="宋体"/>
          <w:b/>
          <w:color w:val="auto"/>
          <w:sz w:val="24"/>
          <w:szCs w:val="24"/>
          <w:highlight w:val="none"/>
        </w:rPr>
        <w:t>0</w:t>
      </w:r>
      <w:r>
        <w:rPr>
          <w:rFonts w:hint="eastAsia" w:hAnsi="宋体"/>
          <w:color w:val="auto"/>
          <w:sz w:val="24"/>
          <w:szCs w:val="24"/>
          <w:highlight w:val="none"/>
        </w:rPr>
        <w:t>之前不得启封”的字样</w:t>
      </w:r>
      <w:r>
        <w:rPr>
          <w:rFonts w:hint="eastAsia" w:hAnsi="宋体"/>
          <w:color w:val="auto"/>
          <w:sz w:val="24"/>
          <w:szCs w:val="24"/>
          <w:highlight w:val="none"/>
          <w:lang w:eastAsia="zh-CN"/>
        </w:rPr>
        <w:t>、</w:t>
      </w:r>
      <w:r>
        <w:rPr>
          <w:rFonts w:hint="eastAsia" w:hAnsi="宋体"/>
          <w:b/>
          <w:bCs/>
          <w:color w:val="auto"/>
          <w:sz w:val="24"/>
          <w:szCs w:val="24"/>
          <w:highlight w:val="none"/>
          <w:lang w:eastAsia="zh-CN"/>
        </w:rPr>
        <w:t>第六包</w:t>
      </w:r>
      <w:r>
        <w:rPr>
          <w:rFonts w:hint="eastAsia" w:hAnsi="宋体"/>
          <w:b/>
          <w:bCs/>
          <w:color w:val="auto"/>
          <w:sz w:val="24"/>
          <w:szCs w:val="24"/>
          <w:highlight w:val="none"/>
          <w:lang w:val="en-US" w:eastAsia="zh-CN"/>
        </w:rPr>
        <w:t>至第十一包</w:t>
      </w:r>
      <w:r>
        <w:rPr>
          <w:rFonts w:hint="eastAsia" w:hAnsi="宋体"/>
          <w:sz w:val="24"/>
          <w:szCs w:val="24"/>
          <w:highlight w:val="none"/>
          <w:lang w:val="en-US" w:eastAsia="zh-CN"/>
        </w:rPr>
        <w:t>标明</w:t>
      </w:r>
      <w:r>
        <w:rPr>
          <w:rFonts w:hint="eastAsia" w:hAnsi="宋体"/>
          <w:sz w:val="24"/>
          <w:szCs w:val="24"/>
          <w:highlight w:val="none"/>
        </w:rPr>
        <w:t>“</w:t>
      </w:r>
      <w:r>
        <w:rPr>
          <w:rFonts w:hint="eastAsia" w:hAnsi="宋体"/>
          <w:color w:val="auto"/>
          <w:sz w:val="24"/>
          <w:szCs w:val="24"/>
          <w:highlight w:val="none"/>
        </w:rPr>
        <w:t>在</w:t>
      </w:r>
      <w:r>
        <w:rPr>
          <w:rFonts w:hint="eastAsia" w:hAnsi="宋体"/>
          <w:b/>
          <w:color w:val="auto"/>
          <w:sz w:val="24"/>
          <w:szCs w:val="24"/>
          <w:highlight w:val="none"/>
        </w:rPr>
        <w:t>20</w:t>
      </w:r>
      <w:r>
        <w:rPr>
          <w:rFonts w:hint="eastAsia" w:hAnsi="宋体"/>
          <w:b/>
          <w:color w:val="auto"/>
          <w:sz w:val="24"/>
          <w:szCs w:val="24"/>
          <w:highlight w:val="none"/>
          <w:lang w:val="en-US" w:eastAsia="zh-CN"/>
        </w:rPr>
        <w:t>24</w:t>
      </w:r>
      <w:r>
        <w:rPr>
          <w:rFonts w:hint="eastAsia" w:hAnsi="宋体"/>
          <w:b/>
          <w:color w:val="auto"/>
          <w:sz w:val="24"/>
          <w:szCs w:val="24"/>
          <w:highlight w:val="none"/>
        </w:rPr>
        <w:t>年</w:t>
      </w:r>
      <w:r>
        <w:rPr>
          <w:rFonts w:hint="eastAsia" w:hAnsi="宋体"/>
          <w:b/>
          <w:color w:val="auto"/>
          <w:sz w:val="24"/>
          <w:szCs w:val="24"/>
          <w:highlight w:val="none"/>
          <w:lang w:val="en-US" w:eastAsia="zh-CN"/>
        </w:rPr>
        <w:t>12</w:t>
      </w:r>
      <w:r>
        <w:rPr>
          <w:rFonts w:hint="eastAsia" w:hAnsi="宋体"/>
          <w:b/>
          <w:color w:val="auto"/>
          <w:sz w:val="24"/>
          <w:szCs w:val="24"/>
          <w:highlight w:val="none"/>
        </w:rPr>
        <w:t>月</w:t>
      </w:r>
      <w:r>
        <w:rPr>
          <w:rFonts w:hint="eastAsia" w:hAnsi="宋体"/>
          <w:b/>
          <w:color w:val="auto"/>
          <w:sz w:val="24"/>
          <w:szCs w:val="24"/>
          <w:highlight w:val="none"/>
          <w:lang w:val="en-US" w:eastAsia="zh-CN"/>
        </w:rPr>
        <w:t>17</w:t>
      </w:r>
      <w:r>
        <w:rPr>
          <w:rFonts w:hint="eastAsia" w:hAnsi="宋体"/>
          <w:b/>
          <w:color w:val="auto"/>
          <w:sz w:val="24"/>
          <w:szCs w:val="24"/>
          <w:highlight w:val="none"/>
        </w:rPr>
        <w:t>日上午9:</w:t>
      </w:r>
      <w:r>
        <w:rPr>
          <w:rFonts w:hint="eastAsia" w:hAnsi="宋体"/>
          <w:b/>
          <w:color w:val="auto"/>
          <w:sz w:val="24"/>
          <w:szCs w:val="24"/>
          <w:highlight w:val="none"/>
          <w:lang w:val="en-US" w:eastAsia="zh-CN"/>
        </w:rPr>
        <w:t>3</w:t>
      </w:r>
      <w:r>
        <w:rPr>
          <w:rFonts w:hint="eastAsia" w:hAnsi="宋体"/>
          <w:b/>
          <w:color w:val="auto"/>
          <w:sz w:val="24"/>
          <w:szCs w:val="24"/>
          <w:highlight w:val="none"/>
        </w:rPr>
        <w:t>0</w:t>
      </w:r>
      <w:r>
        <w:rPr>
          <w:rFonts w:hint="eastAsia" w:hAnsi="宋体"/>
          <w:color w:val="auto"/>
          <w:sz w:val="24"/>
          <w:szCs w:val="24"/>
          <w:highlight w:val="none"/>
        </w:rPr>
        <w:t>之前不得启封”的字样。</w:t>
      </w:r>
    </w:p>
    <w:p>
      <w:pPr>
        <w:pStyle w:val="24"/>
        <w:tabs>
          <w:tab w:val="left" w:pos="630"/>
          <w:tab w:val="left" w:pos="1365"/>
        </w:tabs>
        <w:spacing w:line="360" w:lineRule="auto"/>
        <w:ind w:firstLine="600" w:firstLineChars="250"/>
        <w:rPr>
          <w:rFonts w:hAnsi="宋体"/>
          <w:sz w:val="24"/>
          <w:szCs w:val="24"/>
          <w:highlight w:val="none"/>
        </w:rPr>
      </w:pPr>
      <w:r>
        <w:rPr>
          <w:rFonts w:hint="eastAsia" w:hAnsi="宋体"/>
          <w:sz w:val="24"/>
          <w:szCs w:val="24"/>
          <w:highlight w:val="none"/>
        </w:rPr>
        <w:t>（2）在信封的封装处加盖</w:t>
      </w:r>
      <w:r>
        <w:rPr>
          <w:rFonts w:hint="eastAsia" w:hAnsi="宋体"/>
          <w:sz w:val="24"/>
          <w:szCs w:val="24"/>
          <w:highlight w:val="none"/>
          <w:lang w:eastAsia="zh-CN"/>
        </w:rPr>
        <w:t>供应商</w:t>
      </w:r>
      <w:r>
        <w:rPr>
          <w:rFonts w:hint="eastAsia" w:hAnsi="宋体"/>
          <w:sz w:val="24"/>
          <w:szCs w:val="24"/>
          <w:highlight w:val="none"/>
        </w:rPr>
        <w:t>单位公章。</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13.3 </w:t>
      </w:r>
      <w:r>
        <w:rPr>
          <w:rFonts w:hint="eastAsia" w:ascii="宋体" w:hAnsi="宋体"/>
          <w:sz w:val="24"/>
          <w:szCs w:val="24"/>
        </w:rPr>
        <w:t>如果</w:t>
      </w:r>
      <w:r>
        <w:rPr>
          <w:rFonts w:hint="eastAsia" w:ascii="宋体" w:hAnsi="宋体"/>
          <w:sz w:val="24"/>
          <w:szCs w:val="24"/>
          <w:lang w:eastAsia="zh-CN"/>
        </w:rPr>
        <w:t>供应商</w:t>
      </w:r>
      <w:r>
        <w:rPr>
          <w:rFonts w:hint="eastAsia" w:ascii="宋体" w:hAnsi="宋体"/>
          <w:sz w:val="24"/>
          <w:szCs w:val="24"/>
        </w:rPr>
        <w:t>未按上述要求密封及加写标记，北京市石景山区政府采购中心对《响应文件》的误投或过早启封概不负责。</w:t>
      </w:r>
    </w:p>
    <w:p>
      <w:pPr>
        <w:numPr>
          <w:ilvl w:val="0"/>
          <w:numId w:val="0"/>
        </w:numPr>
        <w:spacing w:line="360" w:lineRule="auto"/>
        <w:ind w:leftChars="0"/>
        <w:rPr>
          <w:rFonts w:ascii="宋体" w:hAnsi="宋体"/>
          <w:b/>
          <w:sz w:val="24"/>
          <w:szCs w:val="24"/>
        </w:rPr>
      </w:pPr>
      <w:bookmarkStart w:id="31" w:name="_Toc520356161"/>
      <w:r>
        <w:rPr>
          <w:rFonts w:hint="eastAsia" w:ascii="宋体" w:hAnsi="宋体"/>
          <w:b/>
          <w:sz w:val="24"/>
          <w:szCs w:val="24"/>
          <w:lang w:val="en-US" w:eastAsia="zh-CN"/>
        </w:rPr>
        <w:t xml:space="preserve">14. </w:t>
      </w:r>
      <w:r>
        <w:rPr>
          <w:rFonts w:hint="eastAsia" w:ascii="宋体" w:hAnsi="宋体"/>
          <w:b/>
          <w:sz w:val="24"/>
          <w:szCs w:val="24"/>
        </w:rPr>
        <w:t>响应文件送达截止</w:t>
      </w:r>
      <w:bookmarkEnd w:id="31"/>
      <w:r>
        <w:rPr>
          <w:rFonts w:hint="eastAsia" w:ascii="宋体" w:hAnsi="宋体"/>
          <w:b/>
          <w:sz w:val="24"/>
          <w:szCs w:val="24"/>
        </w:rPr>
        <w:t>期</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14.1 </w:t>
      </w:r>
      <w:r>
        <w:rPr>
          <w:rFonts w:hint="eastAsia" w:ascii="宋体" w:hAnsi="宋体"/>
          <w:sz w:val="24"/>
          <w:szCs w:val="24"/>
          <w:lang w:eastAsia="zh-CN"/>
        </w:rPr>
        <w:t>供应商</w:t>
      </w:r>
      <w:r>
        <w:rPr>
          <w:rFonts w:hint="eastAsia" w:ascii="宋体" w:hAnsi="宋体"/>
          <w:sz w:val="24"/>
          <w:szCs w:val="24"/>
        </w:rPr>
        <w:t>应在邀请中规定的《响应文件》送达截止日期和时间内，将《响应文件》递交北京市石景山区政府采购中心。</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14.2 </w:t>
      </w:r>
      <w:r>
        <w:rPr>
          <w:rFonts w:hint="eastAsia" w:ascii="宋体" w:hAnsi="宋体"/>
          <w:sz w:val="24"/>
          <w:szCs w:val="24"/>
        </w:rPr>
        <w:t>北京市石景山区政府采购中心有权按本须知的规定，通过修改《竞争性磋商文件》延长响应文件送达截止日期和时间。在此情况下，北京市石景山区政府采购中心和</w:t>
      </w:r>
      <w:r>
        <w:rPr>
          <w:rFonts w:hint="eastAsia" w:ascii="宋体" w:hAnsi="宋体"/>
          <w:sz w:val="24"/>
          <w:szCs w:val="24"/>
          <w:lang w:eastAsia="zh-CN"/>
        </w:rPr>
        <w:t>供应商</w:t>
      </w:r>
      <w:r>
        <w:rPr>
          <w:rFonts w:hint="eastAsia" w:ascii="宋体" w:hAnsi="宋体"/>
          <w:sz w:val="24"/>
          <w:szCs w:val="24"/>
        </w:rPr>
        <w:t>受截止日期和时间制约的所有权利和义务均应延长至新的截止日期和时间。</w:t>
      </w:r>
    </w:p>
    <w:p>
      <w:pPr>
        <w:numPr>
          <w:ilvl w:val="0"/>
          <w:numId w:val="0"/>
        </w:numPr>
        <w:tabs>
          <w:tab w:val="left" w:pos="720"/>
        </w:tabs>
        <w:spacing w:line="360" w:lineRule="auto"/>
        <w:ind w:leftChars="0"/>
        <w:rPr>
          <w:rFonts w:hint="eastAsia" w:ascii="宋体" w:hAnsi="宋体"/>
          <w:sz w:val="24"/>
          <w:szCs w:val="24"/>
        </w:rPr>
      </w:pPr>
      <w:r>
        <w:rPr>
          <w:rFonts w:hint="eastAsia" w:ascii="宋体" w:hAnsi="宋体"/>
          <w:sz w:val="24"/>
          <w:szCs w:val="24"/>
          <w:lang w:val="en-US" w:eastAsia="zh-CN"/>
        </w:rPr>
        <w:t>14.3</w:t>
      </w:r>
      <w:r>
        <w:rPr>
          <w:rFonts w:hint="eastAsia" w:ascii="宋体" w:hAnsi="宋体"/>
          <w:sz w:val="24"/>
          <w:szCs w:val="24"/>
        </w:rPr>
        <w:t>北京市石景山区政府采购中心将拒绝并原封退回在本须知规定的《响应文件》送达截止日期和时间后收到的任何《响应文件》。</w:t>
      </w:r>
    </w:p>
    <w:p>
      <w:pPr>
        <w:pStyle w:val="5"/>
        <w:spacing w:before="0" w:after="0" w:line="360" w:lineRule="auto"/>
        <w:rPr>
          <w:rFonts w:hAnsi="宋体"/>
          <w:szCs w:val="24"/>
          <w:u w:val="none"/>
        </w:rPr>
      </w:pPr>
      <w:r>
        <w:rPr>
          <w:rFonts w:hint="eastAsia" w:hAnsi="宋体"/>
          <w:szCs w:val="24"/>
          <w:u w:val="none"/>
          <w:lang w:val="en-US" w:eastAsia="zh-CN"/>
        </w:rPr>
        <w:t xml:space="preserve">15. </w:t>
      </w:r>
      <w:r>
        <w:rPr>
          <w:rFonts w:hint="eastAsia" w:hAnsi="宋体"/>
          <w:szCs w:val="24"/>
          <w:u w:val="none"/>
        </w:rPr>
        <w:t>响应文件的修改与撤回</w:t>
      </w:r>
    </w:p>
    <w:p>
      <w:pPr>
        <w:spacing w:line="360" w:lineRule="auto"/>
        <w:ind w:left="0" w:leftChars="0" w:firstLine="0" w:firstLineChars="0"/>
        <w:rPr>
          <w:rFonts w:ascii="宋体" w:hAnsi="宋体"/>
          <w:sz w:val="24"/>
          <w:szCs w:val="24"/>
        </w:rPr>
      </w:pPr>
      <w:r>
        <w:rPr>
          <w:rFonts w:hint="eastAsia" w:ascii="宋体" w:hAnsi="宋体"/>
          <w:sz w:val="24"/>
          <w:szCs w:val="24"/>
          <w:lang w:val="en-US" w:eastAsia="zh-CN"/>
        </w:rPr>
        <w:t>15.1</w:t>
      </w:r>
      <w:r>
        <w:rPr>
          <w:rFonts w:hint="eastAsia" w:ascii="宋体" w:hAnsi="宋体"/>
          <w:sz w:val="24"/>
          <w:szCs w:val="24"/>
        </w:rPr>
        <w:t>磋商以后，如果</w:t>
      </w:r>
      <w:r>
        <w:rPr>
          <w:rFonts w:hint="eastAsia" w:ascii="宋体" w:hAnsi="宋体"/>
          <w:sz w:val="24"/>
          <w:szCs w:val="24"/>
          <w:lang w:eastAsia="zh-CN"/>
        </w:rPr>
        <w:t>供应商</w:t>
      </w:r>
      <w:r>
        <w:rPr>
          <w:rFonts w:hint="eastAsia" w:ascii="宋体" w:hAnsi="宋体"/>
          <w:sz w:val="24"/>
          <w:szCs w:val="24"/>
        </w:rPr>
        <w:t>提出书面修改或撤标要求，在磋商截止时间之前送达采购代理机构者，采购代理机构将予以接受。</w:t>
      </w:r>
    </w:p>
    <w:p>
      <w:pPr>
        <w:spacing w:line="360" w:lineRule="auto"/>
        <w:ind w:left="0" w:leftChars="0" w:firstLine="0" w:firstLineChars="0"/>
        <w:rPr>
          <w:rFonts w:ascii="宋体" w:hAnsi="宋体"/>
          <w:sz w:val="24"/>
          <w:szCs w:val="24"/>
        </w:rPr>
      </w:pPr>
      <w:r>
        <w:rPr>
          <w:rFonts w:hint="eastAsia" w:ascii="宋体" w:hAnsi="宋体"/>
          <w:sz w:val="24"/>
          <w:szCs w:val="24"/>
          <w:lang w:val="en-US" w:eastAsia="zh-CN"/>
        </w:rPr>
        <w:t xml:space="preserve">15.2 </w:t>
      </w:r>
      <w:r>
        <w:rPr>
          <w:rFonts w:hint="eastAsia" w:ascii="宋体" w:hAnsi="宋体"/>
          <w:sz w:val="24"/>
          <w:szCs w:val="24"/>
          <w:lang w:eastAsia="zh-CN"/>
        </w:rPr>
        <w:t>供应商</w:t>
      </w:r>
      <w:r>
        <w:rPr>
          <w:rFonts w:hint="eastAsia" w:ascii="宋体" w:hAnsi="宋体"/>
          <w:sz w:val="24"/>
          <w:szCs w:val="24"/>
        </w:rPr>
        <w:t>对响应文件的修改或撤回通知应按本须知规定编制、密封、标记和发送。</w:t>
      </w:r>
    </w:p>
    <w:p>
      <w:pPr>
        <w:spacing w:line="360" w:lineRule="auto"/>
        <w:ind w:left="0" w:leftChars="0" w:firstLine="0" w:firstLineChars="0"/>
        <w:rPr>
          <w:rFonts w:ascii="宋体" w:hAnsi="宋体"/>
          <w:sz w:val="24"/>
          <w:szCs w:val="24"/>
        </w:rPr>
      </w:pPr>
      <w:r>
        <w:rPr>
          <w:rFonts w:hint="eastAsia" w:ascii="宋体" w:hAnsi="宋体"/>
          <w:sz w:val="24"/>
          <w:szCs w:val="24"/>
          <w:lang w:val="en-US" w:eastAsia="zh-CN"/>
        </w:rPr>
        <w:t xml:space="preserve">15.3 </w:t>
      </w:r>
      <w:r>
        <w:rPr>
          <w:rFonts w:hint="eastAsia" w:ascii="宋体" w:hAnsi="宋体"/>
          <w:sz w:val="24"/>
          <w:szCs w:val="24"/>
        </w:rPr>
        <w:t xml:space="preserve"> 在磋商截止期之后，</w:t>
      </w:r>
      <w:r>
        <w:rPr>
          <w:rFonts w:hint="eastAsia" w:ascii="宋体" w:hAnsi="宋体"/>
          <w:sz w:val="24"/>
          <w:szCs w:val="24"/>
          <w:lang w:eastAsia="zh-CN"/>
        </w:rPr>
        <w:t>供应商</w:t>
      </w:r>
      <w:r>
        <w:rPr>
          <w:rFonts w:hint="eastAsia" w:ascii="宋体" w:hAnsi="宋体"/>
          <w:sz w:val="24"/>
          <w:szCs w:val="24"/>
        </w:rPr>
        <w:t>不得对其响应文件做任何修改。</w:t>
      </w:r>
    </w:p>
    <w:p>
      <w:pPr>
        <w:spacing w:line="360" w:lineRule="auto"/>
        <w:ind w:left="0" w:leftChars="0" w:firstLine="0" w:firstLineChars="0"/>
        <w:rPr>
          <w:rFonts w:hint="eastAsia" w:ascii="宋体" w:hAnsi="宋体"/>
          <w:sz w:val="24"/>
          <w:szCs w:val="24"/>
        </w:rPr>
      </w:pPr>
      <w:r>
        <w:rPr>
          <w:rFonts w:hint="eastAsia" w:ascii="宋体" w:hAnsi="宋体"/>
          <w:sz w:val="24"/>
          <w:szCs w:val="24"/>
          <w:lang w:val="en-US" w:eastAsia="zh-CN"/>
        </w:rPr>
        <w:t>15</w:t>
      </w:r>
      <w:r>
        <w:rPr>
          <w:rFonts w:hint="eastAsia" w:ascii="宋体" w:hAnsi="宋体"/>
          <w:sz w:val="24"/>
          <w:szCs w:val="24"/>
        </w:rPr>
        <w:t>.4从磋商截止期至磋商有效期之间，</w:t>
      </w:r>
      <w:r>
        <w:rPr>
          <w:rFonts w:hint="eastAsia" w:ascii="宋体" w:hAnsi="宋体"/>
          <w:sz w:val="24"/>
          <w:szCs w:val="24"/>
          <w:lang w:eastAsia="zh-CN"/>
        </w:rPr>
        <w:t>供应商</w:t>
      </w:r>
      <w:r>
        <w:rPr>
          <w:rFonts w:hint="eastAsia" w:ascii="宋体" w:hAnsi="宋体"/>
          <w:sz w:val="24"/>
          <w:szCs w:val="24"/>
        </w:rPr>
        <w:t>不得撤销其磋商。</w:t>
      </w:r>
    </w:p>
    <w:p>
      <w:pPr>
        <w:pStyle w:val="4"/>
        <w:spacing w:beforeLines="50" w:after="120" w:afterLines="50" w:line="360" w:lineRule="auto"/>
        <w:rPr>
          <w:rFonts w:hint="eastAsia" w:ascii="宋体" w:hAnsi="宋体"/>
          <w:b/>
          <w:sz w:val="24"/>
          <w:szCs w:val="24"/>
        </w:rPr>
      </w:pPr>
      <w:bookmarkStart w:id="32" w:name="_Toc520356163"/>
      <w:r>
        <w:rPr>
          <w:rFonts w:hint="eastAsia" w:ascii="宋体" w:hAnsi="宋体" w:eastAsia="宋体"/>
          <w:sz w:val="24"/>
          <w:szCs w:val="24"/>
        </w:rPr>
        <w:t>五   磋商</w:t>
      </w:r>
      <w:bookmarkEnd w:id="32"/>
      <w:r>
        <w:rPr>
          <w:rFonts w:hint="eastAsia" w:ascii="宋体" w:hAnsi="宋体" w:eastAsia="宋体"/>
          <w:sz w:val="24"/>
          <w:szCs w:val="24"/>
        </w:rPr>
        <w:t>及评审</w:t>
      </w:r>
    </w:p>
    <w:p>
      <w:pPr>
        <w:numPr>
          <w:ilvl w:val="0"/>
          <w:numId w:val="0"/>
        </w:numPr>
        <w:spacing w:line="360" w:lineRule="auto"/>
        <w:ind w:leftChars="0"/>
        <w:rPr>
          <w:rFonts w:ascii="宋体" w:hAnsi="宋体"/>
          <w:b/>
          <w:color w:val="auto"/>
          <w:sz w:val="24"/>
          <w:szCs w:val="24"/>
        </w:rPr>
      </w:pPr>
      <w:r>
        <w:rPr>
          <w:rFonts w:hint="eastAsia" w:ascii="宋体" w:hAnsi="宋体"/>
          <w:b/>
          <w:color w:val="auto"/>
          <w:sz w:val="24"/>
          <w:szCs w:val="24"/>
          <w:lang w:val="en-US" w:eastAsia="zh-CN"/>
        </w:rPr>
        <w:t xml:space="preserve">16. </w:t>
      </w:r>
      <w:r>
        <w:rPr>
          <w:rFonts w:hint="eastAsia" w:ascii="宋体" w:hAnsi="宋体"/>
          <w:b/>
          <w:color w:val="auto"/>
          <w:sz w:val="24"/>
          <w:szCs w:val="24"/>
        </w:rPr>
        <w:t>送达响应文件</w:t>
      </w:r>
    </w:p>
    <w:p>
      <w:pPr>
        <w:tabs>
          <w:tab w:val="left" w:pos="720"/>
        </w:tabs>
        <w:spacing w:line="360" w:lineRule="auto"/>
        <w:rPr>
          <w:rFonts w:hint="eastAsia" w:ascii="宋体" w:hAnsi="宋体"/>
          <w:sz w:val="24"/>
          <w:szCs w:val="24"/>
        </w:rPr>
      </w:pPr>
      <w:r>
        <w:rPr>
          <w:rFonts w:hint="eastAsia" w:ascii="宋体" w:hAnsi="宋体"/>
          <w:sz w:val="24"/>
          <w:szCs w:val="24"/>
          <w:lang w:val="en-US" w:eastAsia="zh-CN"/>
        </w:rPr>
        <w:t xml:space="preserve">16.1 </w:t>
      </w:r>
      <w:r>
        <w:rPr>
          <w:rFonts w:hint="eastAsia" w:ascii="宋体" w:hAnsi="宋体"/>
          <w:sz w:val="24"/>
          <w:szCs w:val="24"/>
        </w:rPr>
        <w:t>北京市石景山区政府采购中心应当按邀请的规定，在《响应文件》送达截止时间的同一时间和预先确定的地点组织磋商活动，并邀请所有</w:t>
      </w:r>
      <w:r>
        <w:rPr>
          <w:rFonts w:hint="eastAsia" w:ascii="宋体" w:hAnsi="宋体"/>
          <w:sz w:val="24"/>
          <w:szCs w:val="24"/>
          <w:lang w:eastAsia="zh-CN"/>
        </w:rPr>
        <w:t>供应商</w:t>
      </w:r>
      <w:r>
        <w:rPr>
          <w:rFonts w:hint="eastAsia" w:ascii="宋体" w:hAnsi="宋体"/>
          <w:sz w:val="24"/>
          <w:szCs w:val="24"/>
        </w:rPr>
        <w:t>代表参加。</w:t>
      </w:r>
      <w:r>
        <w:rPr>
          <w:rFonts w:hint="eastAsia" w:ascii="宋体" w:hAnsi="宋体"/>
          <w:sz w:val="24"/>
          <w:szCs w:val="24"/>
          <w:lang w:eastAsia="zh-CN"/>
        </w:rPr>
        <w:t>供应商</w:t>
      </w:r>
      <w:r>
        <w:rPr>
          <w:rFonts w:hint="eastAsia" w:ascii="宋体" w:hAnsi="宋体"/>
          <w:sz w:val="24"/>
          <w:szCs w:val="24"/>
        </w:rPr>
        <w:t>代表应签名报到以证明其出席。</w:t>
      </w:r>
      <w:bookmarkStart w:id="33" w:name="_Toc520356165"/>
    </w:p>
    <w:p>
      <w:pPr>
        <w:tabs>
          <w:tab w:val="left" w:pos="720"/>
        </w:tabs>
        <w:spacing w:line="360" w:lineRule="auto"/>
        <w:rPr>
          <w:rFonts w:hint="eastAsia" w:ascii="宋体" w:hAnsi="宋体"/>
          <w:sz w:val="24"/>
          <w:szCs w:val="24"/>
        </w:rPr>
      </w:pPr>
      <w:r>
        <w:rPr>
          <w:rFonts w:hint="eastAsia" w:ascii="宋体" w:hAnsi="宋体"/>
          <w:sz w:val="24"/>
          <w:szCs w:val="24"/>
          <w:lang w:val="en-US" w:eastAsia="zh-CN"/>
        </w:rPr>
        <w:t xml:space="preserve">16.2 </w:t>
      </w:r>
      <w:r>
        <w:rPr>
          <w:rFonts w:hint="eastAsia" w:ascii="宋体" w:hAnsi="宋体"/>
          <w:sz w:val="24"/>
          <w:szCs w:val="24"/>
        </w:rPr>
        <w:t>接收响应文件时，检查响应文件的密封情况，是否递交了书面修改和撤回响应文件的通知等。对于</w:t>
      </w:r>
      <w:r>
        <w:rPr>
          <w:rFonts w:hint="eastAsia" w:ascii="宋体" w:hAnsi="宋体"/>
          <w:sz w:val="24"/>
          <w:szCs w:val="24"/>
          <w:lang w:eastAsia="zh-CN"/>
        </w:rPr>
        <w:t>供应商</w:t>
      </w:r>
      <w:r>
        <w:rPr>
          <w:rFonts w:hint="eastAsia" w:ascii="宋体" w:hAnsi="宋体"/>
          <w:sz w:val="24"/>
          <w:szCs w:val="24"/>
        </w:rPr>
        <w:t>在递交响应文件截止期前递交的磋商声明，磋商时有效。</w:t>
      </w:r>
    </w:p>
    <w:p>
      <w:pPr>
        <w:tabs>
          <w:tab w:val="left" w:pos="720"/>
        </w:tabs>
        <w:spacing w:line="360" w:lineRule="auto"/>
        <w:rPr>
          <w:rFonts w:hint="eastAsia" w:ascii="宋体" w:hAnsi="宋体"/>
          <w:sz w:val="24"/>
          <w:szCs w:val="24"/>
        </w:rPr>
      </w:pPr>
      <w:r>
        <w:rPr>
          <w:rFonts w:hint="eastAsia" w:ascii="宋体" w:hAnsi="宋体"/>
          <w:sz w:val="24"/>
          <w:szCs w:val="24"/>
          <w:lang w:val="en-US" w:eastAsia="zh-CN"/>
        </w:rPr>
        <w:t xml:space="preserve">16.3 </w:t>
      </w:r>
      <w:r>
        <w:rPr>
          <w:rFonts w:hint="eastAsia" w:ascii="宋体" w:hAnsi="宋体"/>
          <w:sz w:val="24"/>
          <w:szCs w:val="24"/>
        </w:rPr>
        <w:t>除了按照本须知的规定原封退回迟到的响应文件之外，不得拒绝任何递交的响应文件。</w:t>
      </w:r>
    </w:p>
    <w:bookmarkEnd w:id="33"/>
    <w:p>
      <w:pPr>
        <w:numPr>
          <w:ilvl w:val="0"/>
          <w:numId w:val="0"/>
        </w:numPr>
        <w:spacing w:line="360" w:lineRule="auto"/>
        <w:ind w:leftChars="0"/>
        <w:rPr>
          <w:rFonts w:ascii="宋体" w:hAnsi="宋体"/>
          <w:b/>
          <w:sz w:val="24"/>
          <w:szCs w:val="24"/>
        </w:rPr>
      </w:pPr>
      <w:r>
        <w:rPr>
          <w:rFonts w:hint="eastAsia" w:ascii="宋体" w:hAnsi="宋体"/>
          <w:b/>
          <w:sz w:val="24"/>
          <w:szCs w:val="24"/>
          <w:lang w:val="en-US" w:eastAsia="zh-CN"/>
        </w:rPr>
        <w:t xml:space="preserve">17. </w:t>
      </w:r>
      <w:r>
        <w:rPr>
          <w:rFonts w:hint="eastAsia" w:ascii="宋体" w:hAnsi="宋体"/>
          <w:b/>
          <w:sz w:val="24"/>
          <w:szCs w:val="24"/>
        </w:rPr>
        <w:t>组建磋商小组</w:t>
      </w:r>
    </w:p>
    <w:p>
      <w:pPr>
        <w:tabs>
          <w:tab w:val="left" w:pos="720"/>
        </w:tabs>
        <w:spacing w:line="360" w:lineRule="auto"/>
        <w:ind w:firstLine="480" w:firstLineChars="200"/>
        <w:rPr>
          <w:rFonts w:ascii="宋体" w:hAnsi="宋体"/>
          <w:sz w:val="24"/>
          <w:szCs w:val="24"/>
        </w:rPr>
      </w:pPr>
      <w:r>
        <w:rPr>
          <w:rFonts w:hint="eastAsia" w:ascii="宋体" w:hAnsi="宋体"/>
          <w:sz w:val="24"/>
          <w:szCs w:val="24"/>
        </w:rPr>
        <w:t>磋商小组根据本项目采购的特点进行组建，并负责磋商评审工作。采购代理机构将按照《中华人民共和国政府采购法》及有关规定组建磋商小组。磋商小组由相关经济、技术等方面的专家组成。磋商小组负责磋商工作，对响应文件进行审查，并向</w:t>
      </w:r>
      <w:r>
        <w:rPr>
          <w:rFonts w:hint="eastAsia" w:ascii="宋体" w:hAnsi="宋体"/>
          <w:sz w:val="24"/>
          <w:szCs w:val="24"/>
          <w:lang w:eastAsia="zh-CN"/>
        </w:rPr>
        <w:t>采购人</w:t>
      </w:r>
      <w:r>
        <w:rPr>
          <w:rFonts w:hint="eastAsia" w:ascii="宋体" w:hAnsi="宋体"/>
          <w:sz w:val="24"/>
          <w:szCs w:val="24"/>
        </w:rPr>
        <w:t>提交书面评标报告。</w:t>
      </w:r>
    </w:p>
    <w:p>
      <w:pPr>
        <w:numPr>
          <w:ilvl w:val="0"/>
          <w:numId w:val="0"/>
        </w:numPr>
        <w:spacing w:line="360" w:lineRule="auto"/>
        <w:ind w:leftChars="0"/>
        <w:rPr>
          <w:rFonts w:ascii="宋体" w:hAnsi="宋体"/>
          <w:b/>
          <w:sz w:val="24"/>
          <w:szCs w:val="24"/>
        </w:rPr>
      </w:pPr>
      <w:bookmarkStart w:id="34" w:name="_Toc520356166"/>
      <w:r>
        <w:rPr>
          <w:rFonts w:hint="eastAsia" w:ascii="宋体" w:hAnsi="宋体"/>
          <w:b/>
          <w:sz w:val="24"/>
          <w:szCs w:val="24"/>
          <w:lang w:val="en-US" w:eastAsia="zh-CN"/>
        </w:rPr>
        <w:t xml:space="preserve">18. </w:t>
      </w:r>
      <w:r>
        <w:rPr>
          <w:rFonts w:hint="eastAsia" w:ascii="宋体" w:hAnsi="宋体"/>
          <w:b/>
          <w:sz w:val="24"/>
          <w:szCs w:val="24"/>
        </w:rPr>
        <w:t>响应文件的初审</w:t>
      </w:r>
      <w:bookmarkEnd w:id="34"/>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18.1 </w:t>
      </w:r>
      <w:r>
        <w:rPr>
          <w:rFonts w:hint="eastAsia" w:ascii="宋体" w:hAnsi="宋体"/>
          <w:sz w:val="24"/>
          <w:szCs w:val="24"/>
        </w:rPr>
        <w:t>磋商小组将审查《响应文件》是否完整、总体编排是否有序、文件签署是否合格、有无计算上的错误等。</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18.2 </w:t>
      </w:r>
      <w:r>
        <w:rPr>
          <w:rFonts w:hint="eastAsia" w:ascii="宋体" w:hAnsi="宋体"/>
          <w:sz w:val="24"/>
          <w:szCs w:val="24"/>
        </w:rPr>
        <w:t>《响应文件》的大写金额和小写金额不一致的，以大写金额为准；总价金额与按单价汇总金额不一致的，以单价金额计算结果为准；单价金额小数点有明显错位的，应以总价为准，并修改单价；对不同文字文本《响应文件》的解释发生异议的，以中文文本为准。</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18.3 </w:t>
      </w:r>
      <w:r>
        <w:rPr>
          <w:rFonts w:hint="eastAsia" w:ascii="宋体" w:hAnsi="宋体"/>
          <w:sz w:val="24"/>
          <w:szCs w:val="24"/>
        </w:rPr>
        <w:t>在详细评审之前，根据本须知的规定，磋商小组要审查每份《响应文件》是否实质上响应了《竞争性磋商文件》的要求。实质上响应的报价应该是与《竞争性磋商文件》要求的实质性条款、条件和规格相符，没有重大偏离的报价。不满足实质性条款要求的《响应文件》将视为无效。磋商小组决定报价的响应性只根据响应文件本身的内容，而不寻求外部的证据。</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18.4 </w:t>
      </w:r>
      <w:r>
        <w:rPr>
          <w:rFonts w:hint="eastAsia" w:ascii="宋体" w:hAnsi="宋体"/>
          <w:sz w:val="24"/>
          <w:szCs w:val="24"/>
          <w:lang w:eastAsia="zh-CN"/>
        </w:rPr>
        <w:t>供应商</w:t>
      </w:r>
      <w:r>
        <w:rPr>
          <w:rFonts w:hint="eastAsia" w:ascii="宋体" w:hAnsi="宋体"/>
          <w:sz w:val="24"/>
          <w:szCs w:val="24"/>
        </w:rPr>
        <w:t xml:space="preserve">不得通过修正或撤销不符合要求的偏离或保留从而使其报价成为实质上响应的报价。如发现下列情况之一的，其响应文件及报价将被视为无效： </w:t>
      </w:r>
    </w:p>
    <w:p>
      <w:pPr>
        <w:spacing w:line="360" w:lineRule="auto"/>
        <w:ind w:firstLine="480" w:firstLineChars="200"/>
        <w:rPr>
          <w:rFonts w:hint="eastAsia" w:ascii="宋体" w:hAnsi="宋体" w:eastAsia="宋体"/>
          <w:sz w:val="24"/>
          <w:szCs w:val="24"/>
          <w:lang w:eastAsia="zh-CN"/>
        </w:rPr>
      </w:pPr>
      <w:r>
        <w:rPr>
          <w:rFonts w:hint="eastAsia" w:ascii="宋体" w:hAnsi="宋体"/>
          <w:sz w:val="24"/>
          <w:szCs w:val="24"/>
        </w:rPr>
        <w:t>（1) 在《响应文件》送达截止日期和时间后送达的《响应文件》</w:t>
      </w:r>
      <w:r>
        <w:rPr>
          <w:rFonts w:hint="eastAsia" w:ascii="宋体" w:hAnsi="宋体"/>
          <w:sz w:val="24"/>
          <w:szCs w:val="24"/>
          <w:lang w:eastAsia="zh-CN"/>
        </w:rPr>
        <w:t>；</w:t>
      </w:r>
    </w:p>
    <w:p>
      <w:pPr>
        <w:spacing w:line="360" w:lineRule="auto"/>
        <w:ind w:firstLine="480" w:firstLineChars="200"/>
        <w:rPr>
          <w:rFonts w:ascii="宋体" w:hAnsi="宋体"/>
          <w:sz w:val="24"/>
          <w:szCs w:val="24"/>
        </w:rPr>
      </w:pPr>
      <w:r>
        <w:rPr>
          <w:rFonts w:hint="eastAsia" w:ascii="宋体" w:hAnsi="宋体"/>
          <w:sz w:val="24"/>
          <w:szCs w:val="24"/>
        </w:rPr>
        <w:t>（2）超出经营范围报价的；</w:t>
      </w:r>
    </w:p>
    <w:p>
      <w:pPr>
        <w:spacing w:line="360" w:lineRule="auto"/>
        <w:ind w:firstLine="480" w:firstLineChars="200"/>
        <w:rPr>
          <w:rFonts w:ascii="宋体" w:hAnsi="宋体"/>
          <w:b/>
          <w:sz w:val="24"/>
          <w:szCs w:val="24"/>
        </w:rPr>
      </w:pPr>
      <w:r>
        <w:rPr>
          <w:rFonts w:hint="eastAsia" w:ascii="宋体" w:hAnsi="宋体"/>
          <w:sz w:val="24"/>
          <w:szCs w:val="24"/>
        </w:rPr>
        <w:t>（3）报价有效期不足的；</w:t>
      </w:r>
    </w:p>
    <w:p>
      <w:pPr>
        <w:spacing w:line="360" w:lineRule="auto"/>
        <w:ind w:right="-386" w:rightChars="-184" w:firstLine="480" w:firstLineChars="200"/>
        <w:rPr>
          <w:rFonts w:ascii="宋体" w:hAnsi="宋体"/>
          <w:sz w:val="24"/>
          <w:szCs w:val="24"/>
        </w:rPr>
      </w:pPr>
      <w:r>
        <w:rPr>
          <w:rFonts w:hint="eastAsia" w:ascii="宋体" w:hAnsi="宋体"/>
          <w:sz w:val="24"/>
          <w:szCs w:val="24"/>
        </w:rPr>
        <w:t xml:space="preserve">（4) </w:t>
      </w:r>
      <w:r>
        <w:rPr>
          <w:rFonts w:ascii="宋体" w:hAnsi="宋体"/>
          <w:sz w:val="24"/>
          <w:szCs w:val="24"/>
        </w:rPr>
        <w:t>未按照</w:t>
      </w:r>
      <w:r>
        <w:rPr>
          <w:rFonts w:hint="eastAsia" w:ascii="宋体" w:hAnsi="宋体"/>
          <w:sz w:val="24"/>
          <w:szCs w:val="24"/>
        </w:rPr>
        <w:t>《竞争性磋商文件》</w:t>
      </w:r>
      <w:r>
        <w:rPr>
          <w:rFonts w:ascii="宋体" w:hAnsi="宋体"/>
          <w:sz w:val="24"/>
          <w:szCs w:val="24"/>
        </w:rPr>
        <w:t>规定要求密封、签字（或名章）、</w:t>
      </w:r>
      <w:r>
        <w:rPr>
          <w:rFonts w:hint="eastAsia" w:ascii="宋体" w:hAnsi="宋体"/>
          <w:sz w:val="24"/>
          <w:szCs w:val="24"/>
        </w:rPr>
        <w:t>签署日期、</w:t>
      </w:r>
      <w:r>
        <w:rPr>
          <w:rFonts w:ascii="宋体" w:hAnsi="宋体"/>
          <w:sz w:val="24"/>
          <w:szCs w:val="24"/>
        </w:rPr>
        <w:t>盖章的</w:t>
      </w:r>
      <w:r>
        <w:rPr>
          <w:rFonts w:hint="eastAsia" w:ascii="宋体" w:hAnsi="宋体"/>
          <w:sz w:val="24"/>
          <w:szCs w:val="24"/>
        </w:rPr>
        <w:t>；</w:t>
      </w:r>
    </w:p>
    <w:p>
      <w:pPr>
        <w:spacing w:line="360" w:lineRule="auto"/>
        <w:ind w:firstLine="480" w:firstLineChars="200"/>
        <w:rPr>
          <w:rFonts w:ascii="宋体" w:hAnsi="宋体"/>
          <w:sz w:val="24"/>
          <w:szCs w:val="24"/>
        </w:rPr>
      </w:pPr>
      <w:r>
        <w:rPr>
          <w:rFonts w:hint="eastAsia" w:ascii="宋体" w:hAnsi="宋体"/>
          <w:sz w:val="24"/>
          <w:szCs w:val="24"/>
        </w:rPr>
        <w:t>（5）</w:t>
      </w:r>
      <w:r>
        <w:rPr>
          <w:rFonts w:ascii="宋体" w:hAnsi="宋体"/>
          <w:sz w:val="24"/>
          <w:szCs w:val="24"/>
        </w:rPr>
        <w:t>不具备</w:t>
      </w:r>
      <w:r>
        <w:rPr>
          <w:rFonts w:hint="eastAsia" w:ascii="宋体" w:hAnsi="宋体"/>
          <w:sz w:val="24"/>
          <w:szCs w:val="24"/>
        </w:rPr>
        <w:t>《竞争性磋商文件》</w:t>
      </w:r>
      <w:r>
        <w:rPr>
          <w:rFonts w:ascii="宋体" w:hAnsi="宋体"/>
          <w:sz w:val="24"/>
          <w:szCs w:val="24"/>
        </w:rPr>
        <w:t>中规定资格要求的；</w:t>
      </w:r>
    </w:p>
    <w:p>
      <w:pPr>
        <w:spacing w:line="360" w:lineRule="auto"/>
        <w:ind w:firstLine="480" w:firstLineChars="200"/>
        <w:rPr>
          <w:rFonts w:ascii="宋体" w:hAnsi="宋体"/>
          <w:sz w:val="24"/>
          <w:szCs w:val="24"/>
        </w:rPr>
      </w:pPr>
      <w:r>
        <w:rPr>
          <w:rFonts w:hint="eastAsia" w:ascii="宋体" w:hAnsi="宋体"/>
          <w:sz w:val="24"/>
          <w:szCs w:val="24"/>
        </w:rPr>
        <w:t>（6）《响应文件》中提供虚假或失实资料的</w:t>
      </w:r>
      <w:r>
        <w:rPr>
          <w:rFonts w:ascii="宋体" w:hAnsi="宋体"/>
          <w:sz w:val="24"/>
          <w:szCs w:val="24"/>
        </w:rPr>
        <w:t>；</w:t>
      </w:r>
    </w:p>
    <w:p>
      <w:pPr>
        <w:spacing w:line="360" w:lineRule="auto"/>
        <w:ind w:firstLine="480" w:firstLineChars="200"/>
        <w:rPr>
          <w:rFonts w:hint="eastAsia" w:ascii="宋体" w:hAnsi="宋体"/>
          <w:sz w:val="24"/>
          <w:szCs w:val="24"/>
        </w:rPr>
      </w:pPr>
      <w:r>
        <w:rPr>
          <w:rFonts w:hint="eastAsia" w:ascii="宋体" w:hAnsi="宋体"/>
          <w:sz w:val="24"/>
          <w:szCs w:val="24"/>
        </w:rPr>
        <w:t>（7）</w:t>
      </w:r>
      <w:r>
        <w:rPr>
          <w:rFonts w:ascii="宋体" w:hAnsi="宋体"/>
          <w:sz w:val="24"/>
          <w:szCs w:val="24"/>
        </w:rPr>
        <w:t>不符合法律、法规和</w:t>
      </w:r>
      <w:r>
        <w:rPr>
          <w:rFonts w:hint="eastAsia" w:ascii="宋体" w:hAnsi="宋体"/>
          <w:sz w:val="24"/>
          <w:szCs w:val="24"/>
        </w:rPr>
        <w:t>《竞争性磋商文件》</w:t>
      </w:r>
      <w:r>
        <w:rPr>
          <w:rFonts w:ascii="宋体" w:hAnsi="宋体"/>
          <w:sz w:val="24"/>
          <w:szCs w:val="24"/>
        </w:rPr>
        <w:t>中规定的其他实质性要求的</w:t>
      </w:r>
      <w:r>
        <w:rPr>
          <w:rFonts w:hint="eastAsia" w:ascii="宋体" w:hAnsi="宋体"/>
          <w:sz w:val="24"/>
          <w:szCs w:val="24"/>
        </w:rPr>
        <w:t>。</w:t>
      </w:r>
    </w:p>
    <w:p>
      <w:pPr>
        <w:numPr>
          <w:ilvl w:val="0"/>
          <w:numId w:val="0"/>
        </w:numPr>
        <w:spacing w:line="360" w:lineRule="auto"/>
        <w:ind w:leftChars="0"/>
        <w:rPr>
          <w:rFonts w:ascii="宋体" w:hAnsi="宋体"/>
          <w:b/>
          <w:sz w:val="24"/>
          <w:szCs w:val="24"/>
        </w:rPr>
      </w:pPr>
      <w:bookmarkStart w:id="35" w:name="_Toc520356167"/>
      <w:r>
        <w:rPr>
          <w:rFonts w:hint="eastAsia" w:ascii="宋体" w:hAnsi="宋体"/>
          <w:b/>
          <w:sz w:val="24"/>
          <w:szCs w:val="24"/>
          <w:lang w:val="en-US" w:eastAsia="zh-CN"/>
        </w:rPr>
        <w:t xml:space="preserve">19. </w:t>
      </w:r>
      <w:r>
        <w:rPr>
          <w:rFonts w:hint="eastAsia" w:ascii="宋体" w:hAnsi="宋体"/>
          <w:b/>
          <w:sz w:val="24"/>
          <w:szCs w:val="24"/>
        </w:rPr>
        <w:t>响应文件的澄清</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19.1</w:t>
      </w:r>
      <w:r>
        <w:rPr>
          <w:rFonts w:hint="eastAsia" w:ascii="宋体" w:hAnsi="宋体"/>
          <w:sz w:val="24"/>
          <w:szCs w:val="24"/>
        </w:rPr>
        <w:t>在评审期间，磋商小组有权要求</w:t>
      </w:r>
      <w:r>
        <w:rPr>
          <w:rFonts w:hint="eastAsia" w:ascii="宋体" w:hAnsi="宋体"/>
          <w:sz w:val="24"/>
          <w:szCs w:val="24"/>
          <w:lang w:eastAsia="zh-CN"/>
        </w:rPr>
        <w:t>供应商</w:t>
      </w:r>
      <w:r>
        <w:rPr>
          <w:rFonts w:hint="eastAsia" w:ascii="宋体" w:hAnsi="宋体"/>
          <w:sz w:val="24"/>
          <w:szCs w:val="24"/>
        </w:rPr>
        <w:t>对其《响应文件》中含义不明确、对同类问题表述不一致或者有明显文字和计算错误的内容作必要的澄清、说明或者更正。</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19.2 </w:t>
      </w:r>
      <w:r>
        <w:rPr>
          <w:rFonts w:hint="eastAsia" w:ascii="宋体" w:hAnsi="宋体"/>
          <w:sz w:val="24"/>
          <w:szCs w:val="24"/>
          <w:lang w:eastAsia="zh-CN"/>
        </w:rPr>
        <w:t>供应商</w:t>
      </w:r>
      <w:r>
        <w:rPr>
          <w:rFonts w:hint="eastAsia" w:ascii="宋体" w:hAnsi="宋体"/>
          <w:sz w:val="24"/>
          <w:szCs w:val="24"/>
        </w:rPr>
        <w:t>澄清、说明或者更正响应文件应当以书面形式作出，且不得超出《响应文件》的范围或者改变《响应文件》的实质性内容。</w:t>
      </w:r>
      <w:r>
        <w:rPr>
          <w:rFonts w:hint="eastAsia" w:ascii="宋体" w:hAnsi="宋体"/>
          <w:sz w:val="24"/>
          <w:szCs w:val="24"/>
          <w:lang w:eastAsia="zh-CN"/>
        </w:rPr>
        <w:t>供应商</w:t>
      </w:r>
      <w:r>
        <w:rPr>
          <w:rFonts w:hint="eastAsia" w:ascii="宋体" w:hAnsi="宋体"/>
          <w:sz w:val="24"/>
          <w:szCs w:val="24"/>
        </w:rPr>
        <w:t>的澄清、说明或者更正应当由法定代表人或其授权代表签字或者加盖公章。由授权代表签字的，应当附法定代表人授权书。</w:t>
      </w:r>
      <w:r>
        <w:rPr>
          <w:rFonts w:hint="eastAsia" w:ascii="宋体" w:hAnsi="宋体"/>
          <w:sz w:val="24"/>
          <w:szCs w:val="24"/>
          <w:lang w:eastAsia="zh-CN"/>
        </w:rPr>
        <w:t>供应商</w:t>
      </w:r>
      <w:r>
        <w:rPr>
          <w:rFonts w:hint="eastAsia" w:ascii="宋体" w:hAnsi="宋体"/>
          <w:sz w:val="24"/>
          <w:szCs w:val="24"/>
        </w:rPr>
        <w:t>为自然人的，应当由本人签字并附身份证明。</w:t>
      </w:r>
    </w:p>
    <w:p>
      <w:pPr>
        <w:numPr>
          <w:ilvl w:val="0"/>
          <w:numId w:val="0"/>
        </w:numPr>
        <w:spacing w:line="360" w:lineRule="auto"/>
        <w:ind w:leftChars="0"/>
        <w:rPr>
          <w:rFonts w:ascii="宋体" w:hAnsi="宋体"/>
          <w:b/>
          <w:sz w:val="24"/>
          <w:szCs w:val="24"/>
        </w:rPr>
      </w:pPr>
      <w:r>
        <w:rPr>
          <w:rFonts w:hint="eastAsia" w:ascii="宋体" w:hAnsi="宋体"/>
          <w:b/>
          <w:sz w:val="24"/>
          <w:szCs w:val="24"/>
          <w:lang w:val="en-US" w:eastAsia="zh-CN"/>
        </w:rPr>
        <w:t xml:space="preserve">20. </w:t>
      </w:r>
      <w:r>
        <w:rPr>
          <w:rFonts w:hint="eastAsia" w:ascii="宋体" w:hAnsi="宋体"/>
          <w:b/>
          <w:sz w:val="24"/>
          <w:szCs w:val="24"/>
        </w:rPr>
        <w:t>磋商</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20.1 </w:t>
      </w:r>
      <w:r>
        <w:rPr>
          <w:rFonts w:hint="eastAsia" w:ascii="宋体" w:hAnsi="宋体"/>
          <w:sz w:val="24"/>
          <w:szCs w:val="24"/>
        </w:rPr>
        <w:t>磋商小组所有成员集中与单一</w:t>
      </w:r>
      <w:r>
        <w:rPr>
          <w:rFonts w:hint="eastAsia" w:ascii="宋体" w:hAnsi="宋体"/>
          <w:sz w:val="24"/>
          <w:szCs w:val="24"/>
          <w:lang w:eastAsia="zh-CN"/>
        </w:rPr>
        <w:t>供应商</w:t>
      </w:r>
      <w:r>
        <w:rPr>
          <w:rFonts w:hint="eastAsia" w:ascii="宋体" w:hAnsi="宋体"/>
          <w:sz w:val="24"/>
          <w:szCs w:val="24"/>
        </w:rPr>
        <w:t>分别进行磋商，并给予所有参加磋商的</w:t>
      </w:r>
      <w:r>
        <w:rPr>
          <w:rFonts w:hint="eastAsia" w:ascii="宋体" w:hAnsi="宋体"/>
          <w:sz w:val="24"/>
          <w:szCs w:val="24"/>
          <w:lang w:eastAsia="zh-CN"/>
        </w:rPr>
        <w:t>供应商</w:t>
      </w:r>
      <w:r>
        <w:rPr>
          <w:rFonts w:hint="eastAsia" w:ascii="宋体" w:hAnsi="宋体"/>
          <w:sz w:val="24"/>
          <w:szCs w:val="24"/>
        </w:rPr>
        <w:t>平等的磋商机会。</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20.2 </w:t>
      </w:r>
      <w:r>
        <w:rPr>
          <w:rFonts w:hint="eastAsia" w:ascii="宋体" w:hAnsi="宋体"/>
          <w:sz w:val="24"/>
          <w:szCs w:val="24"/>
        </w:rPr>
        <w:t>在磋商中，磋商的任何一方不得透露与磋商有关的其他</w:t>
      </w:r>
      <w:r>
        <w:rPr>
          <w:rFonts w:hint="eastAsia" w:ascii="宋体" w:hAnsi="宋体"/>
          <w:sz w:val="24"/>
          <w:szCs w:val="24"/>
          <w:lang w:eastAsia="zh-CN"/>
        </w:rPr>
        <w:t>供应商</w:t>
      </w:r>
      <w:r>
        <w:rPr>
          <w:rFonts w:hint="eastAsia" w:ascii="宋体" w:hAnsi="宋体"/>
          <w:sz w:val="24"/>
          <w:szCs w:val="24"/>
        </w:rPr>
        <w:t>的技术资料、价格和其他信息。</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20.3 </w:t>
      </w:r>
      <w:r>
        <w:rPr>
          <w:rFonts w:hint="eastAsia" w:ascii="宋体" w:hAnsi="宋体"/>
          <w:sz w:val="24"/>
          <w:szCs w:val="24"/>
        </w:rPr>
        <w:t>磋商小组可以根据《竞争性磋商文件》和磋商情况实质性变动采购需求中的技术、服务要求以及合同草案条款。对《竞争性磋商文件》作出的实质性变动是《竞争性磋商文件》的有效组成部分，磋商小组将及时以书面形式同时通知所有参加磋商的</w:t>
      </w:r>
      <w:r>
        <w:rPr>
          <w:rFonts w:hint="eastAsia" w:ascii="宋体" w:hAnsi="宋体"/>
          <w:sz w:val="24"/>
          <w:szCs w:val="24"/>
          <w:lang w:eastAsia="zh-CN"/>
        </w:rPr>
        <w:t>供应商</w:t>
      </w:r>
      <w:r>
        <w:rPr>
          <w:rFonts w:hint="eastAsia" w:ascii="宋体" w:hAnsi="宋体"/>
          <w:sz w:val="24"/>
          <w:szCs w:val="24"/>
        </w:rPr>
        <w:t>。</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20.4 </w:t>
      </w:r>
      <w:r>
        <w:rPr>
          <w:rFonts w:hint="eastAsia" w:ascii="宋体" w:hAnsi="宋体"/>
          <w:sz w:val="24"/>
          <w:szCs w:val="24"/>
          <w:lang w:eastAsia="zh-CN"/>
        </w:rPr>
        <w:t>供应商</w:t>
      </w:r>
      <w:r>
        <w:rPr>
          <w:rFonts w:hint="eastAsia" w:ascii="宋体" w:hAnsi="宋体"/>
          <w:sz w:val="24"/>
          <w:szCs w:val="24"/>
        </w:rPr>
        <w:t>应当按照《竞争性磋商文件》的变动情况和磋商小组的要求重新提交《响应文件》，并由其法定代表人或授权代表签字或者加盖公章。由授权代表签字的，应当附法定代表人授权书。</w:t>
      </w:r>
      <w:r>
        <w:rPr>
          <w:rFonts w:hint="eastAsia" w:ascii="宋体" w:hAnsi="宋体"/>
          <w:sz w:val="24"/>
          <w:szCs w:val="24"/>
          <w:lang w:eastAsia="zh-CN"/>
        </w:rPr>
        <w:t>供应商</w:t>
      </w:r>
      <w:r>
        <w:rPr>
          <w:rFonts w:hint="eastAsia" w:ascii="宋体" w:hAnsi="宋体"/>
          <w:sz w:val="24"/>
          <w:szCs w:val="24"/>
        </w:rPr>
        <w:t>为自然人的，应当由本人签字并附身份证明。</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20.5 </w:t>
      </w:r>
      <w:r>
        <w:rPr>
          <w:rFonts w:hint="eastAsia" w:ascii="宋体" w:hAnsi="宋体"/>
          <w:sz w:val="24"/>
          <w:szCs w:val="24"/>
        </w:rPr>
        <w:t>磋商小组根据项目情况可进行一轮或多轮磋商。每轮磋商结束后，磋商小组应当要求所有参加磋商的</w:t>
      </w:r>
      <w:r>
        <w:rPr>
          <w:rFonts w:hint="eastAsia" w:ascii="宋体" w:hAnsi="宋体"/>
          <w:sz w:val="24"/>
          <w:szCs w:val="24"/>
          <w:lang w:eastAsia="zh-CN"/>
        </w:rPr>
        <w:t>供应商</w:t>
      </w:r>
      <w:r>
        <w:rPr>
          <w:rFonts w:hint="eastAsia" w:ascii="宋体" w:hAnsi="宋体"/>
          <w:sz w:val="24"/>
          <w:szCs w:val="24"/>
        </w:rPr>
        <w:t>在规定时间内（一般以每轮磋商结束后半小时内）进行报价。最后报价以最后一轮磋商结束后的报价为准。</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20.6 </w:t>
      </w:r>
      <w:r>
        <w:rPr>
          <w:rFonts w:hint="eastAsia" w:ascii="宋体" w:hAnsi="宋体"/>
          <w:sz w:val="24"/>
          <w:szCs w:val="24"/>
        </w:rPr>
        <w:t>如果未在规定时间内进行报价，则以上轮磋商的报价作为最后报价（进行一轮磋商的，以其报价为准）。</w:t>
      </w:r>
    </w:p>
    <w:p>
      <w:pPr>
        <w:numPr>
          <w:ilvl w:val="0"/>
          <w:numId w:val="0"/>
        </w:numPr>
        <w:spacing w:line="360" w:lineRule="auto"/>
        <w:ind w:leftChars="0"/>
        <w:rPr>
          <w:rFonts w:ascii="宋体" w:hAnsi="宋体"/>
          <w:b/>
          <w:sz w:val="24"/>
          <w:szCs w:val="24"/>
        </w:rPr>
      </w:pPr>
      <w:r>
        <w:rPr>
          <w:rFonts w:hint="eastAsia" w:ascii="宋体" w:hAnsi="宋体"/>
          <w:b/>
          <w:sz w:val="24"/>
          <w:szCs w:val="24"/>
          <w:lang w:val="en-US" w:eastAsia="zh-CN"/>
        </w:rPr>
        <w:t xml:space="preserve">21. </w:t>
      </w:r>
      <w:r>
        <w:rPr>
          <w:rFonts w:hint="eastAsia" w:ascii="宋体" w:hAnsi="宋体"/>
          <w:b/>
          <w:sz w:val="24"/>
          <w:szCs w:val="24"/>
        </w:rPr>
        <w:t>评</w:t>
      </w:r>
      <w:bookmarkEnd w:id="35"/>
      <w:r>
        <w:rPr>
          <w:rFonts w:hint="eastAsia" w:ascii="宋体" w:hAnsi="宋体"/>
          <w:b/>
          <w:sz w:val="24"/>
          <w:szCs w:val="24"/>
        </w:rPr>
        <w:t>审</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21.1 </w:t>
      </w:r>
      <w:r>
        <w:rPr>
          <w:rFonts w:hint="eastAsia" w:ascii="宋体" w:hAnsi="宋体"/>
          <w:sz w:val="24"/>
          <w:szCs w:val="24"/>
        </w:rPr>
        <w:t>初步评审合格的响应文件，经磋商确定最终采购需求和提交最后报价的</w:t>
      </w:r>
      <w:r>
        <w:rPr>
          <w:rFonts w:hint="eastAsia" w:ascii="宋体" w:hAnsi="宋体"/>
          <w:sz w:val="24"/>
          <w:szCs w:val="24"/>
          <w:lang w:eastAsia="zh-CN"/>
        </w:rPr>
        <w:t>供应商</w:t>
      </w:r>
      <w:r>
        <w:rPr>
          <w:rFonts w:hint="eastAsia" w:ascii="宋体" w:hAnsi="宋体"/>
          <w:sz w:val="24"/>
          <w:szCs w:val="24"/>
        </w:rPr>
        <w:t xml:space="preserve">后，磋商小组将根据《竞争性磋商文件》确定的评审原则和方法，对其技术部分和商务部分作进一步的评审和比较。 </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21.2 </w:t>
      </w:r>
      <w:r>
        <w:rPr>
          <w:rFonts w:hint="eastAsia" w:ascii="宋体" w:hAnsi="宋体"/>
          <w:sz w:val="24"/>
          <w:szCs w:val="24"/>
        </w:rPr>
        <w:t>磋商小组采用综合评分法对提交最后报价的</w:t>
      </w:r>
      <w:r>
        <w:rPr>
          <w:rFonts w:hint="eastAsia" w:ascii="宋体" w:hAnsi="宋体"/>
          <w:sz w:val="24"/>
          <w:szCs w:val="24"/>
          <w:lang w:eastAsia="zh-CN"/>
        </w:rPr>
        <w:t>供应商</w:t>
      </w:r>
      <w:r>
        <w:rPr>
          <w:rFonts w:hint="eastAsia" w:ascii="宋体" w:hAnsi="宋体"/>
          <w:sz w:val="24"/>
          <w:szCs w:val="24"/>
        </w:rPr>
        <w:t>的响应文件和最后报价进行综合评分。</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21.3 </w:t>
      </w:r>
      <w:r>
        <w:rPr>
          <w:rFonts w:hint="eastAsia" w:ascii="宋体" w:hAnsi="宋体"/>
          <w:sz w:val="24"/>
          <w:szCs w:val="24"/>
        </w:rPr>
        <w:t>综合评分法，是指《响应文件》满足《竞争性磋商文件》全部实质性要求且按评审因素的量化指标评审得分最高的</w:t>
      </w:r>
      <w:r>
        <w:rPr>
          <w:rFonts w:hint="eastAsia" w:ascii="宋体" w:hAnsi="宋体"/>
          <w:sz w:val="24"/>
          <w:szCs w:val="24"/>
          <w:lang w:eastAsia="zh-CN"/>
        </w:rPr>
        <w:t>供应商</w:t>
      </w:r>
      <w:r>
        <w:rPr>
          <w:rFonts w:hint="eastAsia" w:ascii="宋体" w:hAnsi="宋体"/>
          <w:sz w:val="24"/>
          <w:szCs w:val="24"/>
        </w:rPr>
        <w:t>为成交候选</w:t>
      </w:r>
      <w:r>
        <w:rPr>
          <w:rFonts w:hint="eastAsia" w:ascii="宋体" w:hAnsi="宋体"/>
          <w:sz w:val="24"/>
          <w:szCs w:val="24"/>
          <w:lang w:eastAsia="zh-CN"/>
        </w:rPr>
        <w:t>供应商</w:t>
      </w:r>
      <w:r>
        <w:rPr>
          <w:rFonts w:hint="eastAsia" w:ascii="宋体" w:hAnsi="宋体"/>
          <w:sz w:val="24"/>
          <w:szCs w:val="24"/>
        </w:rPr>
        <w:t>的评审方法。</w:t>
      </w:r>
    </w:p>
    <w:p>
      <w:pPr>
        <w:numPr>
          <w:ilvl w:val="0"/>
          <w:numId w:val="0"/>
        </w:numPr>
        <w:tabs>
          <w:tab w:val="left" w:pos="720"/>
        </w:tabs>
        <w:spacing w:line="360" w:lineRule="auto"/>
        <w:ind w:leftChars="0"/>
        <w:rPr>
          <w:rFonts w:hint="eastAsia" w:ascii="宋体" w:hAnsi="宋体"/>
          <w:b/>
          <w:color w:val="0000FF"/>
          <w:sz w:val="24"/>
          <w:szCs w:val="24"/>
          <w:highlight w:val="none"/>
        </w:rPr>
      </w:pPr>
      <w:r>
        <w:rPr>
          <w:rFonts w:hint="eastAsia" w:ascii="宋体" w:hAnsi="宋体"/>
          <w:sz w:val="24"/>
          <w:szCs w:val="24"/>
          <w:lang w:val="en-US" w:eastAsia="zh-CN"/>
        </w:rPr>
        <w:t xml:space="preserve">21.4 </w:t>
      </w:r>
      <w:r>
        <w:rPr>
          <w:rFonts w:hint="eastAsia" w:ascii="宋体" w:hAnsi="宋体"/>
          <w:sz w:val="24"/>
          <w:szCs w:val="24"/>
        </w:rPr>
        <w:t>综合评分法中的价格分统一采用低价优先法计算，即满足《竞争性磋商文件》要求且最后报价最低的</w:t>
      </w:r>
      <w:r>
        <w:rPr>
          <w:rFonts w:hint="eastAsia" w:ascii="宋体" w:hAnsi="宋体"/>
          <w:sz w:val="24"/>
          <w:szCs w:val="24"/>
          <w:lang w:eastAsia="zh-CN"/>
        </w:rPr>
        <w:t>供应商</w:t>
      </w:r>
      <w:r>
        <w:rPr>
          <w:rFonts w:hint="eastAsia" w:ascii="宋体" w:hAnsi="宋体"/>
          <w:sz w:val="24"/>
          <w:szCs w:val="24"/>
        </w:rPr>
        <w:t>的价格为磋商基准价，其价格分为满分。其他</w:t>
      </w:r>
      <w:r>
        <w:rPr>
          <w:rFonts w:hint="eastAsia" w:ascii="宋体" w:hAnsi="宋体"/>
          <w:sz w:val="24"/>
          <w:szCs w:val="24"/>
          <w:lang w:eastAsia="zh-CN"/>
        </w:rPr>
        <w:t>供应商</w:t>
      </w:r>
      <w:r>
        <w:rPr>
          <w:rFonts w:hint="eastAsia" w:ascii="宋体" w:hAnsi="宋体"/>
          <w:sz w:val="24"/>
          <w:szCs w:val="24"/>
        </w:rPr>
        <w:t>的价格分统一按照下列公式计算</w:t>
      </w:r>
      <w:r>
        <w:rPr>
          <w:rFonts w:hint="eastAsia" w:ascii="宋体" w:hAnsi="宋体"/>
          <w:sz w:val="24"/>
          <w:szCs w:val="24"/>
          <w:highlight w:val="none"/>
        </w:rPr>
        <w:t>：磋商报价得分=</w:t>
      </w:r>
      <w:r>
        <w:rPr>
          <w:rFonts w:hint="eastAsia" w:ascii="宋体" w:hAnsi="宋体"/>
          <w:b/>
          <w:color w:val="auto"/>
          <w:sz w:val="24"/>
          <w:szCs w:val="24"/>
          <w:highlight w:val="none"/>
        </w:rPr>
        <w:t>（磋商基准价/最后磋商报价）×</w:t>
      </w:r>
      <w:r>
        <w:rPr>
          <w:rFonts w:hint="eastAsia" w:ascii="宋体" w:hAnsi="宋体"/>
          <w:b/>
          <w:color w:val="auto"/>
          <w:sz w:val="24"/>
          <w:szCs w:val="24"/>
          <w:highlight w:val="none"/>
          <w:lang w:val="en-US" w:eastAsia="zh-CN"/>
        </w:rPr>
        <w:t>10</w:t>
      </w:r>
    </w:p>
    <w:p>
      <w:pPr>
        <w:spacing w:line="360" w:lineRule="auto"/>
        <w:rPr>
          <w:rFonts w:hint="eastAsia" w:ascii="宋体" w:hAnsi="宋体"/>
          <w:color w:val="auto"/>
          <w:sz w:val="24"/>
          <w:szCs w:val="24"/>
        </w:rPr>
      </w:pPr>
      <w:r>
        <w:rPr>
          <w:rFonts w:hint="eastAsia" w:ascii="宋体" w:hAnsi="宋体"/>
          <w:sz w:val="24"/>
          <w:szCs w:val="24"/>
        </w:rPr>
        <w:t>评审严</w:t>
      </w:r>
      <w:r>
        <w:rPr>
          <w:rFonts w:hint="eastAsia" w:ascii="宋体" w:hAnsi="宋体"/>
          <w:color w:val="auto"/>
          <w:sz w:val="24"/>
          <w:szCs w:val="24"/>
        </w:rPr>
        <w:t>格按照竞争性磋商文件的要求和条件进行。同时考虑报价及以下因素：</w:t>
      </w:r>
    </w:p>
    <w:p>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lang w:eastAsia="zh-CN"/>
        </w:rPr>
        <w:t>）服务方案</w:t>
      </w:r>
      <w:r>
        <w:rPr>
          <w:rFonts w:hint="eastAsia" w:ascii="宋体" w:hAnsi="宋体"/>
          <w:color w:val="auto"/>
          <w:sz w:val="24"/>
          <w:szCs w:val="24"/>
          <w:highlight w:val="none"/>
        </w:rPr>
        <w:t>；</w:t>
      </w:r>
    </w:p>
    <w:p>
      <w:pPr>
        <w:spacing w:line="360" w:lineRule="auto"/>
        <w:ind w:firstLine="480" w:firstLineChars="200"/>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lang w:eastAsia="zh-CN"/>
        </w:rPr>
        <w:t>）团队人员；</w:t>
      </w:r>
    </w:p>
    <w:p>
      <w:pPr>
        <w:spacing w:line="360" w:lineRule="auto"/>
        <w:ind w:firstLine="480" w:firstLineChars="200"/>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lang w:eastAsia="zh-CN"/>
        </w:rPr>
        <w:t>）供应商业绩。</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21.5 </w:t>
      </w:r>
      <w:r>
        <w:rPr>
          <w:rFonts w:hint="eastAsia" w:ascii="宋体" w:hAnsi="宋体"/>
          <w:sz w:val="24"/>
          <w:szCs w:val="24"/>
        </w:rPr>
        <w:t>磋商过程中，如果磋商小组认为</w:t>
      </w:r>
      <w:r>
        <w:rPr>
          <w:rFonts w:hint="eastAsia" w:ascii="宋体" w:hAnsi="宋体"/>
          <w:sz w:val="24"/>
          <w:szCs w:val="24"/>
          <w:lang w:eastAsia="zh-CN"/>
        </w:rPr>
        <w:t>供应商</w:t>
      </w:r>
      <w:r>
        <w:rPr>
          <w:rFonts w:hint="eastAsia" w:ascii="宋体" w:hAnsi="宋体"/>
          <w:sz w:val="24"/>
          <w:szCs w:val="24"/>
        </w:rPr>
        <w:t>的报价或者某些分项报价明显不合理或者低于成本，有可能影响商品质量和不能诚信履约的，应当要求其在规定的期限内予以解释说明，并提交相关证明材料。</w:t>
      </w:r>
      <w:r>
        <w:rPr>
          <w:rFonts w:hint="eastAsia" w:ascii="宋体" w:hAnsi="宋体"/>
          <w:sz w:val="24"/>
          <w:szCs w:val="24"/>
          <w:lang w:eastAsia="zh-CN"/>
        </w:rPr>
        <w:t>供应商</w:t>
      </w:r>
      <w:r>
        <w:rPr>
          <w:rFonts w:hint="eastAsia" w:ascii="宋体" w:hAnsi="宋体" w:cs="宋体"/>
          <w:sz w:val="24"/>
          <w:szCs w:val="24"/>
        </w:rPr>
        <w:t>的澄清或者解释应当采用书面形式，</w:t>
      </w:r>
      <w:r>
        <w:rPr>
          <w:rFonts w:hint="eastAsia" w:ascii="宋体" w:hAnsi="宋体"/>
          <w:sz w:val="24"/>
          <w:szCs w:val="24"/>
        </w:rPr>
        <w:t>其法定代表人或授权代表签字或者加盖公章。由授权代表签字的，应当附法定代表人授权书。</w:t>
      </w:r>
      <w:r>
        <w:rPr>
          <w:rFonts w:hint="eastAsia" w:ascii="宋体" w:hAnsi="宋体"/>
          <w:sz w:val="24"/>
          <w:szCs w:val="24"/>
          <w:lang w:eastAsia="zh-CN"/>
        </w:rPr>
        <w:t>供应商</w:t>
      </w:r>
      <w:r>
        <w:rPr>
          <w:rFonts w:hint="eastAsia" w:ascii="宋体" w:hAnsi="宋体"/>
          <w:sz w:val="24"/>
          <w:szCs w:val="24"/>
        </w:rPr>
        <w:t>为自然人的，应当由本人签字并附身份证明。</w:t>
      </w:r>
      <w:r>
        <w:rPr>
          <w:rFonts w:hint="eastAsia" w:ascii="宋体" w:hAnsi="宋体" w:cs="宋体"/>
          <w:sz w:val="24"/>
          <w:szCs w:val="24"/>
        </w:rPr>
        <w:t>如果磋商小组认为</w:t>
      </w:r>
      <w:r>
        <w:rPr>
          <w:rFonts w:hint="eastAsia" w:ascii="宋体" w:hAnsi="宋体"/>
          <w:sz w:val="24"/>
          <w:szCs w:val="24"/>
          <w:lang w:eastAsia="zh-CN"/>
        </w:rPr>
        <w:t>供应商</w:t>
      </w:r>
      <w:r>
        <w:rPr>
          <w:rFonts w:hint="eastAsia" w:ascii="宋体" w:hAnsi="宋体" w:cs="宋体"/>
          <w:sz w:val="24"/>
          <w:szCs w:val="24"/>
        </w:rPr>
        <w:t>所做的澄清或者解释不能被接受，有权利拒绝其成交。</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21.6 </w:t>
      </w:r>
      <w:r>
        <w:rPr>
          <w:rFonts w:hint="eastAsia" w:ascii="宋体" w:hAnsi="宋体"/>
          <w:sz w:val="24"/>
          <w:szCs w:val="24"/>
        </w:rPr>
        <w:t xml:space="preserve"> 最低报价不作成交保证</w:t>
      </w:r>
      <w:r>
        <w:rPr>
          <w:rFonts w:hint="eastAsia" w:ascii="宋体" w:hAnsi="宋体" w:cs="宋体"/>
          <w:sz w:val="24"/>
          <w:szCs w:val="24"/>
        </w:rPr>
        <w:t>。</w:t>
      </w:r>
    </w:p>
    <w:p>
      <w:pPr>
        <w:numPr>
          <w:ilvl w:val="0"/>
          <w:numId w:val="0"/>
        </w:numPr>
        <w:spacing w:line="360" w:lineRule="auto"/>
        <w:ind w:leftChars="0"/>
        <w:rPr>
          <w:rFonts w:ascii="宋体" w:hAnsi="宋体"/>
          <w:b/>
          <w:sz w:val="24"/>
          <w:szCs w:val="24"/>
        </w:rPr>
      </w:pPr>
      <w:r>
        <w:rPr>
          <w:rFonts w:hint="eastAsia" w:ascii="宋体" w:hAnsi="宋体"/>
          <w:b/>
          <w:sz w:val="24"/>
          <w:szCs w:val="24"/>
          <w:lang w:val="en-US" w:eastAsia="zh-CN"/>
        </w:rPr>
        <w:t xml:space="preserve">22. </w:t>
      </w:r>
      <w:r>
        <w:rPr>
          <w:rFonts w:hint="eastAsia" w:ascii="宋体" w:hAnsi="宋体"/>
          <w:b/>
          <w:sz w:val="24"/>
          <w:szCs w:val="24"/>
        </w:rPr>
        <w:t>评审过程及保密原则</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22.1 </w:t>
      </w:r>
      <w:r>
        <w:rPr>
          <w:rFonts w:hint="eastAsia" w:ascii="宋体" w:hAnsi="宋体"/>
          <w:sz w:val="24"/>
          <w:szCs w:val="24"/>
        </w:rPr>
        <w:t>送达《响应文件》之后，直到授予成交</w:t>
      </w:r>
      <w:r>
        <w:rPr>
          <w:rFonts w:hint="eastAsia" w:ascii="宋体" w:hAnsi="宋体"/>
          <w:sz w:val="24"/>
          <w:szCs w:val="24"/>
          <w:lang w:eastAsia="zh-CN"/>
        </w:rPr>
        <w:t>供应商</w:t>
      </w:r>
      <w:r>
        <w:rPr>
          <w:rFonts w:hint="eastAsia" w:ascii="宋体" w:hAnsi="宋体"/>
          <w:sz w:val="24"/>
          <w:szCs w:val="24"/>
        </w:rPr>
        <w:t>合同止，凡与本次磋商有关人员对属于审查、澄清、评价和比较报价的有关资料以及授标意向等，均不得向</w:t>
      </w:r>
      <w:r>
        <w:rPr>
          <w:rFonts w:hint="eastAsia" w:ascii="宋体" w:hAnsi="宋体"/>
          <w:sz w:val="24"/>
          <w:szCs w:val="24"/>
          <w:lang w:eastAsia="zh-CN"/>
        </w:rPr>
        <w:t>供应商</w:t>
      </w:r>
      <w:r>
        <w:rPr>
          <w:rFonts w:hint="eastAsia" w:ascii="宋体" w:hAnsi="宋体"/>
          <w:sz w:val="24"/>
          <w:szCs w:val="24"/>
        </w:rPr>
        <w:t>或其他无关的人员透露。</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22.2 </w:t>
      </w:r>
      <w:r>
        <w:rPr>
          <w:rFonts w:hint="eastAsia" w:ascii="宋体" w:hAnsi="宋体"/>
          <w:sz w:val="24"/>
          <w:szCs w:val="24"/>
        </w:rPr>
        <w:t>在磋商期间，</w:t>
      </w:r>
      <w:r>
        <w:rPr>
          <w:rFonts w:hint="eastAsia" w:ascii="宋体" w:hAnsi="宋体"/>
          <w:sz w:val="24"/>
          <w:szCs w:val="24"/>
          <w:lang w:eastAsia="zh-CN"/>
        </w:rPr>
        <w:t>供应商</w:t>
      </w:r>
      <w:r>
        <w:rPr>
          <w:rFonts w:hint="eastAsia" w:ascii="宋体" w:hAnsi="宋体"/>
          <w:sz w:val="24"/>
          <w:szCs w:val="24"/>
        </w:rPr>
        <w:t>试图影响北京市石景山区政府采购中心和磋商小组的任何活动，其响应视为无效，并承担相应的法律责任。</w:t>
      </w:r>
    </w:p>
    <w:p>
      <w:pPr>
        <w:pStyle w:val="4"/>
        <w:spacing w:beforeLines="50" w:after="120" w:afterLines="50" w:line="360" w:lineRule="auto"/>
        <w:rPr>
          <w:rFonts w:ascii="宋体" w:hAnsi="宋体" w:eastAsia="宋体"/>
          <w:sz w:val="24"/>
          <w:szCs w:val="24"/>
        </w:rPr>
      </w:pPr>
      <w:bookmarkStart w:id="36" w:name="_Toc520356169"/>
      <w:r>
        <w:rPr>
          <w:rFonts w:hint="eastAsia" w:ascii="宋体" w:hAnsi="宋体" w:eastAsia="宋体"/>
          <w:sz w:val="24"/>
          <w:szCs w:val="24"/>
        </w:rPr>
        <w:t xml:space="preserve">六   </w:t>
      </w:r>
      <w:bookmarkEnd w:id="36"/>
      <w:r>
        <w:rPr>
          <w:rFonts w:hint="eastAsia" w:ascii="宋体" w:hAnsi="宋体" w:eastAsia="宋体"/>
          <w:sz w:val="24"/>
          <w:szCs w:val="24"/>
        </w:rPr>
        <w:t>确定成交</w:t>
      </w:r>
      <w:r>
        <w:rPr>
          <w:rFonts w:hint="eastAsia" w:ascii="宋体" w:hAnsi="宋体" w:eastAsia="宋体"/>
          <w:sz w:val="24"/>
          <w:szCs w:val="24"/>
          <w:lang w:eastAsia="zh-CN"/>
        </w:rPr>
        <w:t>供应商</w:t>
      </w:r>
    </w:p>
    <w:p>
      <w:pPr>
        <w:numPr>
          <w:ilvl w:val="0"/>
          <w:numId w:val="0"/>
        </w:numPr>
        <w:spacing w:line="360" w:lineRule="auto"/>
        <w:ind w:leftChars="0"/>
        <w:rPr>
          <w:rFonts w:ascii="宋体" w:hAnsi="宋体"/>
          <w:b/>
          <w:sz w:val="24"/>
          <w:szCs w:val="24"/>
        </w:rPr>
      </w:pPr>
      <w:bookmarkStart w:id="37" w:name="_Toc520356170"/>
      <w:bookmarkStart w:id="38" w:name="_Ref467307010"/>
      <w:r>
        <w:rPr>
          <w:rFonts w:hint="eastAsia" w:ascii="宋体" w:hAnsi="宋体"/>
          <w:b/>
          <w:sz w:val="24"/>
          <w:szCs w:val="24"/>
          <w:lang w:val="en-US" w:eastAsia="zh-CN"/>
        </w:rPr>
        <w:t xml:space="preserve">23. </w:t>
      </w:r>
      <w:r>
        <w:rPr>
          <w:rFonts w:hint="eastAsia" w:ascii="宋体" w:hAnsi="宋体"/>
          <w:b/>
          <w:sz w:val="24"/>
          <w:szCs w:val="24"/>
        </w:rPr>
        <w:t>成交候选</w:t>
      </w:r>
      <w:r>
        <w:rPr>
          <w:rFonts w:hint="eastAsia" w:ascii="宋体" w:hAnsi="宋体"/>
          <w:b/>
          <w:sz w:val="24"/>
          <w:szCs w:val="24"/>
          <w:lang w:eastAsia="zh-CN"/>
        </w:rPr>
        <w:t>供应商</w:t>
      </w:r>
      <w:r>
        <w:rPr>
          <w:rFonts w:hint="eastAsia" w:ascii="宋体" w:hAnsi="宋体"/>
          <w:b/>
          <w:sz w:val="24"/>
          <w:szCs w:val="24"/>
        </w:rPr>
        <w:t>的确定标准</w:t>
      </w:r>
      <w:bookmarkEnd w:id="37"/>
      <w:bookmarkEnd w:id="38"/>
    </w:p>
    <w:p>
      <w:pPr>
        <w:tabs>
          <w:tab w:val="left" w:pos="720"/>
        </w:tabs>
        <w:spacing w:line="360" w:lineRule="auto"/>
        <w:ind w:firstLine="480" w:firstLineChars="200"/>
        <w:rPr>
          <w:rFonts w:ascii="宋体" w:hAnsi="宋体"/>
          <w:sz w:val="24"/>
          <w:szCs w:val="24"/>
        </w:rPr>
      </w:pPr>
      <w:r>
        <w:rPr>
          <w:rFonts w:hint="eastAsia" w:ascii="宋体" w:hAnsi="宋体"/>
          <w:sz w:val="24"/>
          <w:szCs w:val="24"/>
        </w:rPr>
        <w:t>成交候选</w:t>
      </w:r>
      <w:r>
        <w:rPr>
          <w:rFonts w:hint="eastAsia" w:ascii="宋体" w:hAnsi="宋体"/>
          <w:sz w:val="24"/>
          <w:szCs w:val="24"/>
          <w:lang w:eastAsia="zh-CN"/>
        </w:rPr>
        <w:t>供应商</w:t>
      </w:r>
      <w:r>
        <w:rPr>
          <w:rFonts w:hint="eastAsia" w:ascii="宋体" w:hAnsi="宋体"/>
          <w:sz w:val="24"/>
          <w:szCs w:val="24"/>
        </w:rPr>
        <w:t>的确定原则及标准：按评审后得分由高到低顺序排列。总得分最高的</w:t>
      </w:r>
      <w:r>
        <w:rPr>
          <w:rFonts w:hint="eastAsia" w:ascii="宋体" w:hAnsi="宋体"/>
          <w:sz w:val="24"/>
          <w:szCs w:val="24"/>
          <w:lang w:eastAsia="zh-CN"/>
        </w:rPr>
        <w:t>供应商</w:t>
      </w:r>
      <w:r>
        <w:rPr>
          <w:rFonts w:hint="eastAsia" w:ascii="宋体" w:hAnsi="宋体"/>
          <w:sz w:val="24"/>
          <w:szCs w:val="24"/>
        </w:rPr>
        <w:t>为成交候选</w:t>
      </w:r>
      <w:r>
        <w:rPr>
          <w:rFonts w:hint="eastAsia" w:ascii="宋体" w:hAnsi="宋体"/>
          <w:sz w:val="24"/>
          <w:szCs w:val="24"/>
          <w:lang w:eastAsia="zh-CN"/>
        </w:rPr>
        <w:t>供应商</w:t>
      </w:r>
      <w:r>
        <w:rPr>
          <w:rFonts w:hint="eastAsia" w:ascii="宋体" w:hAnsi="宋体"/>
          <w:sz w:val="24"/>
          <w:szCs w:val="24"/>
        </w:rPr>
        <w:t>。评审得分相同的，按照最后报价由低到高的顺序推荐。</w:t>
      </w:r>
    </w:p>
    <w:p>
      <w:pPr>
        <w:numPr>
          <w:ilvl w:val="0"/>
          <w:numId w:val="0"/>
        </w:numPr>
        <w:spacing w:line="360" w:lineRule="auto"/>
        <w:ind w:leftChars="0"/>
        <w:rPr>
          <w:rFonts w:ascii="宋体" w:hAnsi="宋体"/>
          <w:b/>
          <w:sz w:val="24"/>
          <w:szCs w:val="24"/>
        </w:rPr>
      </w:pPr>
      <w:bookmarkStart w:id="39" w:name="_Toc520356172"/>
      <w:bookmarkStart w:id="40" w:name="_Toc520356173"/>
      <w:bookmarkStart w:id="41" w:name="_Ref467306874"/>
      <w:r>
        <w:rPr>
          <w:rFonts w:hint="eastAsia" w:ascii="宋体" w:hAnsi="宋体"/>
          <w:b/>
          <w:sz w:val="24"/>
          <w:szCs w:val="24"/>
          <w:lang w:val="en-US" w:eastAsia="zh-CN"/>
        </w:rPr>
        <w:t xml:space="preserve">24. </w:t>
      </w:r>
      <w:r>
        <w:rPr>
          <w:rFonts w:hint="eastAsia" w:ascii="宋体" w:hAnsi="宋体"/>
          <w:b/>
          <w:sz w:val="24"/>
          <w:szCs w:val="24"/>
        </w:rPr>
        <w:t>接受和拒绝任何或所有报价的权利</w:t>
      </w:r>
      <w:bookmarkEnd w:id="39"/>
      <w:bookmarkEnd w:id="40"/>
      <w:bookmarkEnd w:id="41"/>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24.1 </w:t>
      </w:r>
      <w:r>
        <w:rPr>
          <w:rFonts w:hint="eastAsia" w:ascii="宋体" w:hAnsi="宋体"/>
          <w:sz w:val="24"/>
          <w:szCs w:val="24"/>
        </w:rPr>
        <w:t>为维护国家和社会公共利益，北京市石景山区政府采购中心保留在授标之前任何时候接受或拒绝任何报价的权利，且对受影响的</w:t>
      </w:r>
      <w:r>
        <w:rPr>
          <w:rFonts w:hint="eastAsia" w:ascii="宋体" w:hAnsi="宋体"/>
          <w:sz w:val="24"/>
          <w:szCs w:val="24"/>
          <w:lang w:eastAsia="zh-CN"/>
        </w:rPr>
        <w:t>供应商</w:t>
      </w:r>
      <w:r>
        <w:rPr>
          <w:rFonts w:hint="eastAsia" w:ascii="宋体" w:hAnsi="宋体"/>
          <w:sz w:val="24"/>
          <w:szCs w:val="24"/>
        </w:rPr>
        <w:t>不承担任何责任。</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24.2 </w:t>
      </w:r>
      <w:r>
        <w:rPr>
          <w:rFonts w:hint="eastAsia" w:ascii="宋体" w:hAnsi="宋体"/>
          <w:sz w:val="24"/>
          <w:szCs w:val="24"/>
        </w:rPr>
        <w:t>因不可抗力或成交</w:t>
      </w:r>
      <w:r>
        <w:rPr>
          <w:rFonts w:hint="eastAsia" w:ascii="宋体" w:hAnsi="宋体"/>
          <w:sz w:val="24"/>
          <w:szCs w:val="24"/>
          <w:lang w:eastAsia="zh-CN"/>
        </w:rPr>
        <w:t>供应商</w:t>
      </w:r>
      <w:r>
        <w:rPr>
          <w:rFonts w:hint="eastAsia" w:ascii="宋体" w:hAnsi="宋体"/>
          <w:sz w:val="24"/>
          <w:szCs w:val="24"/>
        </w:rPr>
        <w:t>不能履约等情形，采购人保留与其他候选</w:t>
      </w:r>
      <w:r>
        <w:rPr>
          <w:rFonts w:hint="eastAsia" w:ascii="宋体" w:hAnsi="宋体"/>
          <w:sz w:val="24"/>
          <w:szCs w:val="24"/>
          <w:lang w:eastAsia="zh-CN"/>
        </w:rPr>
        <w:t>供应商</w:t>
      </w:r>
      <w:r>
        <w:rPr>
          <w:rFonts w:hint="eastAsia" w:ascii="宋体" w:hAnsi="宋体"/>
          <w:sz w:val="24"/>
          <w:szCs w:val="24"/>
        </w:rPr>
        <w:t>签订合同的权利。</w:t>
      </w:r>
    </w:p>
    <w:p>
      <w:pPr>
        <w:numPr>
          <w:ilvl w:val="0"/>
          <w:numId w:val="0"/>
        </w:numPr>
        <w:spacing w:line="360" w:lineRule="auto"/>
        <w:ind w:leftChars="0"/>
        <w:rPr>
          <w:rFonts w:ascii="宋体" w:hAnsi="宋体"/>
          <w:b/>
          <w:sz w:val="24"/>
          <w:szCs w:val="24"/>
        </w:rPr>
      </w:pPr>
      <w:bookmarkStart w:id="42" w:name="_Toc520356174"/>
      <w:r>
        <w:rPr>
          <w:rFonts w:hint="eastAsia" w:ascii="宋体" w:hAnsi="宋体"/>
          <w:b/>
          <w:sz w:val="24"/>
          <w:szCs w:val="24"/>
          <w:lang w:val="en-US" w:eastAsia="zh-CN"/>
        </w:rPr>
        <w:t xml:space="preserve">25. </w:t>
      </w:r>
      <w:r>
        <w:rPr>
          <w:rFonts w:hint="eastAsia" w:ascii="宋体" w:hAnsi="宋体"/>
          <w:b/>
          <w:sz w:val="24"/>
          <w:szCs w:val="24"/>
        </w:rPr>
        <w:t>成交通知书</w:t>
      </w:r>
      <w:bookmarkEnd w:id="42"/>
    </w:p>
    <w:p>
      <w:pPr>
        <w:numPr>
          <w:ilvl w:val="0"/>
          <w:numId w:val="0"/>
        </w:numPr>
        <w:tabs>
          <w:tab w:val="left" w:pos="720"/>
        </w:tabs>
        <w:spacing w:line="360" w:lineRule="auto"/>
        <w:ind w:leftChars="0" w:right="-143" w:rightChars="-68"/>
        <w:rPr>
          <w:rFonts w:ascii="宋体" w:hAnsi="宋体"/>
          <w:sz w:val="24"/>
          <w:szCs w:val="24"/>
        </w:rPr>
      </w:pPr>
      <w:r>
        <w:rPr>
          <w:rFonts w:hint="eastAsia" w:ascii="宋体" w:hAnsi="宋体"/>
          <w:sz w:val="24"/>
          <w:szCs w:val="24"/>
          <w:lang w:val="en-US" w:eastAsia="zh-CN"/>
        </w:rPr>
        <w:t>25.1</w:t>
      </w:r>
      <w:r>
        <w:rPr>
          <w:rFonts w:hint="eastAsia" w:ascii="宋体" w:hAnsi="宋体"/>
          <w:sz w:val="24"/>
          <w:szCs w:val="24"/>
        </w:rPr>
        <w:t xml:space="preserve"> 成交</w:t>
      </w:r>
      <w:r>
        <w:rPr>
          <w:rFonts w:hint="eastAsia" w:ascii="宋体" w:hAnsi="宋体"/>
          <w:sz w:val="24"/>
          <w:szCs w:val="24"/>
          <w:lang w:eastAsia="zh-CN"/>
        </w:rPr>
        <w:t>供应商</w:t>
      </w:r>
      <w:r>
        <w:rPr>
          <w:rFonts w:hint="eastAsia" w:ascii="宋体" w:hAnsi="宋体"/>
          <w:sz w:val="24"/>
          <w:szCs w:val="24"/>
        </w:rPr>
        <w:t>确定后，北京市石景山区政府采购中心以书面形式向成交</w:t>
      </w:r>
      <w:r>
        <w:rPr>
          <w:rFonts w:hint="eastAsia" w:ascii="宋体" w:hAnsi="宋体"/>
          <w:sz w:val="24"/>
          <w:szCs w:val="24"/>
          <w:lang w:eastAsia="zh-CN"/>
        </w:rPr>
        <w:t>供应商</w:t>
      </w:r>
      <w:r>
        <w:rPr>
          <w:rFonts w:hint="eastAsia" w:ascii="宋体" w:hAnsi="宋体"/>
          <w:sz w:val="24"/>
          <w:szCs w:val="24"/>
        </w:rPr>
        <w:t>发出成交通知书。</w:t>
      </w:r>
    </w:p>
    <w:p>
      <w:pPr>
        <w:numPr>
          <w:ilvl w:val="0"/>
          <w:numId w:val="0"/>
        </w:numPr>
        <w:tabs>
          <w:tab w:val="left" w:pos="720"/>
        </w:tabs>
        <w:spacing w:line="360" w:lineRule="auto"/>
        <w:ind w:leftChars="0"/>
        <w:rPr>
          <w:rFonts w:ascii="宋体" w:hAnsi="宋体"/>
          <w:sz w:val="24"/>
          <w:szCs w:val="24"/>
        </w:rPr>
      </w:pPr>
      <w:r>
        <w:rPr>
          <w:rFonts w:hint="eastAsia" w:ascii="宋体" w:hAnsi="宋体"/>
          <w:sz w:val="24"/>
          <w:szCs w:val="24"/>
          <w:lang w:val="en-US" w:eastAsia="zh-CN"/>
        </w:rPr>
        <w:t xml:space="preserve">25.2 </w:t>
      </w:r>
      <w:r>
        <w:rPr>
          <w:rFonts w:hint="eastAsia" w:ascii="宋体" w:hAnsi="宋体"/>
          <w:sz w:val="24"/>
          <w:szCs w:val="24"/>
        </w:rPr>
        <w:t>成交通知书是合同的组成部分。</w:t>
      </w:r>
    </w:p>
    <w:p>
      <w:pPr>
        <w:numPr>
          <w:ilvl w:val="0"/>
          <w:numId w:val="0"/>
        </w:numPr>
        <w:spacing w:line="360" w:lineRule="auto"/>
        <w:ind w:leftChars="0"/>
        <w:rPr>
          <w:rFonts w:ascii="宋体" w:hAnsi="宋体"/>
          <w:b/>
          <w:sz w:val="24"/>
          <w:szCs w:val="24"/>
        </w:rPr>
      </w:pPr>
      <w:bookmarkStart w:id="43" w:name="_Ref467307062"/>
      <w:bookmarkStart w:id="44" w:name="_Ref467307204"/>
      <w:bookmarkStart w:id="45" w:name="_Ref467306978"/>
      <w:bookmarkStart w:id="46" w:name="_Toc520356175"/>
      <w:bookmarkStart w:id="47" w:name="_Ref467306377"/>
      <w:r>
        <w:rPr>
          <w:rFonts w:hint="eastAsia" w:ascii="宋体" w:hAnsi="宋体"/>
          <w:b/>
          <w:sz w:val="24"/>
          <w:szCs w:val="24"/>
          <w:lang w:val="en-US" w:eastAsia="zh-CN"/>
        </w:rPr>
        <w:t xml:space="preserve">26. </w:t>
      </w:r>
      <w:r>
        <w:rPr>
          <w:rFonts w:hint="eastAsia" w:ascii="宋体" w:hAnsi="宋体"/>
          <w:b/>
          <w:sz w:val="24"/>
          <w:szCs w:val="24"/>
        </w:rPr>
        <w:t>签订合同</w:t>
      </w:r>
      <w:bookmarkEnd w:id="43"/>
      <w:bookmarkEnd w:id="44"/>
      <w:bookmarkEnd w:id="45"/>
      <w:bookmarkEnd w:id="46"/>
      <w:bookmarkEnd w:id="47"/>
    </w:p>
    <w:p>
      <w:pPr>
        <w:keepNext w:val="0"/>
        <w:keepLines w:val="0"/>
        <w:pageBreakBefore w:val="0"/>
        <w:widowControl w:val="0"/>
        <w:numPr>
          <w:ilvl w:val="0"/>
          <w:numId w:val="0"/>
        </w:numPr>
        <w:tabs>
          <w:tab w:val="left" w:pos="720"/>
        </w:tabs>
        <w:kinsoku/>
        <w:wordWrap/>
        <w:overflowPunct/>
        <w:topLinePunct w:val="0"/>
        <w:autoSpaceDE/>
        <w:autoSpaceDN/>
        <w:bidi w:val="0"/>
        <w:adjustRightInd/>
        <w:snapToGrid/>
        <w:spacing w:line="360" w:lineRule="auto"/>
        <w:ind w:leftChars="0"/>
        <w:textAlignment w:val="auto"/>
        <w:rPr>
          <w:rFonts w:ascii="宋体" w:hAnsi="宋体"/>
          <w:sz w:val="24"/>
          <w:szCs w:val="24"/>
        </w:rPr>
      </w:pPr>
      <w:r>
        <w:rPr>
          <w:rFonts w:hint="eastAsia" w:ascii="宋体" w:hAnsi="宋体"/>
          <w:sz w:val="24"/>
          <w:szCs w:val="24"/>
          <w:lang w:val="en-US" w:eastAsia="zh-CN"/>
        </w:rPr>
        <w:t xml:space="preserve">26.1 </w:t>
      </w:r>
      <w:r>
        <w:rPr>
          <w:rFonts w:hint="eastAsia" w:ascii="宋体" w:hAnsi="宋体"/>
          <w:sz w:val="24"/>
          <w:szCs w:val="24"/>
        </w:rPr>
        <w:t>成交</w:t>
      </w:r>
      <w:r>
        <w:rPr>
          <w:rFonts w:hint="eastAsia" w:ascii="宋体" w:hAnsi="宋体"/>
          <w:sz w:val="24"/>
          <w:szCs w:val="24"/>
          <w:lang w:eastAsia="zh-CN"/>
        </w:rPr>
        <w:t>供应商</w:t>
      </w:r>
      <w:r>
        <w:rPr>
          <w:rFonts w:hint="eastAsia" w:ascii="宋体" w:hAnsi="宋体"/>
          <w:sz w:val="24"/>
          <w:szCs w:val="24"/>
        </w:rPr>
        <w:t>应当自收到成交通知书之日起30日内，按照竞争性磋商文件确定的合同文本与买方签订签订政府采购合同，否则按撤回处理。</w:t>
      </w:r>
    </w:p>
    <w:p>
      <w:pPr>
        <w:keepNext w:val="0"/>
        <w:keepLines w:val="0"/>
        <w:pageBreakBefore w:val="0"/>
        <w:widowControl w:val="0"/>
        <w:numPr>
          <w:ilvl w:val="0"/>
          <w:numId w:val="0"/>
        </w:numPr>
        <w:tabs>
          <w:tab w:val="left" w:pos="720"/>
        </w:tabs>
        <w:kinsoku/>
        <w:wordWrap/>
        <w:overflowPunct/>
        <w:topLinePunct w:val="0"/>
        <w:autoSpaceDE/>
        <w:autoSpaceDN/>
        <w:bidi w:val="0"/>
        <w:adjustRightInd/>
        <w:snapToGrid/>
        <w:spacing w:line="360" w:lineRule="auto"/>
        <w:ind w:leftChars="0"/>
        <w:textAlignment w:val="auto"/>
        <w:rPr>
          <w:rFonts w:ascii="宋体" w:hAnsi="宋体"/>
          <w:sz w:val="24"/>
          <w:szCs w:val="24"/>
        </w:rPr>
      </w:pPr>
      <w:bookmarkStart w:id="48" w:name="_Ref467306425"/>
      <w:bookmarkStart w:id="49" w:name="_Ref467307090"/>
      <w:bookmarkStart w:id="50" w:name="_Toc520356176"/>
      <w:r>
        <w:rPr>
          <w:rFonts w:hint="eastAsia" w:ascii="宋体" w:hAnsi="宋体"/>
          <w:sz w:val="24"/>
          <w:szCs w:val="24"/>
          <w:lang w:val="en-US" w:eastAsia="zh-CN"/>
        </w:rPr>
        <w:t xml:space="preserve">26.2 </w:t>
      </w:r>
      <w:r>
        <w:rPr>
          <w:rFonts w:hint="eastAsia" w:ascii="宋体" w:hAnsi="宋体"/>
          <w:sz w:val="24"/>
          <w:szCs w:val="24"/>
        </w:rPr>
        <w:t>《竞争性磋商文件》、成交</w:t>
      </w:r>
      <w:r>
        <w:rPr>
          <w:rFonts w:hint="eastAsia" w:ascii="宋体" w:hAnsi="宋体"/>
          <w:sz w:val="24"/>
          <w:szCs w:val="24"/>
          <w:lang w:eastAsia="zh-CN"/>
        </w:rPr>
        <w:t>供应商</w:t>
      </w:r>
      <w:r>
        <w:rPr>
          <w:rFonts w:hint="eastAsia" w:ascii="宋体" w:hAnsi="宋体"/>
          <w:sz w:val="24"/>
          <w:szCs w:val="24"/>
        </w:rPr>
        <w:t>的《响应文件》及其澄清文件等，均为签订合同的依据。</w:t>
      </w:r>
      <w:bookmarkEnd w:id="48"/>
      <w:bookmarkEnd w:id="49"/>
      <w:bookmarkEnd w:id="50"/>
    </w:p>
    <w:p>
      <w:pPr>
        <w:keepNext w:val="0"/>
        <w:keepLines w:val="0"/>
        <w:pageBreakBefore w:val="0"/>
        <w:widowControl w:val="0"/>
        <w:numPr>
          <w:ilvl w:val="0"/>
          <w:numId w:val="0"/>
        </w:numPr>
        <w:tabs>
          <w:tab w:val="left" w:pos="720"/>
        </w:tabs>
        <w:kinsoku/>
        <w:wordWrap/>
        <w:overflowPunct/>
        <w:topLinePunct w:val="0"/>
        <w:autoSpaceDE/>
        <w:autoSpaceDN/>
        <w:bidi w:val="0"/>
        <w:adjustRightInd/>
        <w:snapToGrid/>
        <w:spacing w:line="360" w:lineRule="auto"/>
        <w:ind w:leftChars="0"/>
        <w:textAlignment w:val="auto"/>
        <w:rPr>
          <w:rFonts w:ascii="宋体" w:hAnsi="宋体"/>
          <w:sz w:val="24"/>
          <w:szCs w:val="24"/>
        </w:rPr>
      </w:pPr>
      <w:r>
        <w:rPr>
          <w:rFonts w:hint="eastAsia" w:ascii="宋体" w:hAnsi="宋体"/>
          <w:sz w:val="24"/>
          <w:szCs w:val="24"/>
          <w:lang w:val="en-US" w:eastAsia="zh-CN"/>
        </w:rPr>
        <w:t xml:space="preserve">26.3 </w:t>
      </w:r>
      <w:r>
        <w:rPr>
          <w:rFonts w:hint="eastAsia" w:ascii="宋体" w:hAnsi="宋体"/>
          <w:sz w:val="24"/>
          <w:szCs w:val="24"/>
        </w:rPr>
        <w:t>成交</w:t>
      </w:r>
      <w:r>
        <w:rPr>
          <w:rFonts w:hint="eastAsia" w:ascii="宋体" w:hAnsi="宋体"/>
          <w:sz w:val="24"/>
          <w:szCs w:val="24"/>
          <w:lang w:eastAsia="zh-CN"/>
        </w:rPr>
        <w:t>供应商</w:t>
      </w:r>
      <w:r>
        <w:rPr>
          <w:rFonts w:hint="eastAsia" w:ascii="宋体" w:hAnsi="宋体"/>
          <w:sz w:val="24"/>
          <w:szCs w:val="24"/>
        </w:rPr>
        <w:t>拒绝签订政府采购合同的，采购人可以按照《政府采购竞争性磋商采购方式管理暂行办法》第二十八条第二款规定的原则确定其他</w:t>
      </w:r>
      <w:r>
        <w:rPr>
          <w:rFonts w:hint="eastAsia" w:ascii="宋体" w:hAnsi="宋体"/>
          <w:sz w:val="24"/>
          <w:szCs w:val="24"/>
          <w:lang w:eastAsia="zh-CN"/>
        </w:rPr>
        <w:t>供应商</w:t>
      </w:r>
      <w:r>
        <w:rPr>
          <w:rFonts w:hint="eastAsia" w:ascii="宋体" w:hAnsi="宋体"/>
          <w:sz w:val="24"/>
          <w:szCs w:val="24"/>
        </w:rPr>
        <w:t>作为成交</w:t>
      </w:r>
      <w:r>
        <w:rPr>
          <w:rFonts w:hint="eastAsia" w:ascii="宋体" w:hAnsi="宋体"/>
          <w:sz w:val="24"/>
          <w:szCs w:val="24"/>
          <w:lang w:eastAsia="zh-CN"/>
        </w:rPr>
        <w:t>供应商</w:t>
      </w:r>
      <w:r>
        <w:rPr>
          <w:rFonts w:hint="eastAsia" w:ascii="宋体" w:hAnsi="宋体"/>
          <w:sz w:val="24"/>
          <w:szCs w:val="24"/>
        </w:rPr>
        <w:t>并签订政府采购合同，也可以重新开展采购活动。拒绝签订政府采购合同的成交</w:t>
      </w:r>
      <w:r>
        <w:rPr>
          <w:rFonts w:hint="eastAsia" w:ascii="宋体" w:hAnsi="宋体"/>
          <w:sz w:val="24"/>
          <w:szCs w:val="24"/>
          <w:lang w:eastAsia="zh-CN"/>
        </w:rPr>
        <w:t>供应商</w:t>
      </w:r>
      <w:r>
        <w:rPr>
          <w:rFonts w:hint="eastAsia" w:ascii="宋体" w:hAnsi="宋体"/>
          <w:sz w:val="24"/>
          <w:szCs w:val="24"/>
        </w:rPr>
        <w:t>不得参加对该项目重新开展的采购活动。</w:t>
      </w:r>
    </w:p>
    <w:p>
      <w:pPr>
        <w:keepNext w:val="0"/>
        <w:keepLines w:val="0"/>
        <w:pageBreakBefore w:val="0"/>
        <w:widowControl w:val="0"/>
        <w:numPr>
          <w:ilvl w:val="0"/>
          <w:numId w:val="0"/>
        </w:numPr>
        <w:tabs>
          <w:tab w:val="left" w:pos="720"/>
        </w:tabs>
        <w:kinsoku/>
        <w:wordWrap/>
        <w:overflowPunct/>
        <w:topLinePunct w:val="0"/>
        <w:autoSpaceDE/>
        <w:autoSpaceDN/>
        <w:bidi w:val="0"/>
        <w:adjustRightInd/>
        <w:snapToGrid/>
        <w:spacing w:line="360" w:lineRule="auto"/>
        <w:ind w:leftChars="0"/>
        <w:textAlignment w:val="auto"/>
        <w:rPr>
          <w:rFonts w:ascii="宋体" w:hAnsi="宋体"/>
          <w:sz w:val="24"/>
          <w:szCs w:val="24"/>
        </w:rPr>
      </w:pPr>
      <w:r>
        <w:rPr>
          <w:rFonts w:hint="eastAsia" w:ascii="宋体" w:hAnsi="宋体"/>
          <w:sz w:val="24"/>
          <w:szCs w:val="24"/>
          <w:lang w:val="en-US" w:eastAsia="zh-CN"/>
        </w:rPr>
        <w:t xml:space="preserve">26.4 </w:t>
      </w:r>
      <w:r>
        <w:rPr>
          <w:rFonts w:hint="eastAsia" w:ascii="宋体" w:hAnsi="宋体"/>
          <w:sz w:val="24"/>
          <w:szCs w:val="24"/>
        </w:rPr>
        <w:t>自政府采购合同签订之日起</w:t>
      </w:r>
      <w:r>
        <w:rPr>
          <w:rFonts w:ascii="宋体" w:hAnsi="宋体"/>
          <w:sz w:val="24"/>
          <w:szCs w:val="24"/>
        </w:rPr>
        <w:t>2</w:t>
      </w:r>
      <w:r>
        <w:rPr>
          <w:rFonts w:hint="eastAsia" w:ascii="宋体" w:hAnsi="宋体"/>
          <w:sz w:val="24"/>
          <w:szCs w:val="24"/>
        </w:rPr>
        <w:t>个工作日内，采购人将政府采购合同在省级以上人民政府财政部门指定的媒体上公告，但政府采购合同中涉及国家秘密、商业秘密的内容除外。</w:t>
      </w:r>
    </w:p>
    <w:p>
      <w:pPr>
        <w:tabs>
          <w:tab w:val="left" w:pos="540"/>
        </w:tabs>
        <w:spacing w:line="360" w:lineRule="auto"/>
        <w:outlineLvl w:val="1"/>
        <w:rPr>
          <w:rFonts w:hint="eastAsia" w:ascii="宋体" w:hAnsi="宋体"/>
          <w:b/>
          <w:sz w:val="24"/>
          <w:szCs w:val="24"/>
        </w:rPr>
      </w:pPr>
      <w:bookmarkStart w:id="51" w:name="_Toc341715992"/>
      <w:r>
        <w:rPr>
          <w:rFonts w:hint="eastAsia" w:ascii="宋体" w:hAnsi="宋体"/>
          <w:b/>
          <w:sz w:val="24"/>
          <w:szCs w:val="24"/>
          <w:lang w:val="en-US" w:eastAsia="zh-CN"/>
        </w:rPr>
        <w:t xml:space="preserve">27. </w:t>
      </w:r>
      <w:r>
        <w:rPr>
          <w:rFonts w:hint="eastAsia" w:ascii="宋体" w:hAnsi="宋体"/>
          <w:b/>
          <w:sz w:val="24"/>
          <w:szCs w:val="24"/>
        </w:rPr>
        <w:t>质疑</w:t>
      </w:r>
      <w:bookmarkEnd w:id="51"/>
    </w:p>
    <w:p>
      <w:pPr>
        <w:tabs>
          <w:tab w:val="left" w:pos="142"/>
          <w:tab w:val="left" w:pos="397"/>
          <w:tab w:val="left" w:pos="540"/>
        </w:tabs>
        <w:spacing w:line="360" w:lineRule="auto"/>
        <w:outlineLvl w:val="2"/>
        <w:rPr>
          <w:rFonts w:hint="eastAsia" w:ascii="宋体" w:hAnsi="宋体"/>
          <w:sz w:val="24"/>
          <w:szCs w:val="24"/>
        </w:rPr>
      </w:pPr>
      <w:bookmarkStart w:id="52" w:name="_Toc341715993"/>
      <w:r>
        <w:rPr>
          <w:rFonts w:hint="eastAsia" w:ascii="宋体" w:hAnsi="宋体"/>
          <w:sz w:val="24"/>
          <w:szCs w:val="24"/>
        </w:rPr>
        <w:t>质疑应当遵守如下条款</w:t>
      </w:r>
      <w:bookmarkEnd w:id="52"/>
    </w:p>
    <w:p>
      <w:pPr>
        <w:spacing w:line="360" w:lineRule="auto"/>
        <w:ind w:left="720" w:hanging="720" w:hangingChars="300"/>
        <w:rPr>
          <w:rFonts w:hint="eastAsia" w:ascii="宋体" w:hAnsi="宋体"/>
          <w:sz w:val="24"/>
          <w:szCs w:val="24"/>
        </w:rPr>
      </w:pPr>
      <w:r>
        <w:rPr>
          <w:rFonts w:hint="eastAsia" w:ascii="仿宋_GB2312" w:hAnsi="宋体" w:eastAsia="仿宋_GB2312"/>
          <w:sz w:val="24"/>
          <w:szCs w:val="24"/>
        </w:rPr>
        <w:t>2</w:t>
      </w:r>
      <w:r>
        <w:rPr>
          <w:rFonts w:hint="eastAsia" w:ascii="仿宋_GB2312" w:hAnsi="宋体" w:eastAsia="仿宋_GB2312"/>
          <w:sz w:val="24"/>
          <w:szCs w:val="24"/>
          <w:lang w:val="en-US" w:eastAsia="zh-CN"/>
        </w:rPr>
        <w:t>7</w:t>
      </w:r>
      <w:r>
        <w:rPr>
          <w:rFonts w:hint="eastAsia" w:ascii="仿宋_GB2312" w:hAnsi="宋体" w:eastAsia="仿宋_GB2312"/>
          <w:sz w:val="24"/>
          <w:szCs w:val="24"/>
        </w:rPr>
        <w:t>.1</w:t>
      </w:r>
      <w:r>
        <w:rPr>
          <w:rFonts w:hint="eastAsia" w:ascii="宋体" w:hAnsi="宋体"/>
          <w:sz w:val="24"/>
          <w:szCs w:val="24"/>
        </w:rPr>
        <w:t xml:space="preserve">  质疑应当在</w:t>
      </w:r>
      <w:r>
        <w:rPr>
          <w:rFonts w:hint="eastAsia" w:ascii="宋体" w:hAnsi="宋体"/>
          <w:sz w:val="24"/>
          <w:szCs w:val="24"/>
          <w:lang w:eastAsia="zh-CN"/>
        </w:rPr>
        <w:t>供应商</w:t>
      </w:r>
      <w:r>
        <w:rPr>
          <w:rFonts w:hint="eastAsia" w:ascii="宋体" w:hAnsi="宋体"/>
          <w:sz w:val="24"/>
          <w:szCs w:val="24"/>
        </w:rPr>
        <w:t>认为自己的权益受到损害之日起七个工作日内以书面形式提出，可以就如下事项向北京市石景山区政府采购中心提出质疑：</w:t>
      </w:r>
    </w:p>
    <w:p>
      <w:pPr>
        <w:spacing w:line="360" w:lineRule="auto"/>
        <w:ind w:firstLine="720" w:firstLineChars="300"/>
        <w:rPr>
          <w:rFonts w:hint="eastAsia" w:ascii="宋体" w:hAnsi="宋体"/>
          <w:sz w:val="24"/>
          <w:szCs w:val="24"/>
        </w:rPr>
      </w:pPr>
      <w:r>
        <w:rPr>
          <w:rFonts w:hint="eastAsia" w:ascii="宋体" w:hAnsi="宋体"/>
          <w:sz w:val="24"/>
          <w:szCs w:val="24"/>
        </w:rPr>
        <w:t>1、竞争性磋商文件</w:t>
      </w:r>
    </w:p>
    <w:p>
      <w:pPr>
        <w:spacing w:line="360" w:lineRule="auto"/>
        <w:ind w:firstLine="720" w:firstLineChars="300"/>
        <w:rPr>
          <w:rFonts w:hint="eastAsia" w:ascii="宋体" w:hAnsi="宋体"/>
          <w:sz w:val="24"/>
          <w:szCs w:val="24"/>
        </w:rPr>
      </w:pPr>
      <w:r>
        <w:rPr>
          <w:rFonts w:hint="eastAsia" w:ascii="宋体" w:hAnsi="宋体"/>
          <w:sz w:val="24"/>
          <w:szCs w:val="24"/>
        </w:rPr>
        <w:t>2、磋商过程，成交结果</w:t>
      </w:r>
    </w:p>
    <w:p>
      <w:pPr>
        <w:spacing w:line="360" w:lineRule="auto"/>
        <w:ind w:firstLine="720" w:firstLineChars="300"/>
        <w:rPr>
          <w:rFonts w:hint="eastAsia" w:ascii="宋体" w:hAnsi="宋体"/>
          <w:sz w:val="24"/>
          <w:szCs w:val="24"/>
        </w:rPr>
      </w:pPr>
      <w:r>
        <w:rPr>
          <w:rFonts w:hint="eastAsia" w:ascii="宋体" w:hAnsi="宋体"/>
          <w:sz w:val="24"/>
          <w:szCs w:val="24"/>
        </w:rPr>
        <w:t>3、其他事项</w:t>
      </w:r>
    </w:p>
    <w:p>
      <w:pPr>
        <w:keepNext w:val="0"/>
        <w:keepLines w:val="0"/>
        <w:pageBreakBefore w:val="0"/>
        <w:widowControl w:val="0"/>
        <w:kinsoku/>
        <w:wordWrap/>
        <w:overflowPunct/>
        <w:topLinePunct w:val="0"/>
        <w:autoSpaceDE/>
        <w:autoSpaceDN/>
        <w:bidi w:val="0"/>
        <w:adjustRightInd/>
        <w:snapToGrid/>
        <w:spacing w:line="360" w:lineRule="auto"/>
        <w:ind w:left="720" w:leftChars="0" w:right="0" w:rightChars="0" w:hanging="720" w:hangingChars="300"/>
        <w:jc w:val="both"/>
        <w:textAlignment w:val="auto"/>
        <w:outlineLvl w:val="9"/>
        <w:rPr>
          <w:rFonts w:hint="eastAsia" w:ascii="宋体" w:hAnsi="宋体"/>
          <w:sz w:val="24"/>
          <w:szCs w:val="24"/>
        </w:rPr>
      </w:pPr>
      <w:r>
        <w:rPr>
          <w:rFonts w:hint="eastAsia" w:ascii="仿宋_GB2312" w:hAnsi="宋体" w:eastAsia="仿宋_GB2312"/>
          <w:sz w:val="24"/>
          <w:szCs w:val="24"/>
        </w:rPr>
        <w:t>2</w:t>
      </w:r>
      <w:r>
        <w:rPr>
          <w:rFonts w:hint="eastAsia" w:ascii="仿宋_GB2312" w:hAnsi="宋体" w:eastAsia="仿宋_GB2312"/>
          <w:sz w:val="24"/>
          <w:szCs w:val="24"/>
          <w:lang w:val="en-US" w:eastAsia="zh-CN"/>
        </w:rPr>
        <w:t>7</w:t>
      </w:r>
      <w:r>
        <w:rPr>
          <w:rFonts w:hint="eastAsia" w:ascii="仿宋_GB2312" w:hAnsi="宋体" w:eastAsia="仿宋_GB2312"/>
          <w:sz w:val="24"/>
          <w:szCs w:val="24"/>
        </w:rPr>
        <w:t xml:space="preserve">.2 </w:t>
      </w:r>
      <w:r>
        <w:rPr>
          <w:rFonts w:hint="eastAsia" w:ascii="宋体" w:hAnsi="宋体"/>
          <w:sz w:val="24"/>
          <w:szCs w:val="24"/>
        </w:rPr>
        <w:t xml:space="preserve"> 书面质疑应当包含具体的质疑事项和事实依据，并附能够证明质疑事项的真实有效的证据材料，并提供该证据的合法来源，如未能随书面质疑提供质疑事项的证明材料，并且在质疑受理人指定送达证明材料的期限内仍未能提供，其质疑事项将被驳回。</w:t>
      </w:r>
    </w:p>
    <w:p>
      <w:pPr>
        <w:keepNext w:val="0"/>
        <w:keepLines w:val="0"/>
        <w:pageBreakBefore w:val="0"/>
        <w:widowControl w:val="0"/>
        <w:kinsoku/>
        <w:wordWrap/>
        <w:overflowPunct/>
        <w:topLinePunct w:val="0"/>
        <w:autoSpaceDE/>
        <w:autoSpaceDN/>
        <w:bidi w:val="0"/>
        <w:adjustRightInd/>
        <w:snapToGrid/>
        <w:spacing w:line="360" w:lineRule="auto"/>
        <w:ind w:left="720" w:leftChars="0" w:right="0" w:rightChars="0" w:hanging="720" w:hangingChars="300"/>
        <w:jc w:val="both"/>
        <w:textAlignment w:val="auto"/>
        <w:outlineLvl w:val="9"/>
        <w:rPr>
          <w:rFonts w:hint="eastAsia" w:ascii="宋体" w:hAnsi="宋体"/>
          <w:sz w:val="24"/>
          <w:szCs w:val="24"/>
        </w:rPr>
      </w:pPr>
      <w:r>
        <w:rPr>
          <w:rFonts w:hint="eastAsia" w:ascii="仿宋_GB2312" w:hAnsi="宋体" w:eastAsia="仿宋_GB2312"/>
          <w:sz w:val="24"/>
          <w:szCs w:val="24"/>
        </w:rPr>
        <w:t>2</w:t>
      </w:r>
      <w:r>
        <w:rPr>
          <w:rFonts w:hint="eastAsia" w:ascii="仿宋_GB2312" w:hAnsi="宋体" w:eastAsia="仿宋_GB2312"/>
          <w:sz w:val="24"/>
          <w:szCs w:val="24"/>
          <w:lang w:val="en-US" w:eastAsia="zh-CN"/>
        </w:rPr>
        <w:t>7</w:t>
      </w:r>
      <w:r>
        <w:rPr>
          <w:rFonts w:hint="eastAsia" w:ascii="仿宋_GB2312" w:hAnsi="宋体" w:eastAsia="仿宋_GB2312"/>
          <w:sz w:val="24"/>
          <w:szCs w:val="24"/>
        </w:rPr>
        <w:t xml:space="preserve">.3 </w:t>
      </w:r>
      <w:r>
        <w:rPr>
          <w:rFonts w:hint="eastAsia" w:ascii="宋体" w:hAnsi="宋体"/>
          <w:sz w:val="24"/>
          <w:szCs w:val="24"/>
        </w:rPr>
        <w:t xml:space="preserve"> 书面质疑应当署名，质疑</w:t>
      </w:r>
      <w:r>
        <w:rPr>
          <w:rFonts w:hint="eastAsia" w:ascii="宋体" w:hAnsi="宋体"/>
          <w:sz w:val="24"/>
          <w:szCs w:val="24"/>
          <w:lang w:eastAsia="zh-CN"/>
        </w:rPr>
        <w:t>供应商</w:t>
      </w:r>
      <w:r>
        <w:rPr>
          <w:rFonts w:hint="eastAsia" w:ascii="宋体" w:hAnsi="宋体"/>
          <w:sz w:val="24"/>
          <w:szCs w:val="24"/>
        </w:rPr>
        <w:t>为法人或者其他组织的，应由法定代表人（其他组织的为主要负责人）或者经授权的</w:t>
      </w:r>
      <w:r>
        <w:rPr>
          <w:rFonts w:hint="eastAsia" w:ascii="宋体" w:hAnsi="宋体"/>
          <w:sz w:val="24"/>
          <w:szCs w:val="24"/>
          <w:lang w:eastAsia="zh-CN"/>
        </w:rPr>
        <w:t>磋商</w:t>
      </w:r>
      <w:r>
        <w:rPr>
          <w:rFonts w:hint="eastAsia" w:ascii="宋体" w:hAnsi="宋体"/>
          <w:sz w:val="24"/>
          <w:szCs w:val="24"/>
        </w:rPr>
        <w:t>代表签字并加盖公章；</w:t>
      </w:r>
      <w:r>
        <w:rPr>
          <w:rFonts w:hint="eastAsia" w:ascii="宋体" w:hAnsi="宋体"/>
          <w:sz w:val="24"/>
          <w:szCs w:val="24"/>
          <w:lang w:eastAsia="zh-CN"/>
        </w:rPr>
        <w:t>供应商</w:t>
      </w:r>
      <w:r>
        <w:rPr>
          <w:rFonts w:hint="eastAsia" w:ascii="宋体" w:hAnsi="宋体"/>
          <w:sz w:val="24"/>
          <w:szCs w:val="24"/>
        </w:rPr>
        <w:t>为自然人的，应当在质疑书上签字并同时提供</w:t>
      </w:r>
      <w:r>
        <w:rPr>
          <w:rFonts w:hint="eastAsia" w:ascii="宋体" w:hAnsi="宋体"/>
          <w:sz w:val="24"/>
          <w:szCs w:val="24"/>
          <w:lang w:eastAsia="zh-CN"/>
        </w:rPr>
        <w:t>供应商</w:t>
      </w:r>
      <w:r>
        <w:rPr>
          <w:rFonts w:hint="eastAsia" w:ascii="宋体" w:hAnsi="宋体"/>
          <w:sz w:val="24"/>
          <w:szCs w:val="24"/>
        </w:rPr>
        <w:t>身份证复印件。</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sz w:val="24"/>
          <w:szCs w:val="24"/>
        </w:rPr>
      </w:pPr>
      <w:r>
        <w:rPr>
          <w:rFonts w:hint="eastAsia" w:ascii="仿宋_GB2312" w:hAnsi="宋体" w:eastAsia="仿宋_GB2312"/>
          <w:sz w:val="24"/>
          <w:szCs w:val="24"/>
        </w:rPr>
        <w:t>2</w:t>
      </w:r>
      <w:r>
        <w:rPr>
          <w:rFonts w:hint="eastAsia" w:ascii="仿宋_GB2312" w:hAnsi="宋体" w:eastAsia="仿宋_GB2312"/>
          <w:sz w:val="24"/>
          <w:szCs w:val="24"/>
          <w:lang w:val="en-US" w:eastAsia="zh-CN"/>
        </w:rPr>
        <w:t>7</w:t>
      </w:r>
      <w:r>
        <w:rPr>
          <w:rFonts w:hint="eastAsia" w:ascii="仿宋_GB2312" w:hAnsi="宋体" w:eastAsia="仿宋_GB2312"/>
          <w:sz w:val="24"/>
          <w:szCs w:val="24"/>
        </w:rPr>
        <w:t>.4</w:t>
      </w:r>
      <w:r>
        <w:rPr>
          <w:rFonts w:hint="eastAsia" w:ascii="宋体" w:hAnsi="宋体"/>
          <w:sz w:val="24"/>
          <w:szCs w:val="24"/>
        </w:rPr>
        <w:t xml:space="preserve">  </w:t>
      </w:r>
      <w:r>
        <w:rPr>
          <w:rFonts w:hint="eastAsia" w:ascii="宋体" w:hAnsi="宋体"/>
          <w:sz w:val="24"/>
          <w:szCs w:val="24"/>
          <w:lang w:eastAsia="zh-CN"/>
        </w:rPr>
        <w:t>供应商</w:t>
      </w:r>
      <w:r>
        <w:rPr>
          <w:rFonts w:hint="eastAsia" w:ascii="宋体" w:hAnsi="宋体"/>
          <w:sz w:val="24"/>
          <w:szCs w:val="24"/>
        </w:rPr>
        <w:t>委托代理人办理质疑事务的，代理人应当同时提交</w:t>
      </w:r>
      <w:r>
        <w:rPr>
          <w:rFonts w:hint="eastAsia" w:ascii="宋体" w:hAnsi="宋体"/>
          <w:sz w:val="24"/>
          <w:szCs w:val="24"/>
          <w:lang w:eastAsia="zh-CN"/>
        </w:rPr>
        <w:t>供应商</w:t>
      </w:r>
      <w:r>
        <w:rPr>
          <w:rFonts w:hint="eastAsia" w:ascii="宋体" w:hAnsi="宋体"/>
          <w:sz w:val="24"/>
          <w:szCs w:val="24"/>
        </w:rPr>
        <w:t>的授权委托书。</w:t>
      </w:r>
    </w:p>
    <w:p>
      <w:pPr>
        <w:keepNext w:val="0"/>
        <w:keepLines w:val="0"/>
        <w:pageBreakBefore w:val="0"/>
        <w:widowControl w:val="0"/>
        <w:tabs>
          <w:tab w:val="left" w:pos="720"/>
        </w:tabs>
        <w:kinsoku/>
        <w:wordWrap/>
        <w:overflowPunct/>
        <w:topLinePunct w:val="0"/>
        <w:autoSpaceDE/>
        <w:autoSpaceDN/>
        <w:bidi w:val="0"/>
        <w:adjustRightInd/>
        <w:snapToGrid/>
        <w:spacing w:line="360" w:lineRule="auto"/>
        <w:textAlignment w:val="auto"/>
        <w:rPr>
          <w:rFonts w:hint="eastAsia" w:ascii="宋体" w:hAnsi="宋体"/>
          <w:sz w:val="24"/>
          <w:szCs w:val="24"/>
        </w:rPr>
      </w:pPr>
      <w:r>
        <w:rPr>
          <w:rFonts w:hint="eastAsia" w:ascii="仿宋_GB2312" w:hAnsi="宋体" w:eastAsia="仿宋_GB2312"/>
          <w:sz w:val="24"/>
          <w:szCs w:val="24"/>
        </w:rPr>
        <w:t>2</w:t>
      </w:r>
      <w:r>
        <w:rPr>
          <w:rFonts w:hint="eastAsia" w:ascii="仿宋_GB2312" w:hAnsi="宋体" w:eastAsia="仿宋_GB2312"/>
          <w:sz w:val="24"/>
          <w:szCs w:val="24"/>
          <w:lang w:val="en-US" w:eastAsia="zh-CN"/>
        </w:rPr>
        <w:t>7</w:t>
      </w:r>
      <w:r>
        <w:rPr>
          <w:rFonts w:hint="eastAsia" w:ascii="仿宋_GB2312" w:hAnsi="宋体" w:eastAsia="仿宋_GB2312"/>
          <w:sz w:val="24"/>
          <w:szCs w:val="24"/>
        </w:rPr>
        <w:t xml:space="preserve">.5 </w:t>
      </w:r>
      <w:r>
        <w:rPr>
          <w:rFonts w:hint="eastAsia" w:ascii="宋体" w:hAnsi="宋体"/>
          <w:sz w:val="24"/>
          <w:szCs w:val="24"/>
        </w:rPr>
        <w:t xml:space="preserve"> </w:t>
      </w:r>
      <w:r>
        <w:rPr>
          <w:rFonts w:hint="eastAsia" w:ascii="宋体" w:hAnsi="宋体"/>
          <w:sz w:val="24"/>
          <w:szCs w:val="24"/>
          <w:lang w:eastAsia="zh-CN"/>
        </w:rPr>
        <w:t>供应商</w:t>
      </w:r>
      <w:r>
        <w:rPr>
          <w:rFonts w:hint="eastAsia" w:ascii="宋体" w:hAnsi="宋体"/>
          <w:sz w:val="24"/>
          <w:szCs w:val="24"/>
        </w:rPr>
        <w:t>如果在质疑过程中，提供虚假材料或采取不正当手段诋毁、排挤其他</w:t>
      </w:r>
      <w:r>
        <w:rPr>
          <w:rFonts w:hint="eastAsia" w:ascii="宋体" w:hAnsi="宋体"/>
          <w:sz w:val="24"/>
          <w:szCs w:val="24"/>
          <w:lang w:eastAsia="zh-CN"/>
        </w:rPr>
        <w:t>供应商</w:t>
      </w:r>
      <w:r>
        <w:rPr>
          <w:rFonts w:hint="eastAsia" w:ascii="宋体" w:hAnsi="宋体"/>
          <w:sz w:val="24"/>
          <w:szCs w:val="24"/>
        </w:rPr>
        <w:t>，将报请有关部门查处。如情况属实，</w:t>
      </w:r>
      <w:r>
        <w:rPr>
          <w:rFonts w:hint="eastAsia" w:ascii="宋体" w:hAnsi="宋体"/>
          <w:sz w:val="24"/>
          <w:szCs w:val="24"/>
          <w:lang w:eastAsia="zh-CN"/>
        </w:rPr>
        <w:t>供应商</w:t>
      </w:r>
      <w:r>
        <w:rPr>
          <w:rFonts w:hint="eastAsia" w:ascii="宋体" w:hAnsi="宋体"/>
          <w:sz w:val="24"/>
          <w:szCs w:val="24"/>
        </w:rPr>
        <w:t>可能受到处以采购金额千分之五以上千分之十以下的罚款，列入不良行为记录名单，在一至三年内禁止参加政府采购活动等处罚，情节严重的，吊销营业执照，构成犯罪的，依法追究刑事责任。</w:t>
      </w:r>
    </w:p>
    <w:p>
      <w:pPr>
        <w:pStyle w:val="98"/>
        <w:numPr>
          <w:ilvl w:val="0"/>
          <w:numId w:val="0"/>
        </w:numPr>
        <w:spacing w:line="400" w:lineRule="exact"/>
        <w:rPr>
          <w:rStyle w:val="151"/>
          <w:rFonts w:hint="eastAsia"/>
          <w:b/>
          <w:bCs/>
          <w:kern w:val="2"/>
          <w:sz w:val="24"/>
          <w:szCs w:val="24"/>
        </w:rPr>
      </w:pPr>
    </w:p>
    <w:p>
      <w:pPr>
        <w:pStyle w:val="98"/>
        <w:numPr>
          <w:ilvl w:val="0"/>
          <w:numId w:val="0"/>
        </w:numPr>
        <w:spacing w:line="400" w:lineRule="exact"/>
        <w:rPr>
          <w:rStyle w:val="151"/>
          <w:b/>
          <w:bCs/>
          <w:kern w:val="2"/>
          <w:sz w:val="24"/>
          <w:szCs w:val="24"/>
        </w:rPr>
      </w:pPr>
      <w:r>
        <w:rPr>
          <w:rStyle w:val="151"/>
          <w:rFonts w:hint="eastAsia"/>
          <w:b/>
          <w:bCs/>
          <w:kern w:val="2"/>
          <w:sz w:val="24"/>
          <w:szCs w:val="24"/>
        </w:rPr>
        <w:t>质疑函格式：</w:t>
      </w:r>
    </w:p>
    <w:p>
      <w:pPr>
        <w:jc w:val="center"/>
        <w:rPr>
          <w:rFonts w:ascii="宋体" w:hAnsi="宋体" w:cs="仿宋_GB2312"/>
          <w:b/>
          <w:sz w:val="24"/>
          <w:szCs w:val="24"/>
        </w:rPr>
      </w:pPr>
      <w:r>
        <w:rPr>
          <w:rFonts w:hint="eastAsia" w:ascii="宋体" w:hAnsi="宋体" w:cs="仿宋_GB2312"/>
          <w:b/>
          <w:sz w:val="24"/>
          <w:szCs w:val="24"/>
        </w:rPr>
        <w:t>政府采购项目质疑函</w:t>
      </w:r>
    </w:p>
    <w:p>
      <w:pPr>
        <w:snapToGrid w:val="0"/>
        <w:spacing w:before="312" w:beforeLines="100" w:line="360" w:lineRule="auto"/>
        <w:rPr>
          <w:rFonts w:ascii="宋体" w:hAnsi="宋体" w:cs="仿宋"/>
          <w:b/>
          <w:bCs/>
          <w:sz w:val="24"/>
          <w:szCs w:val="24"/>
        </w:rPr>
      </w:pPr>
      <w:r>
        <w:rPr>
          <w:rFonts w:hint="eastAsia" w:ascii="宋体" w:hAnsi="宋体" w:cs="仿宋"/>
          <w:b/>
          <w:bCs/>
          <w:sz w:val="24"/>
          <w:szCs w:val="24"/>
        </w:rPr>
        <w:t>一、质疑供应商基本信息</w:t>
      </w:r>
    </w:p>
    <w:p>
      <w:pPr>
        <w:snapToGrid w:val="0"/>
        <w:spacing w:line="360" w:lineRule="auto"/>
        <w:rPr>
          <w:rFonts w:ascii="宋体" w:hAnsi="宋体" w:cs="仿宋"/>
          <w:sz w:val="24"/>
          <w:szCs w:val="24"/>
          <w:u w:val="dotted"/>
        </w:rPr>
      </w:pPr>
      <w:r>
        <w:rPr>
          <w:rFonts w:hint="eastAsia" w:ascii="宋体" w:hAnsi="宋体" w:cs="仿宋"/>
          <w:sz w:val="24"/>
          <w:szCs w:val="24"/>
        </w:rPr>
        <w:t>质疑供应商名称：</w:t>
      </w:r>
      <w:r>
        <w:rPr>
          <w:rFonts w:ascii="宋体" w:hAnsi="宋体"/>
          <w:sz w:val="24"/>
          <w:szCs w:val="24"/>
          <w:u w:val="single"/>
        </w:rPr>
        <w:t xml:space="preserve">             </w:t>
      </w:r>
    </w:p>
    <w:p>
      <w:pPr>
        <w:snapToGrid w:val="0"/>
        <w:spacing w:line="360" w:lineRule="auto"/>
        <w:rPr>
          <w:rFonts w:ascii="宋体" w:hAnsi="宋体" w:cs="仿宋"/>
          <w:sz w:val="24"/>
          <w:szCs w:val="24"/>
        </w:rPr>
      </w:pPr>
      <w:r>
        <w:rPr>
          <w:rFonts w:hint="eastAsia" w:ascii="宋体" w:hAnsi="宋体" w:cs="仿宋"/>
          <w:sz w:val="24"/>
          <w:szCs w:val="24"/>
        </w:rPr>
        <w:t>地址：</w:t>
      </w:r>
      <w:r>
        <w:rPr>
          <w:rFonts w:ascii="宋体" w:hAnsi="宋体"/>
          <w:sz w:val="24"/>
          <w:szCs w:val="24"/>
          <w:u w:val="single"/>
        </w:rPr>
        <w:t xml:space="preserve">             </w:t>
      </w:r>
      <w:r>
        <w:rPr>
          <w:rFonts w:hint="eastAsia" w:ascii="宋体" w:hAnsi="宋体" w:cs="仿宋"/>
          <w:sz w:val="24"/>
          <w:szCs w:val="24"/>
        </w:rPr>
        <w:t>邮编：</w:t>
      </w:r>
      <w:r>
        <w:rPr>
          <w:rFonts w:ascii="宋体" w:hAnsi="宋体"/>
          <w:sz w:val="24"/>
          <w:szCs w:val="24"/>
          <w:u w:val="single"/>
        </w:rPr>
        <w:t xml:space="preserve">             </w:t>
      </w:r>
    </w:p>
    <w:p>
      <w:pPr>
        <w:snapToGrid w:val="0"/>
        <w:spacing w:line="360" w:lineRule="auto"/>
        <w:rPr>
          <w:rFonts w:ascii="宋体" w:hAnsi="宋体" w:cs="仿宋"/>
          <w:sz w:val="24"/>
          <w:szCs w:val="24"/>
        </w:rPr>
      </w:pPr>
      <w:r>
        <w:rPr>
          <w:rFonts w:hint="eastAsia" w:ascii="宋体" w:hAnsi="宋体" w:cs="仿宋"/>
          <w:sz w:val="24"/>
          <w:szCs w:val="24"/>
        </w:rPr>
        <w:t>法定代表人：</w:t>
      </w:r>
      <w:r>
        <w:rPr>
          <w:rFonts w:ascii="宋体" w:hAnsi="宋体"/>
          <w:sz w:val="24"/>
          <w:szCs w:val="24"/>
          <w:u w:val="single"/>
        </w:rPr>
        <w:t xml:space="preserve">             </w:t>
      </w:r>
      <w:r>
        <w:rPr>
          <w:rFonts w:hint="eastAsia" w:ascii="宋体" w:hAnsi="宋体" w:cs="仿宋"/>
          <w:sz w:val="24"/>
          <w:szCs w:val="24"/>
        </w:rPr>
        <w:t>联系电话：</w:t>
      </w:r>
      <w:r>
        <w:rPr>
          <w:rFonts w:ascii="宋体" w:hAnsi="宋体"/>
          <w:sz w:val="24"/>
          <w:szCs w:val="24"/>
          <w:u w:val="single"/>
        </w:rPr>
        <w:t xml:space="preserve">             </w:t>
      </w:r>
    </w:p>
    <w:p>
      <w:pPr>
        <w:snapToGrid w:val="0"/>
        <w:spacing w:line="360" w:lineRule="auto"/>
        <w:rPr>
          <w:rFonts w:ascii="宋体" w:hAnsi="宋体" w:cs="仿宋"/>
          <w:sz w:val="24"/>
          <w:szCs w:val="24"/>
        </w:rPr>
      </w:pPr>
      <w:r>
        <w:rPr>
          <w:rFonts w:hint="eastAsia" w:ascii="宋体" w:hAnsi="宋体" w:cs="仿宋"/>
          <w:sz w:val="24"/>
          <w:szCs w:val="24"/>
        </w:rPr>
        <w:t>授权代表：</w:t>
      </w:r>
      <w:r>
        <w:rPr>
          <w:rFonts w:ascii="宋体" w:hAnsi="宋体"/>
          <w:sz w:val="24"/>
          <w:szCs w:val="24"/>
          <w:u w:val="single"/>
        </w:rPr>
        <w:t xml:space="preserve">             </w:t>
      </w:r>
      <w:r>
        <w:rPr>
          <w:rFonts w:hint="eastAsia" w:ascii="宋体" w:hAnsi="宋体" w:cs="仿宋"/>
          <w:sz w:val="24"/>
          <w:szCs w:val="24"/>
        </w:rPr>
        <w:t>手机：</w:t>
      </w:r>
      <w:r>
        <w:rPr>
          <w:rFonts w:ascii="宋体" w:hAnsi="宋体"/>
          <w:sz w:val="24"/>
          <w:szCs w:val="24"/>
          <w:u w:val="single"/>
        </w:rPr>
        <w:t xml:space="preserve">             </w:t>
      </w:r>
      <w:r>
        <w:rPr>
          <w:rFonts w:hint="eastAsia" w:ascii="宋体" w:hAnsi="宋体" w:cs="仿宋"/>
          <w:sz w:val="24"/>
          <w:szCs w:val="24"/>
        </w:rPr>
        <w:t>传真：</w:t>
      </w:r>
      <w:r>
        <w:rPr>
          <w:rFonts w:ascii="宋体" w:hAnsi="宋体"/>
          <w:sz w:val="24"/>
          <w:szCs w:val="24"/>
          <w:u w:val="single"/>
        </w:rPr>
        <w:t xml:space="preserve">             </w:t>
      </w:r>
      <w:r>
        <w:rPr>
          <w:rFonts w:hint="eastAsia" w:ascii="宋体" w:hAnsi="宋体" w:cs="仿宋"/>
          <w:sz w:val="24"/>
          <w:szCs w:val="24"/>
        </w:rPr>
        <w:t xml:space="preserve">             </w:t>
      </w:r>
    </w:p>
    <w:p>
      <w:pPr>
        <w:snapToGrid w:val="0"/>
        <w:spacing w:line="360" w:lineRule="auto"/>
        <w:rPr>
          <w:rFonts w:ascii="宋体" w:hAnsi="宋体" w:cs="仿宋"/>
          <w:b/>
          <w:bCs/>
          <w:sz w:val="24"/>
          <w:szCs w:val="24"/>
        </w:rPr>
      </w:pPr>
      <w:r>
        <w:rPr>
          <w:rFonts w:hint="eastAsia" w:ascii="宋体" w:hAnsi="宋体" w:cs="仿宋"/>
          <w:b/>
          <w:bCs/>
          <w:sz w:val="24"/>
          <w:szCs w:val="24"/>
        </w:rPr>
        <w:t>二、质疑项目基本情况</w:t>
      </w:r>
    </w:p>
    <w:p>
      <w:pPr>
        <w:snapToGrid w:val="0"/>
        <w:spacing w:line="360" w:lineRule="auto"/>
        <w:rPr>
          <w:rFonts w:ascii="宋体" w:hAnsi="宋体" w:cs="仿宋"/>
          <w:sz w:val="24"/>
          <w:szCs w:val="24"/>
        </w:rPr>
      </w:pPr>
      <w:r>
        <w:rPr>
          <w:rFonts w:hint="eastAsia" w:ascii="宋体" w:hAnsi="宋体" w:cs="仿宋"/>
          <w:sz w:val="24"/>
          <w:szCs w:val="24"/>
        </w:rPr>
        <w:t>质疑项目的名称：</w:t>
      </w:r>
      <w:r>
        <w:rPr>
          <w:rFonts w:ascii="宋体" w:hAnsi="宋体"/>
          <w:sz w:val="24"/>
          <w:szCs w:val="24"/>
          <w:u w:val="single"/>
        </w:rPr>
        <w:t xml:space="preserve">             </w:t>
      </w:r>
    </w:p>
    <w:p>
      <w:pPr>
        <w:snapToGrid w:val="0"/>
        <w:spacing w:line="360" w:lineRule="auto"/>
        <w:rPr>
          <w:rFonts w:ascii="宋体" w:hAnsi="宋体" w:cs="仿宋"/>
          <w:sz w:val="24"/>
          <w:szCs w:val="24"/>
          <w:u w:val="dotted"/>
        </w:rPr>
      </w:pPr>
      <w:r>
        <w:rPr>
          <w:rFonts w:hint="eastAsia" w:ascii="宋体" w:hAnsi="宋体" w:cs="仿宋"/>
          <w:sz w:val="24"/>
          <w:szCs w:val="24"/>
        </w:rPr>
        <w:t>质疑项目的编号：</w:t>
      </w:r>
      <w:r>
        <w:rPr>
          <w:rFonts w:ascii="宋体" w:hAnsi="宋体"/>
          <w:sz w:val="24"/>
          <w:szCs w:val="24"/>
          <w:u w:val="single"/>
        </w:rPr>
        <w:t xml:space="preserve">             </w:t>
      </w:r>
    </w:p>
    <w:p>
      <w:pPr>
        <w:snapToGrid w:val="0"/>
        <w:spacing w:line="360" w:lineRule="auto"/>
        <w:rPr>
          <w:rFonts w:ascii="宋体" w:hAnsi="宋体" w:cs="仿宋"/>
          <w:sz w:val="24"/>
          <w:szCs w:val="24"/>
        </w:rPr>
      </w:pPr>
      <w:r>
        <w:rPr>
          <w:rFonts w:hint="eastAsia" w:ascii="宋体" w:hAnsi="宋体" w:cs="仿宋"/>
          <w:sz w:val="24"/>
          <w:szCs w:val="24"/>
        </w:rPr>
        <w:t>包号：</w:t>
      </w:r>
      <w:r>
        <w:rPr>
          <w:rFonts w:ascii="宋体" w:hAnsi="宋体"/>
          <w:sz w:val="24"/>
          <w:szCs w:val="24"/>
          <w:u w:val="single"/>
        </w:rPr>
        <w:t xml:space="preserve">             </w:t>
      </w:r>
    </w:p>
    <w:p>
      <w:pPr>
        <w:snapToGrid w:val="0"/>
        <w:spacing w:line="360" w:lineRule="auto"/>
        <w:rPr>
          <w:rFonts w:ascii="宋体" w:hAnsi="宋体" w:cs="仿宋"/>
          <w:sz w:val="24"/>
          <w:szCs w:val="24"/>
        </w:rPr>
      </w:pPr>
      <w:r>
        <w:rPr>
          <w:rFonts w:hint="eastAsia" w:ascii="宋体" w:hAnsi="宋体" w:cs="仿宋"/>
          <w:sz w:val="24"/>
          <w:szCs w:val="24"/>
        </w:rPr>
        <w:t>采购文件获取日期：</w:t>
      </w:r>
      <w:r>
        <w:rPr>
          <w:rFonts w:ascii="宋体" w:hAnsi="宋体"/>
          <w:sz w:val="24"/>
          <w:szCs w:val="24"/>
          <w:u w:val="single"/>
        </w:rPr>
        <w:t xml:space="preserve">             </w:t>
      </w:r>
      <w:r>
        <w:rPr>
          <w:rFonts w:hint="eastAsia" w:ascii="宋体" w:hAnsi="宋体" w:cs="仿宋"/>
          <w:sz w:val="24"/>
          <w:szCs w:val="24"/>
        </w:rPr>
        <w:t xml:space="preserve">                                           </w:t>
      </w:r>
    </w:p>
    <w:p>
      <w:pPr>
        <w:snapToGrid w:val="0"/>
        <w:spacing w:line="360" w:lineRule="auto"/>
        <w:rPr>
          <w:rFonts w:ascii="宋体" w:hAnsi="宋体" w:cs="仿宋"/>
          <w:sz w:val="24"/>
          <w:szCs w:val="24"/>
        </w:rPr>
      </w:pPr>
      <w:r>
        <w:rPr>
          <w:rFonts w:hint="eastAsia" w:ascii="宋体" w:hAnsi="宋体" w:cs="仿宋"/>
          <w:sz w:val="24"/>
          <w:szCs w:val="24"/>
        </w:rPr>
        <w:t>质疑事项分类：</w:t>
      </w:r>
    </w:p>
    <w:p>
      <w:pPr>
        <w:snapToGrid w:val="0"/>
        <w:spacing w:line="360" w:lineRule="auto"/>
        <w:rPr>
          <w:rFonts w:ascii="宋体" w:hAnsi="宋体" w:cs="仿宋"/>
          <w:sz w:val="24"/>
          <w:szCs w:val="24"/>
        </w:rPr>
      </w:pPr>
      <w:r>
        <w:rPr>
          <w:rFonts w:hint="eastAsia" w:ascii="宋体" w:hAnsi="宋体" w:cs="仿宋"/>
          <w:sz w:val="24"/>
          <w:szCs w:val="24"/>
        </w:rPr>
        <w:t>□采购文件    □采购过程    □中标、成交结果    □采购执行程序</w:t>
      </w:r>
    </w:p>
    <w:p>
      <w:pPr>
        <w:snapToGrid w:val="0"/>
        <w:spacing w:line="360" w:lineRule="auto"/>
        <w:rPr>
          <w:rFonts w:ascii="宋体" w:hAnsi="宋体" w:cs="仿宋"/>
          <w:sz w:val="24"/>
          <w:szCs w:val="24"/>
        </w:rPr>
      </w:pPr>
      <w:r>
        <w:rPr>
          <w:rFonts w:hint="eastAsia" w:ascii="宋体" w:hAnsi="宋体" w:cs="仿宋"/>
          <w:sz w:val="24"/>
          <w:szCs w:val="24"/>
        </w:rPr>
        <w:t>□上述四项之外的其他事项</w:t>
      </w:r>
    </w:p>
    <w:p>
      <w:pPr>
        <w:snapToGrid w:val="0"/>
        <w:spacing w:line="360" w:lineRule="auto"/>
        <w:rPr>
          <w:rFonts w:ascii="宋体" w:hAnsi="宋体" w:cs="仿宋"/>
          <w:b/>
          <w:bCs/>
          <w:sz w:val="24"/>
          <w:szCs w:val="24"/>
        </w:rPr>
      </w:pPr>
      <w:r>
        <w:rPr>
          <w:rFonts w:hint="eastAsia" w:ascii="宋体" w:hAnsi="宋体" w:cs="仿宋"/>
          <w:b/>
          <w:bCs/>
          <w:sz w:val="24"/>
          <w:szCs w:val="24"/>
        </w:rPr>
        <w:t>三、质疑事项具体内容</w:t>
      </w:r>
    </w:p>
    <w:p>
      <w:pPr>
        <w:snapToGrid w:val="0"/>
        <w:spacing w:line="360" w:lineRule="auto"/>
        <w:rPr>
          <w:rFonts w:ascii="宋体" w:hAnsi="宋体"/>
          <w:sz w:val="24"/>
          <w:szCs w:val="24"/>
          <w:u w:val="single"/>
        </w:rPr>
      </w:pPr>
      <w:r>
        <w:rPr>
          <w:rFonts w:hint="eastAsia" w:ascii="宋体" w:hAnsi="宋体" w:cs="仿宋"/>
          <w:sz w:val="24"/>
          <w:szCs w:val="24"/>
        </w:rPr>
        <w:t>质疑事项1：</w:t>
      </w:r>
      <w:r>
        <w:rPr>
          <w:rFonts w:ascii="宋体" w:hAnsi="宋体"/>
          <w:sz w:val="24"/>
          <w:szCs w:val="24"/>
          <w:u w:val="single"/>
        </w:rPr>
        <w:t xml:space="preserve">             </w:t>
      </w:r>
      <w:r>
        <w:rPr>
          <w:rFonts w:hint="eastAsia" w:ascii="宋体" w:hAnsi="宋体" w:cs="仿宋"/>
          <w:sz w:val="24"/>
          <w:szCs w:val="24"/>
        </w:rPr>
        <w:t>事实依据：</w:t>
      </w:r>
      <w:r>
        <w:rPr>
          <w:rFonts w:ascii="宋体" w:hAnsi="宋体"/>
          <w:sz w:val="24"/>
          <w:szCs w:val="24"/>
          <w:u w:val="single"/>
        </w:rPr>
        <w:t xml:space="preserve">             </w:t>
      </w:r>
      <w:r>
        <w:rPr>
          <w:rFonts w:hint="eastAsia" w:ascii="宋体" w:hAnsi="宋体" w:cs="仿宋"/>
          <w:sz w:val="24"/>
          <w:szCs w:val="24"/>
        </w:rPr>
        <w:t>法律依据：</w:t>
      </w:r>
      <w:r>
        <w:rPr>
          <w:rFonts w:ascii="宋体" w:hAnsi="宋体"/>
          <w:sz w:val="24"/>
          <w:szCs w:val="24"/>
          <w:u w:val="single"/>
        </w:rPr>
        <w:t xml:space="preserve">             </w:t>
      </w:r>
    </w:p>
    <w:p>
      <w:pPr>
        <w:snapToGrid w:val="0"/>
        <w:spacing w:line="360" w:lineRule="auto"/>
        <w:rPr>
          <w:rFonts w:ascii="宋体" w:hAnsi="宋体" w:cs="仿宋"/>
          <w:sz w:val="24"/>
          <w:szCs w:val="24"/>
          <w:u w:val="dotted"/>
        </w:rPr>
      </w:pPr>
      <w:r>
        <w:rPr>
          <w:rFonts w:hint="eastAsia" w:ascii="宋体" w:hAnsi="宋体" w:cs="仿宋"/>
          <w:sz w:val="24"/>
          <w:szCs w:val="24"/>
        </w:rPr>
        <w:t>质疑事项2</w:t>
      </w:r>
    </w:p>
    <w:p>
      <w:pPr>
        <w:snapToGrid w:val="0"/>
        <w:spacing w:line="360" w:lineRule="auto"/>
        <w:rPr>
          <w:rFonts w:ascii="宋体" w:hAnsi="宋体" w:cs="仿宋"/>
          <w:sz w:val="24"/>
          <w:szCs w:val="24"/>
        </w:rPr>
      </w:pPr>
      <w:r>
        <w:rPr>
          <w:rFonts w:hint="eastAsia" w:ascii="宋体" w:hAnsi="宋体" w:cs="仿宋"/>
          <w:sz w:val="24"/>
          <w:szCs w:val="24"/>
        </w:rPr>
        <w:t>……</w:t>
      </w:r>
    </w:p>
    <w:p>
      <w:pPr>
        <w:snapToGrid w:val="0"/>
        <w:spacing w:line="360" w:lineRule="auto"/>
        <w:rPr>
          <w:rFonts w:ascii="宋体" w:hAnsi="宋体" w:cs="仿宋"/>
          <w:b/>
          <w:bCs/>
          <w:sz w:val="24"/>
          <w:szCs w:val="24"/>
        </w:rPr>
      </w:pPr>
      <w:r>
        <w:rPr>
          <w:rFonts w:hint="eastAsia" w:ascii="宋体" w:hAnsi="宋体" w:cs="仿宋"/>
          <w:b/>
          <w:bCs/>
          <w:sz w:val="24"/>
          <w:szCs w:val="24"/>
        </w:rPr>
        <w:t>四、与质疑事项相关的质疑请求</w:t>
      </w:r>
    </w:p>
    <w:p>
      <w:pPr>
        <w:snapToGrid w:val="0"/>
        <w:spacing w:line="360" w:lineRule="auto"/>
        <w:rPr>
          <w:rFonts w:ascii="宋体" w:hAnsi="宋体" w:cs="仿宋"/>
          <w:sz w:val="24"/>
          <w:szCs w:val="24"/>
          <w:u w:val="dotted"/>
        </w:rPr>
      </w:pPr>
      <w:r>
        <w:rPr>
          <w:rFonts w:hint="eastAsia" w:ascii="宋体" w:hAnsi="宋体" w:cs="仿宋"/>
          <w:sz w:val="24"/>
          <w:szCs w:val="24"/>
        </w:rPr>
        <w:t>请求：</w:t>
      </w:r>
      <w:r>
        <w:rPr>
          <w:rFonts w:ascii="宋体" w:hAnsi="宋体"/>
          <w:sz w:val="24"/>
          <w:szCs w:val="24"/>
          <w:u w:val="single"/>
        </w:rPr>
        <w:t xml:space="preserve">            </w:t>
      </w:r>
      <w:r>
        <w:rPr>
          <w:rFonts w:hint="eastAsia" w:ascii="宋体" w:hAnsi="宋体"/>
          <w:sz w:val="24"/>
          <w:szCs w:val="24"/>
          <w:u w:val="single"/>
          <w:lang w:val="en-US" w:eastAsia="zh-CN"/>
        </w:rPr>
        <w:t xml:space="preserve">                 </w:t>
      </w:r>
      <w:r>
        <w:rPr>
          <w:rFonts w:ascii="宋体" w:hAnsi="宋体"/>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ascii="宋体" w:hAnsi="宋体"/>
          <w:sz w:val="24"/>
          <w:szCs w:val="24"/>
        </w:rPr>
      </w:pPr>
      <w:r>
        <w:rPr>
          <w:rFonts w:hint="eastAsia" w:ascii="宋体" w:hAnsi="宋体"/>
          <w:sz w:val="24"/>
          <w:szCs w:val="24"/>
        </w:rPr>
        <w:t>法定代表人签字（签章）：</w:t>
      </w:r>
      <w:r>
        <w:rPr>
          <w:rFonts w:ascii="宋体" w:hAnsi="宋体"/>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ascii="宋体" w:hAnsi="宋体"/>
          <w:sz w:val="24"/>
          <w:szCs w:val="24"/>
        </w:rPr>
      </w:pPr>
      <w:r>
        <w:rPr>
          <w:rFonts w:hint="eastAsia" w:ascii="宋体" w:hAnsi="宋体"/>
          <w:sz w:val="24"/>
          <w:szCs w:val="24"/>
        </w:rPr>
        <w:t>授权代表签字：</w:t>
      </w:r>
      <w:r>
        <w:rPr>
          <w:rFonts w:ascii="宋体" w:hAnsi="宋体"/>
          <w:sz w:val="24"/>
          <w:szCs w:val="24"/>
          <w:u w:val="single"/>
        </w:rPr>
        <w:t xml:space="preserve">             </w:t>
      </w:r>
    </w:p>
    <w:p>
      <w:pPr>
        <w:keepNext w:val="0"/>
        <w:keepLines w:val="0"/>
        <w:pageBreakBefore w:val="0"/>
        <w:widowControl w:val="0"/>
        <w:tabs>
          <w:tab w:val="left" w:pos="720"/>
        </w:tabs>
        <w:kinsoku/>
        <w:wordWrap/>
        <w:overflowPunct/>
        <w:topLinePunct w:val="0"/>
        <w:autoSpaceDE/>
        <w:autoSpaceDN/>
        <w:bidi w:val="0"/>
        <w:adjustRightInd w:val="0"/>
        <w:snapToGrid w:val="0"/>
        <w:spacing w:line="360" w:lineRule="auto"/>
        <w:ind w:left="0" w:leftChars="0" w:right="0" w:rightChars="0"/>
        <w:jc w:val="center"/>
        <w:textAlignment w:val="auto"/>
        <w:rPr>
          <w:rFonts w:hint="eastAsia" w:hAnsi="宋体"/>
          <w:b/>
          <w:bCs/>
          <w:sz w:val="32"/>
          <w:szCs w:val="32"/>
          <w:highlight w:val="none"/>
        </w:rPr>
      </w:pPr>
      <w:r>
        <w:rPr>
          <w:rFonts w:hint="eastAsia" w:ascii="宋体" w:hAnsi="宋体"/>
          <w:sz w:val="24"/>
          <w:szCs w:val="24"/>
        </w:rPr>
        <w:t>公章：</w:t>
      </w:r>
      <w:r>
        <w:rPr>
          <w:rFonts w:hint="eastAsia" w:ascii="宋体" w:hAnsi="宋体"/>
          <w:sz w:val="24"/>
          <w:szCs w:val="24"/>
          <w:lang w:val="en-US" w:eastAsia="zh-CN"/>
        </w:rPr>
        <w:t xml:space="preserve">                                        </w:t>
      </w:r>
      <w:r>
        <w:rPr>
          <w:rFonts w:hint="eastAsia" w:ascii="宋体" w:hAnsi="宋体"/>
          <w:sz w:val="24"/>
          <w:szCs w:val="24"/>
        </w:rPr>
        <w:t>提交日期：</w:t>
      </w:r>
      <w:r>
        <w:rPr>
          <w:rFonts w:hint="eastAsia" w:ascii="宋体" w:hAnsi="宋体"/>
          <w:sz w:val="24"/>
          <w:szCs w:val="24"/>
        </w:rPr>
        <w:br w:type="page"/>
      </w:r>
      <w:bookmarkStart w:id="53" w:name="_Toc203990328"/>
      <w:bookmarkStart w:id="54" w:name="_Toc436226839"/>
      <w:r>
        <w:rPr>
          <w:rFonts w:hint="eastAsia" w:hAnsi="宋体"/>
          <w:b/>
          <w:bCs/>
          <w:sz w:val="32"/>
          <w:szCs w:val="32"/>
          <w:highlight w:val="none"/>
        </w:rPr>
        <w:t xml:space="preserve">第三部分  </w:t>
      </w:r>
      <w:bookmarkEnd w:id="53"/>
      <w:r>
        <w:rPr>
          <w:rFonts w:hint="eastAsia" w:hAnsi="宋体"/>
          <w:b/>
          <w:bCs/>
          <w:sz w:val="32"/>
          <w:szCs w:val="32"/>
          <w:highlight w:val="none"/>
          <w:lang w:eastAsia="zh-CN"/>
        </w:rPr>
        <w:t>采购内容及</w:t>
      </w:r>
      <w:r>
        <w:rPr>
          <w:rFonts w:hint="eastAsia" w:hAnsi="宋体"/>
          <w:b/>
          <w:bCs/>
          <w:sz w:val="32"/>
          <w:szCs w:val="32"/>
          <w:highlight w:val="none"/>
        </w:rPr>
        <w:t>要求</w:t>
      </w:r>
      <w:bookmarkEnd w:id="54"/>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both"/>
        <w:textAlignment w:val="auto"/>
        <w:outlineLvl w:val="9"/>
        <w:rPr>
          <w:highlight w:val="none"/>
        </w:rPr>
      </w:pPr>
    </w:p>
    <w:p>
      <w:pPr>
        <w:pStyle w:val="16"/>
        <w:pageBreakBefore w:val="0"/>
        <w:widowControl w:val="0"/>
        <w:numPr>
          <w:ilvl w:val="0"/>
          <w:numId w:val="4"/>
        </w:numPr>
        <w:kinsoku/>
        <w:wordWrap/>
        <w:overflowPunct/>
        <w:topLinePunct w:val="0"/>
        <w:autoSpaceDE/>
        <w:autoSpaceDN/>
        <w:bidi w:val="0"/>
        <w:adjustRightInd w:val="0"/>
        <w:snapToGrid w:val="0"/>
        <w:spacing w:line="360" w:lineRule="auto"/>
        <w:ind w:left="0" w:leftChars="0" w:right="0" w:rightChars="0" w:firstLine="0" w:firstLineChars="0"/>
        <w:jc w:val="left"/>
        <w:textAlignment w:val="auto"/>
        <w:rPr>
          <w:rFonts w:hint="eastAsia" w:ascii="宋体" w:hAnsi="宋体" w:eastAsia="宋体" w:cs="宋体"/>
          <w:b/>
          <w:bCs/>
          <w:sz w:val="24"/>
          <w:szCs w:val="24"/>
          <w:highlight w:val="none"/>
          <w:lang w:val="en-US" w:eastAsia="zh-CN"/>
        </w:rPr>
      </w:pPr>
      <w:bookmarkStart w:id="55" w:name="_Toc10653"/>
      <w:bookmarkStart w:id="56" w:name="_Toc3166"/>
      <w:r>
        <w:rPr>
          <w:rFonts w:hint="eastAsia" w:ascii="宋体" w:hAnsi="宋体" w:eastAsia="宋体" w:cs="宋体"/>
          <w:b/>
          <w:bCs/>
          <w:sz w:val="24"/>
          <w:szCs w:val="24"/>
          <w:highlight w:val="none"/>
          <w:lang w:val="en-US" w:eastAsia="zh-CN"/>
        </w:rPr>
        <w:t>项目基本情况</w:t>
      </w:r>
    </w:p>
    <w:p>
      <w:pPr>
        <w:pageBreakBefore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为做好北京市石景山区财政局财政评审工作，计划对工程造价咨询机构进行采购。本次竞争性磋商服务费预算金额为</w:t>
      </w:r>
      <w:r>
        <w:rPr>
          <w:rFonts w:hint="eastAsia" w:ascii="宋体" w:hAnsi="宋体" w:eastAsia="宋体" w:cs="宋体"/>
          <w:sz w:val="24"/>
          <w:szCs w:val="24"/>
          <w:highlight w:val="none"/>
          <w:lang w:val="en-US" w:eastAsia="zh-CN"/>
        </w:rPr>
        <w:t>2600</w:t>
      </w:r>
      <w:r>
        <w:rPr>
          <w:rFonts w:hint="eastAsia" w:ascii="宋体" w:hAnsi="宋体" w:eastAsia="宋体" w:cs="宋体"/>
          <w:sz w:val="24"/>
          <w:szCs w:val="24"/>
          <w:highlight w:val="none"/>
        </w:rPr>
        <w:t>万。</w:t>
      </w:r>
    </w:p>
    <w:p>
      <w:pPr>
        <w:pageBreakBefore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宋体" w:hAnsi="宋体" w:eastAsia="宋体" w:cs="宋体"/>
          <w:b/>
          <w:sz w:val="24"/>
          <w:szCs w:val="24"/>
          <w:highlight w:val="none"/>
        </w:rPr>
      </w:pPr>
      <w:r>
        <w:rPr>
          <w:rFonts w:hint="eastAsia" w:ascii="宋体" w:hAnsi="宋体" w:eastAsia="宋体" w:cs="宋体"/>
          <w:sz w:val="24"/>
          <w:szCs w:val="24"/>
          <w:highlight w:val="none"/>
        </w:rPr>
        <w:t>1.具体分包情况如下：</w:t>
      </w:r>
    </w:p>
    <w:tbl>
      <w:tblPr>
        <w:tblStyle w:val="56"/>
        <w:tblW w:w="9264" w:type="dxa"/>
        <w:jc w:val="center"/>
        <w:tblInd w:w="0" w:type="dxa"/>
        <w:tblLayout w:type="fixed"/>
        <w:tblCellMar>
          <w:top w:w="0" w:type="dxa"/>
          <w:left w:w="108" w:type="dxa"/>
          <w:bottom w:w="0" w:type="dxa"/>
          <w:right w:w="108" w:type="dxa"/>
        </w:tblCellMar>
      </w:tblPr>
      <w:tblGrid>
        <w:gridCol w:w="1274"/>
        <w:gridCol w:w="6733"/>
        <w:gridCol w:w="1257"/>
      </w:tblGrid>
      <w:tr>
        <w:tblPrEx>
          <w:tblLayout w:type="fixed"/>
          <w:tblCellMar>
            <w:top w:w="0" w:type="dxa"/>
            <w:left w:w="108" w:type="dxa"/>
            <w:bottom w:w="0" w:type="dxa"/>
            <w:right w:w="108" w:type="dxa"/>
          </w:tblCellMar>
        </w:tblPrEx>
        <w:trPr>
          <w:trHeight w:val="288" w:hRule="atLeast"/>
          <w:jc w:val="center"/>
        </w:trPr>
        <w:tc>
          <w:tcPr>
            <w:tcW w:w="1274" w:type="dxa"/>
            <w:tcBorders>
              <w:top w:val="single" w:color="auto" w:sz="4" w:space="0"/>
              <w:left w:val="single" w:color="auto" w:sz="4" w:space="0"/>
              <w:bottom w:val="single" w:color="auto" w:sz="4" w:space="0"/>
              <w:right w:val="single" w:color="auto" w:sz="4" w:space="0"/>
            </w:tcBorders>
            <w:vAlign w:val="center"/>
          </w:tcPr>
          <w:p>
            <w:pPr>
              <w:pageBreakBefore w:val="0"/>
              <w:widowControl/>
              <w:kinsoku/>
              <w:wordWrap/>
              <w:overflowPunct/>
              <w:topLinePunct w:val="0"/>
              <w:bidi w:val="0"/>
              <w:adjustRightInd w:val="0"/>
              <w:snapToGrid w:val="0"/>
              <w:spacing w:line="360" w:lineRule="auto"/>
              <w:ind w:left="0" w:leftChars="0" w:right="0" w:rightChars="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包号</w:t>
            </w:r>
          </w:p>
        </w:tc>
        <w:tc>
          <w:tcPr>
            <w:tcW w:w="6733" w:type="dxa"/>
            <w:tcBorders>
              <w:top w:val="single" w:color="auto" w:sz="4" w:space="0"/>
              <w:left w:val="nil"/>
              <w:bottom w:val="single" w:color="auto" w:sz="4" w:space="0"/>
              <w:right w:val="single" w:color="auto" w:sz="4" w:space="0"/>
            </w:tcBorders>
            <w:vAlign w:val="center"/>
          </w:tcPr>
          <w:p>
            <w:pPr>
              <w:pageBreakBefore w:val="0"/>
              <w:widowControl/>
              <w:kinsoku/>
              <w:wordWrap/>
              <w:overflowPunct/>
              <w:topLinePunct w:val="0"/>
              <w:bidi w:val="0"/>
              <w:adjustRightInd w:val="0"/>
              <w:snapToGrid w:val="0"/>
              <w:spacing w:line="360" w:lineRule="auto"/>
              <w:ind w:left="0" w:leftChars="0" w:right="0" w:rightChars="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服务内容</w:t>
            </w:r>
          </w:p>
        </w:tc>
        <w:tc>
          <w:tcPr>
            <w:tcW w:w="1257" w:type="dxa"/>
            <w:tcBorders>
              <w:top w:val="single" w:color="auto" w:sz="4" w:space="0"/>
              <w:left w:val="nil"/>
              <w:bottom w:val="single" w:color="auto" w:sz="4" w:space="0"/>
              <w:right w:val="single" w:color="auto" w:sz="4" w:space="0"/>
            </w:tcBorders>
            <w:vAlign w:val="center"/>
          </w:tcPr>
          <w:p>
            <w:pPr>
              <w:pageBreakBefore w:val="0"/>
              <w:widowControl/>
              <w:kinsoku/>
              <w:wordWrap/>
              <w:overflowPunct/>
              <w:topLinePunct w:val="0"/>
              <w:bidi w:val="0"/>
              <w:adjustRightInd w:val="0"/>
              <w:snapToGrid w:val="0"/>
              <w:spacing w:line="360" w:lineRule="auto"/>
              <w:ind w:left="0" w:leftChars="0" w:right="0" w:rightChars="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预算金额(万元)</w:t>
            </w:r>
          </w:p>
        </w:tc>
      </w:tr>
      <w:tr>
        <w:tblPrEx>
          <w:tblLayout w:type="fixed"/>
          <w:tblCellMar>
            <w:top w:w="0" w:type="dxa"/>
            <w:left w:w="108" w:type="dxa"/>
            <w:bottom w:w="0" w:type="dxa"/>
            <w:right w:w="108" w:type="dxa"/>
          </w:tblCellMar>
        </w:tblPrEx>
        <w:trPr>
          <w:trHeight w:val="916" w:hRule="atLeast"/>
          <w:jc w:val="center"/>
        </w:trPr>
        <w:tc>
          <w:tcPr>
            <w:tcW w:w="1274" w:type="dxa"/>
            <w:tcBorders>
              <w:top w:val="nil"/>
              <w:left w:val="single" w:color="auto" w:sz="4" w:space="0"/>
              <w:bottom w:val="single" w:color="auto" w:sz="4" w:space="0"/>
              <w:right w:val="single" w:color="auto" w:sz="4" w:space="0"/>
            </w:tcBorders>
            <w:vAlign w:val="center"/>
          </w:tcPr>
          <w:p>
            <w:pPr>
              <w:pageBreakBefore w:val="0"/>
              <w:widowControl/>
              <w:kinsoku/>
              <w:wordWrap/>
              <w:overflowPunct/>
              <w:topLinePunct w:val="0"/>
              <w:bidi w:val="0"/>
              <w:adjustRightInd w:val="0"/>
              <w:snapToGrid w:val="0"/>
              <w:spacing w:line="360" w:lineRule="auto"/>
              <w:ind w:left="0" w:leftChars="0" w:right="0" w:righ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第1包</w:t>
            </w:r>
          </w:p>
        </w:tc>
        <w:tc>
          <w:tcPr>
            <w:tcW w:w="6733" w:type="dxa"/>
            <w:tcBorders>
              <w:top w:val="nil"/>
              <w:left w:val="nil"/>
              <w:bottom w:val="single" w:color="auto" w:sz="4" w:space="0"/>
              <w:right w:val="single" w:color="auto" w:sz="4" w:space="0"/>
            </w:tcBorders>
            <w:vAlign w:val="center"/>
          </w:tcPr>
          <w:p>
            <w:pPr>
              <w:pageBreakBefore w:val="0"/>
              <w:widowControl/>
              <w:kinsoku/>
              <w:wordWrap/>
              <w:overflowPunct/>
              <w:topLinePunct w:val="0"/>
              <w:bidi w:val="0"/>
              <w:adjustRightInd w:val="0"/>
              <w:snapToGrid w:val="0"/>
              <w:spacing w:line="360" w:lineRule="auto"/>
              <w:ind w:left="0" w:leftChars="0" w:right="0" w:right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使用财政资金的项目预算评审；使用财政资金的项目结算评审；财政局委托的其他评审事项。本包</w:t>
            </w:r>
            <w:r>
              <w:rPr>
                <w:rFonts w:hint="eastAsia" w:ascii="宋体" w:hAnsi="宋体" w:eastAsia="宋体" w:cs="宋体"/>
                <w:sz w:val="24"/>
                <w:szCs w:val="24"/>
                <w:highlight w:val="none"/>
                <w:lang w:eastAsia="zh-CN"/>
              </w:rPr>
              <w:t>非专门</w:t>
            </w:r>
            <w:r>
              <w:rPr>
                <w:rFonts w:hint="eastAsia" w:ascii="宋体" w:hAnsi="宋体" w:eastAsia="宋体" w:cs="宋体"/>
                <w:sz w:val="24"/>
                <w:szCs w:val="24"/>
                <w:highlight w:val="none"/>
              </w:rPr>
              <w:t>面向中小企业。</w:t>
            </w:r>
          </w:p>
        </w:tc>
        <w:tc>
          <w:tcPr>
            <w:tcW w:w="1257" w:type="dxa"/>
            <w:tcBorders>
              <w:top w:val="nil"/>
              <w:left w:val="nil"/>
              <w:bottom w:val="single" w:color="auto" w:sz="4" w:space="0"/>
              <w:right w:val="single" w:color="auto" w:sz="4" w:space="0"/>
            </w:tcBorders>
            <w:vAlign w:val="center"/>
          </w:tcPr>
          <w:p>
            <w:pPr>
              <w:pageBreakBefore w:val="0"/>
              <w:widowControl/>
              <w:kinsoku/>
              <w:wordWrap/>
              <w:overflowPunct/>
              <w:topLinePunct w:val="0"/>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400</w:t>
            </w:r>
          </w:p>
        </w:tc>
      </w:tr>
      <w:tr>
        <w:tblPrEx>
          <w:tblLayout w:type="fixed"/>
          <w:tblCellMar>
            <w:top w:w="0" w:type="dxa"/>
            <w:left w:w="108" w:type="dxa"/>
            <w:bottom w:w="0" w:type="dxa"/>
            <w:right w:w="108" w:type="dxa"/>
          </w:tblCellMar>
        </w:tblPrEx>
        <w:trPr>
          <w:trHeight w:val="749" w:hRule="atLeast"/>
          <w:jc w:val="center"/>
        </w:trPr>
        <w:tc>
          <w:tcPr>
            <w:tcW w:w="1274" w:type="dxa"/>
            <w:tcBorders>
              <w:top w:val="nil"/>
              <w:left w:val="single" w:color="auto" w:sz="4" w:space="0"/>
              <w:bottom w:val="single" w:color="auto" w:sz="4" w:space="0"/>
              <w:right w:val="single" w:color="auto" w:sz="4" w:space="0"/>
            </w:tcBorders>
            <w:vAlign w:val="center"/>
          </w:tcPr>
          <w:p>
            <w:pPr>
              <w:pageBreakBefore w:val="0"/>
              <w:widowControl/>
              <w:kinsoku/>
              <w:wordWrap/>
              <w:overflowPunct/>
              <w:topLinePunct w:val="0"/>
              <w:bidi w:val="0"/>
              <w:adjustRightInd w:val="0"/>
              <w:snapToGrid w:val="0"/>
              <w:spacing w:line="360" w:lineRule="auto"/>
              <w:ind w:left="0" w:leftChars="0" w:right="0" w:righ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第2包</w:t>
            </w:r>
          </w:p>
        </w:tc>
        <w:tc>
          <w:tcPr>
            <w:tcW w:w="6733" w:type="dxa"/>
            <w:tcBorders>
              <w:top w:val="nil"/>
              <w:left w:val="nil"/>
              <w:bottom w:val="single" w:color="auto" w:sz="4" w:space="0"/>
              <w:right w:val="single" w:color="auto" w:sz="4" w:space="0"/>
            </w:tcBorders>
            <w:vAlign w:val="center"/>
          </w:tcPr>
          <w:p>
            <w:pPr>
              <w:pageBreakBefore w:val="0"/>
              <w:widowControl/>
              <w:kinsoku/>
              <w:wordWrap/>
              <w:overflowPunct/>
              <w:topLinePunct w:val="0"/>
              <w:bidi w:val="0"/>
              <w:adjustRightInd w:val="0"/>
              <w:snapToGrid w:val="0"/>
              <w:spacing w:line="360" w:lineRule="auto"/>
              <w:ind w:left="0" w:leftChars="0" w:right="0" w:right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使用财政资金的项目预算评审；使用财政资金的项目结算评审；财政局委托的其他评审事项。本包</w:t>
            </w:r>
            <w:r>
              <w:rPr>
                <w:rFonts w:hint="eastAsia" w:ascii="宋体" w:hAnsi="宋体" w:eastAsia="宋体" w:cs="宋体"/>
                <w:sz w:val="24"/>
                <w:szCs w:val="24"/>
                <w:highlight w:val="none"/>
                <w:lang w:eastAsia="zh-CN"/>
              </w:rPr>
              <w:t>非专门</w:t>
            </w:r>
            <w:r>
              <w:rPr>
                <w:rFonts w:hint="eastAsia" w:ascii="宋体" w:hAnsi="宋体" w:eastAsia="宋体" w:cs="宋体"/>
                <w:sz w:val="24"/>
                <w:szCs w:val="24"/>
                <w:highlight w:val="none"/>
              </w:rPr>
              <w:t>面向中小企业。</w:t>
            </w:r>
          </w:p>
        </w:tc>
        <w:tc>
          <w:tcPr>
            <w:tcW w:w="1257" w:type="dxa"/>
            <w:tcBorders>
              <w:top w:val="nil"/>
              <w:left w:val="nil"/>
              <w:bottom w:val="single" w:color="auto" w:sz="4" w:space="0"/>
              <w:right w:val="single" w:color="auto" w:sz="4" w:space="0"/>
            </w:tcBorders>
            <w:vAlign w:val="center"/>
          </w:tcPr>
          <w:p>
            <w:pPr>
              <w:pageBreakBefore w:val="0"/>
              <w:widowControl/>
              <w:kinsoku/>
              <w:wordWrap/>
              <w:overflowPunct/>
              <w:topLinePunct w:val="0"/>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400</w:t>
            </w:r>
          </w:p>
        </w:tc>
      </w:tr>
      <w:tr>
        <w:tblPrEx>
          <w:tblLayout w:type="fixed"/>
          <w:tblCellMar>
            <w:top w:w="0" w:type="dxa"/>
            <w:left w:w="108" w:type="dxa"/>
            <w:bottom w:w="0" w:type="dxa"/>
            <w:right w:w="108" w:type="dxa"/>
          </w:tblCellMar>
        </w:tblPrEx>
        <w:trPr>
          <w:trHeight w:val="780" w:hRule="atLeast"/>
          <w:jc w:val="center"/>
        </w:trPr>
        <w:tc>
          <w:tcPr>
            <w:tcW w:w="1274" w:type="dxa"/>
            <w:tcBorders>
              <w:top w:val="nil"/>
              <w:left w:val="single" w:color="auto" w:sz="4" w:space="0"/>
              <w:bottom w:val="single" w:color="auto" w:sz="4" w:space="0"/>
              <w:right w:val="single" w:color="auto" w:sz="4" w:space="0"/>
            </w:tcBorders>
            <w:vAlign w:val="center"/>
          </w:tcPr>
          <w:p>
            <w:pPr>
              <w:pageBreakBefore w:val="0"/>
              <w:widowControl/>
              <w:kinsoku/>
              <w:wordWrap/>
              <w:overflowPunct/>
              <w:topLinePunct w:val="0"/>
              <w:bidi w:val="0"/>
              <w:adjustRightInd w:val="0"/>
              <w:snapToGrid w:val="0"/>
              <w:spacing w:line="360" w:lineRule="auto"/>
              <w:ind w:left="0" w:leftChars="0" w:right="0" w:righ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第3包</w:t>
            </w:r>
          </w:p>
        </w:tc>
        <w:tc>
          <w:tcPr>
            <w:tcW w:w="6733" w:type="dxa"/>
            <w:tcBorders>
              <w:top w:val="nil"/>
              <w:left w:val="nil"/>
              <w:bottom w:val="single" w:color="auto" w:sz="4" w:space="0"/>
              <w:right w:val="single" w:color="auto" w:sz="4" w:space="0"/>
            </w:tcBorders>
            <w:vAlign w:val="center"/>
          </w:tcPr>
          <w:p>
            <w:pPr>
              <w:pageBreakBefore w:val="0"/>
              <w:widowControl/>
              <w:kinsoku/>
              <w:wordWrap/>
              <w:overflowPunct/>
              <w:topLinePunct w:val="0"/>
              <w:bidi w:val="0"/>
              <w:adjustRightInd w:val="0"/>
              <w:snapToGrid w:val="0"/>
              <w:spacing w:line="360" w:lineRule="auto"/>
              <w:ind w:left="0" w:leftChars="0" w:right="0" w:right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使用财政资金的项目预算评审；使用财政资金的项目结算评审；财政局委托的其他评审事项。本包</w:t>
            </w:r>
            <w:r>
              <w:rPr>
                <w:rFonts w:hint="eastAsia" w:ascii="宋体" w:hAnsi="宋体" w:eastAsia="宋体" w:cs="宋体"/>
                <w:sz w:val="24"/>
                <w:szCs w:val="24"/>
                <w:highlight w:val="none"/>
                <w:lang w:eastAsia="zh-CN"/>
              </w:rPr>
              <w:t>非专门</w:t>
            </w:r>
            <w:r>
              <w:rPr>
                <w:rFonts w:hint="eastAsia" w:ascii="宋体" w:hAnsi="宋体" w:eastAsia="宋体" w:cs="宋体"/>
                <w:sz w:val="24"/>
                <w:szCs w:val="24"/>
                <w:highlight w:val="none"/>
              </w:rPr>
              <w:t>面向中小企业。</w:t>
            </w:r>
          </w:p>
        </w:tc>
        <w:tc>
          <w:tcPr>
            <w:tcW w:w="1257" w:type="dxa"/>
            <w:tcBorders>
              <w:top w:val="nil"/>
              <w:left w:val="nil"/>
              <w:bottom w:val="single" w:color="auto" w:sz="4" w:space="0"/>
              <w:right w:val="single" w:color="auto" w:sz="4" w:space="0"/>
            </w:tcBorders>
            <w:vAlign w:val="center"/>
          </w:tcPr>
          <w:p>
            <w:pPr>
              <w:pageBreakBefore w:val="0"/>
              <w:widowControl/>
              <w:kinsoku/>
              <w:wordWrap/>
              <w:overflowPunct/>
              <w:topLinePunct w:val="0"/>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400</w:t>
            </w:r>
          </w:p>
        </w:tc>
      </w:tr>
      <w:tr>
        <w:tblPrEx>
          <w:tblLayout w:type="fixed"/>
          <w:tblCellMar>
            <w:top w:w="0" w:type="dxa"/>
            <w:left w:w="108" w:type="dxa"/>
            <w:bottom w:w="0" w:type="dxa"/>
            <w:right w:w="108" w:type="dxa"/>
          </w:tblCellMar>
        </w:tblPrEx>
        <w:trPr>
          <w:trHeight w:val="624" w:hRule="atLeast"/>
          <w:jc w:val="center"/>
        </w:trPr>
        <w:tc>
          <w:tcPr>
            <w:tcW w:w="1274" w:type="dxa"/>
            <w:tcBorders>
              <w:top w:val="nil"/>
              <w:left w:val="single" w:color="auto" w:sz="4" w:space="0"/>
              <w:bottom w:val="single" w:color="auto" w:sz="4" w:space="0"/>
              <w:right w:val="single" w:color="auto" w:sz="4" w:space="0"/>
            </w:tcBorders>
            <w:vAlign w:val="center"/>
          </w:tcPr>
          <w:p>
            <w:pPr>
              <w:pageBreakBefore w:val="0"/>
              <w:widowControl/>
              <w:kinsoku/>
              <w:wordWrap/>
              <w:overflowPunct/>
              <w:topLinePunct w:val="0"/>
              <w:bidi w:val="0"/>
              <w:adjustRightInd w:val="0"/>
              <w:snapToGrid w:val="0"/>
              <w:spacing w:line="360" w:lineRule="auto"/>
              <w:ind w:left="0" w:leftChars="0" w:right="0" w:righ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第4包</w:t>
            </w:r>
          </w:p>
        </w:tc>
        <w:tc>
          <w:tcPr>
            <w:tcW w:w="6733" w:type="dxa"/>
            <w:tcBorders>
              <w:top w:val="nil"/>
              <w:left w:val="nil"/>
              <w:bottom w:val="single" w:color="auto" w:sz="4" w:space="0"/>
              <w:right w:val="single" w:color="auto" w:sz="4" w:space="0"/>
            </w:tcBorders>
            <w:vAlign w:val="center"/>
          </w:tcPr>
          <w:p>
            <w:pPr>
              <w:pageBreakBefore w:val="0"/>
              <w:widowControl/>
              <w:kinsoku/>
              <w:wordWrap/>
              <w:overflowPunct/>
              <w:topLinePunct w:val="0"/>
              <w:bidi w:val="0"/>
              <w:adjustRightInd w:val="0"/>
              <w:snapToGrid w:val="0"/>
              <w:spacing w:line="360" w:lineRule="auto"/>
              <w:ind w:left="0" w:leftChars="0" w:right="0" w:right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使用财政资金的项目预算评审；使用财政资金的项目结算评审；财政局委托的其他评审事项。本包非</w:t>
            </w:r>
            <w:r>
              <w:rPr>
                <w:rFonts w:hint="eastAsia" w:ascii="宋体" w:hAnsi="宋体" w:eastAsia="宋体" w:cs="宋体"/>
                <w:sz w:val="24"/>
                <w:szCs w:val="24"/>
                <w:highlight w:val="none"/>
                <w:lang w:eastAsia="zh-CN"/>
              </w:rPr>
              <w:t>专门</w:t>
            </w:r>
            <w:r>
              <w:rPr>
                <w:rFonts w:hint="eastAsia" w:ascii="宋体" w:hAnsi="宋体" w:eastAsia="宋体" w:cs="宋体"/>
                <w:sz w:val="24"/>
                <w:szCs w:val="24"/>
                <w:highlight w:val="none"/>
              </w:rPr>
              <w:t>面向中小企业。</w:t>
            </w:r>
          </w:p>
        </w:tc>
        <w:tc>
          <w:tcPr>
            <w:tcW w:w="1257" w:type="dxa"/>
            <w:tcBorders>
              <w:top w:val="nil"/>
              <w:left w:val="nil"/>
              <w:bottom w:val="single" w:color="auto" w:sz="4" w:space="0"/>
              <w:right w:val="single" w:color="auto" w:sz="4" w:space="0"/>
            </w:tcBorders>
            <w:vAlign w:val="center"/>
          </w:tcPr>
          <w:p>
            <w:pPr>
              <w:pageBreakBefore w:val="0"/>
              <w:widowControl/>
              <w:kinsoku/>
              <w:wordWrap/>
              <w:overflowPunct/>
              <w:topLinePunct w:val="0"/>
              <w:bidi w:val="0"/>
              <w:adjustRightInd w:val="0"/>
              <w:snapToGrid w:val="0"/>
              <w:spacing w:line="360" w:lineRule="auto"/>
              <w:ind w:left="0" w:leftChars="0" w:right="0" w:right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400</w:t>
            </w:r>
          </w:p>
        </w:tc>
      </w:tr>
      <w:tr>
        <w:tblPrEx>
          <w:tblLayout w:type="fixed"/>
          <w:tblCellMar>
            <w:top w:w="0" w:type="dxa"/>
            <w:left w:w="108" w:type="dxa"/>
            <w:bottom w:w="0" w:type="dxa"/>
            <w:right w:w="108" w:type="dxa"/>
          </w:tblCellMar>
        </w:tblPrEx>
        <w:trPr>
          <w:trHeight w:val="684" w:hRule="atLeast"/>
          <w:jc w:val="center"/>
        </w:trPr>
        <w:tc>
          <w:tcPr>
            <w:tcW w:w="1274" w:type="dxa"/>
            <w:tcBorders>
              <w:top w:val="nil"/>
              <w:left w:val="single" w:color="auto" w:sz="4" w:space="0"/>
              <w:bottom w:val="single" w:color="auto" w:sz="4" w:space="0"/>
              <w:right w:val="single" w:color="auto" w:sz="4" w:space="0"/>
            </w:tcBorders>
            <w:vAlign w:val="center"/>
          </w:tcPr>
          <w:p>
            <w:pPr>
              <w:pageBreakBefore w:val="0"/>
              <w:widowControl/>
              <w:kinsoku/>
              <w:wordWrap/>
              <w:overflowPunct/>
              <w:topLinePunct w:val="0"/>
              <w:bidi w:val="0"/>
              <w:adjustRightInd w:val="0"/>
              <w:snapToGrid w:val="0"/>
              <w:spacing w:line="360" w:lineRule="auto"/>
              <w:ind w:left="0" w:leftChars="0" w:right="0" w:righ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第5包</w:t>
            </w:r>
          </w:p>
        </w:tc>
        <w:tc>
          <w:tcPr>
            <w:tcW w:w="6733" w:type="dxa"/>
            <w:tcBorders>
              <w:top w:val="nil"/>
              <w:left w:val="nil"/>
              <w:bottom w:val="single" w:color="auto" w:sz="4" w:space="0"/>
              <w:right w:val="single" w:color="auto" w:sz="4" w:space="0"/>
            </w:tcBorders>
            <w:vAlign w:val="center"/>
          </w:tcPr>
          <w:p>
            <w:pPr>
              <w:pageBreakBefore w:val="0"/>
              <w:widowControl/>
              <w:kinsoku/>
              <w:wordWrap/>
              <w:overflowPunct/>
              <w:topLinePunct w:val="0"/>
              <w:bidi w:val="0"/>
              <w:adjustRightInd w:val="0"/>
              <w:snapToGrid w:val="0"/>
              <w:spacing w:line="360" w:lineRule="auto"/>
              <w:ind w:left="0" w:leftChars="0" w:right="0" w:righ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    使用财政资金的项目预算评审；使用财政资金的项目结算评审；财政局委托的其他评审事项。</w:t>
            </w:r>
            <w:r>
              <w:rPr>
                <w:rFonts w:hint="eastAsia" w:ascii="宋体" w:hAnsi="宋体" w:eastAsia="宋体" w:cs="宋体"/>
                <w:sz w:val="24"/>
                <w:szCs w:val="24"/>
                <w:highlight w:val="none"/>
                <w:lang w:eastAsia="zh-CN"/>
              </w:rPr>
              <w:t>本包面向中小企业。</w:t>
            </w:r>
          </w:p>
        </w:tc>
        <w:tc>
          <w:tcPr>
            <w:tcW w:w="1257" w:type="dxa"/>
            <w:tcBorders>
              <w:top w:val="nil"/>
              <w:left w:val="nil"/>
              <w:bottom w:val="single" w:color="auto" w:sz="4" w:space="0"/>
              <w:right w:val="single" w:color="auto" w:sz="4" w:space="0"/>
            </w:tcBorders>
            <w:vAlign w:val="center"/>
          </w:tcPr>
          <w:p>
            <w:pPr>
              <w:pageBreakBefore w:val="0"/>
              <w:widowControl/>
              <w:kinsoku/>
              <w:wordWrap/>
              <w:overflowPunct/>
              <w:topLinePunct w:val="0"/>
              <w:bidi w:val="0"/>
              <w:adjustRightInd w:val="0"/>
              <w:snapToGrid w:val="0"/>
              <w:spacing w:line="360" w:lineRule="auto"/>
              <w:ind w:left="0" w:leftChars="0" w:right="0" w:right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400</w:t>
            </w:r>
          </w:p>
        </w:tc>
      </w:tr>
      <w:tr>
        <w:tblPrEx>
          <w:tblLayout w:type="fixed"/>
          <w:tblCellMar>
            <w:top w:w="0" w:type="dxa"/>
            <w:left w:w="108" w:type="dxa"/>
            <w:bottom w:w="0" w:type="dxa"/>
            <w:right w:w="108" w:type="dxa"/>
          </w:tblCellMar>
        </w:tblPrEx>
        <w:trPr>
          <w:trHeight w:val="704" w:hRule="atLeast"/>
          <w:jc w:val="center"/>
        </w:trPr>
        <w:tc>
          <w:tcPr>
            <w:tcW w:w="1274" w:type="dxa"/>
            <w:tcBorders>
              <w:top w:val="nil"/>
              <w:left w:val="single" w:color="auto" w:sz="4" w:space="0"/>
              <w:bottom w:val="single" w:color="auto" w:sz="4" w:space="0"/>
              <w:right w:val="single" w:color="auto" w:sz="4" w:space="0"/>
            </w:tcBorders>
            <w:vAlign w:val="center"/>
          </w:tcPr>
          <w:p>
            <w:pPr>
              <w:pageBreakBefore w:val="0"/>
              <w:widowControl/>
              <w:kinsoku/>
              <w:wordWrap/>
              <w:overflowPunct/>
              <w:topLinePunct w:val="0"/>
              <w:bidi w:val="0"/>
              <w:adjustRightInd w:val="0"/>
              <w:snapToGrid w:val="0"/>
              <w:spacing w:line="360" w:lineRule="auto"/>
              <w:ind w:left="0" w:leftChars="0" w:right="0" w:righ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第6包</w:t>
            </w:r>
          </w:p>
        </w:tc>
        <w:tc>
          <w:tcPr>
            <w:tcW w:w="6733" w:type="dxa"/>
            <w:tcBorders>
              <w:top w:val="nil"/>
              <w:left w:val="nil"/>
              <w:bottom w:val="single" w:color="auto" w:sz="4" w:space="0"/>
              <w:right w:val="single" w:color="auto" w:sz="4" w:space="0"/>
            </w:tcBorders>
            <w:vAlign w:val="center"/>
          </w:tcPr>
          <w:p>
            <w:pPr>
              <w:pageBreakBefore w:val="0"/>
              <w:widowControl/>
              <w:kinsoku/>
              <w:wordWrap/>
              <w:overflowPunct/>
              <w:topLinePunct w:val="0"/>
              <w:bidi w:val="0"/>
              <w:adjustRightInd w:val="0"/>
              <w:snapToGrid w:val="0"/>
              <w:spacing w:line="360" w:lineRule="auto"/>
              <w:ind w:left="0" w:leftChars="0" w:right="0" w:right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使用财政资金的项目预算评审；使用财政资金的项目结算评审；财政局委托的其他评审事项。</w:t>
            </w:r>
            <w:r>
              <w:rPr>
                <w:rFonts w:hint="eastAsia" w:ascii="宋体" w:hAnsi="宋体" w:eastAsia="宋体" w:cs="宋体"/>
                <w:sz w:val="24"/>
                <w:szCs w:val="24"/>
                <w:highlight w:val="none"/>
                <w:lang w:eastAsia="zh-CN"/>
              </w:rPr>
              <w:t>本包面向小微企业。</w:t>
            </w:r>
          </w:p>
        </w:tc>
        <w:tc>
          <w:tcPr>
            <w:tcW w:w="1257" w:type="dxa"/>
            <w:tcBorders>
              <w:top w:val="nil"/>
              <w:left w:val="nil"/>
              <w:bottom w:val="single" w:color="auto" w:sz="4" w:space="0"/>
              <w:right w:val="single" w:color="auto" w:sz="4" w:space="0"/>
            </w:tcBorders>
            <w:vAlign w:val="center"/>
          </w:tcPr>
          <w:p>
            <w:pPr>
              <w:pageBreakBefore w:val="0"/>
              <w:widowControl/>
              <w:kinsoku/>
              <w:wordWrap/>
              <w:overflowPunct/>
              <w:topLinePunct w:val="0"/>
              <w:bidi w:val="0"/>
              <w:adjustRightInd w:val="0"/>
              <w:snapToGrid w:val="0"/>
              <w:spacing w:line="360" w:lineRule="auto"/>
              <w:ind w:left="0" w:leftChars="0" w:right="0" w:righ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0</w:t>
            </w:r>
          </w:p>
        </w:tc>
      </w:tr>
      <w:tr>
        <w:tblPrEx>
          <w:tblLayout w:type="fixed"/>
          <w:tblCellMar>
            <w:top w:w="0" w:type="dxa"/>
            <w:left w:w="108" w:type="dxa"/>
            <w:bottom w:w="0" w:type="dxa"/>
            <w:right w:w="108" w:type="dxa"/>
          </w:tblCellMar>
        </w:tblPrEx>
        <w:trPr>
          <w:trHeight w:val="700" w:hRule="atLeast"/>
          <w:jc w:val="center"/>
        </w:trPr>
        <w:tc>
          <w:tcPr>
            <w:tcW w:w="1274" w:type="dxa"/>
            <w:tcBorders>
              <w:top w:val="nil"/>
              <w:left w:val="single" w:color="auto" w:sz="4" w:space="0"/>
              <w:bottom w:val="single" w:color="auto" w:sz="4" w:space="0"/>
              <w:right w:val="single" w:color="auto" w:sz="4" w:space="0"/>
            </w:tcBorders>
            <w:vAlign w:val="center"/>
          </w:tcPr>
          <w:p>
            <w:pPr>
              <w:pageBreakBefore w:val="0"/>
              <w:widowControl/>
              <w:kinsoku/>
              <w:wordWrap/>
              <w:overflowPunct/>
              <w:topLinePunct w:val="0"/>
              <w:bidi w:val="0"/>
              <w:adjustRightInd w:val="0"/>
              <w:snapToGrid w:val="0"/>
              <w:spacing w:line="360" w:lineRule="auto"/>
              <w:ind w:left="0" w:leftChars="0" w:right="0" w:righ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第7包</w:t>
            </w:r>
          </w:p>
        </w:tc>
        <w:tc>
          <w:tcPr>
            <w:tcW w:w="6733" w:type="dxa"/>
            <w:tcBorders>
              <w:top w:val="nil"/>
              <w:left w:val="nil"/>
              <w:bottom w:val="single" w:color="auto" w:sz="4" w:space="0"/>
              <w:right w:val="single" w:color="auto" w:sz="4" w:space="0"/>
            </w:tcBorders>
            <w:vAlign w:val="center"/>
          </w:tcPr>
          <w:p>
            <w:pPr>
              <w:pageBreakBefore w:val="0"/>
              <w:widowControl/>
              <w:kinsoku/>
              <w:wordWrap/>
              <w:overflowPunct/>
              <w:topLinePunct w:val="0"/>
              <w:bidi w:val="0"/>
              <w:adjustRightInd w:val="0"/>
              <w:snapToGrid w:val="0"/>
              <w:spacing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使用财政资金的项目预算评审；使用财政资金的项目结算评审；财政局委托的其他评审事项。</w:t>
            </w:r>
            <w:r>
              <w:rPr>
                <w:rFonts w:hint="eastAsia" w:ascii="宋体" w:hAnsi="宋体" w:eastAsia="宋体" w:cs="宋体"/>
                <w:sz w:val="24"/>
                <w:szCs w:val="24"/>
                <w:highlight w:val="none"/>
                <w:lang w:eastAsia="zh-CN"/>
              </w:rPr>
              <w:t>本包面向小微企业。</w:t>
            </w:r>
          </w:p>
        </w:tc>
        <w:tc>
          <w:tcPr>
            <w:tcW w:w="1257" w:type="dxa"/>
            <w:tcBorders>
              <w:top w:val="nil"/>
              <w:left w:val="nil"/>
              <w:bottom w:val="single" w:color="auto" w:sz="4" w:space="0"/>
              <w:right w:val="single" w:color="auto" w:sz="4" w:space="0"/>
            </w:tcBorders>
            <w:vAlign w:val="center"/>
          </w:tcPr>
          <w:p>
            <w:pPr>
              <w:pageBreakBefore w:val="0"/>
              <w:widowControl/>
              <w:kinsoku/>
              <w:wordWrap/>
              <w:overflowPunct/>
              <w:topLinePunct w:val="0"/>
              <w:bidi w:val="0"/>
              <w:adjustRightInd w:val="0"/>
              <w:snapToGrid w:val="0"/>
              <w:spacing w:line="360" w:lineRule="auto"/>
              <w:ind w:left="0" w:leftChars="0" w:right="0" w:righ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0</w:t>
            </w:r>
          </w:p>
        </w:tc>
      </w:tr>
      <w:tr>
        <w:tblPrEx>
          <w:tblLayout w:type="fixed"/>
          <w:tblCellMar>
            <w:top w:w="0" w:type="dxa"/>
            <w:left w:w="108" w:type="dxa"/>
            <w:bottom w:w="0" w:type="dxa"/>
            <w:right w:w="108" w:type="dxa"/>
          </w:tblCellMar>
        </w:tblPrEx>
        <w:trPr>
          <w:trHeight w:val="700" w:hRule="atLeast"/>
          <w:jc w:val="center"/>
        </w:trPr>
        <w:tc>
          <w:tcPr>
            <w:tcW w:w="1274" w:type="dxa"/>
            <w:tcBorders>
              <w:top w:val="nil"/>
              <w:left w:val="single" w:color="auto" w:sz="4" w:space="0"/>
              <w:bottom w:val="single" w:color="auto" w:sz="4" w:space="0"/>
              <w:right w:val="single" w:color="auto" w:sz="4" w:space="0"/>
            </w:tcBorders>
            <w:vAlign w:val="center"/>
          </w:tcPr>
          <w:p>
            <w:pPr>
              <w:pageBreakBefore w:val="0"/>
              <w:widowControl/>
              <w:kinsoku/>
              <w:wordWrap/>
              <w:overflowPunct/>
              <w:topLinePunct w:val="0"/>
              <w:bidi w:val="0"/>
              <w:adjustRightInd w:val="0"/>
              <w:snapToGrid w:val="0"/>
              <w:spacing w:line="360" w:lineRule="auto"/>
              <w:ind w:left="0" w:leftChars="0" w:right="0" w:righ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第8包</w:t>
            </w:r>
          </w:p>
        </w:tc>
        <w:tc>
          <w:tcPr>
            <w:tcW w:w="6733" w:type="dxa"/>
            <w:tcBorders>
              <w:top w:val="nil"/>
              <w:left w:val="nil"/>
              <w:bottom w:val="single" w:color="auto" w:sz="4" w:space="0"/>
              <w:right w:val="single" w:color="auto" w:sz="4" w:space="0"/>
            </w:tcBorders>
            <w:vAlign w:val="center"/>
          </w:tcPr>
          <w:p>
            <w:pPr>
              <w:pageBreakBefore w:val="0"/>
              <w:widowControl/>
              <w:kinsoku/>
              <w:wordWrap/>
              <w:overflowPunct/>
              <w:topLinePunct w:val="0"/>
              <w:bidi w:val="0"/>
              <w:adjustRightInd w:val="0"/>
              <w:snapToGrid w:val="0"/>
              <w:spacing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使用财政资金的项目预算评审；使用财政资金的项目结算评审；财政局委托的其他评审事项。</w:t>
            </w:r>
            <w:r>
              <w:rPr>
                <w:rFonts w:hint="eastAsia" w:ascii="宋体" w:hAnsi="宋体" w:eastAsia="宋体" w:cs="宋体"/>
                <w:sz w:val="24"/>
                <w:szCs w:val="24"/>
                <w:highlight w:val="none"/>
                <w:lang w:eastAsia="zh-CN"/>
              </w:rPr>
              <w:t>本包面向小微企业。</w:t>
            </w:r>
          </w:p>
        </w:tc>
        <w:tc>
          <w:tcPr>
            <w:tcW w:w="1257" w:type="dxa"/>
            <w:tcBorders>
              <w:top w:val="nil"/>
              <w:left w:val="nil"/>
              <w:bottom w:val="single" w:color="auto" w:sz="4" w:space="0"/>
              <w:right w:val="single" w:color="auto" w:sz="4" w:space="0"/>
            </w:tcBorders>
            <w:vAlign w:val="center"/>
          </w:tcPr>
          <w:p>
            <w:pPr>
              <w:pageBreakBefore w:val="0"/>
              <w:widowControl/>
              <w:kinsoku/>
              <w:wordWrap/>
              <w:overflowPunct/>
              <w:topLinePunct w:val="0"/>
              <w:bidi w:val="0"/>
              <w:adjustRightInd w:val="0"/>
              <w:snapToGrid w:val="0"/>
              <w:spacing w:line="360" w:lineRule="auto"/>
              <w:ind w:left="0" w:leftChars="0" w:right="0" w:righ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0</w:t>
            </w:r>
          </w:p>
        </w:tc>
      </w:tr>
      <w:tr>
        <w:tblPrEx>
          <w:tblLayout w:type="fixed"/>
          <w:tblCellMar>
            <w:top w:w="0" w:type="dxa"/>
            <w:left w:w="108" w:type="dxa"/>
            <w:bottom w:w="0" w:type="dxa"/>
            <w:right w:w="108" w:type="dxa"/>
          </w:tblCellMar>
        </w:tblPrEx>
        <w:trPr>
          <w:trHeight w:val="700" w:hRule="atLeast"/>
          <w:jc w:val="center"/>
        </w:trPr>
        <w:tc>
          <w:tcPr>
            <w:tcW w:w="1274" w:type="dxa"/>
            <w:tcBorders>
              <w:top w:val="nil"/>
              <w:left w:val="single" w:color="auto" w:sz="4" w:space="0"/>
              <w:bottom w:val="single" w:color="auto" w:sz="4" w:space="0"/>
              <w:right w:val="single" w:color="auto" w:sz="4" w:space="0"/>
            </w:tcBorders>
            <w:vAlign w:val="center"/>
          </w:tcPr>
          <w:p>
            <w:pPr>
              <w:pageBreakBefore w:val="0"/>
              <w:widowControl/>
              <w:kinsoku/>
              <w:wordWrap/>
              <w:overflowPunct/>
              <w:topLinePunct w:val="0"/>
              <w:bidi w:val="0"/>
              <w:adjustRightInd w:val="0"/>
              <w:snapToGrid w:val="0"/>
              <w:spacing w:line="360" w:lineRule="auto"/>
              <w:ind w:left="0" w:leftChars="0" w:right="0" w:righ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第9包</w:t>
            </w:r>
          </w:p>
        </w:tc>
        <w:tc>
          <w:tcPr>
            <w:tcW w:w="6733" w:type="dxa"/>
            <w:tcBorders>
              <w:top w:val="nil"/>
              <w:left w:val="nil"/>
              <w:bottom w:val="single" w:color="auto" w:sz="4" w:space="0"/>
              <w:right w:val="single" w:color="auto" w:sz="4" w:space="0"/>
            </w:tcBorders>
            <w:vAlign w:val="center"/>
          </w:tcPr>
          <w:p>
            <w:pPr>
              <w:pageBreakBefore w:val="0"/>
              <w:widowControl/>
              <w:kinsoku/>
              <w:wordWrap/>
              <w:overflowPunct/>
              <w:topLinePunct w:val="0"/>
              <w:bidi w:val="0"/>
              <w:adjustRightInd w:val="0"/>
              <w:snapToGrid w:val="0"/>
              <w:spacing w:line="360" w:lineRule="auto"/>
              <w:ind w:left="0" w:leftChars="0" w:right="0" w:right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使用财政资金的项目预算评审；使用财政资金的项目结算评审；财政局委托的其他评审事项。</w:t>
            </w:r>
            <w:r>
              <w:rPr>
                <w:rFonts w:hint="eastAsia" w:ascii="宋体" w:hAnsi="宋体" w:eastAsia="宋体" w:cs="宋体"/>
                <w:sz w:val="24"/>
                <w:szCs w:val="24"/>
                <w:highlight w:val="none"/>
                <w:lang w:eastAsia="zh-CN"/>
              </w:rPr>
              <w:t>本包面向小微企业。</w:t>
            </w:r>
          </w:p>
        </w:tc>
        <w:tc>
          <w:tcPr>
            <w:tcW w:w="1257" w:type="dxa"/>
            <w:tcBorders>
              <w:top w:val="nil"/>
              <w:left w:val="nil"/>
              <w:bottom w:val="single" w:color="auto" w:sz="4" w:space="0"/>
              <w:right w:val="single" w:color="auto" w:sz="4" w:space="0"/>
            </w:tcBorders>
            <w:vAlign w:val="center"/>
          </w:tcPr>
          <w:p>
            <w:pPr>
              <w:pageBreakBefore w:val="0"/>
              <w:widowControl/>
              <w:kinsoku/>
              <w:wordWrap/>
              <w:overflowPunct/>
              <w:topLinePunct w:val="0"/>
              <w:bidi w:val="0"/>
              <w:adjustRightInd w:val="0"/>
              <w:snapToGrid w:val="0"/>
              <w:spacing w:line="360" w:lineRule="auto"/>
              <w:ind w:left="0" w:leftChars="0" w:right="0" w:righ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0</w:t>
            </w:r>
          </w:p>
        </w:tc>
      </w:tr>
      <w:tr>
        <w:tblPrEx>
          <w:tblLayout w:type="fixed"/>
          <w:tblCellMar>
            <w:top w:w="0" w:type="dxa"/>
            <w:left w:w="108" w:type="dxa"/>
            <w:bottom w:w="0" w:type="dxa"/>
            <w:right w:w="108" w:type="dxa"/>
          </w:tblCellMar>
        </w:tblPrEx>
        <w:trPr>
          <w:trHeight w:val="700" w:hRule="atLeast"/>
          <w:jc w:val="center"/>
        </w:trPr>
        <w:tc>
          <w:tcPr>
            <w:tcW w:w="1274" w:type="dxa"/>
            <w:tcBorders>
              <w:top w:val="nil"/>
              <w:left w:val="single" w:color="auto" w:sz="4" w:space="0"/>
              <w:bottom w:val="single" w:color="auto" w:sz="4" w:space="0"/>
              <w:right w:val="single" w:color="auto" w:sz="4" w:space="0"/>
            </w:tcBorders>
            <w:vAlign w:val="center"/>
          </w:tcPr>
          <w:p>
            <w:pPr>
              <w:pageBreakBefore w:val="0"/>
              <w:widowControl/>
              <w:kinsoku/>
              <w:wordWrap/>
              <w:overflowPunct/>
              <w:topLinePunct w:val="0"/>
              <w:bidi w:val="0"/>
              <w:adjustRightInd w:val="0"/>
              <w:snapToGrid w:val="0"/>
              <w:spacing w:line="360" w:lineRule="auto"/>
              <w:ind w:left="0" w:leftChars="0" w:right="0" w:righ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第10包</w:t>
            </w:r>
          </w:p>
        </w:tc>
        <w:tc>
          <w:tcPr>
            <w:tcW w:w="6733" w:type="dxa"/>
            <w:tcBorders>
              <w:top w:val="nil"/>
              <w:left w:val="nil"/>
              <w:bottom w:val="single" w:color="auto" w:sz="4" w:space="0"/>
              <w:right w:val="single" w:color="auto" w:sz="4" w:space="0"/>
            </w:tcBorders>
            <w:vAlign w:val="center"/>
          </w:tcPr>
          <w:p>
            <w:pPr>
              <w:pageBreakBefore w:val="0"/>
              <w:widowControl/>
              <w:kinsoku/>
              <w:wordWrap/>
              <w:overflowPunct/>
              <w:topLinePunct w:val="0"/>
              <w:bidi w:val="0"/>
              <w:adjustRightInd w:val="0"/>
              <w:snapToGrid w:val="0"/>
              <w:spacing w:line="360" w:lineRule="auto"/>
              <w:ind w:left="0" w:leftChars="0" w:right="0" w:right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使用财政资金的项目预算评审；使用财政资金的项目结算评审；财政局委托的其他评审事项。</w:t>
            </w:r>
            <w:r>
              <w:rPr>
                <w:rFonts w:hint="eastAsia" w:ascii="宋体" w:hAnsi="宋体" w:eastAsia="宋体" w:cs="宋体"/>
                <w:sz w:val="24"/>
                <w:szCs w:val="24"/>
                <w:highlight w:val="none"/>
                <w:lang w:eastAsia="zh-CN"/>
              </w:rPr>
              <w:t>本包面向小微企业。</w:t>
            </w:r>
          </w:p>
        </w:tc>
        <w:tc>
          <w:tcPr>
            <w:tcW w:w="1257" w:type="dxa"/>
            <w:tcBorders>
              <w:top w:val="nil"/>
              <w:left w:val="nil"/>
              <w:bottom w:val="single" w:color="auto" w:sz="4" w:space="0"/>
              <w:right w:val="single" w:color="auto" w:sz="4" w:space="0"/>
            </w:tcBorders>
            <w:vAlign w:val="center"/>
          </w:tcPr>
          <w:p>
            <w:pPr>
              <w:pageBreakBefore w:val="0"/>
              <w:widowControl/>
              <w:kinsoku/>
              <w:wordWrap/>
              <w:overflowPunct/>
              <w:topLinePunct w:val="0"/>
              <w:bidi w:val="0"/>
              <w:adjustRightInd w:val="0"/>
              <w:snapToGrid w:val="0"/>
              <w:spacing w:line="360" w:lineRule="auto"/>
              <w:ind w:left="0" w:leftChars="0" w:right="0" w:righ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0</w:t>
            </w:r>
          </w:p>
        </w:tc>
      </w:tr>
      <w:tr>
        <w:tblPrEx>
          <w:tblLayout w:type="fixed"/>
          <w:tblCellMar>
            <w:top w:w="0" w:type="dxa"/>
            <w:left w:w="108" w:type="dxa"/>
            <w:bottom w:w="0" w:type="dxa"/>
            <w:right w:w="108" w:type="dxa"/>
          </w:tblCellMar>
        </w:tblPrEx>
        <w:trPr>
          <w:trHeight w:val="910" w:hRule="atLeast"/>
          <w:jc w:val="center"/>
        </w:trPr>
        <w:tc>
          <w:tcPr>
            <w:tcW w:w="1274" w:type="dxa"/>
            <w:tcBorders>
              <w:top w:val="single" w:color="auto" w:sz="4" w:space="0"/>
              <w:left w:val="single" w:color="auto" w:sz="4" w:space="0"/>
              <w:bottom w:val="single" w:color="auto" w:sz="4" w:space="0"/>
              <w:right w:val="single" w:color="auto" w:sz="4" w:space="0"/>
            </w:tcBorders>
            <w:vAlign w:val="center"/>
          </w:tcPr>
          <w:p>
            <w:pPr>
              <w:pageBreakBefore w:val="0"/>
              <w:widowControl/>
              <w:kinsoku/>
              <w:wordWrap/>
              <w:overflowPunct/>
              <w:topLinePunct w:val="0"/>
              <w:bidi w:val="0"/>
              <w:adjustRightInd w:val="0"/>
              <w:snapToGrid w:val="0"/>
              <w:spacing w:line="360" w:lineRule="auto"/>
              <w:ind w:left="0" w:leftChars="0" w:right="0" w:righ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第1</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包</w:t>
            </w:r>
          </w:p>
        </w:tc>
        <w:tc>
          <w:tcPr>
            <w:tcW w:w="6733" w:type="dxa"/>
            <w:tcBorders>
              <w:top w:val="single" w:color="auto" w:sz="4" w:space="0"/>
              <w:left w:val="single" w:color="auto" w:sz="4" w:space="0"/>
              <w:bottom w:val="single" w:color="auto" w:sz="4" w:space="0"/>
              <w:right w:val="single" w:color="auto" w:sz="4" w:space="0"/>
            </w:tcBorders>
            <w:vAlign w:val="center"/>
          </w:tcPr>
          <w:p>
            <w:pPr>
              <w:pageBreakBefore w:val="0"/>
              <w:widowControl/>
              <w:kinsoku/>
              <w:wordWrap/>
              <w:overflowPunct/>
              <w:topLinePunct w:val="0"/>
              <w:bidi w:val="0"/>
              <w:adjustRightInd w:val="0"/>
              <w:snapToGrid w:val="0"/>
              <w:spacing w:line="360" w:lineRule="auto"/>
              <w:ind w:left="0" w:leftChars="0" w:right="0" w:right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使用财政资金的项目预算评审；使用财政资金的项目结算评审；财政局委托的其他评审事项。</w:t>
            </w:r>
            <w:r>
              <w:rPr>
                <w:rFonts w:hint="eastAsia" w:ascii="宋体" w:hAnsi="宋体" w:eastAsia="宋体" w:cs="宋体"/>
                <w:sz w:val="24"/>
                <w:szCs w:val="24"/>
                <w:highlight w:val="none"/>
                <w:lang w:eastAsia="zh-CN"/>
              </w:rPr>
              <w:t>本包面向小微企业。</w:t>
            </w:r>
          </w:p>
        </w:tc>
        <w:tc>
          <w:tcPr>
            <w:tcW w:w="1257" w:type="dxa"/>
            <w:tcBorders>
              <w:top w:val="single" w:color="auto" w:sz="4" w:space="0"/>
              <w:left w:val="single" w:color="auto" w:sz="4" w:space="0"/>
              <w:bottom w:val="single" w:color="auto" w:sz="4" w:space="0"/>
              <w:right w:val="single" w:color="auto" w:sz="4" w:space="0"/>
            </w:tcBorders>
            <w:vAlign w:val="center"/>
          </w:tcPr>
          <w:p>
            <w:pPr>
              <w:pageBreakBefore w:val="0"/>
              <w:widowControl/>
              <w:kinsoku/>
              <w:wordWrap/>
              <w:overflowPunct/>
              <w:topLinePunct w:val="0"/>
              <w:bidi w:val="0"/>
              <w:adjustRightInd w:val="0"/>
              <w:snapToGrid w:val="0"/>
              <w:spacing w:line="360" w:lineRule="auto"/>
              <w:ind w:left="0" w:leftChars="0" w:right="0" w:right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100</w:t>
            </w:r>
          </w:p>
        </w:tc>
      </w:tr>
    </w:tbl>
    <w:p>
      <w:pPr>
        <w:pageBreakBefore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2.本项目评审服务费为预算金额，实际评审服务费根据中标人实际完成工作量据实结算。</w:t>
      </w:r>
    </w:p>
    <w:p>
      <w:pPr>
        <w:pageBreakBefore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3.服务期限：自合同签订之日起至</w:t>
      </w:r>
      <w:r>
        <w:rPr>
          <w:rFonts w:hint="eastAsia" w:ascii="宋体" w:hAnsi="宋体" w:eastAsia="宋体" w:cs="宋体"/>
          <w:sz w:val="24"/>
          <w:szCs w:val="24"/>
          <w:highlight w:val="none"/>
          <w:lang w:val="en-US" w:eastAsia="zh-CN"/>
        </w:rPr>
        <w:t>2026年12月31日</w:t>
      </w:r>
      <w:r>
        <w:rPr>
          <w:rFonts w:hint="eastAsia" w:ascii="宋体" w:hAnsi="宋体" w:eastAsia="宋体" w:cs="宋体"/>
          <w:sz w:val="24"/>
          <w:szCs w:val="24"/>
          <w:highlight w:val="none"/>
        </w:rPr>
        <w:t>。</w:t>
      </w:r>
    </w:p>
    <w:p>
      <w:pPr>
        <w:pStyle w:val="3"/>
        <w:pageBreakBefore w:val="0"/>
        <w:widowControl w:val="0"/>
        <w:numPr>
          <w:ilvl w:val="0"/>
          <w:numId w:val="0"/>
        </w:numPr>
        <w:kinsoku/>
        <w:wordWrap/>
        <w:overflowPunct/>
        <w:topLinePunct w:val="0"/>
        <w:autoSpaceDE/>
        <w:autoSpaceDN/>
        <w:bidi w:val="0"/>
        <w:adjustRightInd w:val="0"/>
        <w:snapToGrid w:val="0"/>
        <w:spacing w:before="0" w:after="0" w:line="360" w:lineRule="auto"/>
        <w:ind w:left="0" w:leftChars="0" w:right="0" w:rightChars="0"/>
        <w:jc w:val="both"/>
        <w:textAlignment w:val="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二、服务内容</w:t>
      </w:r>
    </w:p>
    <w:p>
      <w:pPr>
        <w:pStyle w:val="2"/>
        <w:pageBreakBefore w:val="0"/>
        <w:kinsoku/>
        <w:wordWrap/>
        <w:overflowPunct/>
        <w:topLinePunct w:val="0"/>
        <w:bidi w:val="0"/>
        <w:adjustRightInd w:val="0"/>
        <w:snapToGrid w:val="0"/>
        <w:spacing w:line="360" w:lineRule="auto"/>
        <w:ind w:left="0" w:leftChars="0" w:right="0" w:rightChars="0"/>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（一）评审项目类别</w:t>
      </w:r>
    </w:p>
    <w:p>
      <w:pPr>
        <w:pageBreakBefore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1.使用财政资金的项目预算评审。</w:t>
      </w:r>
    </w:p>
    <w:p>
      <w:pPr>
        <w:pageBreakBefore w:val="0"/>
        <w:widowControl/>
        <w:kinsoku/>
        <w:wordWrap/>
        <w:overflowPunct/>
        <w:topLinePunct w:val="0"/>
        <w:bidi w:val="0"/>
        <w:adjustRightInd w:val="0"/>
        <w:snapToGrid w:val="0"/>
        <w:spacing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2.使用财政资金的项目结算评审。</w:t>
      </w:r>
    </w:p>
    <w:p>
      <w:pPr>
        <w:pageBreakBefore w:val="0"/>
        <w:widowControl/>
        <w:kinsoku/>
        <w:wordWrap/>
        <w:overflowPunct/>
        <w:topLinePunct w:val="0"/>
        <w:bidi w:val="0"/>
        <w:adjustRightInd w:val="0"/>
        <w:snapToGrid w:val="0"/>
        <w:spacing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3.财政局委托的其他评审事项。</w:t>
      </w:r>
    </w:p>
    <w:p>
      <w:pPr>
        <w:pStyle w:val="2"/>
        <w:pageBreakBefore w:val="0"/>
        <w:kinsoku/>
        <w:wordWrap/>
        <w:overflowPunct/>
        <w:topLinePunct w:val="0"/>
        <w:bidi w:val="0"/>
        <w:adjustRightInd w:val="0"/>
        <w:snapToGrid w:val="0"/>
        <w:spacing w:line="360" w:lineRule="auto"/>
        <w:ind w:left="0" w:leftChars="0" w:right="0" w:right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（二）项目评审的投标人主要工作</w:t>
      </w:r>
    </w:p>
    <w:p>
      <w:pPr>
        <w:pageBreakBefore w:val="0"/>
        <w:widowControl/>
        <w:kinsoku/>
        <w:wordWrap/>
        <w:overflowPunct/>
        <w:topLinePunct w:val="0"/>
        <w:bidi w:val="0"/>
        <w:adjustRightInd w:val="0"/>
        <w:snapToGrid w:val="0"/>
        <w:spacing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1.了解项目基本情况及相关政策，掌握拟评审项目的重点内容，根据项目特点制定评审工作的具体方案；</w:t>
      </w:r>
    </w:p>
    <w:p>
      <w:pPr>
        <w:pageBreakBefore w:val="0"/>
        <w:widowControl/>
        <w:kinsoku/>
        <w:wordWrap/>
        <w:overflowPunct/>
        <w:topLinePunct w:val="0"/>
        <w:bidi w:val="0"/>
        <w:adjustRightInd w:val="0"/>
        <w:snapToGrid w:val="0"/>
        <w:spacing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2.根据资料清单要求复核已收集相关材料的完整性，对项目单位提供的数据与资料进行整理与分析，并针对项目具体情况提出补充资料清单；</w:t>
      </w:r>
    </w:p>
    <w:p>
      <w:pPr>
        <w:pageBreakBefore w:val="0"/>
        <w:widowControl/>
        <w:kinsoku/>
        <w:wordWrap/>
        <w:overflowPunct/>
        <w:topLinePunct w:val="0"/>
        <w:bidi w:val="0"/>
        <w:adjustRightInd w:val="0"/>
        <w:snapToGrid w:val="0"/>
        <w:spacing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3.依据项目单位报送的评审材料实施具体评审工作，按照要求撰写评审报告（含工作底稿），并根据财政业务科室复核意见进行补充修改；</w:t>
      </w:r>
    </w:p>
    <w:p>
      <w:pPr>
        <w:pageBreakBefore w:val="0"/>
        <w:widowControl/>
        <w:kinsoku/>
        <w:wordWrap/>
        <w:overflowPunct/>
        <w:topLinePunct w:val="0"/>
        <w:bidi w:val="0"/>
        <w:adjustRightInd w:val="0"/>
        <w:snapToGrid w:val="0"/>
        <w:spacing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4.组织相关专业人员进行现场踏勘，现地核实项目建设情况，查阅相关延伸资料；</w:t>
      </w:r>
    </w:p>
    <w:p>
      <w:pPr>
        <w:pageBreakBefore w:val="0"/>
        <w:widowControl/>
        <w:kinsoku/>
        <w:wordWrap/>
        <w:overflowPunct/>
        <w:topLinePunct w:val="0"/>
        <w:bidi w:val="0"/>
        <w:adjustRightInd w:val="0"/>
        <w:snapToGrid w:val="0"/>
        <w:spacing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5.根据采购人要求负责组织相关行业专家召开专家评审会，汇总专家评审意见；</w:t>
      </w:r>
    </w:p>
    <w:p>
      <w:pPr>
        <w:pageBreakBefore w:val="0"/>
        <w:widowControl/>
        <w:kinsoku/>
        <w:wordWrap/>
        <w:overflowPunct/>
        <w:topLinePunct w:val="0"/>
        <w:bidi w:val="0"/>
        <w:adjustRightInd w:val="0"/>
        <w:snapToGrid w:val="0"/>
        <w:spacing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6.整理工</w:t>
      </w:r>
      <w:r>
        <w:rPr>
          <w:rFonts w:hint="eastAsia" w:ascii="宋体" w:hAnsi="宋体" w:eastAsia="宋体" w:cs="宋体"/>
          <w:sz w:val="24"/>
          <w:szCs w:val="24"/>
          <w:highlight w:val="none"/>
          <w:shd w:val="clear" w:color="auto" w:fill="auto"/>
        </w:rPr>
        <w:t>作底稿，进行纸制、电子资</w:t>
      </w:r>
      <w:r>
        <w:rPr>
          <w:rFonts w:hint="eastAsia" w:ascii="宋体" w:hAnsi="宋体" w:eastAsia="宋体" w:cs="宋体"/>
          <w:sz w:val="24"/>
          <w:szCs w:val="24"/>
          <w:highlight w:val="none"/>
        </w:rPr>
        <w:t>料归档以及其它后续事项等。</w:t>
      </w:r>
    </w:p>
    <w:p>
      <w:pPr>
        <w:pageBreakBefore w:val="0"/>
        <w:widowControl w:val="0"/>
        <w:kinsoku/>
        <w:wordWrap/>
        <w:overflowPunct/>
        <w:topLinePunct w:val="0"/>
        <w:bidi w:val="0"/>
        <w:adjustRightInd w:val="0"/>
        <w:snapToGrid w:val="0"/>
        <w:spacing w:line="360" w:lineRule="auto"/>
        <w:ind w:left="0" w:leftChars="0" w:right="0" w:rightChars="0"/>
        <w:textAlignment w:val="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三、服务要求</w:t>
      </w:r>
    </w:p>
    <w:p>
      <w:pPr>
        <w:pageBreakBefore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auto"/>
        </w:rPr>
        <w:t>1.对组织机构的要求</w:t>
      </w:r>
      <w:r>
        <w:rPr>
          <w:rFonts w:hint="eastAsia" w:ascii="宋体" w:hAnsi="宋体" w:eastAsia="宋体" w:cs="宋体"/>
          <w:sz w:val="24"/>
          <w:szCs w:val="24"/>
          <w:highlight w:val="none"/>
        </w:rPr>
        <w:t>：投标人应组建专业团队服务采购人，团队成员应不少于10人，专业结构分布合理且具备相应的职业资格，具有丰富从业经验，具备信息化项目评审能力，应确保团队人员相对固定，确需更换人员，应提前一个月报采购人批准且做好人员交接培训，所更换人员资格条件不得低于投标承诺人员。特殊时段项目数量较多时应及时补充专业人员数量，确保项目审核的时效性。不能以任何形式将项目再次委托给其他中介机构。工程建设、信息化等项目根据工作要求安排团队负责人驻场，按照采购人指定地点办理要求的评审工作，应尽可能保证驻场代表固定，原则上不得更换团队负责人、驻场代表。</w:t>
      </w:r>
    </w:p>
    <w:p>
      <w:pPr>
        <w:pageBreakBefore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2.对技术力量的要求：</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投标人应明确指定一名团队负责人，负责与采购人联络，配合采购人工作。团队负责人应具有注册造价工程师资格、从事工程造价专业五年（含）以上相关工作经验（以注册执业证书初始注册时间为准）；具有较强的组织管理、沟通协调能力；工作态度认真负责，熟悉财政评审管理制度，能够随时跟进各个项目进度。</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团队其他人员要求具有3年以上执业经历，业务熟练、勤奋敬业、有团队协作精神、综合业务素质高，人员专业结构合理。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投标人具备财务审核能力，能够对项目中涉及的部分成本费用类内容进行评审。</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项目复核人员应具有注册造价工程师资格。（以上注册造价工程师资格2019年以前取得的可不体现分级，2019年及之后取得的为一级）</w:t>
      </w:r>
    </w:p>
    <w:p>
      <w:pPr>
        <w:pageBreakBefore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对审核质量的要求：投标人须遵守国家和地方政府主管部门的有关法律、法规以及采购人制定的财政评审相关规定，客观公正、实事求是地对项目进行审核，确保审核依据充分，程序严谨合规，结果科学公正；投标人要建立评审资料收集方案、进度控制方案及措施、质量内部控制制度。项目审核结果要加盖项目所有复核人执业章及投标人公章；投标人应严格按照采购人规定的审核程序开展工作，保证各审核环节的工作质量。</w:t>
      </w:r>
    </w:p>
    <w:p>
      <w:pPr>
        <w:pStyle w:val="16"/>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4.对工作效率的要求：送审资料合格后，概算、预算项目财政评审应在10个工作日内完成，结算项目财政评审应在22个工作日内完成。团队负责人随时跟进项目工作进度并做好记录，特殊情况应及时向采购人报告。</w:t>
      </w:r>
    </w:p>
    <w:p>
      <w:pPr>
        <w:pStyle w:val="16"/>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jc w:val="both"/>
        <w:textAlignment w:val="auto"/>
        <w:outlineLvl w:val="9"/>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四、其他要求</w:t>
      </w:r>
    </w:p>
    <w:p>
      <w:pPr>
        <w:pageBreakBefore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宋体" w:hAnsi="宋体" w:eastAsia="宋体" w:cs="宋体"/>
          <w:sz w:val="24"/>
          <w:szCs w:val="24"/>
          <w:highlight w:val="none"/>
        </w:rPr>
      </w:pPr>
      <w:bookmarkStart w:id="57" w:name="_Toc68271523"/>
      <w:r>
        <w:rPr>
          <w:rFonts w:hint="eastAsia" w:ascii="宋体" w:hAnsi="宋体" w:eastAsia="宋体" w:cs="宋体"/>
          <w:sz w:val="24"/>
          <w:szCs w:val="24"/>
          <w:highlight w:val="none"/>
          <w:lang w:val="en-US" w:eastAsia="zh-CN"/>
        </w:rPr>
        <w:t>1.（1）</w:t>
      </w:r>
      <w:r>
        <w:rPr>
          <w:rFonts w:hint="eastAsia" w:ascii="宋体" w:hAnsi="宋体" w:eastAsia="宋体" w:cs="宋体"/>
          <w:sz w:val="24"/>
          <w:szCs w:val="24"/>
          <w:highlight w:val="none"/>
        </w:rPr>
        <w:t>投标人须在投标文件中针对此内容作出专项承诺并列明各团队人员名单（包含但不限于人员名单、是否为注册造价师、职称情况、专业构成情况等）。</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项目团队具备注册造价师资格（2019年以前取得的可不体现分级；2019年取得的为一级）人员须提供注册证书复印件，注册证书能够体现专业的以注册证书为准，注册证书未显示专业的请提供执业资格证书复印件；具备中级及以上职称人员须提供职称证书复印件；</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项目团队所有人员本行业工作年限</w:t>
      </w:r>
      <w:r>
        <w:rPr>
          <w:rFonts w:hint="eastAsia" w:ascii="宋体" w:hAnsi="宋体" w:eastAsia="宋体" w:cs="宋体"/>
          <w:sz w:val="24"/>
          <w:szCs w:val="24"/>
          <w:highlight w:val="none"/>
          <w:lang w:eastAsia="zh-CN"/>
        </w:rPr>
        <w:t>须在《项目团队人员情况表》中明确</w:t>
      </w:r>
      <w:r>
        <w:rPr>
          <w:rFonts w:hint="eastAsia" w:ascii="宋体" w:hAnsi="宋体" w:eastAsia="宋体" w:cs="宋体"/>
          <w:sz w:val="24"/>
          <w:szCs w:val="24"/>
          <w:highlight w:val="none"/>
        </w:rPr>
        <w:t>，其中团队负责人、项目复核人、驻场代表为五年（含）以上；</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所有原件在中标公告发布后由采购人组织审查。</w:t>
      </w:r>
    </w:p>
    <w:p>
      <w:pPr>
        <w:pageBreakBefore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投标人要严格执行国家的法律法规，遵守职业道德准则和独立审核准则，有良好的社会信誉，遵守国家有关保密规定和廉政规定，遵守采购人内部相关管理制度，不得向项目单位另行收取任何费用，不得向项目单位提出与财政评审工作无关要求，不得对外泄露在审核过程中获知的审核项目的任何资料、信息。投标人没有被责令停业、没有被暂停或取消投标资格、财产没有被接管或冻结，最近三年内没有骗取中标（成交）或严重违约情形、没有不良从业记录，也没有违反法律、法规和规章的其他情形。</w:t>
      </w:r>
    </w:p>
    <w:p>
      <w:pPr>
        <w:pageBreakBefore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3.本项目不接受联合体投标。</w:t>
      </w:r>
    </w:p>
    <w:bookmarkEnd w:id="57"/>
    <w:p>
      <w:pPr>
        <w:pageBreakBefore w:val="0"/>
        <w:widowControl w:val="0"/>
        <w:kinsoku/>
        <w:wordWrap/>
        <w:overflowPunct/>
        <w:topLinePunct w:val="0"/>
        <w:bidi w:val="0"/>
        <w:adjustRightInd w:val="0"/>
        <w:snapToGrid w:val="0"/>
        <w:spacing w:line="360" w:lineRule="auto"/>
        <w:ind w:left="0" w:leftChars="0" w:right="0" w:rightChars="0"/>
        <w:textAlignment w:val="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五、评审准则及依据</w:t>
      </w:r>
    </w:p>
    <w:p>
      <w:pPr>
        <w:pStyle w:val="2"/>
        <w:pageBreakBefore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1.通用依据包括：《工程造价咨询企业管理办法》</w:t>
      </w:r>
    </w:p>
    <w:p>
      <w:pPr>
        <w:pageBreakBefore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2.专用依据包括：按照委托业务工作的要求，采购方制定的专用依据。</w:t>
      </w:r>
    </w:p>
    <w:p>
      <w:pPr>
        <w:pageBreakBefore w:val="0"/>
        <w:widowControl w:val="0"/>
        <w:kinsoku/>
        <w:wordWrap/>
        <w:overflowPunct/>
        <w:topLinePunct w:val="0"/>
        <w:bidi w:val="0"/>
        <w:adjustRightInd w:val="0"/>
        <w:snapToGrid w:val="0"/>
        <w:spacing w:line="360" w:lineRule="auto"/>
        <w:ind w:left="0" w:leftChars="0" w:right="0" w:rightChars="0"/>
        <w:textAlignment w:val="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六、服务费计算标准</w:t>
      </w:r>
    </w:p>
    <w:p>
      <w:pPr>
        <w:pageBreakBefore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参考《财政性投资评审费用及委托代理业务补助费付费管理暂行办法》（财建(2001)512号），制定本标准。</w:t>
      </w:r>
    </w:p>
    <w:p>
      <w:pPr>
        <w:pageBreakBefore w:val="0"/>
        <w:kinsoku/>
        <w:wordWrap/>
        <w:overflowPunct/>
        <w:topLinePunct w:val="0"/>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财政评审付费金额按送审金额的一定比例计算确定，实行差额累进，具体计算方法：</w:t>
      </w:r>
    </w:p>
    <w:p>
      <w:pPr>
        <w:pageBreakBefore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概、预算项目评审付费标准：</w:t>
      </w:r>
    </w:p>
    <w:p>
      <w:pPr>
        <w:pageBreakBefore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概、预算</w:t>
      </w:r>
      <w:r>
        <w:rPr>
          <w:rFonts w:hint="eastAsia" w:ascii="宋体" w:hAnsi="宋体" w:eastAsia="宋体" w:cs="宋体"/>
          <w:sz w:val="24"/>
          <w:szCs w:val="24"/>
          <w:highlight w:val="none"/>
        </w:rPr>
        <w:t>送审金额在1000万元（含）以下，按</w:t>
      </w:r>
      <w:r>
        <w:rPr>
          <w:rFonts w:hint="eastAsia" w:ascii="宋体" w:hAnsi="宋体" w:eastAsia="宋体" w:cs="宋体"/>
          <w:sz w:val="24"/>
          <w:szCs w:val="24"/>
          <w:highlight w:val="none"/>
          <w:lang w:val="en-US" w:eastAsia="zh-CN"/>
        </w:rPr>
        <w:t>2.2</w:t>
      </w:r>
      <w:r>
        <w:rPr>
          <w:rFonts w:hint="eastAsia" w:ascii="宋体" w:hAnsi="宋体" w:eastAsia="宋体" w:cs="宋体"/>
          <w:sz w:val="24"/>
          <w:szCs w:val="24"/>
          <w:highlight w:val="none"/>
        </w:rPr>
        <w:t>‰计算。</w:t>
      </w:r>
    </w:p>
    <w:p>
      <w:pPr>
        <w:pageBreakBefore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概、预算</w:t>
      </w:r>
      <w:r>
        <w:rPr>
          <w:rFonts w:hint="eastAsia" w:ascii="宋体" w:hAnsi="宋体" w:eastAsia="宋体" w:cs="宋体"/>
          <w:sz w:val="24"/>
          <w:szCs w:val="24"/>
          <w:highlight w:val="none"/>
        </w:rPr>
        <w:t>送审金额在1000万元至5000万元（含），按1.3‰计算。</w:t>
      </w:r>
    </w:p>
    <w:p>
      <w:pPr>
        <w:pageBreakBefore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概、预算</w:t>
      </w:r>
      <w:r>
        <w:rPr>
          <w:rFonts w:hint="eastAsia" w:ascii="宋体" w:hAnsi="宋体" w:eastAsia="宋体" w:cs="宋体"/>
          <w:sz w:val="24"/>
          <w:szCs w:val="24"/>
          <w:highlight w:val="none"/>
        </w:rPr>
        <w:t>送审金额在5000万元以上，按0.8‰计算。</w:t>
      </w:r>
    </w:p>
    <w:p>
      <w:pPr>
        <w:pageBreakBefore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结算项目评审付费标准：</w:t>
      </w:r>
    </w:p>
    <w:p>
      <w:pPr>
        <w:pageBreakBefore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结算</w:t>
      </w:r>
      <w:r>
        <w:rPr>
          <w:rFonts w:hint="eastAsia" w:ascii="宋体" w:hAnsi="宋体" w:eastAsia="宋体" w:cs="宋体"/>
          <w:sz w:val="24"/>
          <w:szCs w:val="24"/>
          <w:highlight w:val="none"/>
        </w:rPr>
        <w:t>送审金额在1000万元（含）以下，按</w:t>
      </w:r>
      <w:r>
        <w:rPr>
          <w:rFonts w:hint="eastAsia" w:ascii="宋体" w:hAnsi="宋体" w:eastAsia="宋体" w:cs="宋体"/>
          <w:sz w:val="24"/>
          <w:szCs w:val="24"/>
          <w:highlight w:val="none"/>
          <w:lang w:val="en-US" w:eastAsia="zh-CN"/>
        </w:rPr>
        <w:t>2.4</w:t>
      </w:r>
      <w:r>
        <w:rPr>
          <w:rFonts w:hint="eastAsia" w:ascii="宋体" w:hAnsi="宋体" w:eastAsia="宋体" w:cs="宋体"/>
          <w:sz w:val="24"/>
          <w:szCs w:val="24"/>
          <w:highlight w:val="none"/>
        </w:rPr>
        <w:t>‰计算。</w:t>
      </w:r>
    </w:p>
    <w:p>
      <w:pPr>
        <w:pageBreakBefore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结算</w:t>
      </w:r>
      <w:r>
        <w:rPr>
          <w:rFonts w:hint="eastAsia" w:ascii="宋体" w:hAnsi="宋体" w:eastAsia="宋体" w:cs="宋体"/>
          <w:sz w:val="24"/>
          <w:szCs w:val="24"/>
          <w:highlight w:val="none"/>
        </w:rPr>
        <w:t>送审金额在1000万元至5000万元（含），按1.3‰计算。</w:t>
      </w:r>
    </w:p>
    <w:p>
      <w:pPr>
        <w:pageBreakBefore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宋体" w:hAnsi="宋体" w:eastAsia="宋体" w:cs="宋体"/>
          <w:b/>
          <w:bCs/>
          <w:sz w:val="24"/>
          <w:szCs w:val="24"/>
          <w:highlight w:val="none"/>
        </w:rPr>
      </w:pPr>
      <w:r>
        <w:rPr>
          <w:rFonts w:hint="eastAsia" w:ascii="宋体" w:hAnsi="宋体" w:eastAsia="宋体" w:cs="宋体"/>
          <w:sz w:val="24"/>
          <w:szCs w:val="24"/>
          <w:highlight w:val="none"/>
          <w:lang w:val="en-US" w:eastAsia="zh-CN"/>
        </w:rPr>
        <w:t>结算</w:t>
      </w:r>
      <w:r>
        <w:rPr>
          <w:rFonts w:hint="eastAsia" w:ascii="宋体" w:hAnsi="宋体" w:eastAsia="宋体" w:cs="宋体"/>
          <w:sz w:val="24"/>
          <w:szCs w:val="24"/>
          <w:highlight w:val="none"/>
        </w:rPr>
        <w:t>送审金额在5000万元以上，按0.8‰计算。</w:t>
      </w:r>
    </w:p>
    <w:p>
      <w:pPr>
        <w:pageBreakBefore w:val="0"/>
        <w:kinsoku/>
        <w:wordWrap/>
        <w:overflowPunct/>
        <w:topLinePunct w:val="0"/>
        <w:bidi w:val="0"/>
        <w:adjustRightInd w:val="0"/>
        <w:snapToGrid w:val="0"/>
        <w:spacing w:line="360" w:lineRule="auto"/>
        <w:ind w:left="0" w:leftChars="0" w:right="0" w:rightChars="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费用按照以下公式计算：评审费用=按照各类项目付费标准及当期实际工作量累计测算的评审费用</w:t>
      </w:r>
    </w:p>
    <w:p>
      <w:pPr>
        <w:pageBreakBefore w:val="0"/>
        <w:kinsoku/>
        <w:wordWrap/>
        <w:overflowPunct/>
        <w:topLinePunct w:val="0"/>
        <w:bidi w:val="0"/>
        <w:adjustRightInd w:val="0"/>
        <w:snapToGrid w:val="0"/>
        <w:spacing w:line="360" w:lineRule="auto"/>
        <w:ind w:left="0" w:leftChars="0" w:right="0" w:rightChars="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（1）“按照各类项目付费标准”是以上面所列的付款标准为基准。</w:t>
      </w:r>
    </w:p>
    <w:p>
      <w:pPr>
        <w:pageBreakBefore w:val="0"/>
        <w:kinsoku/>
        <w:wordWrap/>
        <w:overflowPunct/>
        <w:topLinePunct w:val="0"/>
        <w:bidi w:val="0"/>
        <w:adjustRightInd w:val="0"/>
        <w:snapToGrid w:val="0"/>
        <w:spacing w:line="360" w:lineRule="auto"/>
        <w:ind w:left="0" w:leftChars="0" w:right="0" w:rightChars="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（2）“当期实际工作量”为投标人合同履约过程中即评审工作中采购人实际认可发生的工作量，对于项目价格评审中使用财政定额标准的部分，评审费用按50%计算。</w:t>
      </w:r>
    </w:p>
    <w:p>
      <w:pPr>
        <w:pageBreakBefore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举例（仅以投标人中标后评审工作中某一件工作举例，实际中标人最终所得评审费用须按照实际发生工作量计算）：</w:t>
      </w:r>
    </w:p>
    <w:p>
      <w:pPr>
        <w:pageBreakBefore w:val="0"/>
        <w:kinsoku/>
        <w:wordWrap/>
        <w:overflowPunct/>
        <w:topLinePunct w:val="0"/>
        <w:bidi w:val="0"/>
        <w:adjustRightInd w:val="0"/>
        <w:snapToGrid w:val="0"/>
        <w:spacing w:line="360" w:lineRule="auto"/>
        <w:ind w:left="0" w:leftChars="0" w:right="0" w:rightChars="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投标人参与预算项目评审，评审金额为2000万元，如按预算付费标准计算评审费用为3.</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万元，但其中500万元运用财政定额标准评审，该部分只审量未审价，因此评审费用根据工作量按50%计算，则投标人评审此个项目实际费用=[3.</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×75%+3.</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×25%×50%]=</w:t>
      </w:r>
      <w:r>
        <w:rPr>
          <w:rFonts w:hint="eastAsia" w:ascii="宋体" w:hAnsi="宋体" w:eastAsia="宋体" w:cs="宋体"/>
          <w:sz w:val="24"/>
          <w:szCs w:val="24"/>
          <w:highlight w:val="none"/>
          <w:lang w:val="en-US" w:eastAsia="zh-CN"/>
        </w:rPr>
        <w:t>3.0625</w:t>
      </w:r>
      <w:r>
        <w:rPr>
          <w:rFonts w:hint="eastAsia" w:ascii="宋体" w:hAnsi="宋体" w:eastAsia="宋体" w:cs="宋体"/>
          <w:sz w:val="24"/>
          <w:szCs w:val="24"/>
          <w:highlight w:val="none"/>
        </w:rPr>
        <w:t>（万元）；</w:t>
      </w:r>
    </w:p>
    <w:p>
      <w:pPr>
        <w:pageBreakBefore w:val="0"/>
        <w:kinsoku/>
        <w:wordWrap/>
        <w:overflowPunct/>
        <w:topLinePunct w:val="0"/>
        <w:bidi w:val="0"/>
        <w:adjustRightInd w:val="0"/>
        <w:snapToGrid w:val="0"/>
        <w:spacing w:line="360" w:lineRule="auto"/>
        <w:ind w:left="0" w:leftChars="0" w:right="0" w:rightChars="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.退审项目付费标准</w:t>
      </w:r>
    </w:p>
    <w:p>
      <w:pPr>
        <w:pageBreakBefore w:val="0"/>
        <w:kinsoku/>
        <w:wordWrap/>
        <w:overflowPunct/>
        <w:topLinePunct w:val="0"/>
        <w:bidi w:val="0"/>
        <w:adjustRightInd w:val="0"/>
        <w:snapToGrid w:val="0"/>
        <w:spacing w:line="360" w:lineRule="auto"/>
        <w:ind w:left="0" w:leftChars="0" w:right="0" w:rightChars="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（1）对由于各种原因产生的无法按时完成的评审项目或处于停滞状态的评审项目，采购人有权无条件撤销委托，要求投标人退回项目。</w:t>
      </w:r>
    </w:p>
    <w:p>
      <w:pPr>
        <w:pageBreakBefore w:val="0"/>
        <w:kinsoku/>
        <w:wordWrap/>
        <w:overflowPunct/>
        <w:topLinePunct w:val="0"/>
        <w:bidi w:val="0"/>
        <w:adjustRightInd w:val="0"/>
        <w:snapToGrid w:val="0"/>
        <w:spacing w:line="360" w:lineRule="auto"/>
        <w:ind w:left="0" w:leftChars="0" w:right="0" w:rightChars="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（2）退审项目原则不予付费。若采购人需</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出具评审报告，则按项目所属类别依据上述标准付费。</w:t>
      </w:r>
    </w:p>
    <w:p>
      <w:pPr>
        <w:pageBreakBefore w:val="0"/>
        <w:kinsoku/>
        <w:wordWrap/>
        <w:overflowPunct/>
        <w:topLinePunct w:val="0"/>
        <w:bidi w:val="0"/>
        <w:adjustRightInd w:val="0"/>
        <w:snapToGrid w:val="0"/>
        <w:spacing w:line="360" w:lineRule="auto"/>
        <w:ind w:left="0" w:leftChars="0" w:right="0" w:rightChars="0" w:firstLine="42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3.工作内容调整付费标准</w:t>
      </w:r>
    </w:p>
    <w:p>
      <w:pPr>
        <w:pageBreakBefore w:val="0"/>
        <w:kinsoku/>
        <w:wordWrap/>
        <w:overflowPunct/>
        <w:topLinePunct w:val="0"/>
        <w:bidi w:val="0"/>
        <w:adjustRightInd w:val="0"/>
        <w:snapToGrid w:val="0"/>
        <w:spacing w:line="360" w:lineRule="auto"/>
        <w:ind w:left="0" w:leftChars="0" w:right="0" w:rightChars="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如因工作及服务内容发生调整导致服务费用发生变化，或投标人提交的评审报告不能完全符合</w:t>
      </w:r>
      <w:r>
        <w:rPr>
          <w:rFonts w:hint="eastAsia" w:ascii="宋体" w:hAnsi="宋体" w:eastAsia="宋体" w:cs="宋体"/>
          <w:sz w:val="24"/>
          <w:szCs w:val="24"/>
          <w:highlight w:val="none"/>
        </w:rPr>
        <w:t>采购人</w:t>
      </w:r>
      <w:r>
        <w:rPr>
          <w:rFonts w:hint="eastAsia" w:ascii="宋体" w:hAnsi="宋体" w:eastAsia="宋体" w:cs="宋体"/>
          <w:sz w:val="24"/>
          <w:szCs w:val="24"/>
          <w:highlight w:val="none"/>
          <w:lang w:val="en-US" w:eastAsia="zh-CN"/>
        </w:rPr>
        <w:t>委托要求的，由双方另行协商约定该项目的服务费用。</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sz w:val="24"/>
          <w:szCs w:val="24"/>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bookmarkEnd w:id="55"/>
    <w:bookmarkEnd w:id="56"/>
    <w:p>
      <w:pPr>
        <w:pStyle w:val="3"/>
        <w:jc w:val="center"/>
        <w:rPr>
          <w:rFonts w:hint="eastAsia" w:hAnsi="宋体" w:cs="宋体"/>
          <w:szCs w:val="21"/>
        </w:rPr>
      </w:pPr>
      <w:r>
        <w:rPr>
          <w:rFonts w:hint="eastAsia" w:hAnsi="宋体"/>
          <w:b/>
          <w:bCs/>
          <w:szCs w:val="21"/>
        </w:rPr>
        <w:t>第四部分  响应文件格式</w:t>
      </w:r>
    </w:p>
    <w:p>
      <w:pPr>
        <w:spacing w:before="312" w:beforeLines="100" w:after="156" w:afterLines="50"/>
        <w:ind w:firstLine="482" w:firstLineChars="200"/>
        <w:outlineLvl w:val="1"/>
        <w:rPr>
          <w:rFonts w:hint="eastAsia" w:ascii="宋体" w:hAnsi="宋体"/>
          <w:b/>
          <w:color w:val="000000"/>
          <w:sz w:val="24"/>
          <w:szCs w:val="24"/>
        </w:rPr>
      </w:pPr>
      <w:bookmarkStart w:id="58" w:name="_Toc192444818"/>
      <w:bookmarkStart w:id="59" w:name="_Toc341716002"/>
      <w:bookmarkStart w:id="60" w:name="_Toc129190753"/>
      <w:bookmarkStart w:id="61" w:name="_Toc134067010"/>
      <w:bookmarkStart w:id="62" w:name="_Toc146544227"/>
      <w:r>
        <w:rPr>
          <w:rFonts w:hint="eastAsia" w:ascii="宋体" w:hAnsi="宋体"/>
          <w:b/>
          <w:color w:val="000000"/>
          <w:sz w:val="24"/>
          <w:szCs w:val="24"/>
        </w:rPr>
        <w:t>一、</w:t>
      </w:r>
      <w:r>
        <w:rPr>
          <w:rFonts w:hint="eastAsia" w:ascii="宋体" w:hAnsi="宋体"/>
          <w:b/>
          <w:color w:val="000000"/>
          <w:sz w:val="24"/>
          <w:szCs w:val="24"/>
          <w:lang w:eastAsia="zh-CN"/>
        </w:rPr>
        <w:t>供应商</w:t>
      </w:r>
      <w:r>
        <w:rPr>
          <w:rFonts w:hint="eastAsia" w:ascii="宋体" w:hAnsi="宋体"/>
          <w:b/>
          <w:color w:val="000000"/>
          <w:sz w:val="24"/>
          <w:szCs w:val="24"/>
        </w:rPr>
        <w:t>提交</w:t>
      </w:r>
      <w:r>
        <w:rPr>
          <w:rFonts w:hint="eastAsia" w:ascii="宋体" w:hAnsi="宋体"/>
          <w:b/>
          <w:color w:val="000000"/>
          <w:sz w:val="24"/>
          <w:szCs w:val="24"/>
          <w:lang w:eastAsia="zh-CN"/>
        </w:rPr>
        <w:t>响应</w:t>
      </w:r>
      <w:r>
        <w:rPr>
          <w:rFonts w:hint="eastAsia" w:ascii="宋体" w:hAnsi="宋体"/>
          <w:b/>
          <w:color w:val="000000"/>
          <w:sz w:val="24"/>
          <w:szCs w:val="24"/>
        </w:rPr>
        <w:t>文件须知</w:t>
      </w:r>
      <w:bookmarkEnd w:id="58"/>
      <w:bookmarkEnd w:id="59"/>
      <w:bookmarkEnd w:id="60"/>
      <w:bookmarkEnd w:id="61"/>
      <w:bookmarkEnd w:id="62"/>
    </w:p>
    <w:p>
      <w:pPr>
        <w:numPr>
          <w:ilvl w:val="0"/>
          <w:numId w:val="5"/>
        </w:numPr>
        <w:tabs>
          <w:tab w:val="left" w:pos="540"/>
        </w:tabs>
        <w:spacing w:line="360" w:lineRule="auto"/>
        <w:ind w:left="425" w:leftChars="0" w:hanging="425" w:firstLineChars="0"/>
        <w:rPr>
          <w:rFonts w:hint="eastAsia" w:ascii="宋体" w:hAnsi="宋体"/>
          <w:color w:val="000000"/>
          <w:sz w:val="24"/>
          <w:szCs w:val="24"/>
          <w:highlight w:val="none"/>
        </w:rPr>
      </w:pPr>
      <w:r>
        <w:rPr>
          <w:rFonts w:hint="eastAsia" w:ascii="宋体" w:hAnsi="宋体"/>
          <w:color w:val="000000"/>
          <w:sz w:val="24"/>
          <w:szCs w:val="24"/>
          <w:highlight w:val="none"/>
          <w:lang w:eastAsia="zh-CN"/>
        </w:rPr>
        <w:t>供应商</w:t>
      </w:r>
      <w:r>
        <w:rPr>
          <w:rFonts w:hint="eastAsia" w:ascii="宋体" w:hAnsi="宋体"/>
          <w:color w:val="000000"/>
          <w:sz w:val="24"/>
          <w:szCs w:val="24"/>
          <w:highlight w:val="none"/>
        </w:rPr>
        <w:t>应严格按照以下顺序填写和提交下述规定的全部格式文件以及其他有关资料，混乱的编排以致</w:t>
      </w:r>
      <w:r>
        <w:rPr>
          <w:rFonts w:hint="eastAsia" w:ascii="宋体" w:hAnsi="宋体"/>
          <w:color w:val="000000"/>
          <w:sz w:val="24"/>
          <w:szCs w:val="24"/>
          <w:highlight w:val="none"/>
          <w:lang w:eastAsia="zh-CN"/>
        </w:rPr>
        <w:t>磋商</w:t>
      </w:r>
      <w:r>
        <w:rPr>
          <w:rFonts w:hint="eastAsia" w:ascii="宋体" w:hAnsi="宋体"/>
          <w:color w:val="000000"/>
          <w:sz w:val="24"/>
          <w:szCs w:val="24"/>
          <w:highlight w:val="none"/>
        </w:rPr>
        <w:t>文件被误读或查找不到有效文件，后果由</w:t>
      </w:r>
      <w:r>
        <w:rPr>
          <w:rFonts w:hint="eastAsia" w:ascii="宋体" w:hAnsi="宋体"/>
          <w:color w:val="000000"/>
          <w:sz w:val="24"/>
          <w:szCs w:val="24"/>
          <w:highlight w:val="none"/>
          <w:lang w:eastAsia="zh-CN"/>
        </w:rPr>
        <w:t>供应商</w:t>
      </w:r>
      <w:r>
        <w:rPr>
          <w:rFonts w:hint="eastAsia" w:ascii="宋体" w:hAnsi="宋体"/>
          <w:color w:val="000000"/>
          <w:sz w:val="24"/>
          <w:szCs w:val="24"/>
          <w:highlight w:val="none"/>
        </w:rPr>
        <w:t>承担。</w:t>
      </w:r>
    </w:p>
    <w:p>
      <w:pPr>
        <w:numPr>
          <w:ilvl w:val="0"/>
          <w:numId w:val="5"/>
        </w:numPr>
        <w:tabs>
          <w:tab w:val="left" w:pos="540"/>
        </w:tabs>
        <w:spacing w:line="360" w:lineRule="auto"/>
        <w:ind w:left="425" w:leftChars="0" w:hanging="425" w:firstLineChars="0"/>
        <w:rPr>
          <w:rFonts w:hint="eastAsia" w:ascii="宋体" w:hAnsi="宋体"/>
          <w:color w:val="000000"/>
          <w:sz w:val="24"/>
          <w:szCs w:val="24"/>
        </w:rPr>
      </w:pPr>
      <w:r>
        <w:rPr>
          <w:rFonts w:hint="eastAsia" w:ascii="宋体" w:hAnsi="宋体"/>
          <w:color w:val="000000"/>
          <w:sz w:val="24"/>
          <w:szCs w:val="24"/>
        </w:rPr>
        <w:t>所附表格中要求回答的全部问题和信息都必须正面回答。</w:t>
      </w:r>
    </w:p>
    <w:p>
      <w:pPr>
        <w:numPr>
          <w:ilvl w:val="0"/>
          <w:numId w:val="5"/>
        </w:numPr>
        <w:tabs>
          <w:tab w:val="left" w:pos="540"/>
        </w:tabs>
        <w:spacing w:line="360" w:lineRule="auto"/>
        <w:ind w:left="425" w:leftChars="0" w:hanging="425" w:firstLineChars="0"/>
        <w:rPr>
          <w:rFonts w:hint="eastAsia" w:ascii="宋体" w:hAnsi="宋体"/>
          <w:color w:val="000000"/>
          <w:sz w:val="24"/>
          <w:szCs w:val="24"/>
        </w:rPr>
      </w:pPr>
      <w:r>
        <w:rPr>
          <w:rFonts w:hint="eastAsia" w:ascii="宋体" w:hAnsi="宋体"/>
          <w:color w:val="000000"/>
          <w:sz w:val="24"/>
          <w:szCs w:val="24"/>
        </w:rPr>
        <w:t>《</w:t>
      </w:r>
      <w:r>
        <w:rPr>
          <w:rFonts w:hint="eastAsia" w:ascii="宋体" w:hAnsi="宋体"/>
          <w:color w:val="000000"/>
          <w:sz w:val="24"/>
          <w:szCs w:val="24"/>
          <w:lang w:eastAsia="zh-CN"/>
        </w:rPr>
        <w:t>响应</w:t>
      </w:r>
      <w:r>
        <w:rPr>
          <w:rFonts w:hint="eastAsia" w:ascii="宋体" w:hAnsi="宋体"/>
          <w:color w:val="000000"/>
          <w:sz w:val="24"/>
          <w:szCs w:val="24"/>
        </w:rPr>
        <w:t>文件》签字人应保证全部声明和问题的回答是真实、有效的。</w:t>
      </w:r>
    </w:p>
    <w:p>
      <w:pPr>
        <w:numPr>
          <w:ilvl w:val="0"/>
          <w:numId w:val="5"/>
        </w:numPr>
        <w:tabs>
          <w:tab w:val="left" w:pos="540"/>
        </w:tabs>
        <w:spacing w:line="360" w:lineRule="auto"/>
        <w:ind w:left="425" w:leftChars="0" w:hanging="425" w:firstLineChars="0"/>
        <w:rPr>
          <w:rFonts w:hint="eastAsia" w:ascii="宋体" w:hAnsi="宋体"/>
          <w:color w:val="000000"/>
          <w:sz w:val="24"/>
          <w:szCs w:val="24"/>
        </w:rPr>
      </w:pPr>
      <w:r>
        <w:rPr>
          <w:rFonts w:hint="eastAsia" w:ascii="宋体" w:hAnsi="宋体"/>
          <w:color w:val="000000"/>
          <w:sz w:val="24"/>
          <w:szCs w:val="24"/>
          <w:lang w:eastAsia="zh-CN"/>
        </w:rPr>
        <w:t>磋商小组</w:t>
      </w:r>
      <w:r>
        <w:rPr>
          <w:rFonts w:hint="eastAsia" w:ascii="宋体" w:hAnsi="宋体"/>
          <w:color w:val="000000"/>
          <w:sz w:val="24"/>
          <w:szCs w:val="24"/>
        </w:rPr>
        <w:t>依据《</w:t>
      </w:r>
      <w:r>
        <w:rPr>
          <w:rFonts w:hint="eastAsia" w:ascii="宋体" w:hAnsi="宋体"/>
          <w:color w:val="000000"/>
          <w:sz w:val="24"/>
          <w:szCs w:val="24"/>
          <w:lang w:eastAsia="zh-CN"/>
        </w:rPr>
        <w:t>竞争性磋商</w:t>
      </w:r>
      <w:r>
        <w:rPr>
          <w:rFonts w:hint="eastAsia" w:ascii="宋体" w:hAnsi="宋体"/>
          <w:color w:val="000000"/>
          <w:sz w:val="24"/>
          <w:szCs w:val="24"/>
        </w:rPr>
        <w:t>文件》规定，对《</w:t>
      </w:r>
      <w:r>
        <w:rPr>
          <w:rFonts w:hint="eastAsia" w:ascii="宋体" w:hAnsi="宋体"/>
          <w:color w:val="000000"/>
          <w:sz w:val="24"/>
          <w:szCs w:val="24"/>
          <w:lang w:eastAsia="zh-CN"/>
        </w:rPr>
        <w:t>响应</w:t>
      </w:r>
      <w:r>
        <w:rPr>
          <w:rFonts w:hint="eastAsia" w:ascii="宋体" w:hAnsi="宋体"/>
          <w:color w:val="000000"/>
          <w:sz w:val="24"/>
          <w:szCs w:val="24"/>
        </w:rPr>
        <w:t>文件》进行综合评审。</w:t>
      </w:r>
    </w:p>
    <w:p>
      <w:pPr>
        <w:numPr>
          <w:ilvl w:val="0"/>
          <w:numId w:val="5"/>
        </w:numPr>
        <w:tabs>
          <w:tab w:val="left" w:pos="540"/>
        </w:tabs>
        <w:spacing w:line="360" w:lineRule="auto"/>
        <w:ind w:left="425" w:leftChars="0" w:hanging="425" w:firstLineChars="0"/>
        <w:rPr>
          <w:rFonts w:hint="eastAsia" w:ascii="宋体" w:hAnsi="宋体"/>
          <w:color w:val="000000"/>
          <w:sz w:val="24"/>
          <w:szCs w:val="24"/>
        </w:rPr>
      </w:pPr>
      <w:r>
        <w:rPr>
          <w:rFonts w:hint="eastAsia" w:ascii="宋体" w:hAnsi="宋体"/>
          <w:color w:val="000000"/>
          <w:sz w:val="24"/>
          <w:szCs w:val="24"/>
          <w:lang w:eastAsia="zh-CN"/>
        </w:rPr>
        <w:t>供应商</w:t>
      </w:r>
      <w:r>
        <w:rPr>
          <w:rFonts w:hint="eastAsia" w:ascii="宋体" w:hAnsi="宋体"/>
          <w:color w:val="000000"/>
          <w:sz w:val="24"/>
          <w:szCs w:val="24"/>
        </w:rPr>
        <w:t>提交的材料将被保密保存，但不退还。</w:t>
      </w:r>
    </w:p>
    <w:p>
      <w:pPr>
        <w:numPr>
          <w:ilvl w:val="0"/>
          <w:numId w:val="5"/>
        </w:numPr>
        <w:tabs>
          <w:tab w:val="left" w:pos="540"/>
        </w:tabs>
        <w:spacing w:line="360" w:lineRule="auto"/>
        <w:ind w:left="425" w:leftChars="0" w:hanging="425" w:firstLineChars="0"/>
        <w:rPr>
          <w:rFonts w:hint="eastAsia" w:ascii="宋体" w:hAnsi="宋体"/>
          <w:color w:val="000000"/>
          <w:sz w:val="24"/>
          <w:szCs w:val="24"/>
        </w:rPr>
      </w:pPr>
      <w:r>
        <w:rPr>
          <w:rFonts w:hint="eastAsia" w:ascii="宋体" w:hAnsi="宋体"/>
          <w:color w:val="000000"/>
          <w:sz w:val="24"/>
          <w:szCs w:val="24"/>
        </w:rPr>
        <w:t>全部文件应按《</w:t>
      </w:r>
      <w:r>
        <w:rPr>
          <w:rFonts w:hint="eastAsia" w:ascii="宋体" w:hAnsi="宋体"/>
          <w:color w:val="000000"/>
          <w:sz w:val="24"/>
          <w:szCs w:val="24"/>
          <w:lang w:eastAsia="zh-CN"/>
        </w:rPr>
        <w:t>竞争性磋商</w:t>
      </w:r>
      <w:r>
        <w:rPr>
          <w:rFonts w:hint="eastAsia" w:ascii="宋体" w:hAnsi="宋体"/>
          <w:color w:val="000000"/>
          <w:sz w:val="24"/>
          <w:szCs w:val="24"/>
        </w:rPr>
        <w:t>文件》的规定提交。</w:t>
      </w:r>
    </w:p>
    <w:p>
      <w:pPr>
        <w:numPr>
          <w:ilvl w:val="0"/>
          <w:numId w:val="5"/>
        </w:numPr>
        <w:tabs>
          <w:tab w:val="left" w:pos="540"/>
        </w:tabs>
        <w:spacing w:line="360" w:lineRule="auto"/>
        <w:ind w:left="425" w:leftChars="0" w:hanging="425" w:firstLineChars="0"/>
        <w:rPr>
          <w:rFonts w:hint="eastAsia" w:ascii="宋体" w:hAnsi="宋体"/>
          <w:color w:val="000000"/>
          <w:sz w:val="24"/>
          <w:szCs w:val="24"/>
        </w:rPr>
      </w:pPr>
      <w:r>
        <w:rPr>
          <w:rFonts w:hint="eastAsia" w:ascii="宋体" w:hAnsi="宋体"/>
          <w:color w:val="000000"/>
          <w:sz w:val="24"/>
          <w:szCs w:val="24"/>
        </w:rPr>
        <w:t>正本须具有法定代表人签字（或名章）或被授权人签字，并加盖本单位公章。副本可以是正本的复印件。</w:t>
      </w:r>
    </w:p>
    <w:p>
      <w:pPr>
        <w:numPr>
          <w:ilvl w:val="0"/>
          <w:numId w:val="5"/>
        </w:numPr>
        <w:tabs>
          <w:tab w:val="left" w:pos="540"/>
        </w:tabs>
        <w:spacing w:line="360" w:lineRule="auto"/>
        <w:ind w:left="425" w:leftChars="0" w:hanging="425" w:firstLineChars="0"/>
        <w:rPr>
          <w:rFonts w:hint="eastAsia" w:ascii="宋体" w:hAnsi="宋体"/>
          <w:color w:val="000000"/>
          <w:sz w:val="24"/>
          <w:szCs w:val="24"/>
        </w:rPr>
      </w:pPr>
      <w:r>
        <w:rPr>
          <w:rFonts w:hint="eastAsia" w:ascii="宋体" w:hAnsi="宋体"/>
          <w:color w:val="000000"/>
          <w:sz w:val="24"/>
          <w:szCs w:val="24"/>
        </w:rPr>
        <w:t>加注“★”的条款为实质性响应条款。</w:t>
      </w:r>
    </w:p>
    <w:p>
      <w:pPr>
        <w:pStyle w:val="2"/>
        <w:rPr>
          <w:rFonts w:hint="eastAsia"/>
        </w:rPr>
      </w:pPr>
    </w:p>
    <w:p>
      <w:pPr>
        <w:keepNext w:val="0"/>
        <w:keepLines w:val="0"/>
        <w:pageBreakBefore w:val="0"/>
        <w:widowControl w:val="0"/>
        <w:kinsoku/>
        <w:wordWrap/>
        <w:overflowPunct/>
        <w:topLinePunct w:val="0"/>
        <w:bidi w:val="0"/>
        <w:snapToGrid/>
        <w:spacing w:line="360" w:lineRule="auto"/>
        <w:ind w:left="0" w:leftChars="0" w:right="0" w:rightChars="0" w:firstLine="0" w:firstLineChars="0"/>
        <w:textAlignment w:val="auto"/>
        <w:rPr>
          <w:rFonts w:hint="eastAsia" w:hAnsi="宋体"/>
          <w:b w:val="0"/>
          <w:bCs w:val="0"/>
          <w:sz w:val="24"/>
          <w:szCs w:val="24"/>
          <w:u w:val="none"/>
          <w:lang w:val="en-US" w:eastAsia="zh-CN"/>
        </w:rPr>
      </w:pPr>
      <w:r>
        <w:rPr>
          <w:rFonts w:hint="eastAsia" w:ascii="宋体" w:hAnsi="宋体"/>
          <w:color w:val="000000"/>
          <w:sz w:val="24"/>
          <w:szCs w:val="24"/>
          <w:lang w:val="en-US" w:eastAsia="zh-CN"/>
        </w:rPr>
        <w:t xml:space="preserve"> </w:t>
      </w:r>
    </w:p>
    <w:p>
      <w:pPr>
        <w:pStyle w:val="2"/>
        <w:rPr>
          <w:rFonts w:hint="eastAsia"/>
          <w:lang w:val="en-US" w:eastAsia="zh-CN"/>
        </w:rPr>
      </w:pPr>
    </w:p>
    <w:p>
      <w:pPr>
        <w:pStyle w:val="2"/>
        <w:ind w:left="0" w:leftChars="0" w:firstLine="0" w:firstLineChars="0"/>
        <w:rPr>
          <w:rFonts w:hint="eastAsia" w:ascii="宋体" w:hAnsi="宋体"/>
          <w:b/>
          <w:bCs/>
          <w:color w:val="000000"/>
          <w:sz w:val="24"/>
          <w:szCs w:val="24"/>
          <w:lang w:val="en-US" w:eastAsia="zh-CN"/>
        </w:rPr>
      </w:pPr>
      <w:r>
        <w:rPr>
          <w:rFonts w:hint="eastAsia" w:ascii="宋体" w:hAnsi="宋体"/>
          <w:color w:val="000000"/>
          <w:sz w:val="24"/>
          <w:szCs w:val="24"/>
          <w:lang w:val="en-US" w:eastAsia="zh-CN"/>
        </w:rPr>
        <w:t xml:space="preserve">  </w:t>
      </w:r>
      <w:r>
        <w:rPr>
          <w:rFonts w:hint="eastAsia" w:hAnsi="宋体"/>
          <w:color w:val="000000"/>
          <w:sz w:val="24"/>
          <w:szCs w:val="24"/>
          <w:lang w:val="en-US" w:eastAsia="zh-CN"/>
        </w:rPr>
        <w:t>二</w:t>
      </w:r>
      <w:r>
        <w:rPr>
          <w:rFonts w:hint="eastAsia" w:ascii="宋体" w:hAnsi="宋体"/>
          <w:b/>
          <w:bCs/>
          <w:color w:val="000000"/>
          <w:sz w:val="24"/>
          <w:szCs w:val="24"/>
          <w:lang w:val="en-US" w:eastAsia="zh-CN"/>
        </w:rPr>
        <w:t>、响应文件格式</w:t>
      </w:r>
    </w:p>
    <w:p>
      <w:pPr>
        <w:rPr>
          <w:rFonts w:hint="eastAsia"/>
          <w:lang w:val="en-US" w:eastAsia="zh-CN"/>
        </w:rPr>
      </w:pPr>
    </w:p>
    <w:p>
      <w:pPr>
        <w:numPr>
          <w:ilvl w:val="0"/>
          <w:numId w:val="6"/>
        </w:numPr>
        <w:tabs>
          <w:tab w:val="left" w:pos="540"/>
        </w:tabs>
        <w:spacing w:line="360" w:lineRule="auto"/>
        <w:ind w:leftChars="0"/>
        <w:rPr>
          <w:rFonts w:hint="eastAsia" w:ascii="宋体" w:hAnsi="宋体"/>
          <w:b/>
          <w:bCs/>
          <w:sz w:val="24"/>
        </w:rPr>
      </w:pPr>
      <w:r>
        <w:rPr>
          <w:rFonts w:hint="eastAsia" w:ascii="宋体" w:hAnsi="宋体"/>
          <w:b/>
          <w:bCs/>
          <w:sz w:val="24"/>
          <w:lang w:eastAsia="zh-CN"/>
        </w:rPr>
        <w:t>响应</w:t>
      </w:r>
      <w:r>
        <w:rPr>
          <w:rFonts w:hint="eastAsia" w:ascii="宋体" w:hAnsi="宋体"/>
          <w:b/>
          <w:bCs/>
          <w:sz w:val="24"/>
        </w:rPr>
        <w:t>文件封面格式</w:t>
      </w:r>
    </w:p>
    <w:p>
      <w:pPr>
        <w:jc w:val="center"/>
        <w:rPr>
          <w:rFonts w:hint="eastAsia"/>
          <w:b/>
          <w:sz w:val="44"/>
          <w:szCs w:val="44"/>
        </w:rPr>
      </w:pPr>
      <w:r>
        <w:rPr>
          <w:sz w:val="44"/>
        </w:rPr>
        <mc:AlternateContent>
          <mc:Choice Requires="wps">
            <w:drawing>
              <wp:anchor distT="0" distB="0" distL="114300" distR="114300" simplePos="0" relativeHeight="251659264" behindDoc="0" locked="0" layoutInCell="1" allowOverlap="1">
                <wp:simplePos x="0" y="0"/>
                <wp:positionH relativeFrom="column">
                  <wp:posOffset>4285615</wp:posOffset>
                </wp:positionH>
                <wp:positionV relativeFrom="paragraph">
                  <wp:posOffset>135255</wp:posOffset>
                </wp:positionV>
                <wp:extent cx="1156970" cy="461645"/>
                <wp:effectExtent l="5080" t="4445" r="19050" b="10160"/>
                <wp:wrapNone/>
                <wp:docPr id="1" name="文本框 5"/>
                <wp:cNvGraphicFramePr/>
                <a:graphic xmlns:a="http://schemas.openxmlformats.org/drawingml/2006/main">
                  <a:graphicData uri="http://schemas.microsoft.com/office/word/2010/wordprocessingShape">
                    <wps:wsp>
                      <wps:cNvSpPr txBox="1"/>
                      <wps:spPr>
                        <a:xfrm>
                          <a:off x="0" y="0"/>
                          <a:ext cx="1156970" cy="46164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b/>
                                <w:bCs/>
                                <w:sz w:val="44"/>
                                <w:szCs w:val="44"/>
                              </w:rPr>
                            </w:pPr>
                            <w:r>
                              <w:rPr>
                                <w:rFonts w:hint="eastAsia"/>
                                <w:b/>
                                <w:bCs/>
                                <w:sz w:val="44"/>
                                <w:szCs w:val="44"/>
                              </w:rPr>
                              <w:t>正/副本</w:t>
                            </w:r>
                          </w:p>
                        </w:txbxContent>
                      </wps:txbx>
                      <wps:bodyPr wrap="square" upright="1"/>
                    </wps:wsp>
                  </a:graphicData>
                </a:graphic>
              </wp:anchor>
            </w:drawing>
          </mc:Choice>
          <mc:Fallback>
            <w:pict>
              <v:shape id="文本框 5" o:spid="_x0000_s1026" o:spt="202" type="#_x0000_t202" style="position:absolute;left:0pt;margin-left:337.45pt;margin-top:10.65pt;height:36.35pt;width:91.1pt;z-index:251659264;mso-width-relative:page;mso-height-relative:page;" fillcolor="#FFFFFF" filled="t" stroked="t" coordsize="21600,21600" o:gfxdata="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Oi919kAAAAJAQAADwAAAAAAAAABACAAAAAiAAAAZHJzL2Rvd25yZXYu&#10;eG1sUEsBAhQAFAAAAAgAh07iQARPXYz6AQAA9gMAAA4AAAAAAAAAAQAgAAAAKAEAAGRycy9lMm9E&#10;b2MueG1sUEsFBgAAAAAGAAYAWQEAAJQFAAAAAA==&#10;">
                <v:fill on="t" focussize="0,0"/>
                <v:stroke color="#000000" joinstyle="miter"/>
                <v:imagedata o:title=""/>
                <o:lock v:ext="edit" aspectratio="f"/>
                <v:textbox>
                  <w:txbxContent>
                    <w:p>
                      <w:pPr>
                        <w:rPr>
                          <w:rFonts w:hint="eastAsia"/>
                          <w:b/>
                          <w:bCs/>
                          <w:sz w:val="44"/>
                          <w:szCs w:val="44"/>
                        </w:rPr>
                      </w:pPr>
                      <w:r>
                        <w:rPr>
                          <w:rFonts w:hint="eastAsia"/>
                          <w:b/>
                          <w:bCs/>
                          <w:sz w:val="44"/>
                          <w:szCs w:val="44"/>
                        </w:rPr>
                        <w:t>正/副本</w:t>
                      </w:r>
                    </w:p>
                  </w:txbxContent>
                </v:textbox>
              </v:shape>
            </w:pict>
          </mc:Fallback>
        </mc:AlternateContent>
      </w:r>
    </w:p>
    <w:p>
      <w:pPr>
        <w:jc w:val="center"/>
        <w:rPr>
          <w:rFonts w:hint="eastAsia"/>
          <w:b/>
          <w:sz w:val="44"/>
          <w:szCs w:val="44"/>
        </w:rPr>
      </w:pPr>
    </w:p>
    <w:p>
      <w:pPr>
        <w:pStyle w:val="32"/>
        <w:ind w:left="0" w:leftChars="0" w:firstLine="0" w:firstLineChars="0"/>
        <w:jc w:val="center"/>
        <w:rPr>
          <w:rFonts w:hint="eastAsia"/>
        </w:rPr>
      </w:pPr>
      <w:bookmarkStart w:id="63" w:name="_Toc26431"/>
      <w:r>
        <w:rPr>
          <w:rFonts w:hint="eastAsia"/>
          <w:b/>
          <w:color w:val="auto"/>
          <w:sz w:val="44"/>
          <w:szCs w:val="44"/>
        </w:rPr>
        <w:t>2024年12月至2026年12月北京市石景山区财政局财政投资评审中介机构服务政府采购项目</w:t>
      </w:r>
    </w:p>
    <w:p>
      <w:pPr>
        <w:jc w:val="center"/>
        <w:rPr>
          <w:b/>
          <w:sz w:val="72"/>
          <w:szCs w:val="72"/>
        </w:rPr>
      </w:pPr>
      <w:r>
        <w:rPr>
          <w:rFonts w:hint="eastAsia"/>
          <w:b/>
          <w:sz w:val="72"/>
          <w:szCs w:val="72"/>
          <w:lang w:eastAsia="zh-CN"/>
        </w:rPr>
        <w:t>响应</w:t>
      </w:r>
      <w:r>
        <w:rPr>
          <w:rFonts w:hint="eastAsia"/>
          <w:b/>
          <w:sz w:val="72"/>
          <w:szCs w:val="72"/>
        </w:rPr>
        <w:t>文件</w:t>
      </w:r>
      <w:bookmarkEnd w:id="63"/>
    </w:p>
    <w:p>
      <w:pPr>
        <w:rPr>
          <w:b/>
          <w:sz w:val="44"/>
          <w:szCs w:val="44"/>
        </w:rPr>
      </w:pPr>
    </w:p>
    <w:p>
      <w:pPr>
        <w:jc w:val="center"/>
        <w:rPr>
          <w:b/>
          <w:color w:val="auto"/>
          <w:sz w:val="40"/>
          <w:szCs w:val="40"/>
        </w:rPr>
      </w:pPr>
      <w:bookmarkStart w:id="64" w:name="_Toc22826"/>
      <w:r>
        <w:rPr>
          <w:rFonts w:hint="eastAsia"/>
          <w:b/>
          <w:color w:val="auto"/>
          <w:sz w:val="40"/>
          <w:szCs w:val="40"/>
        </w:rPr>
        <w:t>第X</w:t>
      </w:r>
      <w:r>
        <w:rPr>
          <w:b/>
          <w:color w:val="auto"/>
          <w:sz w:val="40"/>
          <w:szCs w:val="40"/>
        </w:rPr>
        <w:t>X</w:t>
      </w:r>
      <w:r>
        <w:rPr>
          <w:rFonts w:hint="eastAsia"/>
          <w:b/>
          <w:color w:val="auto"/>
          <w:sz w:val="40"/>
          <w:szCs w:val="40"/>
        </w:rPr>
        <w:t>包</w:t>
      </w:r>
      <w:bookmarkEnd w:id="64"/>
    </w:p>
    <w:p>
      <w:pPr>
        <w:jc w:val="center"/>
        <w:rPr>
          <w:b/>
          <w:sz w:val="32"/>
        </w:rPr>
      </w:pPr>
      <w:bookmarkStart w:id="65" w:name="_Toc23044"/>
      <w:r>
        <w:rPr>
          <w:rFonts w:hint="eastAsia"/>
          <w:b/>
          <w:sz w:val="32"/>
          <w:lang w:eastAsia="zh-CN"/>
        </w:rPr>
        <w:t>项目</w:t>
      </w:r>
      <w:r>
        <w:rPr>
          <w:rFonts w:hint="eastAsia"/>
          <w:b/>
          <w:sz w:val="32"/>
        </w:rPr>
        <w:t>编号</w:t>
      </w:r>
      <w:r>
        <w:rPr>
          <w:b/>
          <w:sz w:val="32"/>
        </w:rPr>
        <w:t>:</w:t>
      </w:r>
      <w:bookmarkEnd w:id="65"/>
      <w:r>
        <w:rPr>
          <w:rFonts w:hint="eastAsia"/>
          <w:b/>
          <w:sz w:val="32"/>
        </w:rPr>
        <w:t>11010724210200012744-XM001</w:t>
      </w:r>
    </w:p>
    <w:p>
      <w:pPr>
        <w:jc w:val="center"/>
      </w:pPr>
    </w:p>
    <w:p>
      <w:pPr>
        <w:pStyle w:val="2"/>
        <w:ind w:firstLine="0"/>
      </w:pPr>
    </w:p>
    <w:p>
      <w:pPr>
        <w:pStyle w:val="2"/>
        <w:jc w:val="both"/>
      </w:pPr>
    </w:p>
    <w:p>
      <w:pPr>
        <w:pStyle w:val="2"/>
        <w:ind w:firstLine="0"/>
      </w:pPr>
    </w:p>
    <w:p>
      <w:pPr>
        <w:pStyle w:val="2"/>
      </w:pPr>
    </w:p>
    <w:p>
      <w:pPr>
        <w:pStyle w:val="2"/>
      </w:pPr>
    </w:p>
    <w:p>
      <w:pPr>
        <w:pStyle w:val="2"/>
      </w:pPr>
    </w:p>
    <w:p>
      <w:pPr>
        <w:jc w:val="center"/>
      </w:pPr>
    </w:p>
    <w:p>
      <w:pPr>
        <w:jc w:val="center"/>
      </w:pPr>
    </w:p>
    <w:p>
      <w:pPr>
        <w:jc w:val="center"/>
      </w:pPr>
    </w:p>
    <w:p>
      <w:pPr>
        <w:keepNext w:val="0"/>
        <w:keepLines w:val="0"/>
        <w:pageBreakBefore w:val="0"/>
        <w:widowControl w:val="0"/>
        <w:kinsoku/>
        <w:wordWrap/>
        <w:overflowPunct/>
        <w:topLinePunct w:val="0"/>
        <w:bidi w:val="0"/>
        <w:snapToGrid/>
        <w:spacing w:line="360" w:lineRule="auto"/>
        <w:ind w:left="0" w:leftChars="0" w:right="0" w:rightChars="0" w:firstLine="1928" w:firstLineChars="600"/>
        <w:textAlignment w:val="auto"/>
        <w:outlineLvl w:val="9"/>
        <w:rPr>
          <w:b/>
          <w:sz w:val="32"/>
          <w:szCs w:val="32"/>
          <w:u w:val="single"/>
        </w:rPr>
      </w:pPr>
      <w:bookmarkStart w:id="66" w:name="_Toc12572"/>
      <w:r>
        <w:rPr>
          <w:rFonts w:hint="eastAsia"/>
          <w:b/>
          <w:sz w:val="32"/>
          <w:szCs w:val="32"/>
          <w:lang w:eastAsia="zh-CN"/>
        </w:rPr>
        <w:t>供应商名称</w:t>
      </w:r>
      <w:r>
        <w:rPr>
          <w:rFonts w:hint="eastAsia"/>
          <w:b/>
          <w:sz w:val="32"/>
          <w:szCs w:val="32"/>
        </w:rPr>
        <w:t>（公章）：</w:t>
      </w:r>
      <w:bookmarkEnd w:id="66"/>
    </w:p>
    <w:p>
      <w:pPr>
        <w:keepNext w:val="0"/>
        <w:keepLines w:val="0"/>
        <w:pageBreakBefore w:val="0"/>
        <w:widowControl w:val="0"/>
        <w:kinsoku/>
        <w:wordWrap/>
        <w:overflowPunct/>
        <w:topLinePunct w:val="0"/>
        <w:bidi w:val="0"/>
        <w:snapToGrid/>
        <w:spacing w:line="360" w:lineRule="auto"/>
        <w:ind w:left="0" w:leftChars="0" w:right="0" w:rightChars="0" w:firstLine="1928" w:firstLineChars="600"/>
        <w:jc w:val="both"/>
        <w:textAlignment w:val="auto"/>
        <w:outlineLvl w:val="9"/>
        <w:rPr>
          <w:rFonts w:hint="eastAsia"/>
          <w:b/>
          <w:sz w:val="32"/>
          <w:szCs w:val="32"/>
        </w:rPr>
      </w:pPr>
      <w:bookmarkStart w:id="67" w:name="_Toc18065"/>
      <w:r>
        <w:rPr>
          <w:rFonts w:hint="eastAsia"/>
          <w:b/>
          <w:sz w:val="32"/>
          <w:szCs w:val="32"/>
          <w:lang w:eastAsia="zh-CN"/>
        </w:rPr>
        <w:t>供应商</w:t>
      </w:r>
      <w:r>
        <w:rPr>
          <w:rFonts w:hint="eastAsia"/>
          <w:b/>
          <w:sz w:val="32"/>
          <w:szCs w:val="32"/>
        </w:rPr>
        <w:t>代表（签字或盖章）：</w:t>
      </w:r>
      <w:bookmarkEnd w:id="67"/>
    </w:p>
    <w:p>
      <w:pPr>
        <w:pStyle w:val="2"/>
        <w:keepNext w:val="0"/>
        <w:keepLines w:val="0"/>
        <w:pageBreakBefore w:val="0"/>
        <w:widowControl w:val="0"/>
        <w:kinsoku/>
        <w:wordWrap/>
        <w:overflowPunct/>
        <w:topLinePunct w:val="0"/>
        <w:bidi w:val="0"/>
        <w:snapToGrid/>
        <w:spacing w:line="360" w:lineRule="auto"/>
        <w:ind w:left="0" w:leftChars="0" w:right="0" w:rightChars="0"/>
        <w:textAlignment w:val="auto"/>
        <w:outlineLvl w:val="9"/>
      </w:pPr>
      <w:r>
        <w:rPr>
          <w:b/>
          <w:sz w:val="32"/>
          <w:szCs w:val="32"/>
        </w:rPr>
        <w:t xml:space="preserve">         通信地址：</w:t>
      </w:r>
    </w:p>
    <w:p>
      <w:pPr>
        <w:keepNext w:val="0"/>
        <w:keepLines w:val="0"/>
        <w:pageBreakBefore w:val="0"/>
        <w:widowControl w:val="0"/>
        <w:kinsoku/>
        <w:wordWrap/>
        <w:overflowPunct/>
        <w:topLinePunct w:val="0"/>
        <w:bidi w:val="0"/>
        <w:snapToGrid/>
        <w:spacing w:line="360" w:lineRule="auto"/>
        <w:ind w:left="0" w:leftChars="0" w:right="0" w:rightChars="0" w:firstLine="1928" w:firstLineChars="600"/>
        <w:textAlignment w:val="auto"/>
        <w:outlineLvl w:val="9"/>
        <w:rPr>
          <w:rFonts w:hint="eastAsia"/>
          <w:b/>
          <w:sz w:val="32"/>
          <w:szCs w:val="32"/>
        </w:rPr>
      </w:pPr>
      <w:bookmarkStart w:id="68" w:name="_Toc492299632"/>
      <w:bookmarkStart w:id="69" w:name="_Toc519087074"/>
      <w:bookmarkStart w:id="70" w:name="_Toc492299318"/>
      <w:bookmarkStart w:id="71" w:name="_Toc32490"/>
      <w:bookmarkStart w:id="72" w:name="_Toc466014528"/>
      <w:r>
        <w:rPr>
          <w:rFonts w:hint="eastAsia"/>
          <w:b/>
          <w:sz w:val="32"/>
          <w:szCs w:val="32"/>
        </w:rPr>
        <w:t>日期：</w:t>
      </w:r>
      <w:r>
        <w:rPr>
          <w:rFonts w:hint="eastAsia"/>
          <w:b/>
          <w:sz w:val="32"/>
          <w:szCs w:val="32"/>
          <w:u w:val="single"/>
        </w:rPr>
        <w:t xml:space="preserve">       </w:t>
      </w:r>
      <w:r>
        <w:rPr>
          <w:rFonts w:hint="eastAsia"/>
          <w:b/>
          <w:sz w:val="32"/>
          <w:szCs w:val="32"/>
        </w:rPr>
        <w:t>年</w:t>
      </w:r>
      <w:r>
        <w:rPr>
          <w:rFonts w:hint="eastAsia"/>
          <w:b/>
          <w:sz w:val="32"/>
          <w:szCs w:val="32"/>
          <w:u w:val="single"/>
        </w:rPr>
        <w:t xml:space="preserve">   </w:t>
      </w:r>
      <w:r>
        <w:rPr>
          <w:b/>
          <w:sz w:val="32"/>
          <w:szCs w:val="32"/>
          <w:u w:val="single"/>
        </w:rPr>
        <w:t xml:space="preserve"> </w:t>
      </w:r>
      <w:r>
        <w:rPr>
          <w:rFonts w:hint="eastAsia"/>
          <w:b/>
          <w:sz w:val="32"/>
          <w:szCs w:val="32"/>
          <w:u w:val="single"/>
        </w:rPr>
        <w:t xml:space="preserve">   </w:t>
      </w:r>
      <w:r>
        <w:rPr>
          <w:rFonts w:hint="eastAsia"/>
          <w:b/>
          <w:sz w:val="32"/>
          <w:szCs w:val="32"/>
        </w:rPr>
        <w:t>月</w:t>
      </w:r>
      <w:r>
        <w:rPr>
          <w:rFonts w:hint="eastAsia"/>
          <w:b/>
          <w:sz w:val="32"/>
          <w:szCs w:val="32"/>
          <w:u w:val="single"/>
        </w:rPr>
        <w:t xml:space="preserve">       </w:t>
      </w:r>
      <w:r>
        <w:rPr>
          <w:rFonts w:hint="eastAsia"/>
          <w:b/>
          <w:sz w:val="32"/>
          <w:szCs w:val="32"/>
        </w:rPr>
        <w:t>日</w:t>
      </w:r>
      <w:bookmarkEnd w:id="68"/>
      <w:bookmarkEnd w:id="69"/>
      <w:bookmarkEnd w:id="70"/>
      <w:bookmarkEnd w:id="71"/>
      <w:bookmarkEnd w:id="72"/>
    </w:p>
    <w:p>
      <w:pPr>
        <w:numPr>
          <w:ilvl w:val="0"/>
          <w:numId w:val="0"/>
        </w:numPr>
        <w:tabs>
          <w:tab w:val="left" w:pos="540"/>
        </w:tabs>
        <w:spacing w:line="360" w:lineRule="auto"/>
        <w:rPr>
          <w:rFonts w:hint="eastAsia" w:ascii="宋体" w:hAnsi="宋体"/>
          <w:b/>
          <w:bCs/>
          <w:sz w:val="24"/>
          <w:lang w:val="en-US" w:eastAsia="zh-CN"/>
        </w:rPr>
      </w:pPr>
    </w:p>
    <w:p>
      <w:pPr>
        <w:numPr>
          <w:ilvl w:val="0"/>
          <w:numId w:val="6"/>
        </w:numPr>
        <w:tabs>
          <w:tab w:val="left" w:pos="540"/>
        </w:tabs>
        <w:spacing w:line="360" w:lineRule="auto"/>
        <w:ind w:left="0" w:leftChars="0"/>
        <w:rPr>
          <w:rFonts w:hint="eastAsia" w:ascii="宋体" w:hAnsi="宋体"/>
          <w:b/>
          <w:color w:val="000000"/>
          <w:sz w:val="24"/>
          <w:szCs w:val="24"/>
          <w:lang w:eastAsia="zh-CN"/>
        </w:rPr>
      </w:pPr>
      <w:r>
        <w:rPr>
          <w:rFonts w:hint="eastAsia" w:ascii="宋体" w:hAnsi="宋体"/>
          <w:b/>
          <w:color w:val="000000"/>
          <w:sz w:val="24"/>
          <w:szCs w:val="24"/>
          <w:lang w:eastAsia="zh-CN"/>
        </w:rPr>
        <w:t>响应文件内容格式（须按照下列顺序编制响应文件并按照磋商文件制作要求装订成册）</w:t>
      </w:r>
    </w:p>
    <w:p>
      <w:pPr>
        <w:pStyle w:val="2"/>
        <w:rPr>
          <w:rFonts w:hint="eastAsia"/>
          <w:lang w:eastAsia="zh-CN"/>
        </w:rPr>
      </w:pPr>
    </w:p>
    <w:p>
      <w:pPr>
        <w:spacing w:line="360" w:lineRule="auto"/>
        <w:rPr>
          <w:rFonts w:hint="eastAsia" w:ascii="宋体" w:hAnsi="宋体" w:eastAsia="宋体"/>
          <w:b/>
          <w:bCs/>
          <w:color w:val="auto"/>
          <w:sz w:val="24"/>
          <w:szCs w:val="24"/>
          <w:lang w:val="en-US" w:eastAsia="zh-CN"/>
        </w:rPr>
      </w:pPr>
      <w:r>
        <w:rPr>
          <w:rFonts w:hint="eastAsia" w:ascii="宋体" w:hAnsi="宋体"/>
          <w:b/>
          <w:bCs/>
          <w:color w:val="auto"/>
          <w:sz w:val="24"/>
          <w:szCs w:val="24"/>
          <w:lang w:val="en-US" w:eastAsia="zh-CN"/>
        </w:rPr>
        <w:t>附件1 资格证明文件</w:t>
      </w:r>
    </w:p>
    <w:p>
      <w:pPr>
        <w:numPr>
          <w:ilvl w:val="0"/>
          <w:numId w:val="0"/>
        </w:numPr>
        <w:tabs>
          <w:tab w:val="left" w:pos="540"/>
        </w:tabs>
        <w:spacing w:line="360" w:lineRule="auto"/>
        <w:rPr>
          <w:rFonts w:hint="eastAsia" w:ascii="宋体" w:hAnsi="宋体"/>
          <w:b/>
          <w:color w:val="000000"/>
          <w:sz w:val="24"/>
          <w:szCs w:val="24"/>
        </w:rPr>
      </w:pPr>
      <w:r>
        <w:rPr>
          <w:rFonts w:hint="eastAsia" w:ascii="宋体" w:hAnsi="宋体"/>
          <w:b/>
          <w:color w:val="000000"/>
          <w:sz w:val="24"/>
          <w:szCs w:val="24"/>
        </w:rPr>
        <w:t>附件1</w:t>
      </w:r>
      <w:r>
        <w:rPr>
          <w:rFonts w:hint="eastAsia" w:ascii="宋体" w:hAnsi="宋体"/>
          <w:b/>
          <w:color w:val="000000"/>
          <w:sz w:val="24"/>
          <w:szCs w:val="24"/>
          <w:lang w:val="en-US" w:eastAsia="zh-CN"/>
        </w:rPr>
        <w:t>-1</w:t>
      </w:r>
      <w:r>
        <w:rPr>
          <w:rFonts w:hint="eastAsia" w:ascii="宋体" w:hAnsi="宋体"/>
          <w:b/>
          <w:color w:val="000000"/>
          <w:sz w:val="24"/>
          <w:szCs w:val="24"/>
        </w:rPr>
        <w:t xml:space="preserve"> ★营业执照（复印件，须加盖</w:t>
      </w:r>
      <w:r>
        <w:rPr>
          <w:rFonts w:hint="eastAsia" w:ascii="宋体" w:hAnsi="宋体"/>
          <w:b/>
          <w:color w:val="000000"/>
          <w:sz w:val="24"/>
          <w:szCs w:val="24"/>
          <w:lang w:eastAsia="zh-CN"/>
        </w:rPr>
        <w:t>供应商</w:t>
      </w:r>
      <w:r>
        <w:rPr>
          <w:rFonts w:hint="eastAsia" w:ascii="宋体" w:hAnsi="宋体"/>
          <w:b/>
          <w:color w:val="000000"/>
          <w:sz w:val="24"/>
          <w:szCs w:val="24"/>
        </w:rPr>
        <w:t>公章）</w:t>
      </w:r>
    </w:p>
    <w:p>
      <w:pPr>
        <w:pStyle w:val="5"/>
        <w:rPr>
          <w:rFonts w:ascii="Times New Roman" w:eastAsia="宋体"/>
          <w:b w:val="0"/>
          <w:bCs/>
          <w:color w:val="000000"/>
          <w:szCs w:val="24"/>
          <w:u w:val="none"/>
        </w:rPr>
      </w:pPr>
      <w:r>
        <w:rPr>
          <w:rFonts w:hint="eastAsia" w:ascii="宋体" w:hAnsi="宋体"/>
          <w:b/>
          <w:color w:val="000000"/>
          <w:sz w:val="24"/>
        </w:rPr>
        <w:t>附件</w:t>
      </w:r>
      <w:r>
        <w:rPr>
          <w:rFonts w:hint="eastAsia" w:ascii="宋体" w:hAnsi="宋体"/>
          <w:b/>
          <w:color w:val="000000"/>
          <w:sz w:val="24"/>
          <w:lang w:val="en-US" w:eastAsia="zh-CN"/>
        </w:rPr>
        <w:t>1-2</w:t>
      </w:r>
      <w:r>
        <w:rPr>
          <w:rFonts w:hint="eastAsia" w:ascii="宋体" w:hAnsi="宋体"/>
          <w:b/>
          <w:color w:val="000000"/>
          <w:sz w:val="24"/>
        </w:rPr>
        <w:t xml:space="preserve">★ </w:t>
      </w:r>
      <w:r>
        <w:rPr>
          <w:rFonts w:hint="eastAsia" w:ascii="宋体" w:hAnsi="宋体"/>
          <w:b/>
          <w:color w:val="auto"/>
          <w:sz w:val="24"/>
          <w:u w:val="none"/>
        </w:rPr>
        <w:t>投标人资格条件承诺书</w:t>
      </w:r>
    </w:p>
    <w:p>
      <w:pPr>
        <w:rPr>
          <w:rFonts w:eastAsia="宋体"/>
          <w:color w:val="000000"/>
          <w:szCs w:val="20"/>
        </w:rPr>
      </w:pPr>
    </w:p>
    <w:p>
      <w:pPr>
        <w:pStyle w:val="59"/>
        <w:jc w:val="center"/>
        <w:rPr>
          <w:rFonts w:hint="eastAsia"/>
        </w:rPr>
      </w:pPr>
      <w:r>
        <w:rPr>
          <w:rFonts w:hint="eastAsia" w:ascii="宋体" w:hAnsi="宋体"/>
          <w:b/>
          <w:color w:val="auto"/>
          <w:sz w:val="24"/>
        </w:rPr>
        <w:t>投标人资格条件承诺书</w:t>
      </w: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7"/>
        </w:numPr>
        <w:spacing w:line="360" w:lineRule="auto"/>
        <w:ind w:left="1134"/>
        <w:rPr>
          <w:sz w:val="24"/>
          <w:szCs w:val="24"/>
        </w:rPr>
      </w:pPr>
      <w:r>
        <w:rPr>
          <w:rFonts w:hint="eastAsia" w:ascii="宋体" w:hAnsi="宋体"/>
          <w:sz w:val="24"/>
          <w:szCs w:val="24"/>
        </w:rPr>
        <w:t>具有独立承担民事责任的能力</w:t>
      </w:r>
      <w:r>
        <w:rPr>
          <w:rFonts w:hint="eastAsia" w:ascii="宋体" w:hAnsi="宋体"/>
          <w:sz w:val="24"/>
          <w:szCs w:val="24"/>
          <w:lang w:val="en-US" w:eastAsia="zh-CN"/>
        </w:rPr>
        <w:t>；</w:t>
      </w:r>
    </w:p>
    <w:p>
      <w:pPr>
        <w:numPr>
          <w:ilvl w:val="0"/>
          <w:numId w:val="7"/>
        </w:numPr>
        <w:spacing w:line="360" w:lineRule="auto"/>
        <w:ind w:left="1134"/>
        <w:rPr>
          <w:sz w:val="24"/>
          <w:szCs w:val="22"/>
        </w:rPr>
      </w:pPr>
      <w:r>
        <w:rPr>
          <w:sz w:val="24"/>
          <w:szCs w:val="22"/>
        </w:rPr>
        <w:t>具有良好的商业信誉和健全的财务会计制度；</w:t>
      </w:r>
    </w:p>
    <w:p>
      <w:pPr>
        <w:numPr>
          <w:ilvl w:val="0"/>
          <w:numId w:val="7"/>
        </w:numPr>
        <w:spacing w:line="360" w:lineRule="auto"/>
        <w:ind w:left="1134"/>
        <w:rPr>
          <w:sz w:val="24"/>
          <w:szCs w:val="22"/>
        </w:rPr>
      </w:pPr>
      <w:r>
        <w:rPr>
          <w:sz w:val="24"/>
          <w:szCs w:val="22"/>
        </w:rPr>
        <w:t>具有履行合同所必需的设备和专业技术能力；</w:t>
      </w:r>
    </w:p>
    <w:p>
      <w:pPr>
        <w:numPr>
          <w:ilvl w:val="0"/>
          <w:numId w:val="7"/>
        </w:numPr>
        <w:spacing w:line="360" w:lineRule="auto"/>
        <w:ind w:left="1134"/>
        <w:rPr>
          <w:sz w:val="24"/>
          <w:szCs w:val="22"/>
        </w:rPr>
      </w:pPr>
      <w:r>
        <w:rPr>
          <w:sz w:val="24"/>
          <w:szCs w:val="22"/>
        </w:rPr>
        <w:t>有依法缴纳税收和社会保障资金的良好记录；</w:t>
      </w:r>
    </w:p>
    <w:p>
      <w:pPr>
        <w:numPr>
          <w:ilvl w:val="0"/>
          <w:numId w:val="7"/>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7"/>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7"/>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7"/>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56"/>
        <w:tblW w:w="851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2"/>
        <w:gridCol w:w="4583"/>
        <w:gridCol w:w="29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2" w:type="dxa"/>
            <w:vAlign w:val="center"/>
          </w:tcPr>
          <w:p>
            <w:pPr>
              <w:jc w:val="center"/>
              <w:rPr>
                <w:sz w:val="24"/>
              </w:rPr>
            </w:pPr>
            <w:r>
              <w:rPr>
                <w:sz w:val="24"/>
              </w:rPr>
              <w:t>序号</w:t>
            </w:r>
          </w:p>
        </w:tc>
        <w:tc>
          <w:tcPr>
            <w:tcW w:w="4583" w:type="dxa"/>
            <w:vAlign w:val="center"/>
          </w:tcPr>
          <w:p>
            <w:pPr>
              <w:jc w:val="center"/>
              <w:rPr>
                <w:sz w:val="24"/>
              </w:rPr>
            </w:pPr>
            <w:r>
              <w:rPr>
                <w:sz w:val="24"/>
              </w:rPr>
              <w:t>单位名称</w:t>
            </w:r>
          </w:p>
        </w:tc>
        <w:tc>
          <w:tcPr>
            <w:tcW w:w="2982"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2" w:type="dxa"/>
            <w:vAlign w:val="center"/>
          </w:tcPr>
          <w:p>
            <w:pPr>
              <w:jc w:val="center"/>
              <w:rPr>
                <w:sz w:val="24"/>
              </w:rPr>
            </w:pPr>
            <w:r>
              <w:rPr>
                <w:sz w:val="24"/>
              </w:rPr>
              <w:t>1</w:t>
            </w:r>
          </w:p>
        </w:tc>
        <w:tc>
          <w:tcPr>
            <w:tcW w:w="4583" w:type="dxa"/>
            <w:vAlign w:val="center"/>
          </w:tcPr>
          <w:p>
            <w:pPr>
              <w:jc w:val="center"/>
              <w:rPr>
                <w:sz w:val="24"/>
              </w:rPr>
            </w:pPr>
          </w:p>
        </w:tc>
        <w:tc>
          <w:tcPr>
            <w:tcW w:w="2982"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2" w:type="dxa"/>
            <w:vAlign w:val="center"/>
          </w:tcPr>
          <w:p>
            <w:pPr>
              <w:jc w:val="center"/>
              <w:rPr>
                <w:sz w:val="24"/>
              </w:rPr>
            </w:pPr>
            <w:r>
              <w:rPr>
                <w:sz w:val="24"/>
              </w:rPr>
              <w:t>2</w:t>
            </w:r>
          </w:p>
        </w:tc>
        <w:tc>
          <w:tcPr>
            <w:tcW w:w="4583" w:type="dxa"/>
            <w:vAlign w:val="center"/>
          </w:tcPr>
          <w:p>
            <w:pPr>
              <w:jc w:val="center"/>
              <w:rPr>
                <w:sz w:val="24"/>
              </w:rPr>
            </w:pPr>
          </w:p>
        </w:tc>
        <w:tc>
          <w:tcPr>
            <w:tcW w:w="2982"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2" w:type="dxa"/>
            <w:vAlign w:val="center"/>
          </w:tcPr>
          <w:p>
            <w:pPr>
              <w:jc w:val="center"/>
              <w:rPr>
                <w:sz w:val="24"/>
              </w:rPr>
            </w:pPr>
            <w:r>
              <w:rPr>
                <w:sz w:val="24"/>
              </w:rPr>
              <w:t>…</w:t>
            </w:r>
          </w:p>
        </w:tc>
        <w:tc>
          <w:tcPr>
            <w:tcW w:w="4583" w:type="dxa"/>
            <w:vAlign w:val="center"/>
          </w:tcPr>
          <w:p>
            <w:pPr>
              <w:jc w:val="center"/>
              <w:rPr>
                <w:sz w:val="24"/>
              </w:rPr>
            </w:pPr>
          </w:p>
        </w:tc>
        <w:tc>
          <w:tcPr>
            <w:tcW w:w="2982"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ind w:right="360"/>
        <w:jc w:val="right"/>
        <w:rPr>
          <w:rFonts w:eastAsia="宋体"/>
          <w:color w:val="000000"/>
          <w:sz w:val="24"/>
          <w:lang w:val="zh-CN"/>
        </w:rPr>
      </w:pPr>
      <w:r>
        <w:rPr>
          <w:rFonts w:eastAsia="宋体"/>
          <w:color w:val="000000"/>
          <w:sz w:val="24"/>
        </w:rPr>
        <w:t>供应商名称（加盖公章）</w:t>
      </w:r>
      <w:r>
        <w:rPr>
          <w:rFonts w:eastAsia="宋体"/>
          <w:color w:val="000000"/>
          <w:sz w:val="24"/>
          <w:lang w:val="zh-CN"/>
        </w:rPr>
        <w:t>：</w:t>
      </w:r>
      <w:r>
        <w:rPr>
          <w:rFonts w:eastAsia="宋体"/>
          <w:sz w:val="24"/>
        </w:rPr>
        <w:t>______</w:t>
      </w:r>
    </w:p>
    <w:p>
      <w:pPr>
        <w:pStyle w:val="2"/>
        <w:jc w:val="right"/>
        <w:rPr>
          <w:rFonts w:hint="eastAsia"/>
        </w:rPr>
      </w:pPr>
      <w:r>
        <w:rPr>
          <w:rFonts w:eastAsia="宋体"/>
          <w:color w:val="000000"/>
          <w:sz w:val="24"/>
          <w:szCs w:val="20"/>
        </w:rPr>
        <w:t xml:space="preserve">日期：____年____月____日 </w:t>
      </w:r>
    </w:p>
    <w:p>
      <w:pPr>
        <w:kinsoku w:val="0"/>
        <w:overflowPunct w:val="0"/>
        <w:autoSpaceDE w:val="0"/>
        <w:autoSpaceDN w:val="0"/>
        <w:snapToGrid w:val="0"/>
        <w:spacing w:line="320" w:lineRule="exact"/>
        <w:rPr>
          <w:rFonts w:hint="eastAsia" w:hAnsi="宋体"/>
          <w:b/>
          <w:color w:val="000000"/>
          <w:sz w:val="24"/>
          <w:szCs w:val="24"/>
        </w:rPr>
      </w:pPr>
    </w:p>
    <w:p>
      <w:pPr>
        <w:kinsoku w:val="0"/>
        <w:overflowPunct w:val="0"/>
        <w:autoSpaceDE w:val="0"/>
        <w:autoSpaceDN w:val="0"/>
        <w:snapToGrid w:val="0"/>
        <w:spacing w:line="320" w:lineRule="exact"/>
        <w:rPr>
          <w:rFonts w:ascii="宋体" w:hAnsi="宋体" w:cs="微软雅黑"/>
          <w:b w:val="0"/>
          <w:bCs w:val="0"/>
          <w:sz w:val="24"/>
          <w:szCs w:val="24"/>
        </w:rPr>
      </w:pPr>
      <w:r>
        <w:rPr>
          <w:rFonts w:hint="eastAsia" w:hAnsi="宋体"/>
          <w:b/>
          <w:color w:val="000000"/>
          <w:sz w:val="24"/>
          <w:szCs w:val="24"/>
        </w:rPr>
        <w:t>附件</w:t>
      </w:r>
      <w:r>
        <w:rPr>
          <w:rFonts w:hint="eastAsia" w:hAnsi="宋体"/>
          <w:b/>
          <w:color w:val="000000"/>
          <w:sz w:val="24"/>
          <w:szCs w:val="24"/>
          <w:lang w:val="en-US" w:eastAsia="zh-CN"/>
        </w:rPr>
        <w:t xml:space="preserve">1-3 </w:t>
      </w:r>
      <w:r>
        <w:rPr>
          <w:rFonts w:hint="eastAsia" w:hAnsi="宋体"/>
          <w:b/>
          <w:sz w:val="24"/>
          <w:szCs w:val="24"/>
        </w:rPr>
        <w:t>★</w:t>
      </w:r>
      <w:r>
        <w:rPr>
          <w:rFonts w:hint="eastAsia" w:hAnsi="宋体"/>
          <w:b/>
          <w:sz w:val="24"/>
          <w:szCs w:val="24"/>
          <w:lang w:eastAsia="zh-CN"/>
        </w:rPr>
        <w:t>供应商信用记录：</w:t>
      </w:r>
      <w:r>
        <w:rPr>
          <w:rFonts w:hint="eastAsia" w:ascii="宋体" w:hAnsi="宋体"/>
          <w:b w:val="0"/>
          <w:bCs w:val="0"/>
          <w:sz w:val="24"/>
          <w:szCs w:val="24"/>
        </w:rPr>
        <w:t>本条为资格性审查事项之一，无须</w:t>
      </w:r>
      <w:r>
        <w:rPr>
          <w:rFonts w:hint="eastAsia" w:ascii="宋体" w:hAnsi="宋体"/>
          <w:b w:val="0"/>
          <w:bCs w:val="0"/>
          <w:sz w:val="24"/>
          <w:szCs w:val="24"/>
          <w:lang w:eastAsia="zh-CN"/>
        </w:rPr>
        <w:t>供应商</w:t>
      </w:r>
      <w:r>
        <w:rPr>
          <w:rFonts w:hint="eastAsia" w:ascii="宋体" w:hAnsi="宋体"/>
          <w:b w:val="0"/>
          <w:bCs w:val="0"/>
          <w:sz w:val="24"/>
          <w:szCs w:val="24"/>
        </w:rPr>
        <w:t>在</w:t>
      </w:r>
      <w:r>
        <w:rPr>
          <w:rFonts w:hint="eastAsia" w:ascii="宋体" w:hAnsi="宋体"/>
          <w:b w:val="0"/>
          <w:bCs w:val="0"/>
          <w:sz w:val="24"/>
          <w:szCs w:val="24"/>
          <w:lang w:eastAsia="zh-CN"/>
        </w:rPr>
        <w:t>响应</w:t>
      </w:r>
      <w:r>
        <w:rPr>
          <w:rFonts w:hint="eastAsia" w:ascii="宋体" w:hAnsi="宋体"/>
          <w:b w:val="0"/>
          <w:bCs w:val="0"/>
          <w:sz w:val="24"/>
          <w:szCs w:val="24"/>
        </w:rPr>
        <w:t>文件中提供。</w:t>
      </w:r>
      <w:r>
        <w:rPr>
          <w:rFonts w:hint="eastAsia" w:ascii="宋体" w:hAnsi="宋体" w:cs="微软雅黑"/>
          <w:b w:val="0"/>
          <w:bCs w:val="0"/>
          <w:sz w:val="24"/>
          <w:szCs w:val="24"/>
        </w:rPr>
        <w:t>采购人</w:t>
      </w:r>
      <w:r>
        <w:rPr>
          <w:rFonts w:hint="eastAsia" w:ascii="宋体" w:hAnsi="宋体"/>
          <w:b w:val="0"/>
          <w:bCs w:val="0"/>
          <w:sz w:val="24"/>
          <w:szCs w:val="24"/>
        </w:rPr>
        <w:t>根据财政部《</w:t>
      </w:r>
      <w:r>
        <w:rPr>
          <w:rFonts w:hint="eastAsia" w:ascii="宋体" w:hAnsi="宋体" w:cs="微软雅黑"/>
          <w:b w:val="0"/>
          <w:bCs w:val="0"/>
          <w:sz w:val="24"/>
          <w:szCs w:val="24"/>
        </w:rPr>
        <w:t>关于在政府采购活动中查询及使用信用记录有关问题的通知</w:t>
      </w:r>
      <w:r>
        <w:rPr>
          <w:rFonts w:hint="eastAsia" w:ascii="宋体" w:hAnsi="宋体"/>
          <w:b w:val="0"/>
          <w:bCs w:val="0"/>
          <w:sz w:val="24"/>
          <w:szCs w:val="24"/>
        </w:rPr>
        <w:t>》（财库</w:t>
      </w:r>
      <w:r>
        <w:rPr>
          <w:rFonts w:hint="eastAsia" w:ascii="宋体" w:hAnsi="宋体" w:cs="微软雅黑"/>
          <w:b w:val="0"/>
          <w:bCs w:val="0"/>
          <w:sz w:val="24"/>
          <w:szCs w:val="24"/>
        </w:rPr>
        <w:t>〔2016〕</w:t>
      </w:r>
      <w:r>
        <w:rPr>
          <w:rFonts w:hint="eastAsia" w:ascii="宋体" w:hAnsi="宋体"/>
          <w:b w:val="0"/>
          <w:bCs w:val="0"/>
          <w:sz w:val="24"/>
          <w:szCs w:val="24"/>
        </w:rPr>
        <w:t>125号）要求，</w:t>
      </w:r>
      <w:r>
        <w:rPr>
          <w:rFonts w:hint="eastAsia" w:ascii="宋体" w:hAnsi="宋体" w:cs="微软雅黑"/>
          <w:b w:val="0"/>
          <w:bCs w:val="0"/>
          <w:sz w:val="24"/>
          <w:szCs w:val="24"/>
        </w:rPr>
        <w:t>在评审现场通过“信用中国”网站(www.creditchina.gov.cn)、中国政府采购网(www.ccgp.gov.cn)等渠道查询及审查</w:t>
      </w:r>
      <w:r>
        <w:rPr>
          <w:rFonts w:hint="eastAsia" w:ascii="宋体" w:hAnsi="宋体" w:cs="微软雅黑"/>
          <w:b w:val="0"/>
          <w:bCs w:val="0"/>
          <w:sz w:val="24"/>
          <w:szCs w:val="24"/>
          <w:lang w:eastAsia="zh-CN"/>
        </w:rPr>
        <w:t>供应商</w:t>
      </w:r>
      <w:r>
        <w:rPr>
          <w:rFonts w:hint="eastAsia" w:ascii="宋体" w:hAnsi="宋体" w:cs="微软雅黑"/>
          <w:b w:val="0"/>
          <w:bCs w:val="0"/>
          <w:sz w:val="24"/>
          <w:szCs w:val="24"/>
        </w:rPr>
        <w:t>的相关信用记录，并将查询的结果网页截屏与评审资料一并保存。</w:t>
      </w:r>
    </w:p>
    <w:p>
      <w:pPr>
        <w:kinsoku w:val="0"/>
        <w:overflowPunct w:val="0"/>
        <w:autoSpaceDE w:val="0"/>
        <w:autoSpaceDN w:val="0"/>
        <w:snapToGrid w:val="0"/>
        <w:spacing w:line="320" w:lineRule="exact"/>
        <w:ind w:right="-162" w:rightChars="-77"/>
        <w:rPr>
          <w:rFonts w:ascii="宋体" w:hAnsi="宋体" w:cs="微软雅黑"/>
          <w:b w:val="0"/>
          <w:bCs w:val="0"/>
          <w:sz w:val="24"/>
          <w:szCs w:val="24"/>
        </w:rPr>
      </w:pPr>
      <w:r>
        <w:rPr>
          <w:rFonts w:hint="eastAsia" w:ascii="宋体" w:hAnsi="宋体" w:cs="微软雅黑"/>
          <w:b w:val="0"/>
          <w:bCs w:val="0"/>
          <w:sz w:val="24"/>
          <w:szCs w:val="24"/>
        </w:rPr>
        <w:t>（1）如</w:t>
      </w:r>
      <w:r>
        <w:rPr>
          <w:rFonts w:hint="eastAsia" w:ascii="宋体" w:hAnsi="宋体" w:cs="微软雅黑"/>
          <w:b w:val="0"/>
          <w:bCs w:val="0"/>
          <w:sz w:val="24"/>
          <w:szCs w:val="24"/>
          <w:lang w:eastAsia="zh-CN"/>
        </w:rPr>
        <w:t>供应商</w:t>
      </w:r>
      <w:r>
        <w:rPr>
          <w:rFonts w:hint="eastAsia" w:ascii="宋体" w:hAnsi="宋体" w:cs="微软雅黑"/>
          <w:b w:val="0"/>
          <w:bCs w:val="0"/>
          <w:sz w:val="24"/>
          <w:szCs w:val="24"/>
        </w:rPr>
        <w:t>在采购人评审时查询到的信用记录结果中显示被列入失信被执行人、重大税收违法案件当事人名单、政府采购严重违法失信行为记录名单，其投标作无效投标处理。</w:t>
      </w:r>
    </w:p>
    <w:p>
      <w:pPr>
        <w:spacing w:line="360" w:lineRule="auto"/>
        <w:jc w:val="left"/>
        <w:rPr>
          <w:rFonts w:hint="eastAsia"/>
          <w:b/>
          <w:sz w:val="24"/>
          <w:szCs w:val="24"/>
        </w:rPr>
      </w:pPr>
      <w:r>
        <w:rPr>
          <w:rFonts w:hint="eastAsia" w:ascii="宋体" w:hAnsi="宋体" w:cs="微软雅黑"/>
          <w:b w:val="0"/>
          <w:bCs w:val="0"/>
          <w:sz w:val="24"/>
          <w:szCs w:val="24"/>
        </w:rPr>
        <w:t>（2）如</w:t>
      </w:r>
      <w:r>
        <w:rPr>
          <w:rFonts w:hint="eastAsia" w:ascii="宋体" w:hAnsi="宋体" w:cs="微软雅黑"/>
          <w:b w:val="0"/>
          <w:bCs w:val="0"/>
          <w:sz w:val="24"/>
          <w:szCs w:val="24"/>
          <w:lang w:eastAsia="zh-CN"/>
        </w:rPr>
        <w:t>供应商</w:t>
      </w:r>
      <w:r>
        <w:rPr>
          <w:rFonts w:hint="eastAsia" w:ascii="宋体" w:hAnsi="宋体" w:cs="微软雅黑"/>
          <w:b w:val="0"/>
          <w:bCs w:val="0"/>
          <w:sz w:val="24"/>
          <w:szCs w:val="24"/>
        </w:rPr>
        <w:t>在采购人评审时查询到的信用记录结果中显示其在参加本次政府采购活动前三年内，在经营活动中因违法经营受到刑事处罚或者责令停产停业、吊销许可证或者执照、较大数额罚款等行政处罚的，属于存在重大违法记录，作无效投标处理</w:t>
      </w:r>
      <w:r>
        <w:rPr>
          <w:rFonts w:hint="eastAsia" w:hAnsi="宋体" w:cs="微软雅黑"/>
          <w:b w:val="0"/>
          <w:bCs w:val="0"/>
          <w:sz w:val="24"/>
          <w:szCs w:val="24"/>
          <w:lang w:eastAsia="zh-CN"/>
        </w:rPr>
        <w:t>。</w:t>
      </w:r>
    </w:p>
    <w:p>
      <w:pPr>
        <w:spacing w:line="360" w:lineRule="auto"/>
        <w:rPr>
          <w:rFonts w:hint="eastAsia" w:hAnsi="宋体"/>
          <w:b/>
          <w:color w:val="000000"/>
          <w:sz w:val="24"/>
          <w:szCs w:val="24"/>
        </w:rPr>
      </w:pPr>
    </w:p>
    <w:p>
      <w:pPr>
        <w:spacing w:line="360" w:lineRule="auto"/>
        <w:ind w:left="590" w:hanging="590" w:hangingChars="245"/>
        <w:jc w:val="both"/>
        <w:rPr>
          <w:rFonts w:hint="eastAsia" w:ascii="宋体" w:hAnsi="宋体"/>
          <w:b/>
          <w:sz w:val="24"/>
          <w:szCs w:val="24"/>
        </w:rPr>
      </w:pPr>
      <w:r>
        <w:rPr>
          <w:rFonts w:hint="eastAsia" w:ascii="宋体" w:hAnsi="宋体"/>
          <w:b/>
          <w:sz w:val="24"/>
          <w:szCs w:val="24"/>
        </w:rPr>
        <w:t>附件</w:t>
      </w:r>
      <w:r>
        <w:rPr>
          <w:rFonts w:hint="eastAsia" w:ascii="宋体" w:hAnsi="宋体"/>
          <w:b/>
          <w:sz w:val="24"/>
          <w:szCs w:val="24"/>
          <w:lang w:val="en-US" w:eastAsia="zh-CN"/>
        </w:rPr>
        <w:t xml:space="preserve">2 </w:t>
      </w:r>
      <w:r>
        <w:rPr>
          <w:rFonts w:hint="eastAsia" w:ascii="宋体" w:hAnsi="宋体"/>
          <w:b/>
          <w:sz w:val="24"/>
          <w:szCs w:val="24"/>
        </w:rPr>
        <w:t>★授权</w:t>
      </w:r>
      <w:r>
        <w:rPr>
          <w:rFonts w:hint="eastAsia" w:ascii="宋体" w:hAnsi="宋体"/>
          <w:b/>
          <w:sz w:val="24"/>
          <w:szCs w:val="24"/>
          <w:lang w:eastAsia="zh-CN"/>
        </w:rPr>
        <w:t>委托</w:t>
      </w:r>
      <w:r>
        <w:rPr>
          <w:rFonts w:hint="eastAsia" w:ascii="宋体" w:hAnsi="宋体"/>
          <w:b/>
          <w:sz w:val="24"/>
          <w:szCs w:val="24"/>
        </w:rPr>
        <w:t>书</w:t>
      </w:r>
      <w:r>
        <w:rPr>
          <w:rFonts w:hint="eastAsia" w:ascii="宋体" w:hAnsi="宋体"/>
          <w:b/>
          <w:sz w:val="24"/>
          <w:szCs w:val="24"/>
          <w:lang w:eastAsia="zh-CN"/>
        </w:rPr>
        <w:t>：</w:t>
      </w:r>
      <w:r>
        <w:rPr>
          <w:rFonts w:hint="eastAsia" w:ascii="宋体" w:hAnsi="宋体"/>
          <w:b/>
          <w:sz w:val="24"/>
          <w:szCs w:val="24"/>
        </w:rPr>
        <w:t>须法定代表人签字(或名章) 及被授权人签字并加盖</w:t>
      </w:r>
      <w:r>
        <w:rPr>
          <w:rFonts w:hint="eastAsia" w:ascii="宋体" w:hAnsi="宋体"/>
          <w:b/>
          <w:sz w:val="24"/>
          <w:szCs w:val="24"/>
          <w:lang w:eastAsia="zh-CN"/>
        </w:rPr>
        <w:t>供应商</w:t>
      </w:r>
      <w:r>
        <w:rPr>
          <w:rFonts w:hint="eastAsia" w:ascii="宋体" w:hAnsi="宋体"/>
          <w:b/>
          <w:sz w:val="24"/>
          <w:szCs w:val="24"/>
        </w:rPr>
        <w:t>公章</w:t>
      </w:r>
    </w:p>
    <w:p>
      <w:pPr>
        <w:spacing w:before="312" w:beforeLines="100" w:line="360" w:lineRule="auto"/>
        <w:jc w:val="left"/>
        <w:rPr>
          <w:rFonts w:hint="eastAsia" w:ascii="宋体" w:hAnsi="宋体"/>
          <w:b/>
          <w:color w:val="auto"/>
          <w:sz w:val="24"/>
          <w:szCs w:val="24"/>
        </w:rPr>
      </w:pPr>
      <w:r>
        <w:rPr>
          <w:rFonts w:hint="eastAsia" w:ascii="宋体" w:hAnsi="宋体"/>
          <w:b/>
          <w:sz w:val="24"/>
          <w:szCs w:val="24"/>
          <w:lang w:eastAsia="zh-CN"/>
        </w:rPr>
        <w:t>授权委托书</w:t>
      </w:r>
    </w:p>
    <w:p>
      <w:pPr>
        <w:tabs>
          <w:tab w:val="left" w:pos="630"/>
        </w:tabs>
        <w:adjustRightInd w:val="0"/>
        <w:snapToGrid w:val="0"/>
        <w:spacing w:before="156" w:beforeLines="50" w:after="312" w:afterLines="100"/>
        <w:rPr>
          <w:rFonts w:hint="eastAsia" w:ascii="宋体" w:hAnsi="宋体"/>
          <w:sz w:val="24"/>
          <w:szCs w:val="24"/>
        </w:rPr>
      </w:pPr>
      <w:r>
        <w:rPr>
          <w:rFonts w:hint="eastAsia" w:ascii="宋体" w:hAnsi="宋体"/>
          <w:sz w:val="24"/>
          <w:szCs w:val="24"/>
        </w:rPr>
        <w:t>北京市石景山区政府采购中心：</w:t>
      </w:r>
    </w:p>
    <w:p>
      <w:pPr>
        <w:tabs>
          <w:tab w:val="left" w:pos="630"/>
        </w:tabs>
        <w:adjustRightInd w:val="0"/>
        <w:snapToGrid w:val="0"/>
        <w:spacing w:line="360" w:lineRule="auto"/>
        <w:ind w:firstLine="480" w:firstLineChars="200"/>
        <w:rPr>
          <w:rFonts w:hint="eastAsia" w:ascii="宋体" w:hAnsi="宋体"/>
          <w:sz w:val="24"/>
          <w:szCs w:val="24"/>
          <w:u w:val="single"/>
        </w:rPr>
      </w:pPr>
      <w:r>
        <w:rPr>
          <w:rFonts w:hint="eastAsia" w:ascii="宋体" w:hAnsi="宋体"/>
          <w:sz w:val="24"/>
          <w:szCs w:val="24"/>
        </w:rPr>
        <w:t>本授权书声明：注册于</w:t>
      </w:r>
      <w:r>
        <w:rPr>
          <w:rFonts w:hint="eastAsia" w:ascii="宋体" w:hAnsi="宋体"/>
          <w:sz w:val="24"/>
          <w:szCs w:val="24"/>
          <w:u w:val="single"/>
        </w:rPr>
        <w:t>（国家或地区的名称）</w:t>
      </w:r>
      <w:r>
        <w:rPr>
          <w:rFonts w:hint="eastAsia" w:ascii="宋体" w:hAnsi="宋体"/>
          <w:sz w:val="24"/>
          <w:szCs w:val="24"/>
        </w:rPr>
        <w:t>的</w:t>
      </w:r>
      <w:r>
        <w:rPr>
          <w:rFonts w:hint="eastAsia" w:ascii="宋体" w:hAnsi="宋体"/>
          <w:sz w:val="24"/>
          <w:szCs w:val="24"/>
          <w:u w:val="single"/>
        </w:rPr>
        <w:t>（公司名称）</w:t>
      </w:r>
      <w:r>
        <w:rPr>
          <w:rFonts w:hint="eastAsia" w:ascii="宋体" w:hAnsi="宋体"/>
          <w:sz w:val="24"/>
          <w:szCs w:val="24"/>
        </w:rPr>
        <w:t>的</w:t>
      </w:r>
      <w:r>
        <w:rPr>
          <w:rFonts w:hint="eastAsia" w:ascii="宋体" w:hAnsi="宋体"/>
          <w:sz w:val="24"/>
          <w:szCs w:val="24"/>
          <w:u w:val="single"/>
        </w:rPr>
        <w:t>（法定代表人姓名、职务）</w:t>
      </w:r>
      <w:r>
        <w:rPr>
          <w:rFonts w:hint="eastAsia" w:ascii="宋体" w:hAnsi="宋体"/>
          <w:sz w:val="24"/>
          <w:szCs w:val="24"/>
        </w:rPr>
        <w:t>代表本公司授权</w:t>
      </w:r>
      <w:r>
        <w:rPr>
          <w:rFonts w:hint="eastAsia" w:ascii="宋体" w:hAnsi="宋体"/>
          <w:sz w:val="24"/>
          <w:szCs w:val="24"/>
          <w:u w:val="single"/>
        </w:rPr>
        <w:t>（单位名称）</w:t>
      </w:r>
      <w:r>
        <w:rPr>
          <w:rFonts w:hint="eastAsia" w:ascii="宋体" w:hAnsi="宋体"/>
          <w:sz w:val="24"/>
          <w:szCs w:val="24"/>
        </w:rPr>
        <w:t>的</w:t>
      </w:r>
      <w:r>
        <w:rPr>
          <w:rFonts w:hint="eastAsia" w:ascii="宋体" w:hAnsi="宋体"/>
          <w:sz w:val="24"/>
          <w:szCs w:val="24"/>
          <w:u w:val="single"/>
        </w:rPr>
        <w:t>（被授权人的姓名、职务）</w:t>
      </w:r>
      <w:r>
        <w:rPr>
          <w:rFonts w:hint="eastAsia" w:ascii="宋体" w:hAnsi="宋体"/>
          <w:sz w:val="24"/>
          <w:szCs w:val="24"/>
        </w:rPr>
        <w:t>为本公司的合法代理人，就</w:t>
      </w:r>
      <w:r>
        <w:rPr>
          <w:rFonts w:hint="eastAsia" w:ascii="宋体" w:hAnsi="宋体"/>
          <w:sz w:val="24"/>
          <w:szCs w:val="24"/>
          <w:u w:val="single"/>
        </w:rPr>
        <w:t>项目名称（项目编号）</w:t>
      </w:r>
      <w:r>
        <w:rPr>
          <w:rFonts w:hint="eastAsia" w:ascii="宋体" w:hAnsi="宋体"/>
          <w:sz w:val="24"/>
          <w:szCs w:val="24"/>
        </w:rPr>
        <w:t>的</w:t>
      </w:r>
      <w:r>
        <w:rPr>
          <w:rFonts w:hint="eastAsia" w:ascii="宋体" w:hAnsi="宋体"/>
          <w:sz w:val="24"/>
          <w:szCs w:val="24"/>
          <w:lang w:eastAsia="zh-CN"/>
        </w:rPr>
        <w:t>磋商</w:t>
      </w:r>
      <w:r>
        <w:rPr>
          <w:rFonts w:hint="eastAsia" w:ascii="宋体" w:hAnsi="宋体"/>
          <w:sz w:val="24"/>
          <w:szCs w:val="24"/>
        </w:rPr>
        <w:t>，以本公司名义处理一切与之有关的事务。</w:t>
      </w:r>
    </w:p>
    <w:p>
      <w:pPr>
        <w:pStyle w:val="3"/>
        <w:ind w:firstLine="480" w:firstLineChars="200"/>
        <w:jc w:val="both"/>
        <w:rPr>
          <w:rFonts w:hint="eastAsia" w:ascii="宋体" w:hAnsi="宋体"/>
          <w:b w:val="0"/>
          <w:bCs/>
          <w:sz w:val="24"/>
          <w:szCs w:val="24"/>
        </w:rPr>
      </w:pPr>
      <w:r>
        <w:rPr>
          <w:rFonts w:hint="eastAsia" w:ascii="宋体" w:hAnsi="宋体"/>
          <w:b w:val="0"/>
          <w:bCs/>
          <w:sz w:val="24"/>
          <w:szCs w:val="24"/>
        </w:rPr>
        <w:t>本授权书于</w:t>
      </w:r>
      <w:r>
        <w:rPr>
          <w:rFonts w:hint="eastAsia" w:ascii="宋体" w:hAnsi="宋体"/>
          <w:b w:val="0"/>
          <w:bCs/>
          <w:sz w:val="24"/>
          <w:szCs w:val="24"/>
          <w:u w:val="single"/>
        </w:rPr>
        <w:t xml:space="preserve">      </w:t>
      </w:r>
      <w:r>
        <w:rPr>
          <w:rFonts w:hint="eastAsia" w:ascii="宋体" w:hAnsi="宋体"/>
          <w:b w:val="0"/>
          <w:bCs/>
          <w:sz w:val="24"/>
          <w:szCs w:val="24"/>
        </w:rPr>
        <w:t>年</w:t>
      </w:r>
      <w:r>
        <w:rPr>
          <w:rFonts w:hint="eastAsia" w:ascii="宋体" w:hAnsi="宋体"/>
          <w:b w:val="0"/>
          <w:bCs/>
          <w:sz w:val="24"/>
          <w:szCs w:val="24"/>
          <w:u w:val="single"/>
        </w:rPr>
        <w:t xml:space="preserve">      </w:t>
      </w:r>
      <w:r>
        <w:rPr>
          <w:rFonts w:hint="eastAsia" w:ascii="宋体" w:hAnsi="宋体"/>
          <w:b w:val="0"/>
          <w:bCs/>
          <w:sz w:val="24"/>
          <w:szCs w:val="24"/>
        </w:rPr>
        <w:t>月</w:t>
      </w:r>
      <w:r>
        <w:rPr>
          <w:rFonts w:hint="eastAsia" w:ascii="宋体" w:hAnsi="宋体"/>
          <w:b w:val="0"/>
          <w:bCs/>
          <w:sz w:val="24"/>
          <w:szCs w:val="24"/>
          <w:u w:val="single"/>
        </w:rPr>
        <w:t xml:space="preserve">      </w:t>
      </w:r>
      <w:r>
        <w:rPr>
          <w:rFonts w:hint="eastAsia" w:ascii="宋体" w:hAnsi="宋体"/>
          <w:b w:val="0"/>
          <w:bCs/>
          <w:sz w:val="24"/>
          <w:szCs w:val="24"/>
        </w:rPr>
        <w:t>日生效,特此声明。</w:t>
      </w:r>
    </w:p>
    <w:p>
      <w:pPr>
        <w:tabs>
          <w:tab w:val="left" w:pos="630"/>
        </w:tabs>
        <w:adjustRightInd w:val="0"/>
        <w:snapToGrid w:val="0"/>
        <w:spacing w:before="156" w:beforeLines="50" w:after="156" w:afterLines="50"/>
        <w:ind w:left="5450" w:hanging="5450" w:hangingChars="2271"/>
        <w:rPr>
          <w:rFonts w:hint="eastAsia" w:ascii="宋体" w:hAnsi="宋体"/>
          <w:sz w:val="24"/>
          <w:szCs w:val="24"/>
        </w:rPr>
      </w:pPr>
      <w:r>
        <w:rPr>
          <w:rFonts w:hint="eastAsia" w:ascii="宋体" w:hAnsi="宋体"/>
          <w:sz w:val="24"/>
          <w:szCs w:val="24"/>
        </w:rPr>
        <w:t>法定代表人签字(或名章)：</w:t>
      </w:r>
    </w:p>
    <w:p>
      <w:pPr>
        <w:tabs>
          <w:tab w:val="left" w:pos="630"/>
        </w:tabs>
        <w:adjustRightInd w:val="0"/>
        <w:snapToGrid w:val="0"/>
        <w:spacing w:before="156" w:beforeLines="50" w:after="156" w:afterLines="50"/>
        <w:ind w:left="5450" w:hanging="5450" w:hangingChars="2271"/>
        <w:rPr>
          <w:rFonts w:hint="eastAsia" w:ascii="宋体" w:hAnsi="宋体"/>
          <w:sz w:val="24"/>
          <w:szCs w:val="24"/>
        </w:rPr>
      </w:pPr>
      <w:r>
        <w:rPr>
          <w:rFonts w:hint="eastAsia" w:ascii="宋体" w:hAnsi="宋体"/>
          <w:sz w:val="24"/>
          <w:szCs w:val="24"/>
        </w:rPr>
        <w:t>被授权人(签字)：</w:t>
      </w:r>
    </w:p>
    <w:p>
      <w:pPr>
        <w:tabs>
          <w:tab w:val="left" w:pos="630"/>
        </w:tabs>
        <w:adjustRightInd w:val="0"/>
        <w:snapToGrid w:val="0"/>
        <w:spacing w:before="156" w:beforeLines="50" w:after="156" w:afterLines="50"/>
        <w:ind w:left="5450" w:hanging="5450" w:hangingChars="2271"/>
        <w:rPr>
          <w:rFonts w:hint="eastAsia" w:ascii="宋体" w:hAnsi="宋体"/>
          <w:sz w:val="24"/>
          <w:szCs w:val="24"/>
        </w:rPr>
      </w:pPr>
      <w:r>
        <w:rPr>
          <w:rFonts w:hint="eastAsia" w:ascii="宋体" w:hAnsi="宋体"/>
          <w:sz w:val="24"/>
          <w:szCs w:val="24"/>
          <w:lang w:eastAsia="zh-CN"/>
        </w:rPr>
        <w:t>供应商</w:t>
      </w:r>
      <w:r>
        <w:rPr>
          <w:rFonts w:hint="eastAsia" w:ascii="宋体" w:hAnsi="宋体"/>
          <w:sz w:val="24"/>
          <w:szCs w:val="24"/>
        </w:rPr>
        <w:t>（公章）：</w:t>
      </w:r>
    </w:p>
    <w:p>
      <w:pPr>
        <w:tabs>
          <w:tab w:val="left" w:pos="630"/>
        </w:tabs>
        <w:adjustRightInd w:val="0"/>
        <w:snapToGrid w:val="0"/>
        <w:spacing w:before="156" w:beforeLines="50" w:after="156" w:afterLines="50"/>
        <w:rPr>
          <w:rFonts w:hint="eastAsia" w:ascii="宋体" w:hAnsi="宋体"/>
          <w:sz w:val="24"/>
          <w:szCs w:val="24"/>
        </w:rPr>
      </w:pPr>
      <w:r>
        <w:rPr>
          <w:rFonts w:hint="eastAsia" w:ascii="宋体" w:hAnsi="宋体"/>
          <w:sz w:val="24"/>
          <w:szCs w:val="24"/>
        </w:rPr>
        <w:t>被授权人职务：</w:t>
      </w:r>
    </w:p>
    <w:p>
      <w:pPr>
        <w:tabs>
          <w:tab w:val="left" w:pos="630"/>
        </w:tabs>
        <w:adjustRightInd w:val="0"/>
        <w:snapToGrid w:val="0"/>
        <w:spacing w:before="156" w:beforeLines="50" w:after="156" w:afterLines="50"/>
        <w:rPr>
          <w:rFonts w:hint="eastAsia" w:ascii="宋体" w:hAnsi="宋体"/>
          <w:spacing w:val="30"/>
          <w:sz w:val="24"/>
          <w:szCs w:val="24"/>
        </w:rPr>
      </w:pPr>
      <w:r>
        <w:rPr>
          <w:rFonts w:hint="eastAsia" w:ascii="宋体" w:hAnsi="宋体"/>
          <w:sz w:val="24"/>
          <w:szCs w:val="24"/>
        </w:rPr>
        <w:t>身份证号码</w:t>
      </w:r>
      <w:r>
        <w:rPr>
          <w:rFonts w:hint="eastAsia" w:ascii="宋体" w:hAnsi="宋体"/>
          <w:spacing w:val="30"/>
          <w:sz w:val="24"/>
          <w:szCs w:val="24"/>
        </w:rPr>
        <w:t>：</w:t>
      </w:r>
    </w:p>
    <w:p>
      <w:pPr>
        <w:tabs>
          <w:tab w:val="left" w:pos="630"/>
        </w:tabs>
        <w:adjustRightInd w:val="0"/>
        <w:snapToGrid w:val="0"/>
        <w:spacing w:before="156" w:beforeLines="50" w:after="156" w:afterLines="50"/>
        <w:rPr>
          <w:rFonts w:hint="eastAsia" w:ascii="宋体" w:hAnsi="宋体"/>
          <w:sz w:val="24"/>
          <w:szCs w:val="24"/>
        </w:rPr>
      </w:pPr>
      <w:r>
        <w:rPr>
          <w:rFonts w:hint="eastAsia" w:ascii="宋体" w:hAnsi="宋体"/>
          <w:sz w:val="24"/>
          <w:szCs w:val="24"/>
        </w:rPr>
        <w:t>手      机：</w:t>
      </w:r>
    </w:p>
    <w:p>
      <w:r>
        <w:rPr>
          <w:rFonts w:hint="eastAsia" w:ascii="宋体" w:hAnsi="宋体"/>
          <w:sz w:val="24"/>
          <w:szCs w:val="24"/>
        </w:rPr>
        <w:t>附：法定代表人及被授权人身份证复印件（加盖</w:t>
      </w:r>
      <w:r>
        <w:rPr>
          <w:rFonts w:hint="eastAsia" w:ascii="宋体" w:hAnsi="宋体"/>
          <w:sz w:val="24"/>
          <w:szCs w:val="24"/>
          <w:lang w:eastAsia="zh-CN"/>
        </w:rPr>
        <w:t>供应商</w:t>
      </w:r>
      <w:r>
        <w:rPr>
          <w:rFonts w:hint="eastAsia" w:ascii="宋体" w:hAnsi="宋体"/>
          <w:sz w:val="24"/>
          <w:szCs w:val="24"/>
        </w:rPr>
        <w:t>公章）</w:t>
      </w:r>
    </w:p>
    <w:p>
      <w:pPr>
        <w:spacing w:line="360" w:lineRule="auto"/>
        <w:rPr>
          <w:rFonts w:hint="eastAsia" w:ascii="宋体" w:hAnsi="宋体"/>
          <w:b/>
          <w:sz w:val="24"/>
          <w:szCs w:val="24"/>
        </w:rPr>
      </w:pPr>
    </w:p>
    <w:p>
      <w:pPr>
        <w:spacing w:line="360" w:lineRule="auto"/>
        <w:rPr>
          <w:rFonts w:hint="eastAsia" w:ascii="宋体" w:hAnsi="宋体"/>
          <w:sz w:val="24"/>
          <w:szCs w:val="24"/>
        </w:rPr>
      </w:pPr>
      <w:r>
        <w:rPr>
          <w:rFonts w:hint="eastAsia" w:ascii="宋体" w:hAnsi="宋体"/>
          <w:b/>
          <w:sz w:val="24"/>
          <w:szCs w:val="24"/>
        </w:rPr>
        <w:t>附件</w:t>
      </w:r>
      <w:r>
        <w:rPr>
          <w:rFonts w:hint="eastAsia" w:ascii="宋体" w:hAnsi="宋体"/>
          <w:b/>
          <w:sz w:val="24"/>
          <w:szCs w:val="24"/>
          <w:lang w:val="en-US" w:eastAsia="zh-CN"/>
        </w:rPr>
        <w:t>3</w:t>
      </w:r>
      <w:r>
        <w:rPr>
          <w:rFonts w:hint="eastAsia" w:ascii="宋体" w:hAnsi="宋体"/>
          <w:b/>
          <w:sz w:val="24"/>
          <w:szCs w:val="24"/>
        </w:rPr>
        <w:t>　报价函</w:t>
      </w:r>
      <w:r>
        <w:rPr>
          <w:rFonts w:hint="eastAsia" w:ascii="宋体" w:hAnsi="宋体"/>
          <w:sz w:val="24"/>
          <w:szCs w:val="24"/>
        </w:rPr>
        <w:t xml:space="preserve">   </w:t>
      </w:r>
    </w:p>
    <w:p>
      <w:pPr>
        <w:spacing w:line="360" w:lineRule="auto"/>
        <w:rPr>
          <w:rFonts w:hint="eastAsia" w:ascii="宋体" w:hAnsi="宋体"/>
          <w:sz w:val="24"/>
          <w:szCs w:val="24"/>
        </w:rPr>
      </w:pPr>
      <w:r>
        <w:rPr>
          <w:rFonts w:hint="eastAsia" w:ascii="宋体" w:hAnsi="宋体"/>
          <w:sz w:val="24"/>
          <w:szCs w:val="24"/>
        </w:rPr>
        <w:t>北京市石景山区政府采购中心：</w:t>
      </w:r>
    </w:p>
    <w:p>
      <w:pPr>
        <w:tabs>
          <w:tab w:val="left" w:pos="630"/>
        </w:tabs>
        <w:adjustRightInd w:val="0"/>
        <w:snapToGrid w:val="0"/>
        <w:spacing w:line="360" w:lineRule="auto"/>
        <w:ind w:firstLine="420"/>
        <w:rPr>
          <w:rFonts w:hint="eastAsia" w:ascii="宋体" w:hAnsi="宋体"/>
          <w:sz w:val="24"/>
          <w:szCs w:val="24"/>
        </w:rPr>
      </w:pPr>
      <w:r>
        <w:rPr>
          <w:rFonts w:hint="eastAsia" w:ascii="宋体" w:hAnsi="宋体"/>
          <w:sz w:val="24"/>
          <w:szCs w:val="24"/>
        </w:rPr>
        <w:t>__________________________（</w:t>
      </w:r>
      <w:r>
        <w:rPr>
          <w:rFonts w:hint="eastAsia" w:ascii="宋体" w:hAnsi="宋体"/>
          <w:sz w:val="24"/>
          <w:szCs w:val="24"/>
          <w:lang w:eastAsia="zh-CN"/>
        </w:rPr>
        <w:t>供应商</w:t>
      </w:r>
      <w:r>
        <w:rPr>
          <w:rFonts w:hint="eastAsia" w:ascii="宋体" w:hAnsi="宋体"/>
          <w:sz w:val="24"/>
          <w:szCs w:val="24"/>
        </w:rPr>
        <w:t>全称）授权_________________（全权代表姓名）_________________ （职务、职称）为全权代表，参加贵方组织的</w:t>
      </w:r>
      <w:r>
        <w:rPr>
          <w:rFonts w:hint="eastAsia" w:ascii="宋体" w:hAnsi="宋体"/>
          <w:color w:val="auto"/>
          <w:sz w:val="24"/>
          <w:szCs w:val="24"/>
        </w:rPr>
        <w:t>“2024年12月至2026年12月北京市石景山区财政局财政投资评审中介机构服务政府采购项目”（</w:t>
      </w:r>
      <w:r>
        <w:rPr>
          <w:rFonts w:hint="eastAsia" w:ascii="宋体" w:hAnsi="宋体"/>
          <w:color w:val="auto"/>
          <w:sz w:val="24"/>
          <w:szCs w:val="24"/>
          <w:lang w:eastAsia="zh-CN"/>
        </w:rPr>
        <w:t>项目</w:t>
      </w:r>
      <w:r>
        <w:rPr>
          <w:rFonts w:hint="eastAsia" w:ascii="宋体" w:hAnsi="宋体"/>
          <w:color w:val="auto"/>
          <w:sz w:val="24"/>
          <w:szCs w:val="24"/>
        </w:rPr>
        <w:t>编号：</w:t>
      </w:r>
      <w:r>
        <w:rPr>
          <w:rFonts w:hint="eastAsia" w:ascii="宋体" w:hAnsi="宋体" w:cs="Arial"/>
          <w:color w:val="auto"/>
          <w:sz w:val="24"/>
          <w:szCs w:val="24"/>
        </w:rPr>
        <w:t>11010724210200012744-XM001</w:t>
      </w:r>
      <w:r>
        <w:rPr>
          <w:rFonts w:hint="eastAsia" w:ascii="宋体" w:hAnsi="宋体"/>
          <w:color w:val="auto"/>
          <w:sz w:val="24"/>
          <w:szCs w:val="24"/>
          <w:lang w:val="en-US" w:eastAsia="zh-CN"/>
        </w:rPr>
        <w:t>)</w:t>
      </w:r>
      <w:r>
        <w:rPr>
          <w:rFonts w:hint="eastAsia" w:ascii="宋体" w:hAnsi="宋体"/>
          <w:color w:val="auto"/>
          <w:sz w:val="24"/>
          <w:szCs w:val="24"/>
        </w:rPr>
        <w:t>竞</w:t>
      </w:r>
      <w:r>
        <w:rPr>
          <w:rFonts w:hint="eastAsia" w:ascii="宋体" w:hAnsi="宋体"/>
          <w:sz w:val="24"/>
          <w:szCs w:val="24"/>
        </w:rPr>
        <w:t>争性磋商的有关活动，并对此项目进行响应。为此：</w:t>
      </w:r>
    </w:p>
    <w:p>
      <w:pPr>
        <w:tabs>
          <w:tab w:val="left" w:pos="630"/>
        </w:tabs>
        <w:adjustRightInd w:val="0"/>
        <w:snapToGrid w:val="0"/>
        <w:spacing w:line="360" w:lineRule="auto"/>
        <w:ind w:firstLine="420"/>
        <w:rPr>
          <w:rFonts w:hint="eastAsia" w:ascii="宋体" w:hAnsi="宋体"/>
          <w:sz w:val="24"/>
          <w:szCs w:val="24"/>
        </w:rPr>
      </w:pPr>
      <w:r>
        <w:rPr>
          <w:rFonts w:hint="eastAsia" w:ascii="宋体" w:hAnsi="宋体"/>
          <w:sz w:val="24"/>
          <w:szCs w:val="24"/>
        </w:rPr>
        <w:t>一、我方同意在本项目竞争性磋商文件中规定的报价在磋商之日起</w:t>
      </w:r>
      <w:r>
        <w:rPr>
          <w:rFonts w:hint="eastAsia" w:ascii="宋体" w:hAnsi="宋体"/>
          <w:sz w:val="24"/>
          <w:szCs w:val="24"/>
          <w:u w:val="single"/>
        </w:rPr>
        <w:t>90</w:t>
      </w:r>
      <w:r>
        <w:rPr>
          <w:rFonts w:hint="eastAsia" w:ascii="宋体" w:hAnsi="宋体"/>
          <w:sz w:val="24"/>
          <w:szCs w:val="24"/>
        </w:rPr>
        <w:t>天内遵守本响应文件中的承诺且在此期限期满之前均具有约束力。我方同意并遵守本竞争性磋商文件“</w:t>
      </w:r>
      <w:r>
        <w:rPr>
          <w:rFonts w:hint="eastAsia" w:ascii="宋体" w:hAnsi="宋体"/>
          <w:sz w:val="24"/>
          <w:szCs w:val="24"/>
          <w:lang w:eastAsia="zh-CN"/>
        </w:rPr>
        <w:t>供应商</w:t>
      </w:r>
      <w:r>
        <w:rPr>
          <w:rFonts w:hint="eastAsia" w:ascii="宋体" w:hAnsi="宋体"/>
          <w:sz w:val="24"/>
          <w:szCs w:val="24"/>
        </w:rPr>
        <w:t>须知”中第九条第二款关于延长报价有效期的规定。</w:t>
      </w:r>
    </w:p>
    <w:p>
      <w:pPr>
        <w:tabs>
          <w:tab w:val="left" w:pos="630"/>
        </w:tabs>
        <w:adjustRightInd w:val="0"/>
        <w:snapToGrid w:val="0"/>
        <w:spacing w:line="360" w:lineRule="auto"/>
        <w:ind w:firstLine="420"/>
        <w:rPr>
          <w:rFonts w:hint="eastAsia" w:ascii="宋体" w:hAnsi="宋体"/>
          <w:sz w:val="24"/>
          <w:szCs w:val="24"/>
        </w:rPr>
      </w:pPr>
      <w:r>
        <w:rPr>
          <w:rFonts w:hint="eastAsia" w:ascii="宋体" w:hAnsi="宋体"/>
          <w:sz w:val="24"/>
          <w:szCs w:val="24"/>
        </w:rPr>
        <w:t>二、我方承诺具备《中华人民共和国政府采购法》中规定的参加政府采购活动的</w:t>
      </w:r>
      <w:r>
        <w:rPr>
          <w:rFonts w:hint="eastAsia" w:ascii="宋体" w:hAnsi="宋体"/>
          <w:sz w:val="24"/>
          <w:szCs w:val="24"/>
          <w:lang w:eastAsia="zh-CN"/>
        </w:rPr>
        <w:t>供应商</w:t>
      </w:r>
      <w:r>
        <w:rPr>
          <w:rFonts w:hint="eastAsia" w:ascii="宋体" w:hAnsi="宋体"/>
          <w:sz w:val="24"/>
          <w:szCs w:val="24"/>
        </w:rPr>
        <w:t xml:space="preserve">应当具备的条件，并提供相应的证明材料： </w:t>
      </w:r>
    </w:p>
    <w:p>
      <w:pPr>
        <w:tabs>
          <w:tab w:val="left" w:pos="630"/>
        </w:tabs>
        <w:adjustRightInd w:val="0"/>
        <w:snapToGrid w:val="0"/>
        <w:spacing w:line="360" w:lineRule="auto"/>
        <w:ind w:left="420" w:leftChars="200" w:firstLine="480" w:firstLineChars="200"/>
        <w:rPr>
          <w:rFonts w:hint="eastAsia" w:ascii="宋体" w:hAnsi="宋体"/>
          <w:sz w:val="24"/>
          <w:szCs w:val="24"/>
        </w:rPr>
      </w:pPr>
      <w:r>
        <w:rPr>
          <w:rFonts w:hint="eastAsia" w:ascii="宋体" w:hAnsi="宋体"/>
          <w:sz w:val="24"/>
          <w:szCs w:val="24"/>
        </w:rPr>
        <w:t>1. 具有独立承担民事责任的能力；</w:t>
      </w:r>
    </w:p>
    <w:p>
      <w:pPr>
        <w:tabs>
          <w:tab w:val="left" w:pos="630"/>
        </w:tabs>
        <w:adjustRightInd w:val="0"/>
        <w:snapToGrid w:val="0"/>
        <w:spacing w:line="360" w:lineRule="auto"/>
        <w:ind w:left="420" w:leftChars="200" w:firstLine="480" w:firstLineChars="200"/>
        <w:rPr>
          <w:rFonts w:hint="eastAsia" w:ascii="宋体" w:hAnsi="宋体"/>
          <w:sz w:val="24"/>
          <w:szCs w:val="24"/>
        </w:rPr>
      </w:pPr>
      <w:r>
        <w:rPr>
          <w:rFonts w:hint="eastAsia" w:ascii="宋体" w:hAnsi="宋体"/>
          <w:sz w:val="24"/>
          <w:szCs w:val="24"/>
        </w:rPr>
        <w:t>2. 具有良好的商业信誉和健全的财务会计制度；</w:t>
      </w:r>
    </w:p>
    <w:p>
      <w:pPr>
        <w:tabs>
          <w:tab w:val="left" w:pos="630"/>
        </w:tabs>
        <w:adjustRightInd w:val="0"/>
        <w:snapToGrid w:val="0"/>
        <w:spacing w:line="360" w:lineRule="auto"/>
        <w:ind w:left="420" w:leftChars="200" w:firstLine="480" w:firstLineChars="200"/>
        <w:rPr>
          <w:rFonts w:hint="eastAsia" w:ascii="宋体" w:hAnsi="宋体"/>
          <w:sz w:val="24"/>
          <w:szCs w:val="24"/>
        </w:rPr>
      </w:pPr>
      <w:r>
        <w:rPr>
          <w:rFonts w:hint="eastAsia" w:ascii="宋体" w:hAnsi="宋体"/>
          <w:sz w:val="24"/>
          <w:szCs w:val="24"/>
        </w:rPr>
        <w:t>3. 具有履行合同所必需的货物和专业技术能力；</w:t>
      </w:r>
    </w:p>
    <w:p>
      <w:pPr>
        <w:tabs>
          <w:tab w:val="left" w:pos="630"/>
        </w:tabs>
        <w:adjustRightInd w:val="0"/>
        <w:snapToGrid w:val="0"/>
        <w:spacing w:line="360" w:lineRule="auto"/>
        <w:ind w:left="420" w:leftChars="200" w:firstLine="480" w:firstLineChars="200"/>
        <w:rPr>
          <w:rFonts w:hint="eastAsia" w:ascii="宋体" w:hAnsi="宋体"/>
          <w:sz w:val="24"/>
          <w:szCs w:val="24"/>
        </w:rPr>
      </w:pPr>
      <w:r>
        <w:rPr>
          <w:rFonts w:hint="eastAsia" w:ascii="宋体" w:hAnsi="宋体"/>
          <w:sz w:val="24"/>
          <w:szCs w:val="24"/>
        </w:rPr>
        <w:t>4. 有依法缴纳税收和社会保障资金的良好记录；</w:t>
      </w:r>
    </w:p>
    <w:p>
      <w:pPr>
        <w:tabs>
          <w:tab w:val="left" w:pos="630"/>
        </w:tabs>
        <w:adjustRightInd w:val="0"/>
        <w:snapToGrid w:val="0"/>
        <w:spacing w:line="360" w:lineRule="auto"/>
        <w:ind w:left="420" w:leftChars="200" w:firstLine="480" w:firstLineChars="200"/>
        <w:rPr>
          <w:rFonts w:hint="eastAsia" w:ascii="宋体" w:hAnsi="宋体"/>
          <w:sz w:val="24"/>
          <w:szCs w:val="24"/>
        </w:rPr>
      </w:pPr>
      <w:r>
        <w:rPr>
          <w:rFonts w:hint="eastAsia" w:ascii="宋体" w:hAnsi="宋体"/>
          <w:sz w:val="24"/>
          <w:szCs w:val="24"/>
        </w:rPr>
        <w:t>5. 参加此项采购活动前三年内，在经营活动中没有重大违法记录。</w:t>
      </w:r>
    </w:p>
    <w:p>
      <w:pPr>
        <w:pStyle w:val="24"/>
        <w:tabs>
          <w:tab w:val="left" w:pos="5580"/>
        </w:tabs>
        <w:spacing w:line="300" w:lineRule="auto"/>
        <w:ind w:firstLine="480" w:firstLineChars="200"/>
        <w:rPr>
          <w:rFonts w:hint="eastAsia" w:hAnsi="宋体"/>
          <w:sz w:val="24"/>
          <w:szCs w:val="24"/>
        </w:rPr>
      </w:pPr>
      <w:r>
        <w:rPr>
          <w:rFonts w:hint="eastAsia" w:hAnsi="宋体"/>
          <w:sz w:val="24"/>
          <w:szCs w:val="24"/>
        </w:rPr>
        <w:t>三、我方承诺，与贵方聘请的为此项目提供咨询服务的公司及任何附属机构均无关联，我方不是贵方的附属机构。</w:t>
      </w:r>
    </w:p>
    <w:p>
      <w:pPr>
        <w:tabs>
          <w:tab w:val="left" w:pos="630"/>
        </w:tabs>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四、我方已详细阅读全部竞争性磋商文件及全部参考资料和有关附件。我方已经完全理解了竞争性磋商文件中的各项内容和各项权利义务的真实含义，并承诺在发生争议时不会以对竞争性磋商文件存在误解、不明白的条款为由，对贵中心行使任何法律上的抗辩权。</w:t>
      </w:r>
    </w:p>
    <w:p>
      <w:pPr>
        <w:tabs>
          <w:tab w:val="left" w:pos="630"/>
        </w:tabs>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五、提供竞争性磋商文件规定的全部文件，包括响应文件正本1份、响应文件副本2份。</w:t>
      </w:r>
    </w:p>
    <w:p>
      <w:pPr>
        <w:tabs>
          <w:tab w:val="left" w:pos="630"/>
        </w:tabs>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六、按竞争性磋商文件要求提供和交付的货物和服务的报价详见响应文件。</w:t>
      </w:r>
    </w:p>
    <w:p>
      <w:pPr>
        <w:tabs>
          <w:tab w:val="left" w:pos="630"/>
        </w:tabs>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七、保证忠实地执行双方所签订的合同，并承担合同规定的责任和义务。</w:t>
      </w:r>
    </w:p>
    <w:p>
      <w:pPr>
        <w:tabs>
          <w:tab w:val="left" w:pos="630"/>
        </w:tabs>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八、承诺完全满足和响应竞争性磋商文件中的各项商务和技术要求，若有偏差，已在响应文件中显著处予以明确特别说明。</w:t>
      </w:r>
    </w:p>
    <w:p>
      <w:pPr>
        <w:tabs>
          <w:tab w:val="left" w:pos="630"/>
        </w:tabs>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九、保证遵守竞争性磋商文件的规定。</w:t>
      </w:r>
    </w:p>
    <w:p>
      <w:pPr>
        <w:tabs>
          <w:tab w:val="left" w:pos="630"/>
        </w:tabs>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十、我方同意贵方提出的最低报价不作为成交保证的规定。</w:t>
      </w:r>
    </w:p>
    <w:p>
      <w:pPr>
        <w:tabs>
          <w:tab w:val="left" w:pos="630"/>
        </w:tabs>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十一、我方愿意如实提供任何与本项磋商有关的数据、情况和技术资料。</w:t>
      </w:r>
    </w:p>
    <w:p>
      <w:pPr>
        <w:tabs>
          <w:tab w:val="left" w:pos="735"/>
        </w:tabs>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十二、我方已详细审核全部响应文件，包括响应文件修改书（如有的话）、参考资料及有关附件，确认无误。</w:t>
      </w:r>
    </w:p>
    <w:p>
      <w:pPr>
        <w:tabs>
          <w:tab w:val="left" w:pos="630"/>
        </w:tabs>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十三、我方承诺：贵方若需追加采购本项目竞争性磋商文件所列相关服务的，在不改变合同其他实质性条款的前提下，按相同或更优惠的优惠幅度保证</w:t>
      </w:r>
      <w:r>
        <w:rPr>
          <w:rFonts w:hint="eastAsia" w:ascii="宋体" w:hAnsi="宋体"/>
          <w:sz w:val="24"/>
          <w:szCs w:val="24"/>
          <w:lang w:eastAsia="zh-CN"/>
        </w:rPr>
        <w:t>服务</w:t>
      </w:r>
      <w:r>
        <w:rPr>
          <w:rFonts w:hint="eastAsia" w:ascii="宋体" w:hAnsi="宋体"/>
          <w:sz w:val="24"/>
          <w:szCs w:val="24"/>
        </w:rPr>
        <w:t>。</w:t>
      </w:r>
    </w:p>
    <w:p>
      <w:pPr>
        <w:tabs>
          <w:tab w:val="left" w:pos="735"/>
        </w:tabs>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十四、我方将严格遵守《中华人民共和国政府采购法》的有关规定，若有下列情形之一的，将被有关部门处罚，列入不良行为记录名单，在一至三年内禁止参加政府采购活动；有违法所得的，并处没收违法所得；情节严重的，由工商行政管理机关吊销营业执照；构成犯罪的，依法追究刑事责任：</w:t>
      </w:r>
    </w:p>
    <w:p>
      <w:pPr>
        <w:tabs>
          <w:tab w:val="left" w:pos="630"/>
        </w:tabs>
        <w:adjustRightInd w:val="0"/>
        <w:snapToGrid w:val="0"/>
        <w:spacing w:line="360" w:lineRule="auto"/>
        <w:ind w:left="420" w:leftChars="200" w:firstLine="240" w:firstLineChars="100"/>
        <w:rPr>
          <w:rFonts w:hint="eastAsia" w:ascii="宋体" w:hAnsi="宋体"/>
          <w:sz w:val="24"/>
          <w:szCs w:val="24"/>
        </w:rPr>
      </w:pPr>
      <w:r>
        <w:rPr>
          <w:rFonts w:hint="eastAsia" w:ascii="宋体" w:hAnsi="宋体"/>
          <w:sz w:val="24"/>
          <w:szCs w:val="24"/>
        </w:rPr>
        <w:t>1. 提供虚假材料谋取成交的；</w:t>
      </w:r>
    </w:p>
    <w:p>
      <w:pPr>
        <w:tabs>
          <w:tab w:val="left" w:pos="630"/>
        </w:tabs>
        <w:adjustRightInd w:val="0"/>
        <w:snapToGrid w:val="0"/>
        <w:spacing w:line="360" w:lineRule="auto"/>
        <w:ind w:left="420" w:leftChars="200" w:firstLine="240" w:firstLineChars="100"/>
        <w:rPr>
          <w:rFonts w:hint="eastAsia" w:ascii="宋体" w:hAnsi="宋体"/>
          <w:sz w:val="24"/>
          <w:szCs w:val="24"/>
        </w:rPr>
      </w:pPr>
      <w:r>
        <w:rPr>
          <w:rFonts w:hint="eastAsia" w:ascii="宋体" w:hAnsi="宋体"/>
          <w:sz w:val="24"/>
          <w:szCs w:val="24"/>
        </w:rPr>
        <w:t>2. 采取不正当手段诋毁、排挤其他</w:t>
      </w:r>
      <w:r>
        <w:rPr>
          <w:rFonts w:hint="eastAsia" w:ascii="宋体" w:hAnsi="宋体"/>
          <w:sz w:val="24"/>
          <w:szCs w:val="24"/>
          <w:lang w:eastAsia="zh-CN"/>
        </w:rPr>
        <w:t>供应商</w:t>
      </w:r>
      <w:r>
        <w:rPr>
          <w:rFonts w:hint="eastAsia" w:ascii="宋体" w:hAnsi="宋体"/>
          <w:sz w:val="24"/>
          <w:szCs w:val="24"/>
        </w:rPr>
        <w:t>的；</w:t>
      </w:r>
    </w:p>
    <w:p>
      <w:pPr>
        <w:tabs>
          <w:tab w:val="left" w:pos="630"/>
        </w:tabs>
        <w:adjustRightInd w:val="0"/>
        <w:snapToGrid w:val="0"/>
        <w:spacing w:line="360" w:lineRule="auto"/>
        <w:ind w:left="420" w:leftChars="200" w:firstLine="240" w:firstLineChars="100"/>
        <w:rPr>
          <w:rFonts w:hint="eastAsia" w:ascii="宋体" w:hAnsi="宋体"/>
          <w:sz w:val="24"/>
          <w:szCs w:val="24"/>
        </w:rPr>
      </w:pPr>
      <w:r>
        <w:rPr>
          <w:rFonts w:hint="eastAsia" w:ascii="宋体" w:hAnsi="宋体"/>
          <w:sz w:val="24"/>
          <w:szCs w:val="24"/>
        </w:rPr>
        <w:t>3. 与其他</w:t>
      </w:r>
      <w:r>
        <w:rPr>
          <w:rFonts w:hint="eastAsia" w:ascii="宋体" w:hAnsi="宋体"/>
          <w:sz w:val="24"/>
          <w:szCs w:val="24"/>
          <w:lang w:eastAsia="zh-CN"/>
        </w:rPr>
        <w:t>供应商</w:t>
      </w:r>
      <w:r>
        <w:rPr>
          <w:rFonts w:hint="eastAsia" w:ascii="宋体" w:hAnsi="宋体"/>
          <w:sz w:val="24"/>
          <w:szCs w:val="24"/>
        </w:rPr>
        <w:t>或磋商小组恶意串通的；</w:t>
      </w:r>
    </w:p>
    <w:p>
      <w:pPr>
        <w:tabs>
          <w:tab w:val="left" w:pos="630"/>
        </w:tabs>
        <w:adjustRightInd w:val="0"/>
        <w:snapToGrid w:val="0"/>
        <w:spacing w:line="360" w:lineRule="auto"/>
        <w:ind w:left="420" w:leftChars="200" w:firstLine="240" w:firstLineChars="100"/>
        <w:rPr>
          <w:rFonts w:hint="eastAsia" w:ascii="宋体" w:hAnsi="宋体"/>
          <w:sz w:val="24"/>
          <w:szCs w:val="24"/>
        </w:rPr>
      </w:pPr>
      <w:r>
        <w:rPr>
          <w:rFonts w:hint="eastAsia" w:ascii="宋体" w:hAnsi="宋体"/>
          <w:sz w:val="24"/>
          <w:szCs w:val="24"/>
        </w:rPr>
        <w:t>4. 向磋商小组行贿或提供其他不正当利益的；</w:t>
      </w:r>
    </w:p>
    <w:p>
      <w:pPr>
        <w:tabs>
          <w:tab w:val="left" w:pos="630"/>
        </w:tabs>
        <w:adjustRightInd w:val="0"/>
        <w:snapToGrid w:val="0"/>
        <w:spacing w:line="360" w:lineRule="auto"/>
        <w:ind w:left="420" w:leftChars="200" w:firstLine="240" w:firstLineChars="100"/>
        <w:rPr>
          <w:rFonts w:hint="eastAsia" w:ascii="宋体" w:hAnsi="宋体"/>
          <w:sz w:val="24"/>
          <w:szCs w:val="24"/>
        </w:rPr>
      </w:pPr>
      <w:r>
        <w:rPr>
          <w:rFonts w:hint="eastAsia" w:ascii="宋体" w:hAnsi="宋体"/>
          <w:sz w:val="24"/>
          <w:szCs w:val="24"/>
        </w:rPr>
        <w:t>5. 拒绝有关部门监督检查或提供虚假情况的。</w:t>
      </w:r>
    </w:p>
    <w:p>
      <w:pPr>
        <w:tabs>
          <w:tab w:val="left" w:pos="630"/>
        </w:tabs>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十五、我方承诺：我方在本项目磋商中的陈述和本响应文件的一切资料均为真实合法，没有不实的描述、承诺或者伪造、变造的情形。如果我方在本项目磋商中做虚假陈述或者在响应文件中提供虚假资料，本响应文件无效，并自愿接受有关处罚，及由此带来的法律后果。</w:t>
      </w:r>
    </w:p>
    <w:p>
      <w:pPr>
        <w:tabs>
          <w:tab w:val="left" w:pos="630"/>
        </w:tabs>
        <w:adjustRightInd w:val="0"/>
        <w:snapToGrid w:val="0"/>
        <w:spacing w:before="144" w:beforeLines="60" w:line="360" w:lineRule="auto"/>
        <w:ind w:left="480" w:hanging="480" w:hangingChars="200"/>
        <w:rPr>
          <w:rFonts w:hint="eastAsia" w:ascii="宋体" w:hAnsi="宋体"/>
          <w:sz w:val="24"/>
          <w:szCs w:val="24"/>
        </w:rPr>
      </w:pPr>
      <w:r>
        <w:rPr>
          <w:rFonts w:hint="eastAsia" w:ascii="宋体" w:hAnsi="宋体"/>
          <w:sz w:val="24"/>
          <w:szCs w:val="24"/>
        </w:rPr>
        <w:t>与本次磋商有关的一切往来通讯请寄：</w:t>
      </w:r>
    </w:p>
    <w:p>
      <w:pPr>
        <w:tabs>
          <w:tab w:val="left" w:pos="630"/>
        </w:tabs>
        <w:adjustRightInd w:val="0"/>
        <w:snapToGrid w:val="0"/>
        <w:spacing w:line="360" w:lineRule="auto"/>
        <w:ind w:left="480" w:hanging="480" w:hangingChars="200"/>
        <w:rPr>
          <w:rFonts w:hint="eastAsia" w:ascii="宋体" w:hAnsi="宋体"/>
          <w:sz w:val="24"/>
          <w:szCs w:val="24"/>
          <w:u w:val="single"/>
        </w:rPr>
      </w:pPr>
      <w:r>
        <w:rPr>
          <w:rFonts w:hint="eastAsia" w:ascii="宋体" w:hAnsi="宋体"/>
          <w:sz w:val="24"/>
          <w:szCs w:val="24"/>
        </w:rPr>
        <w:t>地址：</w:t>
      </w:r>
      <w:r>
        <w:rPr>
          <w:rFonts w:hint="eastAsia" w:ascii="宋体" w:hAnsi="宋体"/>
          <w:sz w:val="24"/>
          <w:szCs w:val="24"/>
          <w:u w:val="single"/>
        </w:rPr>
        <w:t xml:space="preserve">                             </w:t>
      </w:r>
      <w:r>
        <w:rPr>
          <w:rFonts w:hint="eastAsia" w:ascii="宋体" w:hAnsi="宋体"/>
          <w:sz w:val="24"/>
          <w:szCs w:val="24"/>
        </w:rPr>
        <w:t>邮编：</w:t>
      </w:r>
      <w:r>
        <w:rPr>
          <w:rFonts w:hint="eastAsia" w:ascii="宋体" w:hAnsi="宋体"/>
          <w:sz w:val="24"/>
          <w:szCs w:val="24"/>
          <w:u w:val="single"/>
        </w:rPr>
        <w:t xml:space="preserve">                         </w:t>
      </w:r>
    </w:p>
    <w:p>
      <w:pPr>
        <w:tabs>
          <w:tab w:val="left" w:pos="630"/>
        </w:tabs>
        <w:adjustRightInd w:val="0"/>
        <w:snapToGrid w:val="0"/>
        <w:spacing w:line="360" w:lineRule="auto"/>
        <w:ind w:left="480" w:hanging="480" w:hangingChars="200"/>
        <w:rPr>
          <w:rFonts w:hint="eastAsia" w:ascii="宋体" w:hAnsi="宋体"/>
          <w:sz w:val="24"/>
          <w:szCs w:val="24"/>
        </w:rPr>
      </w:pPr>
      <w:r>
        <w:rPr>
          <w:rFonts w:hint="eastAsia" w:ascii="宋体" w:hAnsi="宋体"/>
          <w:sz w:val="24"/>
          <w:szCs w:val="24"/>
        </w:rPr>
        <w:t>电话：</w:t>
      </w:r>
      <w:r>
        <w:rPr>
          <w:rFonts w:hint="eastAsia" w:ascii="宋体" w:hAnsi="宋体"/>
          <w:sz w:val="24"/>
          <w:szCs w:val="24"/>
          <w:u w:val="single"/>
        </w:rPr>
        <w:t xml:space="preserve">                             </w:t>
      </w:r>
      <w:r>
        <w:rPr>
          <w:rFonts w:hint="eastAsia" w:ascii="宋体" w:hAnsi="宋体"/>
          <w:sz w:val="24"/>
          <w:szCs w:val="24"/>
        </w:rPr>
        <w:t>传真：</w:t>
      </w:r>
      <w:r>
        <w:rPr>
          <w:rFonts w:hint="eastAsia" w:ascii="宋体" w:hAnsi="宋体"/>
          <w:sz w:val="24"/>
          <w:szCs w:val="24"/>
          <w:u w:val="single"/>
        </w:rPr>
        <w:t xml:space="preserve">                         </w:t>
      </w:r>
    </w:p>
    <w:p>
      <w:pPr>
        <w:tabs>
          <w:tab w:val="left" w:pos="630"/>
        </w:tabs>
        <w:adjustRightInd w:val="0"/>
        <w:snapToGrid w:val="0"/>
        <w:spacing w:after="120" w:afterLines="50" w:line="360" w:lineRule="auto"/>
        <w:ind w:firstLine="5280" w:firstLineChars="2200"/>
        <w:rPr>
          <w:rFonts w:hint="eastAsia" w:ascii="宋体" w:hAnsi="宋体"/>
          <w:sz w:val="24"/>
          <w:szCs w:val="24"/>
        </w:rPr>
      </w:pPr>
      <w:r>
        <w:rPr>
          <w:rFonts w:hint="eastAsia" w:ascii="宋体" w:hAnsi="宋体"/>
          <w:sz w:val="24"/>
          <w:szCs w:val="24"/>
          <w:lang w:eastAsia="zh-CN"/>
        </w:rPr>
        <w:t>供应商</w:t>
      </w:r>
      <w:r>
        <w:rPr>
          <w:rFonts w:hint="eastAsia" w:ascii="宋体" w:hAnsi="宋体"/>
          <w:sz w:val="24"/>
          <w:szCs w:val="24"/>
        </w:rPr>
        <w:t>代表（签字）：</w:t>
      </w:r>
    </w:p>
    <w:p>
      <w:pPr>
        <w:tabs>
          <w:tab w:val="left" w:pos="630"/>
        </w:tabs>
        <w:adjustRightInd w:val="0"/>
        <w:snapToGrid w:val="0"/>
        <w:spacing w:after="120" w:afterLines="50" w:line="360" w:lineRule="auto"/>
        <w:ind w:firstLine="5280" w:firstLineChars="2200"/>
        <w:rPr>
          <w:rFonts w:hint="eastAsia" w:ascii="宋体" w:hAnsi="宋体"/>
          <w:sz w:val="24"/>
          <w:szCs w:val="24"/>
        </w:rPr>
      </w:pPr>
      <w:r>
        <w:rPr>
          <w:rFonts w:hint="eastAsia" w:ascii="宋体" w:hAnsi="宋体"/>
          <w:sz w:val="24"/>
          <w:szCs w:val="24"/>
          <w:lang w:eastAsia="zh-CN"/>
        </w:rPr>
        <w:t>供应商</w:t>
      </w:r>
      <w:r>
        <w:rPr>
          <w:rFonts w:hint="eastAsia" w:ascii="宋体" w:hAnsi="宋体"/>
          <w:sz w:val="24"/>
          <w:szCs w:val="24"/>
        </w:rPr>
        <w:t>（公章）：</w:t>
      </w:r>
    </w:p>
    <w:p>
      <w:pPr>
        <w:tabs>
          <w:tab w:val="left" w:pos="630"/>
        </w:tabs>
        <w:adjustRightInd w:val="0"/>
        <w:snapToGrid w:val="0"/>
        <w:spacing w:line="360" w:lineRule="auto"/>
        <w:ind w:right="840"/>
        <w:jc w:val="right"/>
        <w:rPr>
          <w:rFonts w:hint="eastAsia" w:ascii="宋体" w:hAnsi="宋体"/>
          <w:b/>
          <w:sz w:val="24"/>
          <w:szCs w:val="24"/>
        </w:rPr>
      </w:pPr>
      <w:r>
        <w:rPr>
          <w:rFonts w:hint="eastAsia" w:ascii="宋体" w:hAnsi="宋体"/>
          <w:sz w:val="24"/>
          <w:szCs w:val="24"/>
        </w:rPr>
        <w:t xml:space="preserve">日　期：   年  月   </w:t>
      </w:r>
      <w:r>
        <w:rPr>
          <w:rFonts w:hint="eastAsia" w:ascii="宋体" w:hAnsi="宋体"/>
          <w:sz w:val="24"/>
          <w:szCs w:val="24"/>
          <w:lang w:eastAsia="zh-CN"/>
        </w:rPr>
        <w:t>日</w:t>
      </w:r>
    </w:p>
    <w:p>
      <w:pPr>
        <w:pStyle w:val="4"/>
        <w:spacing w:line="360" w:lineRule="auto"/>
        <w:jc w:val="left"/>
        <w:rPr>
          <w:rFonts w:hint="eastAsia" w:ascii="宋体" w:hAnsi="宋体" w:eastAsia="宋体"/>
          <w:sz w:val="24"/>
          <w:szCs w:val="24"/>
        </w:rPr>
      </w:pPr>
      <w:bookmarkStart w:id="73" w:name="_Toc335645078"/>
      <w:r>
        <w:rPr>
          <w:rFonts w:hint="eastAsia" w:ascii="宋体" w:hAnsi="宋体" w:eastAsia="宋体"/>
          <w:sz w:val="24"/>
          <w:szCs w:val="24"/>
        </w:rPr>
        <w:t>附件</w:t>
      </w:r>
      <w:r>
        <w:rPr>
          <w:rFonts w:hint="eastAsia" w:ascii="宋体" w:hAnsi="宋体" w:eastAsia="宋体"/>
          <w:sz w:val="24"/>
          <w:szCs w:val="24"/>
          <w:lang w:val="en-US" w:eastAsia="zh-CN"/>
        </w:rPr>
        <w:t>4</w:t>
      </w:r>
      <w:r>
        <w:rPr>
          <w:rFonts w:hint="eastAsia" w:ascii="宋体" w:hAnsi="宋体" w:eastAsia="宋体"/>
          <w:sz w:val="24"/>
          <w:szCs w:val="24"/>
        </w:rPr>
        <w:t xml:space="preserve"> </w:t>
      </w:r>
      <w:r>
        <w:rPr>
          <w:rFonts w:hint="eastAsia" w:ascii="宋体" w:hAnsi="宋体" w:eastAsia="宋体"/>
          <w:sz w:val="24"/>
          <w:szCs w:val="24"/>
          <w:lang w:eastAsia="zh-CN"/>
        </w:rPr>
        <w:t>报价</w:t>
      </w:r>
      <w:r>
        <w:rPr>
          <w:rFonts w:hint="eastAsia" w:ascii="宋体" w:hAnsi="宋体" w:eastAsia="宋体"/>
          <w:sz w:val="24"/>
          <w:szCs w:val="24"/>
        </w:rPr>
        <w:t>一览表</w:t>
      </w:r>
      <w:bookmarkEnd w:id="73"/>
    </w:p>
    <w:p>
      <w:pPr>
        <w:pStyle w:val="2"/>
        <w:rPr>
          <w:rFonts w:hint="eastAsia"/>
        </w:rPr>
      </w:pPr>
    </w:p>
    <w:p>
      <w:pPr>
        <w:tabs>
          <w:tab w:val="left" w:pos="1800"/>
          <w:tab w:val="left" w:pos="5580"/>
        </w:tabs>
        <w:spacing w:line="360" w:lineRule="auto"/>
        <w:jc w:val="left"/>
        <w:rPr>
          <w:rFonts w:hint="eastAsia" w:ascii="宋体" w:hAnsi="宋体"/>
          <w:sz w:val="24"/>
          <w:szCs w:val="24"/>
        </w:rPr>
      </w:pPr>
      <w:r>
        <w:rPr>
          <w:rFonts w:hint="eastAsia" w:ascii="宋体" w:hAnsi="宋体"/>
          <w:sz w:val="24"/>
          <w:szCs w:val="24"/>
        </w:rPr>
        <w:t>项目名称：　　　                      　　　</w:t>
      </w:r>
    </w:p>
    <w:p>
      <w:pPr>
        <w:tabs>
          <w:tab w:val="left" w:pos="1800"/>
          <w:tab w:val="left" w:pos="5580"/>
        </w:tabs>
        <w:spacing w:line="360" w:lineRule="auto"/>
        <w:jc w:val="left"/>
        <w:rPr>
          <w:rFonts w:hint="eastAsia" w:ascii="宋体" w:hAnsi="宋体"/>
          <w:sz w:val="24"/>
          <w:szCs w:val="24"/>
        </w:rPr>
      </w:pPr>
      <w:r>
        <w:rPr>
          <w:rFonts w:hint="eastAsia" w:ascii="宋体" w:hAnsi="宋体"/>
          <w:sz w:val="24"/>
          <w:szCs w:val="24"/>
        </w:rPr>
        <w:t>项目编号：</w:t>
      </w:r>
    </w:p>
    <w:tbl>
      <w:tblPr>
        <w:tblStyle w:val="56"/>
        <w:tblW w:w="9082" w:type="dxa"/>
        <w:jc w:val="center"/>
        <w:tblInd w:w="-5" w:type="dxa"/>
        <w:tblLayout w:type="fixed"/>
        <w:tblCellMar>
          <w:top w:w="0" w:type="dxa"/>
          <w:left w:w="0" w:type="dxa"/>
          <w:bottom w:w="0" w:type="dxa"/>
          <w:right w:w="0" w:type="dxa"/>
        </w:tblCellMar>
      </w:tblPr>
      <w:tblGrid>
        <w:gridCol w:w="2547"/>
        <w:gridCol w:w="2547"/>
        <w:gridCol w:w="1924"/>
        <w:gridCol w:w="1341"/>
        <w:gridCol w:w="723"/>
      </w:tblGrid>
      <w:tr>
        <w:tblPrEx>
          <w:tblLayout w:type="fixed"/>
          <w:tblCellMar>
            <w:top w:w="0" w:type="dxa"/>
            <w:left w:w="0" w:type="dxa"/>
            <w:bottom w:w="0" w:type="dxa"/>
            <w:right w:w="0" w:type="dxa"/>
          </w:tblCellMar>
        </w:tblPrEx>
        <w:trPr>
          <w:trHeight w:val="662" w:hRule="atLeast"/>
          <w:jc w:val="center"/>
        </w:trPr>
        <w:tc>
          <w:tcPr>
            <w:tcW w:w="2547" w:type="dxa"/>
            <w:tcBorders>
              <w:top w:val="single" w:color="auto" w:sz="4" w:space="0"/>
              <w:left w:val="single" w:color="auto" w:sz="4" w:space="0"/>
              <w:bottom w:val="single" w:color="auto" w:sz="4" w:space="0"/>
              <w:right w:val="single" w:color="auto" w:sz="4" w:space="0"/>
            </w:tcBorders>
            <w:vAlign w:val="center"/>
          </w:tcPr>
          <w:p>
            <w:pPr>
              <w:tabs>
                <w:tab w:val="left" w:pos="5580"/>
              </w:tabs>
              <w:ind w:left="163" w:hanging="163"/>
              <w:jc w:val="center"/>
              <w:rPr>
                <w:rFonts w:hint="eastAsia" w:ascii="宋体" w:hAnsi="宋体"/>
                <w:sz w:val="24"/>
                <w:szCs w:val="24"/>
                <w:lang w:eastAsia="zh-CN"/>
              </w:rPr>
            </w:pPr>
            <w:r>
              <w:rPr>
                <w:rFonts w:hint="eastAsia" w:ascii="宋体" w:hAnsi="宋体"/>
                <w:sz w:val="24"/>
                <w:szCs w:val="24"/>
                <w:lang w:eastAsia="zh-CN"/>
              </w:rPr>
              <w:t>包号</w:t>
            </w:r>
          </w:p>
        </w:tc>
        <w:tc>
          <w:tcPr>
            <w:tcW w:w="2547" w:type="dxa"/>
            <w:tcBorders>
              <w:top w:val="single" w:color="auto" w:sz="4" w:space="0"/>
              <w:left w:val="single" w:color="auto" w:sz="4" w:space="0"/>
              <w:bottom w:val="single" w:color="auto" w:sz="4" w:space="0"/>
              <w:right w:val="single" w:color="auto" w:sz="4" w:space="0"/>
            </w:tcBorders>
            <w:vAlign w:val="center"/>
          </w:tcPr>
          <w:p>
            <w:pPr>
              <w:tabs>
                <w:tab w:val="left" w:pos="5580"/>
              </w:tabs>
              <w:ind w:left="163" w:hanging="163"/>
              <w:jc w:val="center"/>
              <w:rPr>
                <w:rFonts w:hint="eastAsia" w:ascii="宋体" w:hAnsi="宋体"/>
                <w:sz w:val="24"/>
                <w:szCs w:val="24"/>
                <w:lang w:eastAsia="zh-CN"/>
              </w:rPr>
            </w:pPr>
            <w:r>
              <w:rPr>
                <w:rFonts w:hint="eastAsia" w:ascii="宋体" w:hAnsi="宋体"/>
                <w:sz w:val="24"/>
                <w:szCs w:val="24"/>
                <w:lang w:eastAsia="zh-CN"/>
              </w:rPr>
              <w:t>供应商</w:t>
            </w:r>
            <w:r>
              <w:rPr>
                <w:rFonts w:hint="eastAsia" w:ascii="宋体" w:hAnsi="宋体"/>
                <w:sz w:val="24"/>
                <w:szCs w:val="24"/>
              </w:rPr>
              <w:t>名称</w:t>
            </w:r>
          </w:p>
        </w:tc>
        <w:tc>
          <w:tcPr>
            <w:tcW w:w="1924" w:type="dxa"/>
            <w:tcBorders>
              <w:top w:val="single" w:color="auto" w:sz="4" w:space="0"/>
              <w:left w:val="single" w:color="auto" w:sz="4" w:space="0"/>
              <w:bottom w:val="single" w:color="auto" w:sz="4" w:space="0"/>
              <w:right w:val="single" w:color="auto" w:sz="4" w:space="0"/>
            </w:tcBorders>
            <w:vAlign w:val="center"/>
          </w:tcPr>
          <w:p>
            <w:pPr>
              <w:tabs>
                <w:tab w:val="left" w:pos="5580"/>
              </w:tabs>
              <w:ind w:left="163" w:hanging="163"/>
              <w:jc w:val="center"/>
              <w:rPr>
                <w:rFonts w:ascii="宋体" w:hAnsi="宋体"/>
                <w:color w:val="auto"/>
                <w:sz w:val="24"/>
                <w:szCs w:val="24"/>
              </w:rPr>
            </w:pPr>
            <w:r>
              <w:rPr>
                <w:rFonts w:hint="eastAsia" w:ascii="宋体" w:hAnsi="宋体"/>
                <w:color w:val="auto"/>
                <w:sz w:val="24"/>
                <w:szCs w:val="24"/>
                <w:lang w:eastAsia="zh-CN"/>
              </w:rPr>
              <w:t>响应报</w:t>
            </w:r>
            <w:r>
              <w:rPr>
                <w:rFonts w:hint="eastAsia" w:ascii="宋体" w:hAnsi="宋体"/>
                <w:color w:val="auto"/>
                <w:sz w:val="24"/>
                <w:szCs w:val="24"/>
              </w:rPr>
              <w:t>价（元）</w:t>
            </w:r>
          </w:p>
        </w:tc>
        <w:tc>
          <w:tcPr>
            <w:tcW w:w="1341" w:type="dxa"/>
            <w:tcBorders>
              <w:top w:val="single" w:color="auto" w:sz="4" w:space="0"/>
              <w:left w:val="nil"/>
              <w:bottom w:val="single" w:color="auto" w:sz="4" w:space="0"/>
              <w:right w:val="single" w:color="auto" w:sz="4" w:space="0"/>
            </w:tcBorders>
            <w:vAlign w:val="center"/>
          </w:tcPr>
          <w:p>
            <w:pPr>
              <w:tabs>
                <w:tab w:val="left" w:pos="5580"/>
              </w:tabs>
              <w:jc w:val="center"/>
              <w:rPr>
                <w:rFonts w:ascii="宋体" w:hAnsi="宋体"/>
                <w:sz w:val="24"/>
                <w:szCs w:val="24"/>
              </w:rPr>
            </w:pPr>
            <w:r>
              <w:rPr>
                <w:rFonts w:hint="eastAsia" w:ascii="宋体" w:hAnsi="宋体"/>
                <w:sz w:val="24"/>
                <w:szCs w:val="24"/>
              </w:rPr>
              <w:t>服务期限</w:t>
            </w:r>
          </w:p>
        </w:tc>
        <w:tc>
          <w:tcPr>
            <w:tcW w:w="723"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hint="eastAsia" w:ascii="宋体" w:hAnsi="宋体" w:eastAsia="宋体"/>
                <w:sz w:val="24"/>
                <w:szCs w:val="24"/>
                <w:lang w:eastAsia="zh-CN"/>
              </w:rPr>
            </w:pPr>
            <w:r>
              <w:rPr>
                <w:rFonts w:hint="eastAsia" w:ascii="宋体" w:hAnsi="宋体" w:eastAsia="宋体"/>
                <w:sz w:val="24"/>
                <w:szCs w:val="24"/>
                <w:lang w:eastAsia="zh-CN"/>
              </w:rPr>
              <w:t>备注</w:t>
            </w:r>
          </w:p>
        </w:tc>
      </w:tr>
      <w:tr>
        <w:tblPrEx>
          <w:tblLayout w:type="fixed"/>
          <w:tblCellMar>
            <w:top w:w="0" w:type="dxa"/>
            <w:left w:w="0" w:type="dxa"/>
            <w:bottom w:w="0" w:type="dxa"/>
            <w:right w:w="0" w:type="dxa"/>
          </w:tblCellMar>
        </w:tblPrEx>
        <w:trPr>
          <w:cantSplit/>
          <w:trHeight w:val="1741" w:hRule="atLeast"/>
          <w:jc w:val="center"/>
        </w:trPr>
        <w:tc>
          <w:tcPr>
            <w:tcW w:w="2547" w:type="dxa"/>
            <w:tcBorders>
              <w:top w:val="single" w:color="auto" w:sz="4" w:space="0"/>
              <w:left w:val="single" w:color="auto" w:sz="4" w:space="0"/>
              <w:bottom w:val="single" w:color="auto" w:sz="4" w:space="0"/>
              <w:right w:val="single" w:color="auto" w:sz="4" w:space="0"/>
            </w:tcBorders>
            <w:vAlign w:val="center"/>
          </w:tcPr>
          <w:p>
            <w:pPr>
              <w:tabs>
                <w:tab w:val="left" w:pos="1800"/>
                <w:tab w:val="left" w:pos="5580"/>
              </w:tabs>
              <w:spacing w:line="360" w:lineRule="auto"/>
              <w:ind w:firstLine="45" w:firstLineChars="19"/>
              <w:jc w:val="left"/>
              <w:rPr>
                <w:rFonts w:ascii="宋体" w:hAnsi="宋体"/>
                <w:sz w:val="24"/>
                <w:szCs w:val="24"/>
              </w:rPr>
            </w:pPr>
          </w:p>
        </w:tc>
        <w:tc>
          <w:tcPr>
            <w:tcW w:w="2547" w:type="dxa"/>
            <w:tcBorders>
              <w:top w:val="single" w:color="auto" w:sz="4" w:space="0"/>
              <w:left w:val="single" w:color="auto" w:sz="4" w:space="0"/>
              <w:bottom w:val="single" w:color="auto" w:sz="4" w:space="0"/>
              <w:right w:val="single" w:color="auto" w:sz="4" w:space="0"/>
            </w:tcBorders>
            <w:vAlign w:val="center"/>
          </w:tcPr>
          <w:p>
            <w:pPr>
              <w:tabs>
                <w:tab w:val="left" w:pos="1800"/>
                <w:tab w:val="left" w:pos="5580"/>
              </w:tabs>
              <w:spacing w:line="360" w:lineRule="auto"/>
              <w:ind w:firstLine="45" w:firstLineChars="19"/>
              <w:jc w:val="left"/>
              <w:rPr>
                <w:rFonts w:ascii="宋体" w:hAnsi="宋体"/>
                <w:sz w:val="24"/>
                <w:szCs w:val="24"/>
              </w:rPr>
            </w:pPr>
          </w:p>
        </w:tc>
        <w:tc>
          <w:tcPr>
            <w:tcW w:w="1924" w:type="dxa"/>
            <w:tcBorders>
              <w:top w:val="single" w:color="auto" w:sz="4" w:space="0"/>
              <w:left w:val="single" w:color="auto" w:sz="4" w:space="0"/>
              <w:bottom w:val="single" w:color="auto" w:sz="4" w:space="0"/>
              <w:right w:val="single" w:color="auto" w:sz="4" w:space="0"/>
            </w:tcBorders>
            <w:vAlign w:val="center"/>
          </w:tcPr>
          <w:p>
            <w:pPr>
              <w:tabs>
                <w:tab w:val="left" w:pos="1800"/>
                <w:tab w:val="left" w:pos="5580"/>
              </w:tabs>
              <w:spacing w:line="360" w:lineRule="auto"/>
              <w:ind w:firstLine="120" w:firstLineChars="50"/>
              <w:jc w:val="left"/>
              <w:rPr>
                <w:rFonts w:ascii="宋体" w:hAnsi="宋体"/>
                <w:color w:val="auto"/>
                <w:sz w:val="24"/>
                <w:szCs w:val="24"/>
              </w:rPr>
            </w:pPr>
            <w:r>
              <w:rPr>
                <w:rFonts w:hint="eastAsia" w:ascii="宋体" w:hAnsi="宋体"/>
                <w:color w:val="auto"/>
                <w:sz w:val="24"/>
                <w:szCs w:val="24"/>
              </w:rPr>
              <w:t>大写：</w:t>
            </w:r>
          </w:p>
          <w:p>
            <w:pPr>
              <w:widowControl/>
              <w:ind w:firstLine="120" w:firstLineChars="50"/>
              <w:jc w:val="left"/>
              <w:rPr>
                <w:rFonts w:ascii="宋体" w:hAnsi="宋体"/>
                <w:color w:val="auto"/>
                <w:sz w:val="24"/>
                <w:szCs w:val="24"/>
              </w:rPr>
            </w:pPr>
            <w:r>
              <w:rPr>
                <w:rFonts w:hint="eastAsia" w:ascii="宋体" w:hAnsi="宋体"/>
                <w:color w:val="auto"/>
                <w:sz w:val="24"/>
                <w:szCs w:val="24"/>
              </w:rPr>
              <w:t>小写：</w:t>
            </w:r>
          </w:p>
        </w:tc>
        <w:tc>
          <w:tcPr>
            <w:tcW w:w="1341" w:type="dxa"/>
            <w:tcBorders>
              <w:top w:val="single" w:color="auto" w:sz="4" w:space="0"/>
              <w:left w:val="nil"/>
              <w:bottom w:val="single" w:color="auto" w:sz="4" w:space="0"/>
              <w:right w:val="single" w:color="auto" w:sz="4" w:space="0"/>
            </w:tcBorders>
            <w:vAlign w:val="center"/>
          </w:tcPr>
          <w:p>
            <w:pPr>
              <w:tabs>
                <w:tab w:val="left" w:pos="5580"/>
              </w:tabs>
              <w:spacing w:line="360" w:lineRule="auto"/>
              <w:jc w:val="right"/>
              <w:rPr>
                <w:rFonts w:ascii="宋体" w:hAnsi="宋体"/>
                <w:sz w:val="24"/>
                <w:szCs w:val="24"/>
              </w:rPr>
            </w:pPr>
            <w:r>
              <w:rPr>
                <w:rFonts w:hint="eastAsia" w:ascii="宋体" w:hAnsi="宋体"/>
                <w:sz w:val="24"/>
                <w:szCs w:val="24"/>
              </w:rPr>
              <w:t>　</w:t>
            </w:r>
          </w:p>
        </w:tc>
        <w:tc>
          <w:tcPr>
            <w:tcW w:w="72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tabs>
                <w:tab w:val="left" w:pos="5580"/>
              </w:tabs>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ascii="宋体" w:hAnsi="宋体"/>
                <w:sz w:val="24"/>
                <w:szCs w:val="24"/>
              </w:rPr>
            </w:pPr>
          </w:p>
        </w:tc>
      </w:tr>
    </w:tbl>
    <w:p>
      <w:pPr>
        <w:pStyle w:val="24"/>
        <w:tabs>
          <w:tab w:val="left" w:pos="5580"/>
        </w:tabs>
        <w:spacing w:before="120" w:line="360" w:lineRule="auto"/>
        <w:rPr>
          <w:rFonts w:hint="eastAsia" w:hAnsi="宋体"/>
          <w:sz w:val="24"/>
          <w:szCs w:val="24"/>
          <w:u w:val="single"/>
        </w:rPr>
      </w:pPr>
      <w:r>
        <w:rPr>
          <w:rFonts w:hint="eastAsia" w:hAnsi="宋体"/>
          <w:sz w:val="24"/>
          <w:szCs w:val="24"/>
          <w:lang w:eastAsia="zh-CN"/>
        </w:rPr>
        <w:t>供应商</w:t>
      </w:r>
      <w:r>
        <w:rPr>
          <w:rFonts w:hint="eastAsia" w:hAnsi="宋体"/>
          <w:sz w:val="24"/>
          <w:szCs w:val="24"/>
        </w:rPr>
        <w:t>名称（盖章）：</w:t>
      </w:r>
      <w:r>
        <w:rPr>
          <w:rFonts w:hint="eastAsia" w:hAnsi="宋体"/>
          <w:sz w:val="24"/>
          <w:szCs w:val="24"/>
          <w:u w:val="single"/>
        </w:rPr>
        <w:t xml:space="preserve">                                      </w:t>
      </w:r>
    </w:p>
    <w:p>
      <w:pPr>
        <w:pStyle w:val="24"/>
        <w:tabs>
          <w:tab w:val="left" w:pos="6900"/>
        </w:tabs>
        <w:spacing w:before="120" w:line="360" w:lineRule="auto"/>
        <w:rPr>
          <w:rFonts w:hint="eastAsia" w:hAnsi="宋体"/>
          <w:sz w:val="24"/>
          <w:szCs w:val="24"/>
          <w:u w:val="single"/>
        </w:rPr>
      </w:pPr>
      <w:r>
        <w:rPr>
          <w:rFonts w:hint="eastAsia" w:hAnsi="宋体"/>
          <w:sz w:val="24"/>
          <w:szCs w:val="24"/>
          <w:lang w:eastAsia="zh-CN"/>
        </w:rPr>
        <w:t>供应商</w:t>
      </w:r>
      <w:r>
        <w:rPr>
          <w:rFonts w:hint="eastAsia" w:hAnsi="宋体"/>
          <w:sz w:val="24"/>
          <w:szCs w:val="24"/>
        </w:rPr>
        <w:t>代表(签字或盖章):</w:t>
      </w:r>
      <w:r>
        <w:rPr>
          <w:rFonts w:hint="eastAsia" w:hAnsi="宋体"/>
          <w:sz w:val="24"/>
          <w:szCs w:val="24"/>
          <w:u w:val="single"/>
        </w:rPr>
        <w:tab/>
      </w:r>
    </w:p>
    <w:p>
      <w:pPr>
        <w:spacing w:line="360" w:lineRule="auto"/>
        <w:rPr>
          <w:rFonts w:hint="eastAsia" w:hAnsi="宋体"/>
          <w:b/>
          <w:color w:val="000000"/>
          <w:sz w:val="24"/>
          <w:szCs w:val="24"/>
        </w:rPr>
      </w:pPr>
    </w:p>
    <w:p>
      <w:pPr>
        <w:spacing w:line="360" w:lineRule="auto"/>
        <w:rPr>
          <w:rFonts w:ascii="宋体" w:hAnsi="宋体"/>
          <w:b/>
          <w:color w:val="000000"/>
          <w:sz w:val="24"/>
          <w:szCs w:val="24"/>
        </w:rPr>
      </w:pPr>
      <w:r>
        <w:rPr>
          <w:rFonts w:hint="eastAsia" w:hAnsi="宋体"/>
          <w:b/>
          <w:color w:val="000000"/>
          <w:sz w:val="24"/>
          <w:szCs w:val="24"/>
        </w:rPr>
        <w:t>附件</w:t>
      </w:r>
      <w:r>
        <w:rPr>
          <w:rFonts w:hint="eastAsia" w:hAnsi="宋体"/>
          <w:b/>
          <w:color w:val="000000"/>
          <w:sz w:val="24"/>
          <w:szCs w:val="24"/>
          <w:lang w:val="en-US" w:eastAsia="zh-CN"/>
        </w:rPr>
        <w:t>5</w:t>
      </w:r>
      <w:r>
        <w:rPr>
          <w:rFonts w:hint="eastAsia" w:ascii="宋体" w:hAnsi="宋体"/>
          <w:b/>
          <w:color w:val="000000"/>
          <w:sz w:val="24"/>
          <w:szCs w:val="24"/>
        </w:rPr>
        <w:t xml:space="preserve"> </w:t>
      </w:r>
      <w:r>
        <w:rPr>
          <w:rFonts w:hint="eastAsia"/>
          <w:b/>
          <w:bCs/>
          <w:sz w:val="24"/>
          <w:szCs w:val="24"/>
        </w:rPr>
        <w:t>明细</w:t>
      </w:r>
      <w:r>
        <w:rPr>
          <w:b/>
          <w:bCs/>
          <w:sz w:val="24"/>
          <w:szCs w:val="24"/>
        </w:rPr>
        <w:t>报价</w:t>
      </w:r>
      <w:r>
        <w:rPr>
          <w:rFonts w:hint="eastAsia"/>
          <w:b/>
          <w:bCs/>
          <w:sz w:val="24"/>
          <w:szCs w:val="24"/>
        </w:rPr>
        <w:t>表</w:t>
      </w:r>
      <w:r>
        <w:rPr>
          <w:rFonts w:hint="eastAsia" w:hAnsi="宋体"/>
          <w:b/>
          <w:color w:val="000000"/>
          <w:sz w:val="24"/>
          <w:szCs w:val="24"/>
        </w:rPr>
        <w:t>（按</w:t>
      </w:r>
      <w:r>
        <w:rPr>
          <w:rFonts w:hint="eastAsia" w:hAnsi="宋体"/>
          <w:b/>
          <w:color w:val="000000"/>
          <w:sz w:val="24"/>
          <w:szCs w:val="24"/>
          <w:lang w:eastAsia="zh-CN"/>
        </w:rPr>
        <w:t>响应</w:t>
      </w:r>
      <w:r>
        <w:rPr>
          <w:rFonts w:hint="eastAsia" w:hAnsi="宋体"/>
          <w:b/>
          <w:color w:val="000000"/>
          <w:sz w:val="24"/>
          <w:szCs w:val="24"/>
        </w:rPr>
        <w:t>文件格式要求填写，不得变更）</w:t>
      </w:r>
    </w:p>
    <w:p>
      <w:pPr>
        <w:pStyle w:val="5"/>
        <w:tabs>
          <w:tab w:val="left" w:pos="448"/>
        </w:tabs>
        <w:spacing w:before="120"/>
        <w:ind w:firstLine="482"/>
        <w:jc w:val="center"/>
        <w:rPr>
          <w:rFonts w:hint="eastAsia"/>
          <w:bCs w:val="0"/>
          <w:sz w:val="24"/>
          <w:szCs w:val="24"/>
        </w:rPr>
      </w:pPr>
      <w:r>
        <w:rPr>
          <w:rFonts w:hint="eastAsia"/>
          <w:bCs w:val="0"/>
          <w:sz w:val="24"/>
          <w:szCs w:val="24"/>
          <w:u w:val="none"/>
        </w:rPr>
        <w:t>明细</w:t>
      </w:r>
      <w:r>
        <w:rPr>
          <w:bCs w:val="0"/>
          <w:sz w:val="24"/>
          <w:szCs w:val="24"/>
          <w:u w:val="none"/>
        </w:rPr>
        <w:t>报价</w:t>
      </w:r>
      <w:r>
        <w:rPr>
          <w:rFonts w:hint="eastAsia"/>
          <w:bCs w:val="0"/>
          <w:sz w:val="24"/>
          <w:szCs w:val="24"/>
          <w:u w:val="none"/>
        </w:rPr>
        <w:t>表</w:t>
      </w:r>
    </w:p>
    <w:p>
      <w:pPr>
        <w:spacing w:line="300" w:lineRule="auto"/>
        <w:jc w:val="left"/>
        <w:rPr>
          <w:rFonts w:hint="eastAsia" w:ascii="宋体" w:hAnsi="宋体"/>
          <w:sz w:val="24"/>
          <w:szCs w:val="24"/>
        </w:rPr>
      </w:pPr>
      <w:r>
        <w:rPr>
          <w:rFonts w:hint="eastAsia" w:ascii="宋体" w:hAnsi="宋体"/>
          <w:sz w:val="24"/>
          <w:szCs w:val="24"/>
        </w:rPr>
        <w:t>项目编号：</w:t>
      </w:r>
    </w:p>
    <w:p>
      <w:pPr>
        <w:rPr>
          <w:rFonts w:hint="eastAsia"/>
        </w:rPr>
      </w:pPr>
      <w:r>
        <w:rPr>
          <w:rFonts w:hint="eastAsia" w:ascii="宋体" w:hAnsi="宋体"/>
          <w:sz w:val="24"/>
          <w:szCs w:val="24"/>
        </w:rPr>
        <w:t>项目名称：</w:t>
      </w:r>
    </w:p>
    <w:tbl>
      <w:tblPr>
        <w:tblStyle w:val="56"/>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0"/>
        <w:gridCol w:w="3125"/>
        <w:gridCol w:w="1049"/>
        <w:gridCol w:w="1391"/>
        <w:gridCol w:w="20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atLeast"/>
          <w:jc w:val="center"/>
        </w:trPr>
        <w:tc>
          <w:tcPr>
            <w:tcW w:w="870" w:type="dxa"/>
            <w:vAlign w:val="center"/>
          </w:tcPr>
          <w:p>
            <w:pPr>
              <w:tabs>
                <w:tab w:val="left" w:pos="970"/>
              </w:tabs>
              <w:spacing w:after="84"/>
              <w:ind w:firstLine="118" w:firstLineChars="49"/>
              <w:jc w:val="center"/>
              <w:rPr>
                <w:b/>
                <w:sz w:val="24"/>
                <w:szCs w:val="24"/>
              </w:rPr>
            </w:pPr>
            <w:r>
              <w:rPr>
                <w:rFonts w:hAnsi="宋体"/>
                <w:b/>
                <w:sz w:val="24"/>
                <w:szCs w:val="24"/>
              </w:rPr>
              <w:t>序号</w:t>
            </w:r>
          </w:p>
        </w:tc>
        <w:tc>
          <w:tcPr>
            <w:tcW w:w="3125" w:type="dxa"/>
            <w:vAlign w:val="center"/>
          </w:tcPr>
          <w:p>
            <w:pPr>
              <w:tabs>
                <w:tab w:val="left" w:pos="970"/>
              </w:tabs>
              <w:spacing w:after="84"/>
              <w:ind w:firstLine="482"/>
              <w:jc w:val="center"/>
              <w:rPr>
                <w:b/>
                <w:sz w:val="24"/>
                <w:szCs w:val="24"/>
              </w:rPr>
            </w:pPr>
            <w:r>
              <w:rPr>
                <w:rFonts w:hAnsi="宋体"/>
                <w:b/>
                <w:sz w:val="24"/>
                <w:szCs w:val="24"/>
              </w:rPr>
              <w:t>内容</w:t>
            </w:r>
            <w:r>
              <w:rPr>
                <w:rFonts w:hint="eastAsia" w:hAnsi="宋体"/>
                <w:b/>
                <w:sz w:val="24"/>
                <w:szCs w:val="24"/>
                <w:lang w:eastAsia="zh-CN"/>
              </w:rPr>
              <w:t>及规格</w:t>
            </w:r>
          </w:p>
        </w:tc>
        <w:tc>
          <w:tcPr>
            <w:tcW w:w="1049" w:type="dxa"/>
            <w:vAlign w:val="center"/>
          </w:tcPr>
          <w:p>
            <w:pPr>
              <w:tabs>
                <w:tab w:val="left" w:pos="970"/>
              </w:tabs>
              <w:spacing w:after="84"/>
              <w:jc w:val="center"/>
              <w:rPr>
                <w:rFonts w:hint="eastAsia"/>
                <w:b/>
                <w:sz w:val="24"/>
                <w:szCs w:val="24"/>
              </w:rPr>
            </w:pPr>
            <w:r>
              <w:rPr>
                <w:rFonts w:hint="eastAsia"/>
                <w:b/>
                <w:sz w:val="24"/>
                <w:szCs w:val="24"/>
              </w:rPr>
              <w:t>数量</w:t>
            </w:r>
          </w:p>
        </w:tc>
        <w:tc>
          <w:tcPr>
            <w:tcW w:w="1391" w:type="dxa"/>
            <w:vAlign w:val="center"/>
          </w:tcPr>
          <w:p>
            <w:pPr>
              <w:tabs>
                <w:tab w:val="left" w:pos="970"/>
              </w:tabs>
              <w:spacing w:after="84"/>
              <w:jc w:val="center"/>
              <w:rPr>
                <w:b/>
                <w:sz w:val="24"/>
                <w:szCs w:val="24"/>
              </w:rPr>
            </w:pPr>
            <w:r>
              <w:rPr>
                <w:rFonts w:hint="eastAsia" w:hAnsi="宋体"/>
                <w:b/>
                <w:sz w:val="24"/>
                <w:szCs w:val="24"/>
              </w:rPr>
              <w:t>单价</w:t>
            </w:r>
          </w:p>
        </w:tc>
        <w:tc>
          <w:tcPr>
            <w:tcW w:w="2087" w:type="dxa"/>
            <w:vAlign w:val="center"/>
          </w:tcPr>
          <w:p>
            <w:pPr>
              <w:tabs>
                <w:tab w:val="left" w:pos="970"/>
              </w:tabs>
              <w:spacing w:after="84"/>
              <w:ind w:firstLine="482"/>
              <w:jc w:val="center"/>
              <w:rPr>
                <w:rFonts w:hint="eastAsia" w:hAnsi="宋体"/>
                <w:b/>
                <w:bCs/>
                <w:kern w:val="0"/>
                <w:sz w:val="24"/>
                <w:szCs w:val="24"/>
              </w:rPr>
            </w:pPr>
            <w:r>
              <w:rPr>
                <w:rFonts w:hint="eastAsia" w:hAnsi="宋体"/>
                <w:b/>
                <w:bCs/>
                <w:kern w:val="0"/>
                <w:sz w:val="24"/>
                <w:szCs w:val="24"/>
              </w:rPr>
              <w:t>总价</w:t>
            </w:r>
          </w:p>
          <w:p>
            <w:pPr>
              <w:tabs>
                <w:tab w:val="left" w:pos="970"/>
              </w:tabs>
              <w:spacing w:after="84"/>
              <w:ind w:firstLine="482"/>
              <w:jc w:val="center"/>
              <w:rPr>
                <w:b/>
                <w:sz w:val="24"/>
                <w:szCs w:val="24"/>
              </w:rPr>
            </w:pPr>
            <w:r>
              <w:rPr>
                <w:rFonts w:hAnsi="宋体"/>
                <w:b/>
                <w:bCs/>
                <w:kern w:val="0"/>
                <w:sz w:val="24"/>
                <w:szCs w:val="24"/>
              </w:rPr>
              <w:t>（人民币元）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jc w:val="center"/>
        </w:trPr>
        <w:tc>
          <w:tcPr>
            <w:tcW w:w="870" w:type="dxa"/>
            <w:vAlign w:val="center"/>
          </w:tcPr>
          <w:p>
            <w:pPr>
              <w:tabs>
                <w:tab w:val="left" w:pos="970"/>
              </w:tabs>
              <w:spacing w:before="156" w:beforeLines="50" w:after="156" w:afterLines="50"/>
              <w:ind w:firstLine="480"/>
              <w:rPr>
                <w:sz w:val="24"/>
                <w:szCs w:val="24"/>
              </w:rPr>
            </w:pPr>
          </w:p>
        </w:tc>
        <w:tc>
          <w:tcPr>
            <w:tcW w:w="3125" w:type="dxa"/>
            <w:vAlign w:val="center"/>
          </w:tcPr>
          <w:p>
            <w:pPr>
              <w:tabs>
                <w:tab w:val="left" w:pos="970"/>
              </w:tabs>
              <w:ind w:firstLine="480"/>
              <w:rPr>
                <w:sz w:val="24"/>
                <w:szCs w:val="24"/>
              </w:rPr>
            </w:pPr>
          </w:p>
        </w:tc>
        <w:tc>
          <w:tcPr>
            <w:tcW w:w="1049" w:type="dxa"/>
            <w:vAlign w:val="center"/>
          </w:tcPr>
          <w:p>
            <w:pPr>
              <w:tabs>
                <w:tab w:val="left" w:pos="970"/>
              </w:tabs>
              <w:ind w:firstLine="482"/>
              <w:rPr>
                <w:b/>
                <w:sz w:val="24"/>
                <w:szCs w:val="24"/>
              </w:rPr>
            </w:pPr>
          </w:p>
        </w:tc>
        <w:tc>
          <w:tcPr>
            <w:tcW w:w="1391" w:type="dxa"/>
            <w:vAlign w:val="center"/>
          </w:tcPr>
          <w:p>
            <w:pPr>
              <w:tabs>
                <w:tab w:val="left" w:pos="970"/>
              </w:tabs>
              <w:ind w:firstLine="482"/>
              <w:rPr>
                <w:b/>
                <w:sz w:val="24"/>
                <w:szCs w:val="24"/>
              </w:rPr>
            </w:pPr>
          </w:p>
        </w:tc>
        <w:tc>
          <w:tcPr>
            <w:tcW w:w="2087"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jc w:val="center"/>
        </w:trPr>
        <w:tc>
          <w:tcPr>
            <w:tcW w:w="870" w:type="dxa"/>
            <w:vAlign w:val="center"/>
          </w:tcPr>
          <w:p>
            <w:pPr>
              <w:tabs>
                <w:tab w:val="left" w:pos="970"/>
              </w:tabs>
              <w:spacing w:before="156" w:beforeLines="50" w:after="156" w:afterLines="50"/>
              <w:ind w:firstLine="480"/>
              <w:rPr>
                <w:sz w:val="24"/>
                <w:szCs w:val="24"/>
              </w:rPr>
            </w:pPr>
          </w:p>
        </w:tc>
        <w:tc>
          <w:tcPr>
            <w:tcW w:w="3125" w:type="dxa"/>
            <w:vAlign w:val="center"/>
          </w:tcPr>
          <w:p>
            <w:pPr>
              <w:tabs>
                <w:tab w:val="left" w:pos="970"/>
              </w:tabs>
              <w:ind w:firstLine="480"/>
              <w:rPr>
                <w:sz w:val="24"/>
                <w:szCs w:val="24"/>
              </w:rPr>
            </w:pPr>
          </w:p>
        </w:tc>
        <w:tc>
          <w:tcPr>
            <w:tcW w:w="1049" w:type="dxa"/>
            <w:vAlign w:val="center"/>
          </w:tcPr>
          <w:p>
            <w:pPr>
              <w:tabs>
                <w:tab w:val="left" w:pos="970"/>
              </w:tabs>
              <w:ind w:firstLine="482"/>
              <w:rPr>
                <w:b/>
                <w:sz w:val="24"/>
                <w:szCs w:val="24"/>
              </w:rPr>
            </w:pPr>
          </w:p>
        </w:tc>
        <w:tc>
          <w:tcPr>
            <w:tcW w:w="1391" w:type="dxa"/>
            <w:vAlign w:val="center"/>
          </w:tcPr>
          <w:p>
            <w:pPr>
              <w:tabs>
                <w:tab w:val="left" w:pos="970"/>
              </w:tabs>
              <w:ind w:firstLine="482"/>
              <w:rPr>
                <w:b/>
                <w:sz w:val="24"/>
                <w:szCs w:val="24"/>
              </w:rPr>
            </w:pPr>
          </w:p>
        </w:tc>
        <w:tc>
          <w:tcPr>
            <w:tcW w:w="2087"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jc w:val="center"/>
        </w:trPr>
        <w:tc>
          <w:tcPr>
            <w:tcW w:w="870" w:type="dxa"/>
            <w:vAlign w:val="center"/>
          </w:tcPr>
          <w:p>
            <w:pPr>
              <w:tabs>
                <w:tab w:val="left" w:pos="970"/>
              </w:tabs>
              <w:spacing w:before="156" w:beforeLines="50" w:after="156" w:afterLines="50"/>
              <w:ind w:firstLine="480"/>
              <w:rPr>
                <w:sz w:val="24"/>
                <w:szCs w:val="24"/>
              </w:rPr>
            </w:pPr>
          </w:p>
        </w:tc>
        <w:tc>
          <w:tcPr>
            <w:tcW w:w="3125" w:type="dxa"/>
            <w:vAlign w:val="center"/>
          </w:tcPr>
          <w:p>
            <w:pPr>
              <w:tabs>
                <w:tab w:val="left" w:pos="970"/>
              </w:tabs>
              <w:ind w:firstLine="480"/>
              <w:rPr>
                <w:bCs/>
                <w:sz w:val="24"/>
                <w:szCs w:val="24"/>
              </w:rPr>
            </w:pPr>
          </w:p>
        </w:tc>
        <w:tc>
          <w:tcPr>
            <w:tcW w:w="1049" w:type="dxa"/>
            <w:vAlign w:val="center"/>
          </w:tcPr>
          <w:p>
            <w:pPr>
              <w:tabs>
                <w:tab w:val="left" w:pos="970"/>
              </w:tabs>
              <w:ind w:firstLine="482"/>
              <w:rPr>
                <w:b/>
                <w:sz w:val="24"/>
                <w:szCs w:val="24"/>
              </w:rPr>
            </w:pPr>
          </w:p>
        </w:tc>
        <w:tc>
          <w:tcPr>
            <w:tcW w:w="1391" w:type="dxa"/>
            <w:vAlign w:val="center"/>
          </w:tcPr>
          <w:p>
            <w:pPr>
              <w:tabs>
                <w:tab w:val="left" w:pos="970"/>
              </w:tabs>
              <w:ind w:firstLine="482"/>
              <w:rPr>
                <w:b/>
                <w:sz w:val="24"/>
                <w:szCs w:val="24"/>
              </w:rPr>
            </w:pPr>
          </w:p>
        </w:tc>
        <w:tc>
          <w:tcPr>
            <w:tcW w:w="2087"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jc w:val="center"/>
        </w:trPr>
        <w:tc>
          <w:tcPr>
            <w:tcW w:w="870" w:type="dxa"/>
            <w:vAlign w:val="center"/>
          </w:tcPr>
          <w:p>
            <w:pPr>
              <w:tabs>
                <w:tab w:val="left" w:pos="970"/>
              </w:tabs>
              <w:spacing w:after="84"/>
              <w:ind w:firstLine="480"/>
              <w:rPr>
                <w:sz w:val="24"/>
                <w:szCs w:val="24"/>
              </w:rPr>
            </w:pPr>
          </w:p>
        </w:tc>
        <w:tc>
          <w:tcPr>
            <w:tcW w:w="3125" w:type="dxa"/>
            <w:vAlign w:val="center"/>
          </w:tcPr>
          <w:p>
            <w:pPr>
              <w:tabs>
                <w:tab w:val="left" w:pos="970"/>
              </w:tabs>
              <w:spacing w:after="84"/>
              <w:ind w:firstLine="480"/>
              <w:rPr>
                <w:bCs/>
                <w:sz w:val="24"/>
                <w:szCs w:val="24"/>
              </w:rPr>
            </w:pPr>
          </w:p>
        </w:tc>
        <w:tc>
          <w:tcPr>
            <w:tcW w:w="1049" w:type="dxa"/>
            <w:vAlign w:val="center"/>
          </w:tcPr>
          <w:p>
            <w:pPr>
              <w:tabs>
                <w:tab w:val="left" w:pos="970"/>
              </w:tabs>
              <w:spacing w:after="84"/>
              <w:ind w:firstLine="482"/>
              <w:rPr>
                <w:b/>
                <w:sz w:val="24"/>
                <w:szCs w:val="24"/>
              </w:rPr>
            </w:pPr>
          </w:p>
        </w:tc>
        <w:tc>
          <w:tcPr>
            <w:tcW w:w="1391" w:type="dxa"/>
            <w:vAlign w:val="center"/>
          </w:tcPr>
          <w:p>
            <w:pPr>
              <w:tabs>
                <w:tab w:val="left" w:pos="970"/>
              </w:tabs>
              <w:spacing w:after="84"/>
              <w:ind w:firstLine="482"/>
              <w:rPr>
                <w:b/>
                <w:sz w:val="24"/>
                <w:szCs w:val="24"/>
              </w:rPr>
            </w:pPr>
          </w:p>
        </w:tc>
        <w:tc>
          <w:tcPr>
            <w:tcW w:w="2087" w:type="dxa"/>
            <w:vAlign w:val="center"/>
          </w:tcPr>
          <w:p>
            <w:pPr>
              <w:tabs>
                <w:tab w:val="left" w:pos="970"/>
              </w:tabs>
              <w:spacing w:after="84"/>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jc w:val="center"/>
        </w:trPr>
        <w:tc>
          <w:tcPr>
            <w:tcW w:w="870" w:type="dxa"/>
            <w:vAlign w:val="center"/>
          </w:tcPr>
          <w:p>
            <w:pPr>
              <w:tabs>
                <w:tab w:val="left" w:pos="970"/>
              </w:tabs>
              <w:spacing w:after="84"/>
              <w:ind w:firstLine="480"/>
              <w:rPr>
                <w:sz w:val="24"/>
                <w:szCs w:val="24"/>
              </w:rPr>
            </w:pPr>
          </w:p>
        </w:tc>
        <w:tc>
          <w:tcPr>
            <w:tcW w:w="3125" w:type="dxa"/>
            <w:vAlign w:val="center"/>
          </w:tcPr>
          <w:p>
            <w:pPr>
              <w:tabs>
                <w:tab w:val="left" w:pos="970"/>
              </w:tabs>
              <w:spacing w:after="84"/>
              <w:ind w:firstLine="480"/>
              <w:rPr>
                <w:bCs/>
                <w:sz w:val="24"/>
                <w:szCs w:val="24"/>
              </w:rPr>
            </w:pPr>
          </w:p>
        </w:tc>
        <w:tc>
          <w:tcPr>
            <w:tcW w:w="1049" w:type="dxa"/>
            <w:vAlign w:val="center"/>
          </w:tcPr>
          <w:p>
            <w:pPr>
              <w:tabs>
                <w:tab w:val="left" w:pos="970"/>
              </w:tabs>
              <w:spacing w:after="84"/>
              <w:ind w:firstLine="482"/>
              <w:rPr>
                <w:b/>
                <w:sz w:val="24"/>
                <w:szCs w:val="24"/>
              </w:rPr>
            </w:pPr>
          </w:p>
        </w:tc>
        <w:tc>
          <w:tcPr>
            <w:tcW w:w="1391" w:type="dxa"/>
            <w:vAlign w:val="center"/>
          </w:tcPr>
          <w:p>
            <w:pPr>
              <w:tabs>
                <w:tab w:val="left" w:pos="970"/>
              </w:tabs>
              <w:spacing w:after="84"/>
              <w:ind w:firstLine="482"/>
              <w:rPr>
                <w:b/>
                <w:sz w:val="24"/>
                <w:szCs w:val="24"/>
              </w:rPr>
            </w:pPr>
          </w:p>
        </w:tc>
        <w:tc>
          <w:tcPr>
            <w:tcW w:w="2087" w:type="dxa"/>
            <w:vAlign w:val="center"/>
          </w:tcPr>
          <w:p>
            <w:pPr>
              <w:tabs>
                <w:tab w:val="left" w:pos="970"/>
              </w:tabs>
              <w:spacing w:after="84"/>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jc w:val="center"/>
        </w:trPr>
        <w:tc>
          <w:tcPr>
            <w:tcW w:w="6435" w:type="dxa"/>
            <w:gridSpan w:val="4"/>
            <w:vAlign w:val="center"/>
          </w:tcPr>
          <w:p>
            <w:pPr>
              <w:tabs>
                <w:tab w:val="left" w:pos="970"/>
              </w:tabs>
              <w:spacing w:after="84"/>
              <w:ind w:firstLine="482"/>
              <w:jc w:val="center"/>
              <w:rPr>
                <w:rFonts w:hint="eastAsia"/>
                <w:b/>
                <w:sz w:val="24"/>
                <w:szCs w:val="24"/>
              </w:rPr>
            </w:pPr>
            <w:r>
              <w:rPr>
                <w:rFonts w:hint="eastAsia"/>
                <w:b/>
                <w:sz w:val="24"/>
                <w:szCs w:val="24"/>
                <w:lang w:eastAsia="zh-CN"/>
              </w:rPr>
              <w:t>磋商</w:t>
            </w:r>
            <w:r>
              <w:rPr>
                <w:rFonts w:hint="eastAsia"/>
                <w:b/>
                <w:sz w:val="24"/>
                <w:szCs w:val="24"/>
              </w:rPr>
              <w:t>报价合计</w:t>
            </w:r>
          </w:p>
        </w:tc>
        <w:tc>
          <w:tcPr>
            <w:tcW w:w="2087" w:type="dxa"/>
            <w:vAlign w:val="center"/>
          </w:tcPr>
          <w:p>
            <w:pPr>
              <w:tabs>
                <w:tab w:val="left" w:pos="970"/>
              </w:tabs>
              <w:spacing w:after="84"/>
              <w:ind w:firstLine="482"/>
              <w:jc w:val="center"/>
              <w:rPr>
                <w:b/>
                <w:sz w:val="24"/>
                <w:szCs w:val="24"/>
              </w:rPr>
            </w:pPr>
          </w:p>
        </w:tc>
      </w:tr>
    </w:tbl>
    <w:p>
      <w:pPr>
        <w:pStyle w:val="24"/>
        <w:spacing w:line="360" w:lineRule="auto"/>
        <w:rPr>
          <w:rFonts w:hint="eastAsia" w:hAnsi="宋体"/>
          <w:color w:val="000000"/>
          <w:sz w:val="24"/>
          <w:szCs w:val="24"/>
          <w:lang w:eastAsia="zh-CN"/>
        </w:rPr>
      </w:pPr>
    </w:p>
    <w:p>
      <w:pPr>
        <w:pStyle w:val="24"/>
        <w:spacing w:line="360" w:lineRule="auto"/>
        <w:rPr>
          <w:rFonts w:hint="eastAsia" w:hAnsi="宋体"/>
          <w:sz w:val="24"/>
        </w:rPr>
      </w:pPr>
      <w:r>
        <w:rPr>
          <w:rFonts w:hint="eastAsia" w:hAnsi="宋体"/>
          <w:color w:val="000000"/>
          <w:sz w:val="24"/>
          <w:szCs w:val="24"/>
          <w:lang w:eastAsia="zh-CN"/>
        </w:rPr>
        <w:t>供应商</w:t>
      </w:r>
      <w:r>
        <w:rPr>
          <w:rFonts w:hint="eastAsia" w:ascii="宋体" w:hAnsi="宋体"/>
          <w:color w:val="000000"/>
          <w:sz w:val="24"/>
          <w:szCs w:val="24"/>
        </w:rPr>
        <w:t>代表签字：</w:t>
      </w:r>
      <w:r>
        <w:rPr>
          <w:rFonts w:hint="eastAsia" w:hAnsi="宋体"/>
          <w:sz w:val="24"/>
        </w:rPr>
        <w:t>____________________________</w:t>
      </w:r>
    </w:p>
    <w:p>
      <w:pPr>
        <w:pStyle w:val="24"/>
        <w:spacing w:line="360" w:lineRule="auto"/>
        <w:rPr>
          <w:rFonts w:hint="eastAsia" w:hAnsi="宋体"/>
          <w:sz w:val="24"/>
        </w:rPr>
      </w:pPr>
      <w:r>
        <w:rPr>
          <w:rFonts w:hint="eastAsia" w:hAnsi="宋体"/>
          <w:sz w:val="24"/>
          <w:lang w:eastAsia="zh-CN"/>
        </w:rPr>
        <w:t>供应商</w:t>
      </w:r>
      <w:r>
        <w:rPr>
          <w:rFonts w:hint="eastAsia" w:hAnsi="宋体"/>
          <w:sz w:val="24"/>
        </w:rPr>
        <w:t xml:space="preserve">(盖章):   </w:t>
      </w:r>
      <w:r>
        <w:rPr>
          <w:rFonts w:hint="eastAsia" w:hAnsi="宋体"/>
          <w:sz w:val="24"/>
          <w:u w:val="single"/>
        </w:rPr>
        <w:t xml:space="preserve"> </w:t>
      </w:r>
      <w:r>
        <w:rPr>
          <w:rFonts w:hAnsi="宋体"/>
          <w:sz w:val="24"/>
          <w:u w:val="single"/>
        </w:rPr>
        <w:tab/>
      </w:r>
      <w:r>
        <w:rPr>
          <w:rFonts w:hint="eastAsia" w:hAnsi="宋体"/>
          <w:sz w:val="24"/>
          <w:u w:val="single"/>
        </w:rPr>
        <w:t xml:space="preserve">                        </w:t>
      </w:r>
      <w:r>
        <w:rPr>
          <w:rFonts w:hAnsi="宋体"/>
          <w:sz w:val="24"/>
          <w:u w:val="single"/>
        </w:rPr>
        <w:tab/>
      </w:r>
    </w:p>
    <w:p>
      <w:pPr>
        <w:spacing w:line="360" w:lineRule="auto"/>
        <w:jc w:val="left"/>
        <w:rPr>
          <w:rFonts w:hint="eastAsia" w:ascii="宋体" w:hAnsi="宋体"/>
          <w:sz w:val="24"/>
          <w:szCs w:val="24"/>
          <w:u w:val="single"/>
        </w:rPr>
      </w:pPr>
      <w:r>
        <w:rPr>
          <w:rFonts w:hint="eastAsia" w:ascii="宋体" w:hAnsi="宋体"/>
          <w:sz w:val="24"/>
          <w:szCs w:val="24"/>
        </w:rPr>
        <w:t>日    期：</w:t>
      </w:r>
      <w:r>
        <w:rPr>
          <w:rFonts w:hint="eastAsia" w:ascii="宋体" w:hAnsi="宋体"/>
          <w:sz w:val="24"/>
          <w:szCs w:val="24"/>
          <w:u w:val="single"/>
        </w:rPr>
        <w:t xml:space="preserve">                         </w:t>
      </w:r>
    </w:p>
    <w:p>
      <w:pPr>
        <w:spacing w:line="360" w:lineRule="auto"/>
        <w:rPr>
          <w:rFonts w:hint="eastAsia" w:ascii="宋体" w:hAnsi="宋体"/>
          <w:b/>
          <w:bCs/>
          <w:sz w:val="24"/>
          <w:szCs w:val="24"/>
          <w:highlight w:val="none"/>
          <w:lang w:eastAsia="zh-CN"/>
        </w:rPr>
      </w:pPr>
    </w:p>
    <w:p>
      <w:pPr>
        <w:spacing w:line="360" w:lineRule="auto"/>
        <w:rPr>
          <w:rFonts w:hint="eastAsia" w:ascii="宋体" w:hAnsi="宋体"/>
          <w:b/>
          <w:bCs/>
          <w:sz w:val="24"/>
          <w:szCs w:val="24"/>
          <w:highlight w:val="none"/>
          <w:lang w:val="en-US" w:eastAsia="zh-CN"/>
        </w:rPr>
      </w:pPr>
      <w:r>
        <w:rPr>
          <w:rFonts w:hint="eastAsia" w:ascii="宋体" w:hAnsi="宋体"/>
          <w:b/>
          <w:bCs/>
          <w:sz w:val="24"/>
          <w:szCs w:val="24"/>
          <w:highlight w:val="none"/>
          <w:lang w:eastAsia="zh-CN"/>
        </w:rPr>
        <w:t>附件</w:t>
      </w:r>
      <w:r>
        <w:rPr>
          <w:rFonts w:hint="eastAsia" w:ascii="宋体" w:hAnsi="宋体"/>
          <w:b/>
          <w:bCs/>
          <w:sz w:val="24"/>
          <w:szCs w:val="24"/>
          <w:highlight w:val="none"/>
          <w:lang w:val="en-US" w:eastAsia="zh-CN"/>
        </w:rPr>
        <w:t>6 偏离表</w:t>
      </w:r>
    </w:p>
    <w:p>
      <w:pPr>
        <w:pStyle w:val="4"/>
        <w:jc w:val="center"/>
        <w:rPr>
          <w:rFonts w:hint="eastAsia" w:ascii="宋体" w:hAnsi="宋体" w:eastAsia="宋体"/>
          <w:color w:val="000000"/>
          <w:sz w:val="24"/>
          <w:highlight w:val="none"/>
        </w:rPr>
      </w:pPr>
      <w:r>
        <w:rPr>
          <w:rFonts w:hint="eastAsia" w:ascii="宋体" w:hAnsi="宋体" w:eastAsia="宋体"/>
          <w:color w:val="000000"/>
          <w:sz w:val="24"/>
          <w:highlight w:val="none"/>
          <w:lang w:eastAsia="zh-CN"/>
        </w:rPr>
        <w:t>合同条款</w:t>
      </w:r>
      <w:r>
        <w:rPr>
          <w:rFonts w:hint="eastAsia" w:ascii="宋体" w:hAnsi="宋体" w:eastAsia="宋体"/>
          <w:color w:val="000000"/>
          <w:sz w:val="24"/>
          <w:highlight w:val="none"/>
        </w:rPr>
        <w:t>偏离表</w:t>
      </w:r>
    </w:p>
    <w:p>
      <w:pPr>
        <w:spacing w:line="300" w:lineRule="auto"/>
        <w:jc w:val="left"/>
        <w:rPr>
          <w:rFonts w:hint="eastAsia" w:ascii="宋体" w:hAnsi="宋体"/>
          <w:sz w:val="24"/>
          <w:szCs w:val="24"/>
        </w:rPr>
      </w:pPr>
      <w:r>
        <w:rPr>
          <w:rFonts w:hint="eastAsia" w:ascii="宋体" w:hAnsi="宋体"/>
          <w:sz w:val="24"/>
          <w:szCs w:val="24"/>
        </w:rPr>
        <w:t>项目编号：</w:t>
      </w:r>
    </w:p>
    <w:p>
      <w:pPr>
        <w:pStyle w:val="24"/>
        <w:rPr>
          <w:rFonts w:hint="eastAsia" w:hAnsi="宋体"/>
          <w:color w:val="000000"/>
          <w:sz w:val="24"/>
        </w:rPr>
      </w:pPr>
      <w:r>
        <w:rPr>
          <w:rFonts w:hint="eastAsia" w:ascii="宋体" w:hAnsi="宋体"/>
          <w:sz w:val="24"/>
          <w:szCs w:val="24"/>
        </w:rPr>
        <w:t>项目名称：</w:t>
      </w:r>
    </w:p>
    <w:tbl>
      <w:tblPr>
        <w:tblStyle w:val="194"/>
        <w:tblW w:w="8310" w:type="dxa"/>
        <w:jc w:val="center"/>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36"/>
        <w:gridCol w:w="1583"/>
        <w:gridCol w:w="1498"/>
        <w:gridCol w:w="1498"/>
        <w:gridCol w:w="1677"/>
        <w:gridCol w:w="101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9" w:hRule="atLeast"/>
          <w:jc w:val="center"/>
        </w:trPr>
        <w:tc>
          <w:tcPr>
            <w:tcW w:w="1036" w:type="dxa"/>
            <w:vAlign w:val="center"/>
          </w:tcPr>
          <w:p>
            <w:pPr>
              <w:spacing w:before="78" w:line="222" w:lineRule="auto"/>
              <w:jc w:val="center"/>
              <w:rPr>
                <w:rFonts w:ascii="宋体" w:hAnsi="宋体" w:eastAsia="宋体" w:cs="宋体"/>
                <w:sz w:val="24"/>
                <w:szCs w:val="24"/>
              </w:rPr>
            </w:pPr>
            <w:r>
              <w:rPr>
                <w:rFonts w:ascii="宋体" w:hAnsi="宋体" w:eastAsia="宋体" w:cs="宋体"/>
                <w:spacing w:val="-3"/>
                <w:sz w:val="24"/>
                <w:szCs w:val="24"/>
              </w:rPr>
              <w:t>序号</w:t>
            </w:r>
          </w:p>
        </w:tc>
        <w:tc>
          <w:tcPr>
            <w:tcW w:w="1583" w:type="dxa"/>
            <w:vAlign w:val="center"/>
          </w:tcPr>
          <w:p>
            <w:pPr>
              <w:spacing w:before="194" w:line="220" w:lineRule="auto"/>
              <w:jc w:val="center"/>
              <w:rPr>
                <w:rFonts w:ascii="宋体" w:hAnsi="宋体" w:eastAsia="宋体" w:cs="宋体"/>
                <w:sz w:val="24"/>
                <w:szCs w:val="24"/>
              </w:rPr>
            </w:pPr>
            <w:r>
              <w:rPr>
                <w:rFonts w:hint="eastAsia" w:ascii="宋体" w:hAnsi="宋体" w:eastAsia="宋体" w:cs="宋体"/>
                <w:spacing w:val="-2"/>
                <w:sz w:val="24"/>
                <w:szCs w:val="24"/>
                <w:lang w:eastAsia="zh-CN"/>
              </w:rPr>
              <w:t>磋商</w:t>
            </w:r>
            <w:r>
              <w:rPr>
                <w:rFonts w:ascii="宋体" w:hAnsi="宋体" w:eastAsia="宋体" w:cs="宋体"/>
                <w:spacing w:val="-2"/>
                <w:sz w:val="24"/>
                <w:szCs w:val="24"/>
              </w:rPr>
              <w:t>文件条目</w:t>
            </w:r>
            <w:r>
              <w:rPr>
                <w:rFonts w:ascii="宋体" w:hAnsi="宋体" w:eastAsia="宋体" w:cs="宋体"/>
                <w:spacing w:val="-5"/>
                <w:sz w:val="24"/>
                <w:szCs w:val="24"/>
              </w:rPr>
              <w:t>号（页码）</w:t>
            </w:r>
          </w:p>
        </w:tc>
        <w:tc>
          <w:tcPr>
            <w:tcW w:w="1498" w:type="dxa"/>
            <w:vAlign w:val="center"/>
          </w:tcPr>
          <w:p>
            <w:pPr>
              <w:spacing w:before="78" w:line="220" w:lineRule="auto"/>
              <w:jc w:val="center"/>
              <w:rPr>
                <w:rFonts w:ascii="宋体" w:hAnsi="宋体" w:eastAsia="宋体" w:cs="宋体"/>
                <w:sz w:val="24"/>
                <w:szCs w:val="24"/>
              </w:rPr>
            </w:pPr>
            <w:r>
              <w:rPr>
                <w:rFonts w:hint="eastAsia" w:ascii="宋体" w:hAnsi="宋体" w:eastAsia="宋体" w:cs="宋体"/>
                <w:spacing w:val="-2"/>
                <w:sz w:val="24"/>
                <w:szCs w:val="24"/>
                <w:lang w:eastAsia="zh-CN"/>
              </w:rPr>
              <w:t>磋商</w:t>
            </w:r>
            <w:r>
              <w:rPr>
                <w:rFonts w:ascii="宋体" w:hAnsi="宋体" w:eastAsia="宋体" w:cs="宋体"/>
                <w:spacing w:val="-2"/>
                <w:sz w:val="24"/>
                <w:szCs w:val="24"/>
              </w:rPr>
              <w:t>文件要求</w:t>
            </w:r>
          </w:p>
        </w:tc>
        <w:tc>
          <w:tcPr>
            <w:tcW w:w="1498" w:type="dxa"/>
            <w:vAlign w:val="center"/>
          </w:tcPr>
          <w:p>
            <w:pPr>
              <w:spacing w:before="78" w:line="220" w:lineRule="auto"/>
              <w:jc w:val="center"/>
              <w:rPr>
                <w:rFonts w:ascii="宋体" w:hAnsi="宋体" w:eastAsia="宋体" w:cs="宋体"/>
                <w:sz w:val="24"/>
                <w:szCs w:val="24"/>
              </w:rPr>
            </w:pPr>
            <w:r>
              <w:rPr>
                <w:rFonts w:hint="eastAsia" w:ascii="宋体" w:hAnsi="宋体" w:eastAsia="宋体" w:cs="宋体"/>
                <w:spacing w:val="-2"/>
                <w:sz w:val="24"/>
                <w:szCs w:val="24"/>
                <w:lang w:eastAsia="zh-CN"/>
              </w:rPr>
              <w:t>响应</w:t>
            </w:r>
            <w:r>
              <w:rPr>
                <w:rFonts w:ascii="宋体" w:hAnsi="宋体" w:eastAsia="宋体" w:cs="宋体"/>
                <w:spacing w:val="-2"/>
                <w:sz w:val="24"/>
                <w:szCs w:val="24"/>
              </w:rPr>
              <w:t>文件内容</w:t>
            </w:r>
          </w:p>
        </w:tc>
        <w:tc>
          <w:tcPr>
            <w:tcW w:w="1677" w:type="dxa"/>
            <w:vAlign w:val="center"/>
          </w:tcPr>
          <w:p>
            <w:pPr>
              <w:spacing w:before="78" w:line="220" w:lineRule="auto"/>
              <w:jc w:val="center"/>
              <w:rPr>
                <w:rFonts w:ascii="宋体" w:hAnsi="宋体" w:eastAsia="宋体" w:cs="宋体"/>
                <w:sz w:val="24"/>
                <w:szCs w:val="24"/>
              </w:rPr>
            </w:pPr>
            <w:r>
              <w:rPr>
                <w:rFonts w:ascii="宋体" w:hAnsi="宋体" w:eastAsia="宋体" w:cs="宋体"/>
                <w:spacing w:val="-2"/>
                <w:sz w:val="24"/>
                <w:szCs w:val="24"/>
              </w:rPr>
              <w:t>偏离情况</w:t>
            </w:r>
          </w:p>
        </w:tc>
        <w:tc>
          <w:tcPr>
            <w:tcW w:w="1018" w:type="dxa"/>
            <w:vAlign w:val="center"/>
          </w:tcPr>
          <w:p>
            <w:pPr>
              <w:spacing w:before="78" w:line="220" w:lineRule="auto"/>
              <w:jc w:val="center"/>
              <w:rPr>
                <w:rFonts w:ascii="宋体" w:hAnsi="宋体" w:eastAsia="宋体" w:cs="宋体"/>
                <w:sz w:val="24"/>
                <w:szCs w:val="24"/>
              </w:rPr>
            </w:pPr>
            <w:r>
              <w:rPr>
                <w:rFonts w:ascii="宋体" w:hAnsi="宋体" w:eastAsia="宋体" w:cs="宋体"/>
                <w:spacing w:val="-4"/>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560" w:hRule="atLeast"/>
          <w:jc w:val="center"/>
        </w:trPr>
        <w:tc>
          <w:tcPr>
            <w:tcW w:w="8310" w:type="dxa"/>
            <w:gridSpan w:val="6"/>
            <w:vAlign w:val="top"/>
          </w:tcPr>
          <w:p>
            <w:pPr>
              <w:spacing w:before="38" w:line="219" w:lineRule="auto"/>
              <w:ind w:left="116"/>
              <w:rPr>
                <w:rFonts w:ascii="宋体" w:hAnsi="宋体" w:eastAsia="宋体" w:cs="宋体"/>
                <w:sz w:val="24"/>
                <w:szCs w:val="24"/>
              </w:rPr>
            </w:pPr>
            <w:r>
              <w:rPr>
                <w:rFonts w:ascii="宋体" w:hAnsi="宋体" w:eastAsia="宋体" w:cs="宋体"/>
                <w:sz w:val="24"/>
                <w:szCs w:val="24"/>
              </w:rPr>
              <w:t>对本项目合同条款的偏离情况（应进行选择，未选择投标无效</w:t>
            </w:r>
            <w:r>
              <w:rPr>
                <w:rFonts w:ascii="宋体" w:hAnsi="宋体" w:eastAsia="宋体" w:cs="宋体"/>
                <w:spacing w:val="-63"/>
                <w:w w:val="98"/>
                <w:sz w:val="24"/>
                <w:szCs w:val="24"/>
              </w:rPr>
              <w:t>）</w:t>
            </w:r>
            <w:r>
              <w:rPr>
                <w:rFonts w:hint="eastAsia" w:ascii="宋体" w:hAnsi="宋体" w:eastAsia="宋体" w:cs="宋体"/>
                <w:spacing w:val="-63"/>
                <w:w w:val="98"/>
                <w:sz w:val="24"/>
                <w:szCs w:val="24"/>
                <w:lang w:eastAsia="zh-CN"/>
              </w:rPr>
              <w:t>：</w:t>
            </w:r>
          </w:p>
          <w:p>
            <w:pPr>
              <w:spacing w:before="27" w:line="197" w:lineRule="auto"/>
              <w:ind w:left="118" w:right="115" w:firstLine="11"/>
              <w:rPr>
                <w:rFonts w:ascii="宋体" w:hAnsi="宋体" w:eastAsia="宋体" w:cs="宋体"/>
                <w:sz w:val="24"/>
                <w:szCs w:val="24"/>
              </w:rPr>
            </w:pPr>
            <w:r>
              <w:rPr>
                <w:rFonts w:hint="eastAsia" w:ascii="宋体" w:hAnsi="宋体"/>
                <w:sz w:val="24"/>
              </w:rPr>
              <w:t>□</w:t>
            </w:r>
            <w:r>
              <w:rPr>
                <w:rFonts w:ascii="宋体" w:hAnsi="宋体" w:eastAsia="宋体" w:cs="宋体"/>
                <w:spacing w:val="-16"/>
                <w:sz w:val="24"/>
                <w:szCs w:val="24"/>
              </w:rPr>
              <w:t>无偏离（如无偏离，仅选择无偏离即可；无偏离即为对合同条款中的所有要求，均视</w:t>
            </w:r>
            <w:r>
              <w:rPr>
                <w:rFonts w:ascii="宋体" w:hAnsi="宋体" w:eastAsia="宋体" w:cs="宋体"/>
                <w:spacing w:val="-11"/>
                <w:sz w:val="24"/>
                <w:szCs w:val="24"/>
              </w:rPr>
              <w:t>作供应商已对之理解和响应。）</w:t>
            </w:r>
          </w:p>
          <w:p>
            <w:pPr>
              <w:spacing w:before="26" w:line="192" w:lineRule="auto"/>
              <w:ind w:left="137" w:right="133" w:hanging="7"/>
              <w:rPr>
                <w:rFonts w:ascii="宋体" w:hAnsi="宋体" w:eastAsia="宋体" w:cs="宋体"/>
                <w:sz w:val="24"/>
                <w:szCs w:val="24"/>
              </w:rPr>
            </w:pPr>
            <w:r>
              <w:rPr>
                <w:rFonts w:hint="eastAsia" w:ascii="宋体" w:hAnsi="宋体"/>
                <w:sz w:val="24"/>
              </w:rPr>
              <w:t>□</w:t>
            </w:r>
            <w:r>
              <w:rPr>
                <w:rFonts w:ascii="宋体" w:hAnsi="宋体" w:eastAsia="宋体" w:cs="宋体"/>
                <w:spacing w:val="-10"/>
                <w:sz w:val="24"/>
                <w:szCs w:val="24"/>
              </w:rPr>
              <w:t>有偏离（如有偏离，则应在本表中对偏离项逐一列明，否则投标无效；对合同条款中</w:t>
            </w:r>
            <w:r>
              <w:rPr>
                <w:rFonts w:ascii="宋体" w:hAnsi="宋体" w:eastAsia="宋体" w:cs="宋体"/>
                <w:spacing w:val="-5"/>
                <w:sz w:val="24"/>
                <w:szCs w:val="24"/>
              </w:rPr>
              <w:t>的所有要求，除本表列明的偏离外，均视作供应商已对之理</w:t>
            </w:r>
            <w:r>
              <w:rPr>
                <w:rFonts w:ascii="宋体" w:hAnsi="宋体" w:eastAsia="宋体" w:cs="宋体"/>
                <w:spacing w:val="-6"/>
                <w:sz w:val="24"/>
                <w:szCs w:val="24"/>
              </w:rPr>
              <w:t>解和响应。）</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jc w:val="center"/>
        </w:trPr>
        <w:tc>
          <w:tcPr>
            <w:tcW w:w="1036" w:type="dxa"/>
            <w:vAlign w:val="top"/>
          </w:tcPr>
          <w:p>
            <w:pPr>
              <w:pStyle w:val="195"/>
            </w:pPr>
          </w:p>
        </w:tc>
        <w:tc>
          <w:tcPr>
            <w:tcW w:w="1583" w:type="dxa"/>
            <w:vAlign w:val="top"/>
          </w:tcPr>
          <w:p>
            <w:pPr>
              <w:pStyle w:val="195"/>
            </w:pPr>
          </w:p>
        </w:tc>
        <w:tc>
          <w:tcPr>
            <w:tcW w:w="1498" w:type="dxa"/>
            <w:vAlign w:val="top"/>
          </w:tcPr>
          <w:p>
            <w:pPr>
              <w:pStyle w:val="195"/>
            </w:pPr>
          </w:p>
        </w:tc>
        <w:tc>
          <w:tcPr>
            <w:tcW w:w="1498" w:type="dxa"/>
            <w:vAlign w:val="top"/>
          </w:tcPr>
          <w:p>
            <w:pPr>
              <w:pStyle w:val="195"/>
            </w:pPr>
          </w:p>
        </w:tc>
        <w:tc>
          <w:tcPr>
            <w:tcW w:w="1677" w:type="dxa"/>
            <w:vAlign w:val="top"/>
          </w:tcPr>
          <w:p>
            <w:pPr>
              <w:pStyle w:val="195"/>
            </w:pPr>
          </w:p>
        </w:tc>
        <w:tc>
          <w:tcPr>
            <w:tcW w:w="1018" w:type="dxa"/>
            <w:vAlign w:val="top"/>
          </w:tcPr>
          <w:p>
            <w:pPr>
              <w:pStyle w:val="195"/>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jc w:val="center"/>
        </w:trPr>
        <w:tc>
          <w:tcPr>
            <w:tcW w:w="1036" w:type="dxa"/>
            <w:vAlign w:val="top"/>
          </w:tcPr>
          <w:p>
            <w:pPr>
              <w:pStyle w:val="195"/>
            </w:pPr>
          </w:p>
        </w:tc>
        <w:tc>
          <w:tcPr>
            <w:tcW w:w="1583" w:type="dxa"/>
            <w:vAlign w:val="top"/>
          </w:tcPr>
          <w:p>
            <w:pPr>
              <w:pStyle w:val="195"/>
            </w:pPr>
          </w:p>
        </w:tc>
        <w:tc>
          <w:tcPr>
            <w:tcW w:w="1498" w:type="dxa"/>
            <w:vAlign w:val="top"/>
          </w:tcPr>
          <w:p>
            <w:pPr>
              <w:pStyle w:val="195"/>
            </w:pPr>
          </w:p>
        </w:tc>
        <w:tc>
          <w:tcPr>
            <w:tcW w:w="1498" w:type="dxa"/>
            <w:vAlign w:val="top"/>
          </w:tcPr>
          <w:p>
            <w:pPr>
              <w:pStyle w:val="195"/>
            </w:pPr>
          </w:p>
        </w:tc>
        <w:tc>
          <w:tcPr>
            <w:tcW w:w="1677" w:type="dxa"/>
            <w:vAlign w:val="top"/>
          </w:tcPr>
          <w:p>
            <w:pPr>
              <w:pStyle w:val="195"/>
            </w:pPr>
          </w:p>
        </w:tc>
        <w:tc>
          <w:tcPr>
            <w:tcW w:w="1018" w:type="dxa"/>
            <w:vAlign w:val="top"/>
          </w:tcPr>
          <w:p>
            <w:pPr>
              <w:pStyle w:val="195"/>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jc w:val="center"/>
        </w:trPr>
        <w:tc>
          <w:tcPr>
            <w:tcW w:w="1036" w:type="dxa"/>
            <w:vAlign w:val="top"/>
          </w:tcPr>
          <w:p>
            <w:pPr>
              <w:pStyle w:val="195"/>
            </w:pPr>
          </w:p>
        </w:tc>
        <w:tc>
          <w:tcPr>
            <w:tcW w:w="1583" w:type="dxa"/>
            <w:vAlign w:val="top"/>
          </w:tcPr>
          <w:p>
            <w:pPr>
              <w:pStyle w:val="195"/>
            </w:pPr>
          </w:p>
        </w:tc>
        <w:tc>
          <w:tcPr>
            <w:tcW w:w="1498" w:type="dxa"/>
            <w:vAlign w:val="top"/>
          </w:tcPr>
          <w:p>
            <w:pPr>
              <w:pStyle w:val="195"/>
            </w:pPr>
          </w:p>
        </w:tc>
        <w:tc>
          <w:tcPr>
            <w:tcW w:w="1498" w:type="dxa"/>
            <w:vAlign w:val="top"/>
          </w:tcPr>
          <w:p>
            <w:pPr>
              <w:pStyle w:val="195"/>
            </w:pPr>
          </w:p>
        </w:tc>
        <w:tc>
          <w:tcPr>
            <w:tcW w:w="1677" w:type="dxa"/>
            <w:vAlign w:val="top"/>
          </w:tcPr>
          <w:p>
            <w:pPr>
              <w:pStyle w:val="195"/>
            </w:pPr>
          </w:p>
        </w:tc>
        <w:tc>
          <w:tcPr>
            <w:tcW w:w="1018" w:type="dxa"/>
            <w:vAlign w:val="top"/>
          </w:tcPr>
          <w:p>
            <w:pPr>
              <w:pStyle w:val="195"/>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9" w:hRule="atLeast"/>
          <w:jc w:val="center"/>
        </w:trPr>
        <w:tc>
          <w:tcPr>
            <w:tcW w:w="1036" w:type="dxa"/>
            <w:vAlign w:val="top"/>
          </w:tcPr>
          <w:p>
            <w:pPr>
              <w:pStyle w:val="195"/>
            </w:pPr>
          </w:p>
        </w:tc>
        <w:tc>
          <w:tcPr>
            <w:tcW w:w="1583" w:type="dxa"/>
            <w:vAlign w:val="top"/>
          </w:tcPr>
          <w:p>
            <w:pPr>
              <w:pStyle w:val="195"/>
            </w:pPr>
          </w:p>
        </w:tc>
        <w:tc>
          <w:tcPr>
            <w:tcW w:w="1498" w:type="dxa"/>
            <w:vAlign w:val="top"/>
          </w:tcPr>
          <w:p>
            <w:pPr>
              <w:pStyle w:val="195"/>
            </w:pPr>
          </w:p>
        </w:tc>
        <w:tc>
          <w:tcPr>
            <w:tcW w:w="1498" w:type="dxa"/>
            <w:vAlign w:val="top"/>
          </w:tcPr>
          <w:p>
            <w:pPr>
              <w:pStyle w:val="195"/>
            </w:pPr>
          </w:p>
        </w:tc>
        <w:tc>
          <w:tcPr>
            <w:tcW w:w="1677" w:type="dxa"/>
            <w:vAlign w:val="top"/>
          </w:tcPr>
          <w:p>
            <w:pPr>
              <w:pStyle w:val="195"/>
            </w:pPr>
          </w:p>
        </w:tc>
        <w:tc>
          <w:tcPr>
            <w:tcW w:w="1018" w:type="dxa"/>
            <w:vAlign w:val="top"/>
          </w:tcPr>
          <w:p>
            <w:pPr>
              <w:pStyle w:val="195"/>
            </w:pPr>
          </w:p>
        </w:tc>
      </w:tr>
    </w:tbl>
    <w:p>
      <w:pPr>
        <w:spacing w:line="360" w:lineRule="auto"/>
        <w:jc w:val="left"/>
        <w:rPr>
          <w:rFonts w:ascii="宋体" w:hAnsi="宋体" w:eastAsia="宋体" w:cs="宋体"/>
          <w:spacing w:val="4"/>
          <w:sz w:val="24"/>
          <w:szCs w:val="24"/>
        </w:rPr>
      </w:pPr>
    </w:p>
    <w:p>
      <w:pPr>
        <w:pStyle w:val="24"/>
        <w:spacing w:line="360" w:lineRule="auto"/>
        <w:rPr>
          <w:rFonts w:hint="eastAsia" w:hAnsi="宋体"/>
          <w:sz w:val="24"/>
        </w:rPr>
      </w:pPr>
      <w:r>
        <w:rPr>
          <w:rFonts w:hint="eastAsia" w:hAnsi="宋体"/>
          <w:sz w:val="24"/>
          <w:szCs w:val="24"/>
          <w:lang w:eastAsia="zh-CN"/>
        </w:rPr>
        <w:t>供应商</w:t>
      </w:r>
      <w:r>
        <w:rPr>
          <w:rFonts w:hint="eastAsia" w:ascii="宋体" w:hAnsi="宋体"/>
          <w:sz w:val="24"/>
          <w:szCs w:val="24"/>
        </w:rPr>
        <w:t>代表签字</w:t>
      </w:r>
      <w:r>
        <w:rPr>
          <w:rFonts w:hint="eastAsia" w:hAnsi="宋体"/>
          <w:sz w:val="24"/>
        </w:rPr>
        <w:t>：____________________________</w:t>
      </w:r>
    </w:p>
    <w:p>
      <w:pPr>
        <w:pStyle w:val="24"/>
        <w:spacing w:line="360" w:lineRule="auto"/>
        <w:rPr>
          <w:rFonts w:hint="eastAsia" w:hAnsi="宋体"/>
          <w:sz w:val="24"/>
        </w:rPr>
      </w:pPr>
      <w:r>
        <w:rPr>
          <w:rFonts w:hint="eastAsia" w:hAnsi="宋体"/>
          <w:sz w:val="24"/>
          <w:lang w:eastAsia="zh-CN"/>
        </w:rPr>
        <w:t>供应商</w:t>
      </w:r>
      <w:r>
        <w:rPr>
          <w:rFonts w:hint="eastAsia" w:hAnsi="宋体"/>
          <w:sz w:val="24"/>
        </w:rPr>
        <w:t xml:space="preserve">(盖章):   </w:t>
      </w:r>
      <w:r>
        <w:rPr>
          <w:rFonts w:hint="eastAsia" w:hAnsi="宋体"/>
          <w:sz w:val="24"/>
          <w:u w:val="single"/>
        </w:rPr>
        <w:t xml:space="preserve"> </w:t>
      </w:r>
      <w:r>
        <w:rPr>
          <w:rFonts w:hAnsi="宋体"/>
          <w:sz w:val="24"/>
          <w:u w:val="single"/>
        </w:rPr>
        <w:tab/>
      </w:r>
      <w:r>
        <w:rPr>
          <w:rFonts w:hint="eastAsia" w:hAnsi="宋体"/>
          <w:sz w:val="24"/>
          <w:u w:val="single"/>
        </w:rPr>
        <w:t xml:space="preserve">                        </w:t>
      </w:r>
      <w:r>
        <w:rPr>
          <w:rFonts w:hAnsi="宋体"/>
          <w:sz w:val="24"/>
          <w:u w:val="single"/>
        </w:rPr>
        <w:tab/>
      </w:r>
    </w:p>
    <w:p>
      <w:pPr>
        <w:pStyle w:val="24"/>
        <w:tabs>
          <w:tab w:val="left" w:pos="5580"/>
        </w:tabs>
        <w:spacing w:before="120" w:line="22" w:lineRule="atLeast"/>
        <w:rPr>
          <w:rFonts w:hint="eastAsia" w:hAnsi="宋体"/>
          <w:color w:val="000000"/>
          <w:sz w:val="24"/>
          <w:u w:val="single"/>
        </w:rPr>
      </w:pPr>
      <w:r>
        <w:rPr>
          <w:rFonts w:hint="eastAsia" w:ascii="宋体" w:hAnsi="宋体"/>
          <w:sz w:val="24"/>
          <w:szCs w:val="24"/>
        </w:rPr>
        <w:t>日    期：</w:t>
      </w:r>
      <w:r>
        <w:rPr>
          <w:rFonts w:hint="eastAsia" w:ascii="宋体" w:hAnsi="宋体"/>
          <w:sz w:val="24"/>
          <w:szCs w:val="24"/>
          <w:u w:val="single"/>
        </w:rPr>
        <w:t xml:space="preserve">                         </w:t>
      </w:r>
    </w:p>
    <w:p>
      <w:pPr>
        <w:spacing w:line="360" w:lineRule="auto"/>
        <w:rPr>
          <w:rFonts w:hint="eastAsia"/>
          <w:b/>
          <w:bCs/>
          <w:color w:val="auto"/>
          <w:sz w:val="24"/>
          <w:szCs w:val="24"/>
          <w:lang w:eastAsia="zh-CN"/>
        </w:rPr>
      </w:pPr>
    </w:p>
    <w:p>
      <w:pPr>
        <w:spacing w:line="360" w:lineRule="auto"/>
        <w:rPr>
          <w:rFonts w:hint="eastAsia"/>
          <w:b/>
          <w:bCs/>
          <w:color w:val="auto"/>
          <w:sz w:val="24"/>
          <w:szCs w:val="24"/>
          <w:highlight w:val="none"/>
          <w:lang w:val="en-US" w:eastAsia="zh-CN"/>
        </w:rPr>
      </w:pPr>
      <w:r>
        <w:rPr>
          <w:rFonts w:hint="eastAsia"/>
          <w:b/>
          <w:bCs/>
          <w:color w:val="auto"/>
          <w:sz w:val="24"/>
          <w:szCs w:val="24"/>
          <w:highlight w:val="none"/>
          <w:lang w:eastAsia="zh-CN"/>
        </w:rPr>
        <w:t>附件</w:t>
      </w:r>
      <w:r>
        <w:rPr>
          <w:rFonts w:hint="eastAsia"/>
          <w:b/>
          <w:bCs/>
          <w:color w:val="auto"/>
          <w:sz w:val="24"/>
          <w:szCs w:val="24"/>
          <w:highlight w:val="none"/>
          <w:lang w:val="en-US" w:eastAsia="zh-CN"/>
        </w:rPr>
        <w:t>7 服务方案（按照竞争性磋商文件第三部分要求编制，格式自拟）</w:t>
      </w:r>
    </w:p>
    <w:p>
      <w:pPr>
        <w:pStyle w:val="24"/>
        <w:numPr>
          <w:ilvl w:val="0"/>
          <w:numId w:val="0"/>
        </w:numPr>
        <w:spacing w:line="360" w:lineRule="auto"/>
        <w:rPr>
          <w:rFonts w:hint="eastAsia" w:hAnsi="宋体"/>
          <w:color w:val="auto"/>
          <w:sz w:val="24"/>
          <w:highlight w:val="none"/>
          <w:lang w:eastAsia="zh-CN"/>
        </w:rPr>
      </w:pPr>
      <w:r>
        <w:rPr>
          <w:rFonts w:hint="eastAsia" w:hAnsi="宋体" w:cs="宋体"/>
          <w:b w:val="0"/>
          <w:bCs/>
          <w:color w:val="auto"/>
          <w:sz w:val="24"/>
          <w:szCs w:val="24"/>
          <w:highlight w:val="none"/>
          <w:lang w:eastAsia="zh-CN"/>
        </w:rPr>
        <w:t>一、服务质量保证措施</w:t>
      </w:r>
      <w:r>
        <w:rPr>
          <w:rFonts w:hint="eastAsia" w:hAnsi="宋体"/>
          <w:color w:val="auto"/>
          <w:sz w:val="24"/>
          <w:highlight w:val="none"/>
          <w:lang w:eastAsia="zh-CN"/>
        </w:rPr>
        <w:t>；</w:t>
      </w:r>
    </w:p>
    <w:p>
      <w:pPr>
        <w:pStyle w:val="24"/>
        <w:numPr>
          <w:ilvl w:val="0"/>
          <w:numId w:val="0"/>
        </w:numPr>
        <w:spacing w:line="360" w:lineRule="auto"/>
        <w:rPr>
          <w:rFonts w:hint="eastAsia" w:hAnsi="宋体" w:cs="宋体"/>
          <w:b w:val="0"/>
          <w:bCs/>
          <w:color w:val="auto"/>
          <w:sz w:val="24"/>
          <w:szCs w:val="24"/>
          <w:highlight w:val="none"/>
          <w:lang w:eastAsia="zh-CN"/>
        </w:rPr>
      </w:pPr>
      <w:r>
        <w:rPr>
          <w:rFonts w:hint="eastAsia" w:hAnsi="宋体" w:cs="宋体"/>
          <w:b w:val="0"/>
          <w:bCs/>
          <w:color w:val="auto"/>
          <w:sz w:val="24"/>
          <w:szCs w:val="24"/>
          <w:highlight w:val="none"/>
          <w:lang w:eastAsia="zh-CN"/>
        </w:rPr>
        <w:t>二、资料收集方案；</w:t>
      </w:r>
    </w:p>
    <w:p>
      <w:pPr>
        <w:pStyle w:val="24"/>
        <w:numPr>
          <w:ilvl w:val="0"/>
          <w:numId w:val="0"/>
        </w:numPr>
        <w:spacing w:line="360" w:lineRule="auto"/>
        <w:rPr>
          <w:rFonts w:hint="eastAsia" w:hAnsi="宋体" w:cs="宋体"/>
          <w:b w:val="0"/>
          <w:bCs/>
          <w:color w:val="auto"/>
          <w:sz w:val="24"/>
          <w:szCs w:val="24"/>
          <w:highlight w:val="none"/>
          <w:lang w:eastAsia="zh-CN"/>
        </w:rPr>
      </w:pPr>
      <w:r>
        <w:rPr>
          <w:rFonts w:hint="eastAsia" w:hAnsi="宋体" w:cs="宋体"/>
          <w:b w:val="0"/>
          <w:bCs/>
          <w:color w:val="auto"/>
          <w:sz w:val="24"/>
          <w:szCs w:val="24"/>
          <w:highlight w:val="none"/>
          <w:lang w:eastAsia="zh-CN"/>
        </w:rPr>
        <w:t>三、进度控制方案及措施；</w:t>
      </w:r>
    </w:p>
    <w:p>
      <w:pPr>
        <w:pStyle w:val="24"/>
        <w:numPr>
          <w:ilvl w:val="0"/>
          <w:numId w:val="0"/>
        </w:numPr>
        <w:spacing w:line="360" w:lineRule="auto"/>
        <w:rPr>
          <w:rFonts w:hint="eastAsia" w:asciiTheme="minorEastAsia" w:hAnsiTheme="minorEastAsia" w:eastAsiaTheme="minorEastAsia" w:cstheme="minorEastAsia"/>
          <w:sz w:val="24"/>
          <w:szCs w:val="24"/>
          <w:highlight w:val="none"/>
          <w:lang w:eastAsia="zh-CN"/>
        </w:rPr>
      </w:pPr>
      <w:r>
        <w:rPr>
          <w:rFonts w:hint="eastAsia" w:hAnsi="宋体" w:cs="宋体"/>
          <w:b w:val="0"/>
          <w:bCs/>
          <w:color w:val="auto"/>
          <w:sz w:val="24"/>
          <w:szCs w:val="24"/>
          <w:highlight w:val="none"/>
          <w:lang w:eastAsia="zh-CN"/>
        </w:rPr>
        <w:t>四、</w:t>
      </w:r>
      <w:r>
        <w:rPr>
          <w:rFonts w:hint="eastAsia" w:asciiTheme="minorEastAsia" w:hAnsiTheme="minorEastAsia" w:eastAsiaTheme="minorEastAsia" w:cstheme="minorEastAsia"/>
          <w:sz w:val="24"/>
          <w:szCs w:val="24"/>
          <w:highlight w:val="none"/>
          <w:lang w:eastAsia="zh-CN"/>
        </w:rPr>
        <w:t>对本项目的认识及总体服务承诺；</w:t>
      </w:r>
    </w:p>
    <w:p>
      <w:pPr>
        <w:pStyle w:val="24"/>
        <w:numPr>
          <w:ilvl w:val="0"/>
          <w:numId w:val="0"/>
        </w:numPr>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五、内部管理；</w:t>
      </w:r>
    </w:p>
    <w:p>
      <w:pPr>
        <w:pStyle w:val="24"/>
        <w:numPr>
          <w:ilvl w:val="0"/>
          <w:numId w:val="0"/>
        </w:numPr>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六、保密措施。</w:t>
      </w:r>
    </w:p>
    <w:p>
      <w:pPr>
        <w:pStyle w:val="24"/>
        <w:numPr>
          <w:ilvl w:val="0"/>
          <w:numId w:val="0"/>
        </w:numPr>
        <w:spacing w:line="360" w:lineRule="auto"/>
        <w:rPr>
          <w:rFonts w:hint="eastAsia" w:hAnsi="宋体"/>
          <w:color w:val="auto"/>
          <w:sz w:val="24"/>
          <w:highlight w:val="yellow"/>
          <w:lang w:eastAsia="zh-CN"/>
        </w:rPr>
      </w:pPr>
    </w:p>
    <w:p>
      <w:pPr>
        <w:pStyle w:val="24"/>
        <w:spacing w:line="360" w:lineRule="auto"/>
        <w:rPr>
          <w:rFonts w:hint="eastAsia" w:hAnsi="宋体"/>
          <w:color w:val="auto"/>
          <w:sz w:val="24"/>
          <w:highlight w:val="none"/>
        </w:rPr>
      </w:pPr>
      <w:r>
        <w:rPr>
          <w:rFonts w:hint="eastAsia" w:hAnsi="宋体"/>
          <w:color w:val="auto"/>
          <w:sz w:val="24"/>
          <w:highlight w:val="none"/>
          <w:lang w:eastAsia="zh-CN"/>
        </w:rPr>
        <w:t>供应商</w:t>
      </w:r>
      <w:r>
        <w:rPr>
          <w:rFonts w:hint="eastAsia" w:hAnsi="宋体"/>
          <w:color w:val="auto"/>
          <w:sz w:val="24"/>
          <w:highlight w:val="none"/>
        </w:rPr>
        <w:t>代表签字：____________________________</w:t>
      </w:r>
    </w:p>
    <w:p>
      <w:pPr>
        <w:pStyle w:val="24"/>
        <w:spacing w:line="360" w:lineRule="auto"/>
        <w:rPr>
          <w:rFonts w:hint="eastAsia" w:hAnsi="宋体"/>
          <w:color w:val="auto"/>
          <w:sz w:val="24"/>
          <w:highlight w:val="none"/>
        </w:rPr>
      </w:pPr>
      <w:r>
        <w:rPr>
          <w:rFonts w:hint="eastAsia" w:hAnsi="宋体"/>
          <w:color w:val="auto"/>
          <w:sz w:val="24"/>
          <w:highlight w:val="none"/>
          <w:lang w:eastAsia="zh-CN"/>
        </w:rPr>
        <w:t>供应商</w:t>
      </w:r>
      <w:r>
        <w:rPr>
          <w:rFonts w:hint="eastAsia" w:hAnsi="宋体"/>
          <w:color w:val="auto"/>
          <w:sz w:val="24"/>
          <w:highlight w:val="none"/>
        </w:rPr>
        <w:t xml:space="preserve">(盖章):   </w:t>
      </w:r>
      <w:r>
        <w:rPr>
          <w:rFonts w:hint="eastAsia" w:hAnsi="宋体"/>
          <w:color w:val="auto"/>
          <w:sz w:val="24"/>
          <w:highlight w:val="none"/>
          <w:u w:val="single"/>
        </w:rPr>
        <w:t xml:space="preserve"> </w:t>
      </w:r>
      <w:r>
        <w:rPr>
          <w:rFonts w:hAnsi="宋体"/>
          <w:color w:val="auto"/>
          <w:sz w:val="24"/>
          <w:highlight w:val="none"/>
          <w:u w:val="single"/>
        </w:rPr>
        <w:tab/>
      </w:r>
      <w:r>
        <w:rPr>
          <w:rFonts w:hint="eastAsia" w:hAnsi="宋体"/>
          <w:color w:val="auto"/>
          <w:sz w:val="24"/>
          <w:highlight w:val="none"/>
          <w:u w:val="single"/>
        </w:rPr>
        <w:t xml:space="preserve">                        </w:t>
      </w:r>
      <w:r>
        <w:rPr>
          <w:rFonts w:hAnsi="宋体"/>
          <w:color w:val="auto"/>
          <w:sz w:val="24"/>
          <w:highlight w:val="none"/>
          <w:u w:val="single"/>
        </w:rPr>
        <w:tab/>
      </w:r>
    </w:p>
    <w:p>
      <w:pPr>
        <w:spacing w:line="360" w:lineRule="auto"/>
        <w:jc w:val="left"/>
        <w:rPr>
          <w:rFonts w:hint="eastAsia" w:ascii="宋体" w:hAnsi="宋体"/>
          <w:color w:val="auto"/>
          <w:sz w:val="24"/>
          <w:szCs w:val="24"/>
          <w:highlight w:val="none"/>
          <w:u w:val="single"/>
        </w:rPr>
      </w:pPr>
      <w:r>
        <w:rPr>
          <w:rFonts w:hint="eastAsia" w:ascii="宋体" w:hAnsi="宋体"/>
          <w:color w:val="auto"/>
          <w:sz w:val="24"/>
          <w:szCs w:val="24"/>
          <w:highlight w:val="none"/>
        </w:rPr>
        <w:t>日    期：</w:t>
      </w:r>
      <w:r>
        <w:rPr>
          <w:rFonts w:hint="eastAsia" w:ascii="宋体" w:hAnsi="宋体"/>
          <w:color w:val="auto"/>
          <w:sz w:val="24"/>
          <w:szCs w:val="24"/>
          <w:highlight w:val="none"/>
          <w:u w:val="single"/>
        </w:rPr>
        <w:t xml:space="preserve">                         </w:t>
      </w:r>
    </w:p>
    <w:p>
      <w:pPr>
        <w:numPr>
          <w:ilvl w:val="0"/>
          <w:numId w:val="0"/>
        </w:numPr>
        <w:spacing w:line="360" w:lineRule="auto"/>
        <w:rPr>
          <w:rFonts w:hint="eastAsia"/>
          <w:b w:val="0"/>
          <w:bCs w:val="0"/>
          <w:color w:val="0000FF"/>
          <w:sz w:val="24"/>
          <w:szCs w:val="24"/>
          <w:highlight w:val="yellow"/>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textAlignment w:val="auto"/>
        <w:outlineLvl w:val="9"/>
        <w:rPr>
          <w:rFonts w:hint="eastAsia"/>
          <w:b/>
          <w:bCs/>
          <w:color w:val="auto"/>
          <w:sz w:val="24"/>
          <w:szCs w:val="24"/>
          <w:highlight w:val="none"/>
          <w:lang w:val="en-US" w:eastAsia="zh-CN"/>
        </w:rPr>
      </w:pPr>
      <w:r>
        <w:rPr>
          <w:rFonts w:hint="eastAsia"/>
          <w:b/>
          <w:bCs/>
          <w:color w:val="auto"/>
          <w:sz w:val="24"/>
          <w:szCs w:val="24"/>
          <w:highlight w:val="none"/>
          <w:lang w:val="en-US" w:eastAsia="zh-CN"/>
        </w:rPr>
        <w:t>附件8 团队人员</w:t>
      </w:r>
      <w:r>
        <w:rPr>
          <w:rFonts w:hint="eastAsia"/>
          <w:b/>
          <w:bCs/>
          <w:color w:val="auto"/>
          <w:sz w:val="24"/>
          <w:szCs w:val="24"/>
          <w:lang w:val="en-US" w:eastAsia="zh-CN"/>
        </w:rPr>
        <w:t>（按照竞争性磋商文件第三部分要求编制，格式自拟）</w:t>
      </w:r>
    </w:p>
    <w:p>
      <w:pPr>
        <w:pStyle w:val="105"/>
        <w:tabs>
          <w:tab w:val="left" w:pos="660"/>
        </w:tabs>
        <w:snapToGrid w:val="0"/>
        <w:spacing w:before="0" w:line="400" w:lineRule="exact"/>
        <w:jc w:val="cente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项目团队人员情况表</w:t>
      </w:r>
    </w:p>
    <w:tbl>
      <w:tblPr>
        <w:tblStyle w:val="56"/>
        <w:tblW w:w="99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09"/>
        <w:gridCol w:w="851"/>
        <w:gridCol w:w="795"/>
        <w:gridCol w:w="2037"/>
        <w:gridCol w:w="1365"/>
        <w:gridCol w:w="2040"/>
        <w:gridCol w:w="106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962" w:type="dxa"/>
            <w:gridSpan w:val="7"/>
            <w:vAlign w:val="to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项目负责人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809" w:type="dxa"/>
            <w:vAlign w:val="to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851" w:type="dxa"/>
            <w:vAlign w:val="to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姓名</w:t>
            </w:r>
          </w:p>
        </w:tc>
        <w:tc>
          <w:tcPr>
            <w:tcW w:w="795" w:type="dxa"/>
            <w:vAlign w:val="to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职称</w:t>
            </w:r>
          </w:p>
        </w:tc>
        <w:tc>
          <w:tcPr>
            <w:tcW w:w="2037" w:type="dxa"/>
            <w:vAlign w:val="to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从事专业方向（提供职称证书等有效证明材料）</w:t>
            </w:r>
          </w:p>
        </w:tc>
        <w:tc>
          <w:tcPr>
            <w:tcW w:w="1365" w:type="dxa"/>
            <w:vAlign w:val="top"/>
          </w:tcPr>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注册造价工程师注册证号</w:t>
            </w:r>
          </w:p>
        </w:tc>
        <w:tc>
          <w:tcPr>
            <w:tcW w:w="2040" w:type="dxa"/>
            <w:vAlign w:val="to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执业年限（注册造价工程师以注册执业证书初始注册时间为准）</w:t>
            </w:r>
          </w:p>
        </w:tc>
        <w:tc>
          <w:tcPr>
            <w:tcW w:w="1065" w:type="dxa"/>
            <w:vAlign w:val="to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在本行业工作年限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809" w:type="dxa"/>
            <w:vAlign w:val="to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851" w:type="dxa"/>
            <w:vAlign w:val="top"/>
          </w:tcPr>
          <w:p>
            <w:pPr>
              <w:rPr>
                <w:rFonts w:hint="eastAsia" w:ascii="宋体" w:hAnsi="宋体" w:eastAsia="宋体" w:cs="宋体"/>
                <w:sz w:val="24"/>
                <w:szCs w:val="24"/>
                <w:highlight w:val="none"/>
              </w:rPr>
            </w:pPr>
          </w:p>
        </w:tc>
        <w:tc>
          <w:tcPr>
            <w:tcW w:w="795" w:type="dxa"/>
            <w:vAlign w:val="top"/>
          </w:tcPr>
          <w:p>
            <w:pPr>
              <w:rPr>
                <w:rFonts w:hint="eastAsia" w:ascii="宋体" w:hAnsi="宋体" w:eastAsia="宋体" w:cs="宋体"/>
                <w:sz w:val="24"/>
                <w:szCs w:val="24"/>
                <w:highlight w:val="none"/>
              </w:rPr>
            </w:pPr>
          </w:p>
        </w:tc>
        <w:tc>
          <w:tcPr>
            <w:tcW w:w="2037" w:type="dxa"/>
            <w:vAlign w:val="top"/>
          </w:tcPr>
          <w:p>
            <w:pPr>
              <w:rPr>
                <w:rFonts w:hint="eastAsia" w:ascii="宋体" w:hAnsi="宋体" w:eastAsia="宋体" w:cs="宋体"/>
                <w:sz w:val="24"/>
                <w:szCs w:val="24"/>
                <w:highlight w:val="none"/>
              </w:rPr>
            </w:pPr>
          </w:p>
        </w:tc>
        <w:tc>
          <w:tcPr>
            <w:tcW w:w="1365" w:type="dxa"/>
            <w:vAlign w:val="top"/>
          </w:tcPr>
          <w:p>
            <w:pPr>
              <w:rPr>
                <w:rFonts w:hint="eastAsia" w:ascii="宋体" w:hAnsi="宋体" w:eastAsia="宋体" w:cs="宋体"/>
                <w:sz w:val="24"/>
                <w:szCs w:val="24"/>
                <w:highlight w:val="none"/>
              </w:rPr>
            </w:pPr>
          </w:p>
        </w:tc>
        <w:tc>
          <w:tcPr>
            <w:tcW w:w="2040" w:type="dxa"/>
            <w:vAlign w:val="top"/>
          </w:tcPr>
          <w:p>
            <w:pPr>
              <w:rPr>
                <w:rFonts w:hint="eastAsia" w:ascii="宋体" w:hAnsi="宋体" w:eastAsia="宋体" w:cs="宋体"/>
                <w:sz w:val="24"/>
                <w:szCs w:val="24"/>
                <w:highlight w:val="none"/>
              </w:rPr>
            </w:pPr>
          </w:p>
        </w:tc>
        <w:tc>
          <w:tcPr>
            <w:tcW w:w="1065" w:type="dxa"/>
            <w:vAlign w:val="top"/>
          </w:tcPr>
          <w:p>
            <w:pPr>
              <w:rPr>
                <w:rFonts w:hint="eastAsia" w:ascii="宋体" w:hAnsi="宋体" w:eastAsia="宋体" w:cs="宋体"/>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962" w:type="dxa"/>
            <w:gridSpan w:val="7"/>
            <w:vAlign w:val="to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项目复核人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809" w:type="dxa"/>
            <w:vAlign w:val="to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851" w:type="dxa"/>
            <w:vAlign w:val="to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姓名</w:t>
            </w:r>
          </w:p>
        </w:tc>
        <w:tc>
          <w:tcPr>
            <w:tcW w:w="795" w:type="dxa"/>
            <w:vAlign w:val="to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职称</w:t>
            </w:r>
          </w:p>
        </w:tc>
        <w:tc>
          <w:tcPr>
            <w:tcW w:w="2037" w:type="dxa"/>
            <w:vAlign w:val="to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从事专业方向（提供职称证书等有效证明材料）</w:t>
            </w:r>
          </w:p>
        </w:tc>
        <w:tc>
          <w:tcPr>
            <w:tcW w:w="1365" w:type="dxa"/>
            <w:vAlign w:val="to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注册造价工程师注册证号</w:t>
            </w:r>
          </w:p>
        </w:tc>
        <w:tc>
          <w:tcPr>
            <w:tcW w:w="2040" w:type="dxa"/>
            <w:vAlign w:val="to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执业年限（如为注册造价工程师，以注册执业证书初始注册时间为准）</w:t>
            </w:r>
          </w:p>
        </w:tc>
        <w:tc>
          <w:tcPr>
            <w:tcW w:w="1065" w:type="dxa"/>
            <w:vAlign w:val="to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在本行业工作年限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809" w:type="dxa"/>
            <w:vAlign w:val="to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851" w:type="dxa"/>
            <w:vAlign w:val="top"/>
          </w:tcPr>
          <w:p>
            <w:pPr>
              <w:rPr>
                <w:rFonts w:hint="eastAsia" w:ascii="宋体" w:hAnsi="宋体" w:eastAsia="宋体" w:cs="宋体"/>
                <w:sz w:val="24"/>
                <w:szCs w:val="24"/>
                <w:highlight w:val="none"/>
              </w:rPr>
            </w:pPr>
          </w:p>
        </w:tc>
        <w:tc>
          <w:tcPr>
            <w:tcW w:w="795" w:type="dxa"/>
            <w:vAlign w:val="top"/>
          </w:tcPr>
          <w:p>
            <w:pPr>
              <w:rPr>
                <w:rFonts w:hint="eastAsia" w:ascii="宋体" w:hAnsi="宋体" w:eastAsia="宋体" w:cs="宋体"/>
                <w:sz w:val="24"/>
                <w:szCs w:val="24"/>
                <w:highlight w:val="none"/>
              </w:rPr>
            </w:pPr>
          </w:p>
        </w:tc>
        <w:tc>
          <w:tcPr>
            <w:tcW w:w="2037" w:type="dxa"/>
            <w:vAlign w:val="top"/>
          </w:tcPr>
          <w:p>
            <w:pPr>
              <w:rPr>
                <w:rFonts w:hint="eastAsia" w:ascii="宋体" w:hAnsi="宋体" w:eastAsia="宋体" w:cs="宋体"/>
                <w:sz w:val="24"/>
                <w:szCs w:val="24"/>
                <w:highlight w:val="none"/>
              </w:rPr>
            </w:pPr>
          </w:p>
        </w:tc>
        <w:tc>
          <w:tcPr>
            <w:tcW w:w="1365" w:type="dxa"/>
            <w:vAlign w:val="top"/>
          </w:tcPr>
          <w:p>
            <w:pPr>
              <w:rPr>
                <w:rFonts w:hint="eastAsia" w:ascii="宋体" w:hAnsi="宋体" w:eastAsia="宋体" w:cs="宋体"/>
                <w:sz w:val="24"/>
                <w:szCs w:val="24"/>
                <w:highlight w:val="none"/>
              </w:rPr>
            </w:pPr>
          </w:p>
        </w:tc>
        <w:tc>
          <w:tcPr>
            <w:tcW w:w="2040" w:type="dxa"/>
            <w:vAlign w:val="top"/>
          </w:tcPr>
          <w:p>
            <w:pPr>
              <w:rPr>
                <w:rFonts w:hint="eastAsia" w:ascii="宋体" w:hAnsi="宋体" w:eastAsia="宋体" w:cs="宋体"/>
                <w:sz w:val="24"/>
                <w:szCs w:val="24"/>
                <w:highlight w:val="none"/>
              </w:rPr>
            </w:pPr>
          </w:p>
        </w:tc>
        <w:tc>
          <w:tcPr>
            <w:tcW w:w="1065" w:type="dxa"/>
            <w:vAlign w:val="top"/>
          </w:tcPr>
          <w:p>
            <w:pPr>
              <w:rPr>
                <w:rFonts w:hint="eastAsia" w:ascii="宋体" w:hAnsi="宋体" w:eastAsia="宋体" w:cs="宋体"/>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962" w:type="dxa"/>
            <w:gridSpan w:val="7"/>
            <w:vAlign w:val="to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团队人员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809" w:type="dxa"/>
            <w:vAlign w:val="to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851" w:type="dxa"/>
            <w:vAlign w:val="to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姓名</w:t>
            </w:r>
          </w:p>
        </w:tc>
        <w:tc>
          <w:tcPr>
            <w:tcW w:w="795" w:type="dxa"/>
            <w:vAlign w:val="to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职称</w:t>
            </w:r>
          </w:p>
        </w:tc>
        <w:tc>
          <w:tcPr>
            <w:tcW w:w="2037" w:type="dxa"/>
            <w:vAlign w:val="to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从事专业方向（提供职称证书等有效证明材料）</w:t>
            </w:r>
          </w:p>
        </w:tc>
        <w:tc>
          <w:tcPr>
            <w:tcW w:w="1365" w:type="dxa"/>
            <w:vAlign w:val="top"/>
          </w:tcPr>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是否具备注册造价工程师资格</w:t>
            </w:r>
            <w:r>
              <w:rPr>
                <w:rFonts w:hint="eastAsia" w:ascii="宋体" w:hAnsi="宋体" w:eastAsia="宋体" w:cs="宋体"/>
                <w:sz w:val="24"/>
                <w:szCs w:val="24"/>
                <w:highlight w:val="none"/>
                <w:lang w:eastAsia="zh-CN"/>
              </w:rPr>
              <w:t>（具备人员填写注册证号）</w:t>
            </w:r>
          </w:p>
        </w:tc>
        <w:tc>
          <w:tcPr>
            <w:tcW w:w="2040" w:type="dxa"/>
            <w:vAlign w:val="to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执业年限（如为注册造价工程师，以注册执业证书初始注册时间为准）</w:t>
            </w:r>
          </w:p>
        </w:tc>
        <w:tc>
          <w:tcPr>
            <w:tcW w:w="1065" w:type="dxa"/>
            <w:vAlign w:val="to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在本行业工作年限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809" w:type="dxa"/>
            <w:vAlign w:val="to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851" w:type="dxa"/>
            <w:vAlign w:val="top"/>
          </w:tcPr>
          <w:p>
            <w:pPr>
              <w:rPr>
                <w:rFonts w:hint="eastAsia" w:ascii="宋体" w:hAnsi="宋体" w:eastAsia="宋体" w:cs="宋体"/>
                <w:sz w:val="24"/>
                <w:szCs w:val="24"/>
                <w:highlight w:val="none"/>
              </w:rPr>
            </w:pPr>
          </w:p>
        </w:tc>
        <w:tc>
          <w:tcPr>
            <w:tcW w:w="795" w:type="dxa"/>
            <w:vAlign w:val="top"/>
          </w:tcPr>
          <w:p>
            <w:pPr>
              <w:rPr>
                <w:rFonts w:hint="eastAsia" w:ascii="宋体" w:hAnsi="宋体" w:eastAsia="宋体" w:cs="宋体"/>
                <w:sz w:val="24"/>
                <w:szCs w:val="24"/>
                <w:highlight w:val="none"/>
              </w:rPr>
            </w:pPr>
          </w:p>
        </w:tc>
        <w:tc>
          <w:tcPr>
            <w:tcW w:w="2037" w:type="dxa"/>
            <w:vAlign w:val="top"/>
          </w:tcPr>
          <w:p>
            <w:pPr>
              <w:rPr>
                <w:rFonts w:hint="eastAsia" w:ascii="宋体" w:hAnsi="宋体" w:eastAsia="宋体" w:cs="宋体"/>
                <w:sz w:val="24"/>
                <w:szCs w:val="24"/>
                <w:highlight w:val="none"/>
              </w:rPr>
            </w:pPr>
          </w:p>
        </w:tc>
        <w:tc>
          <w:tcPr>
            <w:tcW w:w="1365" w:type="dxa"/>
            <w:vAlign w:val="top"/>
          </w:tcPr>
          <w:p>
            <w:pPr>
              <w:rPr>
                <w:rFonts w:hint="eastAsia" w:ascii="宋体" w:hAnsi="宋体" w:eastAsia="宋体" w:cs="宋体"/>
                <w:sz w:val="24"/>
                <w:szCs w:val="24"/>
                <w:highlight w:val="none"/>
              </w:rPr>
            </w:pPr>
          </w:p>
        </w:tc>
        <w:tc>
          <w:tcPr>
            <w:tcW w:w="2040" w:type="dxa"/>
            <w:vAlign w:val="top"/>
          </w:tcPr>
          <w:p>
            <w:pPr>
              <w:rPr>
                <w:rFonts w:hint="eastAsia" w:ascii="宋体" w:hAnsi="宋体" w:eastAsia="宋体" w:cs="宋体"/>
                <w:sz w:val="24"/>
                <w:szCs w:val="24"/>
                <w:highlight w:val="none"/>
              </w:rPr>
            </w:pPr>
          </w:p>
        </w:tc>
        <w:tc>
          <w:tcPr>
            <w:tcW w:w="1065" w:type="dxa"/>
            <w:vAlign w:val="top"/>
          </w:tcPr>
          <w:p>
            <w:pPr>
              <w:rPr>
                <w:rFonts w:hint="eastAsia" w:ascii="宋体" w:hAnsi="宋体" w:eastAsia="宋体" w:cs="宋体"/>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809" w:type="dxa"/>
            <w:vAlign w:val="to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851" w:type="dxa"/>
            <w:vAlign w:val="top"/>
          </w:tcPr>
          <w:p>
            <w:pPr>
              <w:rPr>
                <w:rFonts w:hint="eastAsia" w:ascii="宋体" w:hAnsi="宋体" w:eastAsia="宋体" w:cs="宋体"/>
                <w:sz w:val="24"/>
                <w:szCs w:val="24"/>
                <w:highlight w:val="none"/>
              </w:rPr>
            </w:pPr>
          </w:p>
        </w:tc>
        <w:tc>
          <w:tcPr>
            <w:tcW w:w="795" w:type="dxa"/>
            <w:vAlign w:val="top"/>
          </w:tcPr>
          <w:p>
            <w:pPr>
              <w:rPr>
                <w:rFonts w:hint="eastAsia" w:ascii="宋体" w:hAnsi="宋体" w:eastAsia="宋体" w:cs="宋体"/>
                <w:sz w:val="24"/>
                <w:szCs w:val="24"/>
                <w:highlight w:val="none"/>
              </w:rPr>
            </w:pPr>
          </w:p>
        </w:tc>
        <w:tc>
          <w:tcPr>
            <w:tcW w:w="2037" w:type="dxa"/>
            <w:vAlign w:val="top"/>
          </w:tcPr>
          <w:p>
            <w:pPr>
              <w:rPr>
                <w:rFonts w:hint="eastAsia" w:ascii="宋体" w:hAnsi="宋体" w:eastAsia="宋体" w:cs="宋体"/>
                <w:sz w:val="24"/>
                <w:szCs w:val="24"/>
                <w:highlight w:val="none"/>
              </w:rPr>
            </w:pPr>
          </w:p>
        </w:tc>
        <w:tc>
          <w:tcPr>
            <w:tcW w:w="1365" w:type="dxa"/>
            <w:vAlign w:val="top"/>
          </w:tcPr>
          <w:p>
            <w:pPr>
              <w:rPr>
                <w:rFonts w:hint="eastAsia" w:ascii="宋体" w:hAnsi="宋体" w:eastAsia="宋体" w:cs="宋体"/>
                <w:sz w:val="24"/>
                <w:szCs w:val="24"/>
                <w:highlight w:val="none"/>
              </w:rPr>
            </w:pPr>
          </w:p>
        </w:tc>
        <w:tc>
          <w:tcPr>
            <w:tcW w:w="2040" w:type="dxa"/>
            <w:vAlign w:val="top"/>
          </w:tcPr>
          <w:p>
            <w:pPr>
              <w:rPr>
                <w:rFonts w:hint="eastAsia" w:ascii="宋体" w:hAnsi="宋体" w:eastAsia="宋体" w:cs="宋体"/>
                <w:sz w:val="24"/>
                <w:szCs w:val="24"/>
                <w:highlight w:val="none"/>
              </w:rPr>
            </w:pPr>
          </w:p>
        </w:tc>
        <w:tc>
          <w:tcPr>
            <w:tcW w:w="1065" w:type="dxa"/>
            <w:vAlign w:val="top"/>
          </w:tcPr>
          <w:p>
            <w:pPr>
              <w:rPr>
                <w:rFonts w:hint="eastAsia" w:ascii="宋体" w:hAnsi="宋体" w:eastAsia="宋体" w:cs="宋体"/>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809" w:type="dxa"/>
            <w:vAlign w:val="to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851" w:type="dxa"/>
            <w:vAlign w:val="top"/>
          </w:tcPr>
          <w:p>
            <w:pPr>
              <w:rPr>
                <w:rFonts w:hint="eastAsia" w:ascii="宋体" w:hAnsi="宋体" w:eastAsia="宋体" w:cs="宋体"/>
                <w:sz w:val="24"/>
                <w:szCs w:val="24"/>
                <w:highlight w:val="none"/>
              </w:rPr>
            </w:pPr>
          </w:p>
        </w:tc>
        <w:tc>
          <w:tcPr>
            <w:tcW w:w="795" w:type="dxa"/>
            <w:vAlign w:val="top"/>
          </w:tcPr>
          <w:p>
            <w:pPr>
              <w:rPr>
                <w:rFonts w:hint="eastAsia" w:ascii="宋体" w:hAnsi="宋体" w:eastAsia="宋体" w:cs="宋体"/>
                <w:sz w:val="24"/>
                <w:szCs w:val="24"/>
                <w:highlight w:val="none"/>
              </w:rPr>
            </w:pPr>
          </w:p>
        </w:tc>
        <w:tc>
          <w:tcPr>
            <w:tcW w:w="2037" w:type="dxa"/>
            <w:vAlign w:val="top"/>
          </w:tcPr>
          <w:p>
            <w:pPr>
              <w:rPr>
                <w:rFonts w:hint="eastAsia" w:ascii="宋体" w:hAnsi="宋体" w:eastAsia="宋体" w:cs="宋体"/>
                <w:sz w:val="24"/>
                <w:szCs w:val="24"/>
                <w:highlight w:val="none"/>
              </w:rPr>
            </w:pPr>
          </w:p>
        </w:tc>
        <w:tc>
          <w:tcPr>
            <w:tcW w:w="1365" w:type="dxa"/>
            <w:vAlign w:val="top"/>
          </w:tcPr>
          <w:p>
            <w:pPr>
              <w:rPr>
                <w:rFonts w:hint="eastAsia" w:ascii="宋体" w:hAnsi="宋体" w:eastAsia="宋体" w:cs="宋体"/>
                <w:sz w:val="24"/>
                <w:szCs w:val="24"/>
                <w:highlight w:val="none"/>
              </w:rPr>
            </w:pPr>
          </w:p>
        </w:tc>
        <w:tc>
          <w:tcPr>
            <w:tcW w:w="2040" w:type="dxa"/>
            <w:vAlign w:val="top"/>
          </w:tcPr>
          <w:p>
            <w:pPr>
              <w:rPr>
                <w:rFonts w:hint="eastAsia" w:ascii="宋体" w:hAnsi="宋体" w:eastAsia="宋体" w:cs="宋体"/>
                <w:sz w:val="24"/>
                <w:szCs w:val="24"/>
                <w:highlight w:val="none"/>
              </w:rPr>
            </w:pPr>
          </w:p>
        </w:tc>
        <w:tc>
          <w:tcPr>
            <w:tcW w:w="1065" w:type="dxa"/>
            <w:vAlign w:val="top"/>
          </w:tcPr>
          <w:p>
            <w:pPr>
              <w:rPr>
                <w:rFonts w:hint="eastAsia" w:ascii="宋体" w:hAnsi="宋体" w:eastAsia="宋体" w:cs="宋体"/>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809" w:type="dxa"/>
            <w:vAlign w:val="to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851" w:type="dxa"/>
            <w:vAlign w:val="top"/>
          </w:tcPr>
          <w:p>
            <w:pPr>
              <w:rPr>
                <w:rFonts w:hint="eastAsia" w:ascii="宋体" w:hAnsi="宋体" w:eastAsia="宋体" w:cs="宋体"/>
                <w:sz w:val="24"/>
                <w:szCs w:val="24"/>
                <w:highlight w:val="none"/>
              </w:rPr>
            </w:pPr>
          </w:p>
        </w:tc>
        <w:tc>
          <w:tcPr>
            <w:tcW w:w="795" w:type="dxa"/>
            <w:vAlign w:val="top"/>
          </w:tcPr>
          <w:p>
            <w:pPr>
              <w:rPr>
                <w:rFonts w:hint="eastAsia" w:ascii="宋体" w:hAnsi="宋体" w:eastAsia="宋体" w:cs="宋体"/>
                <w:sz w:val="24"/>
                <w:szCs w:val="24"/>
                <w:highlight w:val="none"/>
              </w:rPr>
            </w:pPr>
          </w:p>
        </w:tc>
        <w:tc>
          <w:tcPr>
            <w:tcW w:w="2037" w:type="dxa"/>
            <w:vAlign w:val="top"/>
          </w:tcPr>
          <w:p>
            <w:pPr>
              <w:rPr>
                <w:rFonts w:hint="eastAsia" w:ascii="宋体" w:hAnsi="宋体" w:eastAsia="宋体" w:cs="宋体"/>
                <w:sz w:val="24"/>
                <w:szCs w:val="24"/>
                <w:highlight w:val="none"/>
              </w:rPr>
            </w:pPr>
          </w:p>
        </w:tc>
        <w:tc>
          <w:tcPr>
            <w:tcW w:w="1365" w:type="dxa"/>
            <w:vAlign w:val="top"/>
          </w:tcPr>
          <w:p>
            <w:pPr>
              <w:rPr>
                <w:rFonts w:hint="eastAsia" w:ascii="宋体" w:hAnsi="宋体" w:eastAsia="宋体" w:cs="宋体"/>
                <w:sz w:val="24"/>
                <w:szCs w:val="24"/>
                <w:highlight w:val="none"/>
              </w:rPr>
            </w:pPr>
          </w:p>
        </w:tc>
        <w:tc>
          <w:tcPr>
            <w:tcW w:w="2040" w:type="dxa"/>
            <w:vAlign w:val="top"/>
          </w:tcPr>
          <w:p>
            <w:pPr>
              <w:rPr>
                <w:rFonts w:hint="eastAsia" w:ascii="宋体" w:hAnsi="宋体" w:eastAsia="宋体" w:cs="宋体"/>
                <w:sz w:val="24"/>
                <w:szCs w:val="24"/>
                <w:highlight w:val="none"/>
              </w:rPr>
            </w:pPr>
          </w:p>
        </w:tc>
        <w:tc>
          <w:tcPr>
            <w:tcW w:w="1065" w:type="dxa"/>
            <w:vAlign w:val="top"/>
          </w:tcPr>
          <w:p>
            <w:pPr>
              <w:rPr>
                <w:rFonts w:hint="eastAsia" w:ascii="宋体" w:hAnsi="宋体" w:eastAsia="宋体" w:cs="宋体"/>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809" w:type="dxa"/>
            <w:vAlign w:val="top"/>
          </w:tcPr>
          <w:p>
            <w:pPr>
              <w:rPr>
                <w:rFonts w:hint="eastAsia" w:ascii="宋体" w:hAnsi="宋体" w:eastAsia="宋体" w:cs="宋体"/>
                <w:sz w:val="24"/>
                <w:szCs w:val="24"/>
                <w:highlight w:val="none"/>
              </w:rPr>
            </w:pPr>
          </w:p>
        </w:tc>
        <w:tc>
          <w:tcPr>
            <w:tcW w:w="851" w:type="dxa"/>
            <w:vAlign w:val="top"/>
          </w:tcPr>
          <w:p>
            <w:pPr>
              <w:rPr>
                <w:rFonts w:hint="eastAsia" w:ascii="宋体" w:hAnsi="宋体" w:eastAsia="宋体" w:cs="宋体"/>
                <w:sz w:val="24"/>
                <w:szCs w:val="24"/>
                <w:highlight w:val="none"/>
              </w:rPr>
            </w:pPr>
          </w:p>
        </w:tc>
        <w:tc>
          <w:tcPr>
            <w:tcW w:w="795" w:type="dxa"/>
            <w:vAlign w:val="top"/>
          </w:tcPr>
          <w:p>
            <w:pPr>
              <w:rPr>
                <w:rFonts w:hint="eastAsia" w:ascii="宋体" w:hAnsi="宋体" w:eastAsia="宋体" w:cs="宋体"/>
                <w:sz w:val="24"/>
                <w:szCs w:val="24"/>
                <w:highlight w:val="none"/>
              </w:rPr>
            </w:pPr>
          </w:p>
        </w:tc>
        <w:tc>
          <w:tcPr>
            <w:tcW w:w="2037" w:type="dxa"/>
            <w:vAlign w:val="top"/>
          </w:tcPr>
          <w:p>
            <w:pPr>
              <w:rPr>
                <w:rFonts w:hint="eastAsia" w:ascii="宋体" w:hAnsi="宋体" w:eastAsia="宋体" w:cs="宋体"/>
                <w:sz w:val="24"/>
                <w:szCs w:val="24"/>
                <w:highlight w:val="none"/>
              </w:rPr>
            </w:pPr>
          </w:p>
        </w:tc>
        <w:tc>
          <w:tcPr>
            <w:tcW w:w="1365" w:type="dxa"/>
            <w:vAlign w:val="top"/>
          </w:tcPr>
          <w:p>
            <w:pPr>
              <w:rPr>
                <w:rFonts w:hint="eastAsia" w:ascii="宋体" w:hAnsi="宋体" w:eastAsia="宋体" w:cs="宋体"/>
                <w:sz w:val="24"/>
                <w:szCs w:val="24"/>
                <w:highlight w:val="none"/>
              </w:rPr>
            </w:pPr>
          </w:p>
        </w:tc>
        <w:tc>
          <w:tcPr>
            <w:tcW w:w="2040" w:type="dxa"/>
            <w:vAlign w:val="top"/>
          </w:tcPr>
          <w:p>
            <w:pPr>
              <w:rPr>
                <w:rFonts w:hint="eastAsia" w:ascii="宋体" w:hAnsi="宋体" w:eastAsia="宋体" w:cs="宋体"/>
                <w:sz w:val="24"/>
                <w:szCs w:val="24"/>
                <w:highlight w:val="none"/>
              </w:rPr>
            </w:pPr>
          </w:p>
        </w:tc>
        <w:tc>
          <w:tcPr>
            <w:tcW w:w="1065" w:type="dxa"/>
            <w:vAlign w:val="top"/>
          </w:tcPr>
          <w:p>
            <w:pPr>
              <w:rPr>
                <w:rFonts w:hint="eastAsia" w:ascii="宋体" w:hAnsi="宋体" w:eastAsia="宋体" w:cs="宋体"/>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809" w:type="dxa"/>
            <w:vAlign w:val="to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项目团队人员总数量（人）</w:t>
            </w:r>
          </w:p>
        </w:tc>
        <w:tc>
          <w:tcPr>
            <w:tcW w:w="8153" w:type="dxa"/>
            <w:gridSpan w:val="6"/>
            <w:vAlign w:val="top"/>
          </w:tcPr>
          <w:p>
            <w:pPr>
              <w:rPr>
                <w:rFonts w:hint="eastAsia" w:ascii="宋体" w:hAnsi="宋体" w:eastAsia="宋体" w:cs="宋体"/>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809" w:type="dxa"/>
            <w:vAlign w:val="to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项目团队注册造价工程师占比（%）</w:t>
            </w:r>
          </w:p>
        </w:tc>
        <w:tc>
          <w:tcPr>
            <w:tcW w:w="8153" w:type="dxa"/>
            <w:gridSpan w:val="6"/>
            <w:vAlign w:val="top"/>
          </w:tcPr>
          <w:p>
            <w:pPr>
              <w:rPr>
                <w:rFonts w:hint="eastAsia" w:ascii="宋体" w:hAnsi="宋体" w:eastAsia="宋体" w:cs="宋体"/>
                <w:sz w:val="24"/>
                <w:szCs w:val="24"/>
                <w:highlight w:val="none"/>
              </w:rPr>
            </w:pPr>
          </w:p>
        </w:tc>
      </w:tr>
    </w:tbl>
    <w:p>
      <w:pPr>
        <w:pStyle w:val="2"/>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注：须提供团队人员的身份证</w:t>
      </w:r>
      <w:r>
        <w:rPr>
          <w:rFonts w:hint="eastAsia" w:hAnsi="宋体" w:cs="宋体"/>
          <w:sz w:val="24"/>
          <w:szCs w:val="24"/>
          <w:highlight w:val="none"/>
          <w:lang w:eastAsia="zh-CN"/>
        </w:rPr>
        <w:t>及相关证书等有效证明材料</w:t>
      </w:r>
      <w:r>
        <w:rPr>
          <w:rFonts w:hint="eastAsia" w:ascii="宋体" w:hAnsi="宋体" w:eastAsia="宋体" w:cs="宋体"/>
          <w:sz w:val="24"/>
          <w:szCs w:val="24"/>
          <w:highlight w:val="none"/>
        </w:rPr>
        <w:t>复印件（加盖</w:t>
      </w:r>
      <w:r>
        <w:rPr>
          <w:rFonts w:hint="eastAsia" w:hAnsi="宋体" w:cs="宋体"/>
          <w:sz w:val="24"/>
          <w:szCs w:val="24"/>
          <w:highlight w:val="none"/>
          <w:lang w:eastAsia="zh-CN"/>
        </w:rPr>
        <w:t>供应商</w:t>
      </w:r>
      <w:r>
        <w:rPr>
          <w:rFonts w:hint="eastAsia" w:ascii="宋体" w:hAnsi="宋体" w:eastAsia="宋体" w:cs="宋体"/>
          <w:sz w:val="24"/>
          <w:szCs w:val="24"/>
          <w:highlight w:val="none"/>
        </w:rPr>
        <w:t>公章）。</w:t>
      </w:r>
    </w:p>
    <w:p>
      <w:pPr>
        <w:pStyle w:val="24"/>
        <w:spacing w:line="360" w:lineRule="auto"/>
        <w:rPr>
          <w:rFonts w:hint="eastAsia" w:ascii="宋体" w:hAnsi="宋体" w:eastAsia="宋体" w:cs="宋体"/>
          <w:sz w:val="24"/>
          <w:szCs w:val="24"/>
          <w:highlight w:val="none"/>
        </w:rPr>
      </w:pPr>
    </w:p>
    <w:p>
      <w:pPr>
        <w:pStyle w:val="24"/>
        <w:spacing w:line="360" w:lineRule="auto"/>
        <w:rPr>
          <w:rFonts w:hint="eastAsia" w:ascii="宋体" w:hAnsi="宋体" w:eastAsia="宋体" w:cs="宋体"/>
          <w:sz w:val="24"/>
          <w:szCs w:val="24"/>
          <w:highlight w:val="none"/>
        </w:rPr>
      </w:pPr>
      <w:r>
        <w:rPr>
          <w:rFonts w:hint="eastAsia" w:hAnsi="宋体" w:cs="宋体"/>
          <w:sz w:val="24"/>
          <w:szCs w:val="24"/>
          <w:highlight w:val="none"/>
          <w:lang w:eastAsia="zh-CN"/>
        </w:rPr>
        <w:t>供应商</w:t>
      </w:r>
      <w:r>
        <w:rPr>
          <w:rFonts w:hint="eastAsia" w:ascii="宋体" w:hAnsi="宋体" w:eastAsia="宋体" w:cs="宋体"/>
          <w:sz w:val="24"/>
          <w:szCs w:val="24"/>
          <w:highlight w:val="none"/>
        </w:rPr>
        <w:t>代表签字：____________________________</w:t>
      </w:r>
    </w:p>
    <w:p>
      <w:pPr>
        <w:pStyle w:val="24"/>
        <w:spacing w:line="360" w:lineRule="auto"/>
        <w:rPr>
          <w:rFonts w:hint="eastAsia" w:ascii="宋体" w:hAnsi="宋体" w:eastAsia="宋体" w:cs="宋体"/>
          <w:sz w:val="24"/>
          <w:szCs w:val="24"/>
          <w:highlight w:val="none"/>
        </w:rPr>
      </w:pPr>
      <w:r>
        <w:rPr>
          <w:rFonts w:hint="eastAsia" w:hAnsi="宋体" w:cs="宋体"/>
          <w:sz w:val="24"/>
          <w:szCs w:val="24"/>
          <w:highlight w:val="none"/>
          <w:lang w:eastAsia="zh-CN"/>
        </w:rPr>
        <w:t>供应商</w:t>
      </w:r>
      <w:r>
        <w:rPr>
          <w:rFonts w:hint="eastAsia" w:ascii="宋体" w:hAnsi="宋体" w:eastAsia="宋体" w:cs="宋体"/>
          <w:sz w:val="24"/>
          <w:szCs w:val="24"/>
          <w:highlight w:val="none"/>
        </w:rPr>
        <w:t xml:space="preserve">(盖章):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p>
    <w:p>
      <w:pPr>
        <w:spacing w:line="360" w:lineRule="auto"/>
        <w:jc w:val="lef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textAlignment w:val="auto"/>
        <w:outlineLvl w:val="9"/>
        <w:rPr>
          <w:rFonts w:hint="eastAsia"/>
          <w:b/>
          <w:bCs/>
          <w:color w:val="auto"/>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textAlignment w:val="auto"/>
        <w:outlineLvl w:val="9"/>
        <w:rPr>
          <w:rFonts w:hint="eastAsia"/>
          <w:b/>
          <w:bCs/>
          <w:color w:val="auto"/>
          <w:sz w:val="24"/>
          <w:szCs w:val="24"/>
          <w:highlight w:val="none"/>
          <w:lang w:val="en-US" w:eastAsia="zh-CN"/>
        </w:rPr>
      </w:pPr>
      <w:r>
        <w:rPr>
          <w:rFonts w:hint="eastAsia"/>
          <w:b/>
          <w:bCs/>
          <w:color w:val="auto"/>
          <w:sz w:val="24"/>
          <w:szCs w:val="24"/>
          <w:highlight w:val="none"/>
          <w:lang w:val="en-US" w:eastAsia="zh-CN"/>
        </w:rPr>
        <w:t>附件9 供应商业绩（提供合同关键页复印件及甲方联系人、电话及体现评审业绩的成果文件；若为甲方提供的服务为一次性签订合同从事多个项目工作的，除上述材料须另附具体项目清单，每个项目算为一个业绩，</w:t>
      </w:r>
      <w:r>
        <w:rPr>
          <w:rFonts w:hint="eastAsia" w:ascii="宋体" w:hAnsi="宋体"/>
          <w:b/>
          <w:bCs/>
          <w:color w:val="auto"/>
          <w:sz w:val="24"/>
          <w:szCs w:val="24"/>
          <w:u w:val="none"/>
          <w:lang w:val="en-US" w:eastAsia="zh-CN"/>
        </w:rPr>
        <w:t>并加盖供应商公章</w:t>
      </w:r>
      <w:r>
        <w:rPr>
          <w:rFonts w:hint="eastAsia"/>
          <w:b/>
          <w:bCs/>
          <w:color w:val="auto"/>
          <w:sz w:val="24"/>
          <w:szCs w:val="24"/>
          <w:highlight w:val="none"/>
          <w:lang w:val="en-US" w:eastAsia="zh-CN"/>
        </w:rPr>
        <w:t>）</w:t>
      </w:r>
    </w:p>
    <w:p>
      <w:pPr>
        <w:spacing w:before="156" w:beforeLines="50" w:after="156" w:afterLines="50" w:line="360" w:lineRule="auto"/>
        <w:jc w:val="center"/>
        <w:rPr>
          <w:rFonts w:hint="eastAsia" w:ascii="宋体" w:hAnsi="宋体"/>
          <w:b/>
          <w:color w:val="auto"/>
          <w:sz w:val="24"/>
          <w:szCs w:val="24"/>
          <w:highlight w:val="none"/>
        </w:rPr>
      </w:pPr>
      <w:r>
        <w:rPr>
          <w:rFonts w:hint="eastAsia" w:ascii="宋体" w:hAnsi="宋体"/>
          <w:b/>
          <w:color w:val="auto"/>
          <w:sz w:val="24"/>
          <w:szCs w:val="24"/>
          <w:highlight w:val="none"/>
          <w:lang w:eastAsia="zh-CN"/>
        </w:rPr>
        <w:t>供应商</w:t>
      </w:r>
      <w:r>
        <w:rPr>
          <w:rFonts w:hint="eastAsia" w:ascii="宋体" w:hAnsi="宋体"/>
          <w:b/>
          <w:color w:val="auto"/>
          <w:sz w:val="24"/>
          <w:szCs w:val="24"/>
          <w:highlight w:val="none"/>
        </w:rPr>
        <w:t>相关业绩表</w:t>
      </w:r>
    </w:p>
    <w:p>
      <w:pPr>
        <w:spacing w:line="300" w:lineRule="auto"/>
        <w:ind w:left="359" w:leftChars="171"/>
        <w:jc w:val="left"/>
        <w:rPr>
          <w:rFonts w:hint="eastAsia" w:ascii="宋体" w:hAnsi="宋体"/>
          <w:color w:val="auto"/>
          <w:sz w:val="24"/>
          <w:szCs w:val="24"/>
          <w:highlight w:val="none"/>
        </w:rPr>
      </w:pPr>
      <w:r>
        <w:rPr>
          <w:rFonts w:hint="eastAsia" w:ascii="宋体" w:hAnsi="宋体"/>
          <w:color w:val="auto"/>
          <w:sz w:val="24"/>
          <w:szCs w:val="24"/>
          <w:highlight w:val="none"/>
        </w:rPr>
        <w:t>项目编号：</w:t>
      </w:r>
    </w:p>
    <w:p>
      <w:pPr>
        <w:spacing w:line="300" w:lineRule="auto"/>
        <w:ind w:firstLine="360" w:firstLineChars="150"/>
        <w:jc w:val="left"/>
        <w:rPr>
          <w:rFonts w:hint="eastAsia" w:ascii="宋体" w:hAnsi="宋体"/>
          <w:color w:val="auto"/>
          <w:sz w:val="24"/>
          <w:szCs w:val="24"/>
          <w:highlight w:val="none"/>
        </w:rPr>
      </w:pPr>
      <w:r>
        <w:rPr>
          <w:rFonts w:hint="eastAsia" w:ascii="宋体" w:hAnsi="宋体"/>
          <w:color w:val="auto"/>
          <w:sz w:val="24"/>
          <w:szCs w:val="24"/>
          <w:highlight w:val="none"/>
        </w:rPr>
        <w:t>项目名称：</w:t>
      </w:r>
    </w:p>
    <w:tbl>
      <w:tblPr>
        <w:tblStyle w:val="56"/>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6"/>
        <w:gridCol w:w="2308"/>
        <w:gridCol w:w="1315"/>
        <w:gridCol w:w="1235"/>
        <w:gridCol w:w="1514"/>
        <w:gridCol w:w="15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 w:hRule="atLeast"/>
          <w:jc w:val="center"/>
        </w:trPr>
        <w:tc>
          <w:tcPr>
            <w:tcW w:w="636" w:type="dxa"/>
            <w:vAlign w:val="center"/>
          </w:tcPr>
          <w:p>
            <w:pPr>
              <w:snapToGrid w:val="0"/>
              <w:jc w:val="center"/>
              <w:rPr>
                <w:rFonts w:hint="eastAsia" w:ascii="宋体" w:hAnsi="宋体"/>
                <w:color w:val="auto"/>
                <w:szCs w:val="21"/>
                <w:highlight w:val="none"/>
              </w:rPr>
            </w:pPr>
            <w:r>
              <w:rPr>
                <w:rFonts w:hint="eastAsia" w:ascii="宋体" w:hAnsi="宋体"/>
                <w:color w:val="auto"/>
                <w:szCs w:val="21"/>
                <w:highlight w:val="none"/>
              </w:rPr>
              <w:t>序号</w:t>
            </w:r>
          </w:p>
        </w:tc>
        <w:tc>
          <w:tcPr>
            <w:tcW w:w="2308" w:type="dxa"/>
            <w:vAlign w:val="center"/>
          </w:tcPr>
          <w:p>
            <w:pPr>
              <w:snapToGrid w:val="0"/>
              <w:jc w:val="center"/>
              <w:rPr>
                <w:rFonts w:hint="eastAsia" w:ascii="宋体" w:hAnsi="宋体"/>
                <w:color w:val="auto"/>
                <w:szCs w:val="21"/>
                <w:highlight w:val="none"/>
              </w:rPr>
            </w:pPr>
            <w:r>
              <w:rPr>
                <w:rFonts w:hint="eastAsia" w:ascii="宋体" w:hAnsi="宋体"/>
                <w:color w:val="auto"/>
                <w:szCs w:val="21"/>
                <w:highlight w:val="none"/>
              </w:rPr>
              <w:t>甲方单位名称</w:t>
            </w:r>
          </w:p>
        </w:tc>
        <w:tc>
          <w:tcPr>
            <w:tcW w:w="1315" w:type="dxa"/>
            <w:vAlign w:val="center"/>
          </w:tcPr>
          <w:p>
            <w:pPr>
              <w:snapToGrid w:val="0"/>
              <w:jc w:val="center"/>
              <w:rPr>
                <w:rFonts w:hint="eastAsia" w:ascii="宋体" w:hAnsi="宋体"/>
                <w:color w:val="auto"/>
                <w:szCs w:val="21"/>
                <w:highlight w:val="none"/>
              </w:rPr>
            </w:pPr>
            <w:r>
              <w:rPr>
                <w:rFonts w:hint="eastAsia" w:ascii="宋体" w:hAnsi="宋体"/>
                <w:color w:val="auto"/>
                <w:szCs w:val="21"/>
                <w:highlight w:val="none"/>
              </w:rPr>
              <w:t>甲方联系人</w:t>
            </w:r>
          </w:p>
        </w:tc>
        <w:tc>
          <w:tcPr>
            <w:tcW w:w="1235" w:type="dxa"/>
            <w:vAlign w:val="center"/>
          </w:tcPr>
          <w:p>
            <w:pPr>
              <w:snapToGrid w:val="0"/>
              <w:jc w:val="center"/>
              <w:rPr>
                <w:rFonts w:hint="eastAsia" w:ascii="宋体" w:hAnsi="宋体"/>
                <w:color w:val="auto"/>
                <w:szCs w:val="21"/>
                <w:highlight w:val="none"/>
              </w:rPr>
            </w:pPr>
            <w:r>
              <w:rPr>
                <w:rFonts w:hint="eastAsia" w:ascii="宋体" w:hAnsi="宋体"/>
                <w:color w:val="auto"/>
                <w:szCs w:val="21"/>
                <w:highlight w:val="none"/>
              </w:rPr>
              <w:t>甲方电话</w:t>
            </w:r>
          </w:p>
        </w:tc>
        <w:tc>
          <w:tcPr>
            <w:tcW w:w="1514" w:type="dxa"/>
            <w:vAlign w:val="center"/>
          </w:tcPr>
          <w:p>
            <w:pPr>
              <w:snapToGrid w:val="0"/>
              <w:jc w:val="center"/>
              <w:rPr>
                <w:rFonts w:hint="eastAsia" w:ascii="宋体" w:hAnsi="宋体"/>
                <w:color w:val="auto"/>
                <w:szCs w:val="21"/>
                <w:highlight w:val="none"/>
              </w:rPr>
            </w:pPr>
            <w:r>
              <w:rPr>
                <w:rFonts w:hint="eastAsia" w:ascii="宋体" w:hAnsi="宋体"/>
                <w:color w:val="auto"/>
                <w:szCs w:val="21"/>
                <w:highlight w:val="none"/>
              </w:rPr>
              <w:t>合同起止期限</w:t>
            </w:r>
          </w:p>
        </w:tc>
        <w:tc>
          <w:tcPr>
            <w:tcW w:w="1514" w:type="dxa"/>
            <w:vAlign w:val="top"/>
          </w:tcPr>
          <w:p>
            <w:pPr>
              <w:snapToGrid w:val="0"/>
              <w:jc w:val="center"/>
              <w:rPr>
                <w:rFonts w:hint="eastAsia" w:ascii="宋体" w:hAnsi="宋体"/>
                <w:color w:val="auto"/>
                <w:szCs w:val="21"/>
                <w:highlight w:val="none"/>
              </w:rPr>
            </w:pPr>
            <w:r>
              <w:rPr>
                <w:rFonts w:hint="eastAsia" w:ascii="宋体" w:hAnsi="宋体"/>
                <w:color w:val="auto"/>
                <w:szCs w:val="21"/>
                <w:highlight w:val="none"/>
              </w:rPr>
              <w:t>证明材料所在页码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36" w:type="dxa"/>
            <w:vAlign w:val="center"/>
          </w:tcPr>
          <w:p>
            <w:pPr>
              <w:snapToGrid w:val="0"/>
              <w:jc w:val="center"/>
              <w:rPr>
                <w:rFonts w:hint="eastAsia" w:ascii="宋体" w:hAnsi="宋体"/>
                <w:color w:val="auto"/>
                <w:szCs w:val="21"/>
                <w:highlight w:val="none"/>
              </w:rPr>
            </w:pPr>
            <w:r>
              <w:rPr>
                <w:rFonts w:hint="eastAsia" w:ascii="宋体" w:hAnsi="宋体"/>
                <w:color w:val="auto"/>
                <w:szCs w:val="21"/>
                <w:highlight w:val="none"/>
              </w:rPr>
              <w:t>1</w:t>
            </w:r>
          </w:p>
        </w:tc>
        <w:tc>
          <w:tcPr>
            <w:tcW w:w="2308" w:type="dxa"/>
            <w:vAlign w:val="center"/>
          </w:tcPr>
          <w:p>
            <w:pPr>
              <w:snapToGrid w:val="0"/>
              <w:jc w:val="center"/>
              <w:rPr>
                <w:rFonts w:hint="eastAsia" w:ascii="宋体" w:hAnsi="宋体"/>
                <w:color w:val="auto"/>
                <w:szCs w:val="21"/>
                <w:highlight w:val="none"/>
              </w:rPr>
            </w:pPr>
          </w:p>
        </w:tc>
        <w:tc>
          <w:tcPr>
            <w:tcW w:w="1315" w:type="dxa"/>
            <w:vAlign w:val="center"/>
          </w:tcPr>
          <w:p>
            <w:pPr>
              <w:snapToGrid w:val="0"/>
              <w:jc w:val="center"/>
              <w:rPr>
                <w:rFonts w:hint="eastAsia" w:ascii="宋体" w:hAnsi="宋体"/>
                <w:color w:val="auto"/>
                <w:szCs w:val="21"/>
                <w:highlight w:val="none"/>
              </w:rPr>
            </w:pPr>
          </w:p>
        </w:tc>
        <w:tc>
          <w:tcPr>
            <w:tcW w:w="1235" w:type="dxa"/>
            <w:vAlign w:val="center"/>
          </w:tcPr>
          <w:p>
            <w:pPr>
              <w:snapToGrid w:val="0"/>
              <w:jc w:val="center"/>
              <w:rPr>
                <w:rFonts w:hint="eastAsia" w:ascii="宋体" w:hAnsi="宋体"/>
                <w:color w:val="auto"/>
                <w:szCs w:val="21"/>
                <w:highlight w:val="none"/>
              </w:rPr>
            </w:pPr>
          </w:p>
        </w:tc>
        <w:tc>
          <w:tcPr>
            <w:tcW w:w="1514" w:type="dxa"/>
            <w:vAlign w:val="center"/>
          </w:tcPr>
          <w:p>
            <w:pPr>
              <w:snapToGrid w:val="0"/>
              <w:jc w:val="center"/>
              <w:rPr>
                <w:rFonts w:hint="eastAsia" w:ascii="宋体" w:hAnsi="宋体"/>
                <w:color w:val="auto"/>
                <w:szCs w:val="21"/>
                <w:highlight w:val="none"/>
              </w:rPr>
            </w:pPr>
          </w:p>
        </w:tc>
        <w:tc>
          <w:tcPr>
            <w:tcW w:w="1514" w:type="dxa"/>
            <w:vAlign w:val="top"/>
          </w:tcPr>
          <w:p>
            <w:pPr>
              <w:snapToGrid w:val="0"/>
              <w:jc w:val="center"/>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36" w:type="dxa"/>
            <w:vAlign w:val="center"/>
          </w:tcPr>
          <w:p>
            <w:pPr>
              <w:snapToGrid w:val="0"/>
              <w:jc w:val="center"/>
              <w:rPr>
                <w:rFonts w:hint="eastAsia" w:ascii="宋体" w:hAnsi="宋体"/>
                <w:color w:val="auto"/>
                <w:szCs w:val="21"/>
                <w:highlight w:val="none"/>
              </w:rPr>
            </w:pPr>
            <w:r>
              <w:rPr>
                <w:rFonts w:hint="eastAsia" w:ascii="宋体" w:hAnsi="宋体"/>
                <w:color w:val="auto"/>
                <w:szCs w:val="21"/>
                <w:highlight w:val="none"/>
              </w:rPr>
              <w:t>2</w:t>
            </w:r>
          </w:p>
        </w:tc>
        <w:tc>
          <w:tcPr>
            <w:tcW w:w="2308" w:type="dxa"/>
            <w:vAlign w:val="center"/>
          </w:tcPr>
          <w:p>
            <w:pPr>
              <w:snapToGrid w:val="0"/>
              <w:jc w:val="center"/>
              <w:rPr>
                <w:rFonts w:hint="eastAsia" w:ascii="宋体" w:hAnsi="宋体"/>
                <w:color w:val="auto"/>
                <w:szCs w:val="21"/>
                <w:highlight w:val="none"/>
              </w:rPr>
            </w:pPr>
          </w:p>
        </w:tc>
        <w:tc>
          <w:tcPr>
            <w:tcW w:w="1315" w:type="dxa"/>
            <w:vAlign w:val="center"/>
          </w:tcPr>
          <w:p>
            <w:pPr>
              <w:snapToGrid w:val="0"/>
              <w:jc w:val="center"/>
              <w:rPr>
                <w:rFonts w:hint="eastAsia" w:ascii="宋体" w:hAnsi="宋体"/>
                <w:color w:val="auto"/>
                <w:szCs w:val="21"/>
                <w:highlight w:val="none"/>
              </w:rPr>
            </w:pPr>
          </w:p>
        </w:tc>
        <w:tc>
          <w:tcPr>
            <w:tcW w:w="1235" w:type="dxa"/>
            <w:vAlign w:val="center"/>
          </w:tcPr>
          <w:p>
            <w:pPr>
              <w:snapToGrid w:val="0"/>
              <w:jc w:val="center"/>
              <w:rPr>
                <w:rFonts w:hint="eastAsia" w:ascii="宋体" w:hAnsi="宋体"/>
                <w:color w:val="auto"/>
                <w:szCs w:val="21"/>
                <w:highlight w:val="none"/>
              </w:rPr>
            </w:pPr>
          </w:p>
        </w:tc>
        <w:tc>
          <w:tcPr>
            <w:tcW w:w="1514" w:type="dxa"/>
            <w:vAlign w:val="center"/>
          </w:tcPr>
          <w:p>
            <w:pPr>
              <w:snapToGrid w:val="0"/>
              <w:jc w:val="center"/>
              <w:rPr>
                <w:rFonts w:hint="eastAsia" w:ascii="宋体" w:hAnsi="宋体"/>
                <w:color w:val="auto"/>
                <w:szCs w:val="21"/>
                <w:highlight w:val="none"/>
              </w:rPr>
            </w:pPr>
          </w:p>
        </w:tc>
        <w:tc>
          <w:tcPr>
            <w:tcW w:w="1514" w:type="dxa"/>
            <w:vAlign w:val="top"/>
          </w:tcPr>
          <w:p>
            <w:pPr>
              <w:snapToGrid w:val="0"/>
              <w:jc w:val="center"/>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636" w:type="dxa"/>
            <w:textDirection w:val="tbRl"/>
            <w:vAlign w:val="center"/>
          </w:tcPr>
          <w:p>
            <w:pPr>
              <w:snapToGrid w:val="0"/>
              <w:ind w:left="113" w:right="113"/>
              <w:jc w:val="center"/>
              <w:rPr>
                <w:rFonts w:hint="eastAsia" w:ascii="宋体" w:hAnsi="宋体"/>
                <w:color w:val="auto"/>
                <w:szCs w:val="21"/>
                <w:highlight w:val="none"/>
              </w:rPr>
            </w:pPr>
            <w:r>
              <w:rPr>
                <w:rFonts w:hint="eastAsia" w:ascii="宋体" w:hAnsi="宋体"/>
                <w:color w:val="auto"/>
                <w:szCs w:val="21"/>
                <w:highlight w:val="none"/>
              </w:rPr>
              <w:t>…</w:t>
            </w:r>
          </w:p>
        </w:tc>
        <w:tc>
          <w:tcPr>
            <w:tcW w:w="2308" w:type="dxa"/>
            <w:vAlign w:val="center"/>
          </w:tcPr>
          <w:p>
            <w:pPr>
              <w:snapToGrid w:val="0"/>
              <w:jc w:val="center"/>
              <w:rPr>
                <w:rFonts w:hint="eastAsia" w:ascii="宋体" w:hAnsi="宋体"/>
                <w:color w:val="auto"/>
                <w:szCs w:val="21"/>
                <w:highlight w:val="none"/>
              </w:rPr>
            </w:pPr>
          </w:p>
        </w:tc>
        <w:tc>
          <w:tcPr>
            <w:tcW w:w="1315" w:type="dxa"/>
            <w:vAlign w:val="center"/>
          </w:tcPr>
          <w:p>
            <w:pPr>
              <w:snapToGrid w:val="0"/>
              <w:jc w:val="center"/>
              <w:rPr>
                <w:rFonts w:hint="eastAsia" w:ascii="宋体" w:hAnsi="宋体"/>
                <w:color w:val="auto"/>
                <w:szCs w:val="21"/>
                <w:highlight w:val="none"/>
              </w:rPr>
            </w:pPr>
          </w:p>
        </w:tc>
        <w:tc>
          <w:tcPr>
            <w:tcW w:w="1235" w:type="dxa"/>
            <w:vAlign w:val="center"/>
          </w:tcPr>
          <w:p>
            <w:pPr>
              <w:snapToGrid w:val="0"/>
              <w:jc w:val="center"/>
              <w:rPr>
                <w:rFonts w:hint="eastAsia" w:ascii="宋体" w:hAnsi="宋体"/>
                <w:color w:val="auto"/>
                <w:szCs w:val="21"/>
                <w:highlight w:val="none"/>
              </w:rPr>
            </w:pPr>
          </w:p>
        </w:tc>
        <w:tc>
          <w:tcPr>
            <w:tcW w:w="1514" w:type="dxa"/>
            <w:vAlign w:val="center"/>
          </w:tcPr>
          <w:p>
            <w:pPr>
              <w:snapToGrid w:val="0"/>
              <w:jc w:val="center"/>
              <w:rPr>
                <w:rFonts w:hint="eastAsia" w:ascii="宋体" w:hAnsi="宋体"/>
                <w:color w:val="auto"/>
                <w:szCs w:val="21"/>
                <w:highlight w:val="none"/>
              </w:rPr>
            </w:pPr>
          </w:p>
        </w:tc>
        <w:tc>
          <w:tcPr>
            <w:tcW w:w="1514" w:type="dxa"/>
            <w:vAlign w:val="top"/>
          </w:tcPr>
          <w:p>
            <w:pPr>
              <w:snapToGrid w:val="0"/>
              <w:jc w:val="center"/>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36" w:type="dxa"/>
            <w:vAlign w:val="center"/>
          </w:tcPr>
          <w:p>
            <w:pPr>
              <w:snapToGrid w:val="0"/>
              <w:jc w:val="center"/>
              <w:rPr>
                <w:rFonts w:hint="eastAsia" w:ascii="宋体" w:hAnsi="宋体"/>
                <w:color w:val="auto"/>
                <w:szCs w:val="21"/>
                <w:highlight w:val="none"/>
              </w:rPr>
            </w:pPr>
            <w:r>
              <w:rPr>
                <w:rFonts w:hint="eastAsia" w:ascii="宋体" w:hAnsi="宋体"/>
                <w:color w:val="auto"/>
                <w:szCs w:val="21"/>
                <w:highlight w:val="none"/>
              </w:rPr>
              <w:t>n</w:t>
            </w:r>
          </w:p>
        </w:tc>
        <w:tc>
          <w:tcPr>
            <w:tcW w:w="2308" w:type="dxa"/>
            <w:vAlign w:val="center"/>
          </w:tcPr>
          <w:p>
            <w:pPr>
              <w:snapToGrid w:val="0"/>
              <w:jc w:val="center"/>
              <w:rPr>
                <w:rFonts w:hint="eastAsia" w:ascii="宋体" w:hAnsi="宋体"/>
                <w:color w:val="auto"/>
                <w:szCs w:val="21"/>
                <w:highlight w:val="none"/>
              </w:rPr>
            </w:pPr>
          </w:p>
        </w:tc>
        <w:tc>
          <w:tcPr>
            <w:tcW w:w="1315" w:type="dxa"/>
            <w:vAlign w:val="center"/>
          </w:tcPr>
          <w:p>
            <w:pPr>
              <w:snapToGrid w:val="0"/>
              <w:jc w:val="center"/>
              <w:rPr>
                <w:rFonts w:hint="eastAsia" w:ascii="宋体" w:hAnsi="宋体"/>
                <w:color w:val="auto"/>
                <w:szCs w:val="21"/>
                <w:highlight w:val="none"/>
              </w:rPr>
            </w:pPr>
          </w:p>
        </w:tc>
        <w:tc>
          <w:tcPr>
            <w:tcW w:w="1235" w:type="dxa"/>
            <w:vAlign w:val="center"/>
          </w:tcPr>
          <w:p>
            <w:pPr>
              <w:snapToGrid w:val="0"/>
              <w:jc w:val="center"/>
              <w:rPr>
                <w:rFonts w:hint="eastAsia" w:ascii="宋体" w:hAnsi="宋体"/>
                <w:color w:val="auto"/>
                <w:szCs w:val="21"/>
                <w:highlight w:val="none"/>
              </w:rPr>
            </w:pPr>
          </w:p>
        </w:tc>
        <w:tc>
          <w:tcPr>
            <w:tcW w:w="1514" w:type="dxa"/>
            <w:vAlign w:val="center"/>
          </w:tcPr>
          <w:p>
            <w:pPr>
              <w:snapToGrid w:val="0"/>
              <w:jc w:val="center"/>
              <w:rPr>
                <w:rFonts w:hint="eastAsia" w:ascii="宋体" w:hAnsi="宋体"/>
                <w:color w:val="auto"/>
                <w:szCs w:val="21"/>
                <w:highlight w:val="none"/>
              </w:rPr>
            </w:pPr>
          </w:p>
        </w:tc>
        <w:tc>
          <w:tcPr>
            <w:tcW w:w="1514" w:type="dxa"/>
            <w:vAlign w:val="top"/>
          </w:tcPr>
          <w:p>
            <w:pPr>
              <w:snapToGrid w:val="0"/>
              <w:jc w:val="center"/>
              <w:rPr>
                <w:rFonts w:hint="eastAsia" w:ascii="宋体" w:hAnsi="宋体"/>
                <w:color w:val="auto"/>
                <w:szCs w:val="21"/>
                <w:highlight w:val="none"/>
              </w:rPr>
            </w:pPr>
          </w:p>
        </w:tc>
      </w:tr>
    </w:tbl>
    <w:p>
      <w:pPr>
        <w:pStyle w:val="24"/>
        <w:rPr>
          <w:rFonts w:hAnsi="宋体"/>
          <w:color w:val="auto"/>
          <w:sz w:val="24"/>
          <w:highlight w:val="none"/>
        </w:rPr>
      </w:pPr>
    </w:p>
    <w:p>
      <w:pPr>
        <w:pStyle w:val="24"/>
        <w:rPr>
          <w:rFonts w:hint="eastAsia" w:hAnsi="宋体"/>
          <w:color w:val="auto"/>
          <w:sz w:val="24"/>
          <w:highlight w:val="none"/>
        </w:rPr>
      </w:pPr>
      <w:r>
        <w:rPr>
          <w:rFonts w:hint="eastAsia" w:hAnsi="宋体"/>
          <w:color w:val="auto"/>
          <w:sz w:val="24"/>
          <w:szCs w:val="24"/>
          <w:highlight w:val="none"/>
          <w:lang w:eastAsia="zh-CN"/>
        </w:rPr>
        <w:t>供应商</w:t>
      </w:r>
      <w:r>
        <w:rPr>
          <w:rFonts w:hint="eastAsia" w:ascii="宋体" w:hAnsi="宋体"/>
          <w:color w:val="auto"/>
          <w:sz w:val="24"/>
          <w:szCs w:val="24"/>
          <w:highlight w:val="none"/>
        </w:rPr>
        <w:t>代表签字：</w:t>
      </w:r>
      <w:r>
        <w:rPr>
          <w:rFonts w:hint="eastAsia" w:hAnsi="宋体"/>
          <w:color w:val="auto"/>
          <w:sz w:val="24"/>
          <w:highlight w:val="none"/>
        </w:rPr>
        <w:t>____________________________</w:t>
      </w:r>
    </w:p>
    <w:p>
      <w:pPr>
        <w:spacing w:line="360" w:lineRule="auto"/>
        <w:rPr>
          <w:rFonts w:hint="eastAsia" w:hAnsi="宋体"/>
          <w:color w:val="auto"/>
          <w:sz w:val="24"/>
          <w:highlight w:val="none"/>
          <w:u w:val="single"/>
        </w:rPr>
      </w:pPr>
      <w:r>
        <w:rPr>
          <w:rFonts w:hint="eastAsia" w:hAnsi="宋体"/>
          <w:color w:val="auto"/>
          <w:sz w:val="24"/>
          <w:highlight w:val="none"/>
          <w:lang w:eastAsia="zh-CN"/>
        </w:rPr>
        <w:t>供应商</w:t>
      </w:r>
      <w:r>
        <w:rPr>
          <w:rFonts w:hint="eastAsia" w:hAnsi="宋体"/>
          <w:color w:val="auto"/>
          <w:sz w:val="24"/>
          <w:highlight w:val="none"/>
        </w:rPr>
        <w:t xml:space="preserve">(盖章):   </w:t>
      </w:r>
      <w:r>
        <w:rPr>
          <w:rFonts w:hint="eastAsia" w:hAnsi="宋体"/>
          <w:color w:val="auto"/>
          <w:sz w:val="24"/>
          <w:highlight w:val="none"/>
          <w:u w:val="single"/>
        </w:rPr>
        <w:t xml:space="preserve"> </w:t>
      </w:r>
      <w:r>
        <w:rPr>
          <w:rFonts w:hAnsi="宋体"/>
          <w:color w:val="auto"/>
          <w:sz w:val="24"/>
          <w:highlight w:val="none"/>
          <w:u w:val="single"/>
        </w:rPr>
        <w:tab/>
      </w:r>
      <w:r>
        <w:rPr>
          <w:rFonts w:hint="eastAsia" w:hAnsi="宋体"/>
          <w:color w:val="auto"/>
          <w:sz w:val="24"/>
          <w:highlight w:val="none"/>
          <w:u w:val="single"/>
        </w:rPr>
        <w:t xml:space="preserve">                        </w:t>
      </w:r>
      <w:r>
        <w:rPr>
          <w:rFonts w:hAnsi="宋体"/>
          <w:color w:val="auto"/>
          <w:sz w:val="24"/>
          <w:highlight w:val="none"/>
          <w:u w:val="single"/>
        </w:rPr>
        <w:tab/>
      </w:r>
    </w:p>
    <w:p>
      <w:pPr>
        <w:spacing w:line="300" w:lineRule="auto"/>
        <w:jc w:val="left"/>
        <w:rPr>
          <w:rFonts w:ascii="宋体" w:hAnsi="宋体"/>
          <w:color w:val="auto"/>
          <w:sz w:val="24"/>
          <w:szCs w:val="24"/>
          <w:highlight w:val="none"/>
          <w:u w:val="single"/>
        </w:rPr>
      </w:pPr>
      <w:r>
        <w:rPr>
          <w:rFonts w:hint="eastAsia" w:ascii="宋体" w:hAnsi="宋体"/>
          <w:color w:val="auto"/>
          <w:sz w:val="24"/>
          <w:szCs w:val="24"/>
          <w:highlight w:val="none"/>
        </w:rPr>
        <w:t>日    期：</w:t>
      </w:r>
      <w:r>
        <w:rPr>
          <w:rFonts w:hint="eastAsia" w:ascii="宋体" w:hAnsi="宋体"/>
          <w:color w:val="auto"/>
          <w:sz w:val="24"/>
          <w:szCs w:val="24"/>
          <w:highlight w:val="none"/>
          <w:u w:val="single"/>
        </w:rPr>
        <w:t xml:space="preserve">                         </w:t>
      </w:r>
    </w:p>
    <w:p>
      <w:pPr>
        <w:spacing w:before="156" w:beforeLines="50" w:line="360" w:lineRule="auto"/>
        <w:ind w:firstLine="240" w:firstLineChars="100"/>
        <w:rPr>
          <w:rFonts w:hint="eastAsia" w:ascii="宋体" w:hAnsi="宋体"/>
          <w:color w:val="auto"/>
          <w:sz w:val="24"/>
          <w:szCs w:val="24"/>
          <w:highlight w:val="none"/>
        </w:rPr>
      </w:pPr>
      <w:r>
        <w:rPr>
          <w:rFonts w:hint="eastAsia" w:ascii="宋体" w:hAnsi="宋体"/>
          <w:color w:val="auto"/>
          <w:sz w:val="24"/>
          <w:szCs w:val="24"/>
          <w:highlight w:val="none"/>
        </w:rPr>
        <w:t>填表说明：</w:t>
      </w:r>
    </w:p>
    <w:p>
      <w:pPr>
        <w:spacing w:line="360" w:lineRule="auto"/>
        <w:ind w:left="479" w:leftChars="114" w:hanging="240" w:hangingChars="100"/>
        <w:rPr>
          <w:rFonts w:hint="eastAsia" w:ascii="宋体" w:hAnsi="宋体"/>
          <w:color w:val="auto"/>
          <w:sz w:val="24"/>
          <w:szCs w:val="24"/>
          <w:highlight w:val="none"/>
        </w:rPr>
      </w:pPr>
      <w:r>
        <w:rPr>
          <w:rFonts w:hint="eastAsia" w:ascii="宋体" w:hAnsi="宋体"/>
          <w:color w:val="auto"/>
          <w:sz w:val="24"/>
          <w:szCs w:val="24"/>
          <w:highlight w:val="none"/>
        </w:rPr>
        <w:t>1.北京市石景山区政府采购中心有权审核</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提交业绩的真实、有效性，如有虚假填报，将取消其中标资格；</w:t>
      </w:r>
    </w:p>
    <w:p>
      <w:pPr>
        <w:spacing w:line="360" w:lineRule="auto"/>
        <w:ind w:firstLine="240" w:firstLineChars="100"/>
        <w:rPr>
          <w:rFonts w:hint="eastAsia" w:ascii="宋体" w:hAnsi="宋体"/>
          <w:color w:val="auto"/>
          <w:sz w:val="24"/>
          <w:szCs w:val="24"/>
          <w:highlight w:val="none"/>
        </w:rPr>
      </w:pPr>
      <w:r>
        <w:rPr>
          <w:rFonts w:hint="eastAsia" w:ascii="宋体" w:hAnsi="宋体"/>
          <w:color w:val="auto"/>
          <w:sz w:val="24"/>
          <w:szCs w:val="24"/>
          <w:highlight w:val="none"/>
        </w:rPr>
        <w:t>2.业绩按上述表格填写。</w:t>
      </w:r>
    </w:p>
    <w:p>
      <w:pPr>
        <w:spacing w:line="360" w:lineRule="auto"/>
        <w:ind w:firstLine="240" w:firstLineChars="100"/>
        <w:rPr>
          <w:rFonts w:hint="eastAsia" w:ascii="宋体" w:hAnsi="宋体"/>
          <w:color w:val="auto"/>
          <w:sz w:val="24"/>
          <w:szCs w:val="24"/>
          <w:highlight w:val="none"/>
        </w:rPr>
      </w:pPr>
      <w:r>
        <w:rPr>
          <w:rFonts w:hint="eastAsia" w:ascii="宋体" w:hAnsi="宋体"/>
          <w:color w:val="auto"/>
          <w:sz w:val="24"/>
          <w:szCs w:val="24"/>
          <w:highlight w:val="none"/>
        </w:rPr>
        <w:t>3.证明材料请附后。</w:t>
      </w:r>
    </w:p>
    <w:p>
      <w:pPr>
        <w:pStyle w:val="16"/>
        <w:rPr>
          <w:rFonts w:hint="eastAsia"/>
        </w:rPr>
      </w:pPr>
    </w:p>
    <w:p>
      <w:pPr>
        <w:numPr>
          <w:ilvl w:val="0"/>
          <w:numId w:val="0"/>
        </w:numPr>
        <w:spacing w:line="360" w:lineRule="auto"/>
        <w:rPr>
          <w:rFonts w:hint="eastAsia" w:ascii="宋体" w:hAnsi="宋体"/>
          <w:b/>
          <w:bCs/>
          <w:sz w:val="24"/>
          <w:szCs w:val="24"/>
          <w:highlight w:val="none"/>
          <w:u w:val="none"/>
          <w:lang w:val="en-US" w:eastAsia="zh-CN"/>
        </w:rPr>
      </w:pPr>
      <w:r>
        <w:rPr>
          <w:rFonts w:hint="eastAsia" w:ascii="宋体" w:hAnsi="宋体"/>
          <w:b/>
          <w:bCs/>
          <w:sz w:val="24"/>
          <w:szCs w:val="24"/>
          <w:u w:val="none"/>
          <w:lang w:val="en-US" w:eastAsia="zh-CN"/>
        </w:rPr>
        <w:t xml:space="preserve">附件10 </w:t>
      </w:r>
      <w:r>
        <w:rPr>
          <w:rFonts w:hint="eastAsia" w:ascii="宋体" w:hAnsi="宋体"/>
          <w:b/>
          <w:bCs/>
          <w:sz w:val="24"/>
          <w:szCs w:val="24"/>
          <w:highlight w:val="none"/>
          <w:u w:val="none"/>
          <w:lang w:val="en-US" w:eastAsia="zh-CN"/>
        </w:rPr>
        <w:t>声明函</w:t>
      </w:r>
    </w:p>
    <w:p>
      <w:pPr>
        <w:jc w:val="both"/>
        <w:rPr>
          <w:rFonts w:hint="eastAsia" w:ascii="宋体" w:hAnsi="宋体"/>
          <w:b/>
          <w:color w:val="auto"/>
          <w:sz w:val="24"/>
          <w:szCs w:val="24"/>
          <w:highlight w:val="none"/>
        </w:rPr>
      </w:pPr>
      <w:r>
        <w:rPr>
          <w:rFonts w:hint="eastAsia" w:ascii="宋体" w:hAnsi="宋体"/>
          <w:b/>
          <w:color w:val="auto"/>
          <w:sz w:val="24"/>
          <w:szCs w:val="24"/>
          <w:highlight w:val="none"/>
        </w:rPr>
        <w:t>附件</w:t>
      </w:r>
      <w:r>
        <w:rPr>
          <w:rFonts w:hint="eastAsia" w:ascii="宋体" w:hAnsi="宋体"/>
          <w:b/>
          <w:color w:val="auto"/>
          <w:sz w:val="24"/>
          <w:szCs w:val="24"/>
          <w:highlight w:val="none"/>
          <w:lang w:val="en-US" w:eastAsia="zh-CN"/>
        </w:rPr>
        <w:t>10</w:t>
      </w:r>
      <w:r>
        <w:rPr>
          <w:rFonts w:hint="eastAsia" w:ascii="宋体" w:hAnsi="宋体"/>
          <w:b/>
          <w:color w:val="auto"/>
          <w:sz w:val="24"/>
          <w:szCs w:val="24"/>
          <w:highlight w:val="none"/>
        </w:rPr>
        <w:t>-1</w:t>
      </w:r>
      <w:r>
        <w:rPr>
          <w:rFonts w:hint="eastAsia" w:ascii="宋体" w:hAnsi="宋体"/>
          <w:color w:val="auto"/>
          <w:sz w:val="24"/>
          <w:szCs w:val="24"/>
          <w:highlight w:val="none"/>
        </w:rPr>
        <w:t xml:space="preserve">             </w:t>
      </w:r>
      <w:r>
        <w:rPr>
          <w:rFonts w:hint="eastAsia" w:ascii="宋体" w:hAnsi="宋体"/>
          <w:b/>
          <w:color w:val="auto"/>
          <w:sz w:val="24"/>
          <w:szCs w:val="24"/>
          <w:highlight w:val="none"/>
        </w:rPr>
        <w:t>中小企业声明函（工程、服务）</w:t>
      </w:r>
    </w:p>
    <w:p>
      <w:pPr>
        <w:rPr>
          <w:rFonts w:hint="eastAsia" w:ascii="宋体" w:hAnsi="宋体"/>
          <w:b/>
          <w:color w:val="auto"/>
          <w:sz w:val="24"/>
          <w:szCs w:val="24"/>
        </w:rPr>
      </w:pPr>
    </w:p>
    <w:p>
      <w:pPr>
        <w:spacing w:line="360" w:lineRule="auto"/>
        <w:ind w:firstLine="480" w:firstLineChars="200"/>
        <w:rPr>
          <w:rFonts w:hint="eastAsia" w:ascii="宋体" w:hAnsi="宋体"/>
          <w:sz w:val="24"/>
          <w:szCs w:val="24"/>
        </w:rPr>
      </w:pPr>
      <w:r>
        <w:rPr>
          <w:rFonts w:hint="eastAsia" w:ascii="宋体" w:hAnsi="宋体"/>
          <w:color w:val="auto"/>
          <w:sz w:val="24"/>
          <w:szCs w:val="24"/>
        </w:rPr>
        <w:t>本公司（联合体）郑重声明，根据《政府采购促进中小企业发展暂行办法》（财库〔2020〕46号）的规定，本公司(联合体)参加</w:t>
      </w:r>
      <w:r>
        <w:rPr>
          <w:rFonts w:hint="eastAsia" w:ascii="宋体" w:hAnsi="宋体"/>
          <w:color w:val="auto"/>
          <w:sz w:val="24"/>
          <w:szCs w:val="24"/>
          <w:u w:val="single"/>
        </w:rPr>
        <w:t>（单</w:t>
      </w:r>
      <w:r>
        <w:rPr>
          <w:rFonts w:hint="eastAsia" w:ascii="宋体" w:hAnsi="宋体"/>
          <w:sz w:val="24"/>
          <w:szCs w:val="24"/>
          <w:u w:val="single"/>
        </w:rPr>
        <w:t>位名称）</w:t>
      </w:r>
      <w:r>
        <w:rPr>
          <w:rFonts w:hint="eastAsia" w:ascii="宋体" w:hAnsi="宋体"/>
          <w:sz w:val="24"/>
          <w:szCs w:val="24"/>
        </w:rPr>
        <w:t>的</w:t>
      </w:r>
      <w:r>
        <w:rPr>
          <w:rFonts w:hint="eastAsia" w:ascii="宋体" w:hAnsi="宋体"/>
          <w:sz w:val="24"/>
          <w:szCs w:val="24"/>
          <w:u w:val="single"/>
        </w:rPr>
        <w:t>（项目名称）</w:t>
      </w:r>
      <w:r>
        <w:rPr>
          <w:rFonts w:hint="eastAsia" w:ascii="宋体" w:hAnsi="宋体"/>
          <w:sz w:val="24"/>
          <w:szCs w:val="24"/>
        </w:rPr>
        <w:t>采购活动，工程施工单位全部为符合政策要求的中小企业（或者：服务全部由符合政策要求的中小企业承接）。相关企业（含联合体中的中小企业、签订分包意向协议的中小企业）的具体情况如下：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480" w:firstLineChars="200"/>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（标的名称），</w:t>
      </w:r>
      <w:r>
        <w:rPr>
          <w:rFonts w:hint="eastAsia" w:ascii="宋体" w:hAnsi="宋体"/>
          <w:sz w:val="24"/>
          <w:szCs w:val="24"/>
        </w:rPr>
        <w:t>属于</w:t>
      </w:r>
      <w:r>
        <w:rPr>
          <w:rFonts w:hint="eastAsia" w:ascii="宋体" w:hAnsi="宋体"/>
          <w:sz w:val="24"/>
          <w:szCs w:val="24"/>
          <w:u w:val="single"/>
        </w:rPr>
        <w:t>（采购文件中明确的所属行业）</w:t>
      </w:r>
      <w:r>
        <w:rPr>
          <w:rFonts w:hint="eastAsia" w:ascii="宋体" w:hAnsi="宋体"/>
          <w:sz w:val="24"/>
          <w:szCs w:val="24"/>
        </w:rPr>
        <w:t>行业；承建（承接）为</w:t>
      </w:r>
      <w:r>
        <w:rPr>
          <w:rFonts w:hint="eastAsia" w:ascii="宋体" w:hAnsi="宋体"/>
          <w:sz w:val="24"/>
          <w:szCs w:val="24"/>
          <w:u w:val="single"/>
        </w:rPr>
        <w:t>（企业名称）</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 xml:space="preserve">人 ，营业收入为 </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万元，属于</w:t>
      </w:r>
      <w:r>
        <w:rPr>
          <w:rFonts w:hint="eastAsia" w:ascii="宋体" w:hAnsi="宋体"/>
          <w:sz w:val="24"/>
          <w:szCs w:val="24"/>
          <w:u w:val="single"/>
        </w:rPr>
        <w:t>（中型企业、小型企业、微型企业）；</w:t>
      </w:r>
      <w:r>
        <w:rPr>
          <w:rFonts w:hint="eastAsia" w:ascii="宋体" w:hAnsi="宋体"/>
          <w:sz w:val="24"/>
          <w:szCs w:val="24"/>
        </w:rPr>
        <w:t xml:space="preserve"> </w:t>
      </w:r>
    </w:p>
    <w:p>
      <w:pPr>
        <w:spacing w:line="360" w:lineRule="auto"/>
        <w:ind w:firstLine="480" w:firstLineChars="200"/>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（标的名称），</w:t>
      </w:r>
      <w:r>
        <w:rPr>
          <w:rFonts w:hint="eastAsia" w:ascii="宋体" w:hAnsi="宋体"/>
          <w:sz w:val="24"/>
          <w:szCs w:val="24"/>
        </w:rPr>
        <w:t>属于</w:t>
      </w:r>
      <w:r>
        <w:rPr>
          <w:rFonts w:hint="eastAsia" w:ascii="宋体" w:hAnsi="宋体"/>
          <w:sz w:val="24"/>
          <w:szCs w:val="24"/>
          <w:u w:val="single"/>
        </w:rPr>
        <w:t>（采购文件中明确的所属行业）</w:t>
      </w:r>
      <w:r>
        <w:rPr>
          <w:rFonts w:hint="eastAsia" w:ascii="宋体" w:hAnsi="宋体"/>
          <w:sz w:val="24"/>
          <w:szCs w:val="24"/>
        </w:rPr>
        <w:t>行业；承建（承接）为</w:t>
      </w:r>
      <w:r>
        <w:rPr>
          <w:rFonts w:hint="eastAsia" w:ascii="宋体" w:hAnsi="宋体"/>
          <w:sz w:val="24"/>
          <w:szCs w:val="24"/>
          <w:u w:val="single"/>
        </w:rPr>
        <w:t>（企业名称）</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 xml:space="preserve">人 ，营业收入为 </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万元，属于</w:t>
      </w:r>
      <w:r>
        <w:rPr>
          <w:rFonts w:hint="eastAsia" w:ascii="宋体" w:hAnsi="宋体"/>
          <w:sz w:val="24"/>
          <w:szCs w:val="24"/>
          <w:u w:val="single"/>
        </w:rPr>
        <w:t>（中型企业、小型企业、微型企业）；</w:t>
      </w:r>
      <w:r>
        <w:rPr>
          <w:rFonts w:hint="eastAsia" w:ascii="宋体" w:hAnsi="宋体"/>
          <w:sz w:val="24"/>
          <w:szCs w:val="24"/>
        </w:rPr>
        <w:t xml:space="preserve"> </w:t>
      </w:r>
    </w:p>
    <w:p>
      <w:pPr>
        <w:spacing w:line="360" w:lineRule="auto"/>
        <w:ind w:firstLine="480" w:firstLineChars="200"/>
        <w:rPr>
          <w:rFonts w:hint="eastAsia" w:ascii="宋体" w:hAnsi="宋体"/>
          <w:sz w:val="24"/>
          <w:szCs w:val="24"/>
        </w:rPr>
      </w:pPr>
      <w:r>
        <w:rPr>
          <w:rFonts w:hint="eastAsia" w:ascii="宋体" w:hAnsi="宋体"/>
          <w:sz w:val="24"/>
          <w:szCs w:val="24"/>
        </w:rPr>
        <w:t>……</w:t>
      </w:r>
    </w:p>
    <w:p>
      <w:pPr>
        <w:spacing w:line="360" w:lineRule="auto"/>
        <w:ind w:firstLine="480" w:firstLineChars="200"/>
        <w:rPr>
          <w:rFonts w:hint="eastAsia" w:ascii="宋体" w:hAnsi="宋体"/>
          <w:sz w:val="24"/>
          <w:szCs w:val="24"/>
        </w:rPr>
      </w:pPr>
      <w:r>
        <w:rPr>
          <w:rFonts w:hint="eastAsia" w:ascii="宋体" w:hAnsi="宋体"/>
          <w:sz w:val="24"/>
          <w:szCs w:val="24"/>
        </w:rPr>
        <w:t>以上企业，不属于大企业的分支机构，不存在控股股东为大企业的情形，也不存在与大企业的负责人为同一人的情形。</w:t>
      </w:r>
    </w:p>
    <w:p>
      <w:pPr>
        <w:spacing w:line="360" w:lineRule="auto"/>
        <w:ind w:firstLine="480" w:firstLineChars="200"/>
        <w:rPr>
          <w:rFonts w:hint="eastAsia" w:ascii="宋体" w:hAnsi="宋体"/>
          <w:sz w:val="24"/>
          <w:szCs w:val="24"/>
        </w:rPr>
      </w:pPr>
      <w:r>
        <w:rPr>
          <w:rFonts w:hint="eastAsia" w:ascii="宋体" w:hAnsi="宋体"/>
          <w:sz w:val="24"/>
          <w:szCs w:val="24"/>
        </w:rPr>
        <w:t>本公司对上述声明内容的真实性负责。如有虚假，将依法承担相应责任。</w:t>
      </w:r>
    </w:p>
    <w:p>
      <w:pPr>
        <w:spacing w:before="156" w:beforeLines="50" w:line="360" w:lineRule="auto"/>
        <w:ind w:firstLine="4680" w:firstLineChars="1950"/>
        <w:rPr>
          <w:rFonts w:hint="eastAsia" w:ascii="宋体" w:hAnsi="宋体"/>
          <w:sz w:val="24"/>
          <w:szCs w:val="24"/>
        </w:rPr>
      </w:pPr>
      <w:r>
        <w:rPr>
          <w:rFonts w:hint="eastAsia" w:ascii="宋体" w:hAnsi="宋体"/>
          <w:sz w:val="24"/>
          <w:szCs w:val="24"/>
        </w:rPr>
        <w:t>企业名称（盖章）：</w:t>
      </w:r>
    </w:p>
    <w:p>
      <w:pPr>
        <w:spacing w:line="360" w:lineRule="auto"/>
        <w:ind w:right="480" w:firstLine="4680" w:firstLineChars="1950"/>
        <w:rPr>
          <w:rFonts w:hint="eastAsia" w:ascii="宋体" w:hAnsi="宋体"/>
          <w:sz w:val="24"/>
          <w:szCs w:val="24"/>
        </w:rPr>
      </w:pPr>
      <w:r>
        <w:rPr>
          <w:rFonts w:hint="eastAsia" w:ascii="宋体" w:hAnsi="宋体"/>
          <w:sz w:val="24"/>
          <w:szCs w:val="24"/>
        </w:rPr>
        <w:t>日 期：</w:t>
      </w:r>
    </w:p>
    <w:p>
      <w:pPr>
        <w:spacing w:line="360" w:lineRule="auto"/>
        <w:ind w:right="480"/>
        <w:rPr>
          <w:rFonts w:hint="eastAsia" w:ascii="宋体" w:hAnsi="宋体"/>
          <w:sz w:val="24"/>
          <w:szCs w:val="24"/>
        </w:rPr>
      </w:pPr>
      <w:r>
        <w:rPr>
          <w:rFonts w:hint="eastAsia" w:ascii="宋体" w:hAnsi="宋体"/>
          <w:b w:val="0"/>
          <w:bCs/>
          <w:sz w:val="24"/>
          <w:szCs w:val="24"/>
        </w:rPr>
        <w:t>注：</w:t>
      </w:r>
      <w:r>
        <w:rPr>
          <w:rFonts w:hint="eastAsia" w:ascii="宋体" w:hAnsi="宋体"/>
          <w:sz w:val="24"/>
          <w:szCs w:val="24"/>
        </w:rPr>
        <w:t>从业人员、营业收入、资产总额填报上一年度数据，无上一年度数据的新成立企业可不填报。</w:t>
      </w:r>
    </w:p>
    <w:p>
      <w:pPr>
        <w:pStyle w:val="2"/>
      </w:pPr>
    </w:p>
    <w:p>
      <w:pPr>
        <w:spacing w:line="360" w:lineRule="auto"/>
        <w:rPr>
          <w:rFonts w:ascii="宋体" w:hAnsi="宋体"/>
          <w:sz w:val="28"/>
          <w:szCs w:val="28"/>
        </w:rPr>
      </w:pPr>
      <w:r>
        <w:rPr>
          <w:rFonts w:hint="eastAsia" w:ascii="宋体" w:hAnsi="宋体"/>
          <w:b/>
          <w:sz w:val="24"/>
          <w:szCs w:val="24"/>
        </w:rPr>
        <w:t>附件</w:t>
      </w:r>
      <w:r>
        <w:rPr>
          <w:rFonts w:hint="eastAsia" w:ascii="宋体" w:hAnsi="宋体"/>
          <w:b/>
          <w:sz w:val="24"/>
          <w:szCs w:val="24"/>
          <w:lang w:val="en-US" w:eastAsia="zh-CN"/>
        </w:rPr>
        <w:t>10</w:t>
      </w:r>
      <w:r>
        <w:rPr>
          <w:rFonts w:hint="eastAsia" w:ascii="宋体" w:hAnsi="宋体"/>
          <w:b/>
          <w:sz w:val="24"/>
          <w:szCs w:val="24"/>
        </w:rPr>
        <w:t>-2                    监狱企业证明文件</w:t>
      </w:r>
    </w:p>
    <w:p>
      <w:pPr>
        <w:spacing w:line="360" w:lineRule="auto"/>
        <w:ind w:firstLine="480" w:firstLineChars="200"/>
        <w:rPr>
          <w:rFonts w:ascii="宋体" w:hAnsi="宋体"/>
          <w:sz w:val="24"/>
        </w:rPr>
      </w:pPr>
      <w:r>
        <w:rPr>
          <w:rFonts w:ascii="宋体" w:hAnsi="宋体"/>
          <w:sz w:val="24"/>
        </w:rPr>
        <w:t>监狱企业视同小型、微型企业</w:t>
      </w:r>
      <w:r>
        <w:rPr>
          <w:rFonts w:hint="eastAsia" w:ascii="宋体" w:hAnsi="宋体"/>
          <w:sz w:val="24"/>
        </w:rPr>
        <w:t>,监狱企业参加政府采购活动时，应当提供由省级以上监狱管理局、戒毒管理局(含新疆生产建设兵团)出具的属于监狱企业的证明文件。</w:t>
      </w:r>
      <w:r>
        <w:rPr>
          <w:rFonts w:ascii="宋体" w:hAnsi="宋体"/>
          <w:sz w:val="24"/>
        </w:rPr>
        <w:t>北京市监狱企业应当提供市监狱管理局、市教育矫治局出具的监狱企业的证明文件。</w:t>
      </w:r>
    </w:p>
    <w:p>
      <w:pPr>
        <w:spacing w:line="360" w:lineRule="auto"/>
        <w:rPr>
          <w:rFonts w:ascii="宋体" w:hAnsi="宋体"/>
          <w:sz w:val="24"/>
        </w:rPr>
      </w:pPr>
    </w:p>
    <w:p>
      <w:pPr>
        <w:spacing w:line="360" w:lineRule="auto"/>
        <w:rPr>
          <w:rFonts w:ascii="宋体" w:hAnsi="宋体"/>
          <w:sz w:val="28"/>
          <w:szCs w:val="28"/>
        </w:rPr>
      </w:pPr>
      <w:r>
        <w:rPr>
          <w:rFonts w:ascii="宋体" w:hAnsi="宋体"/>
          <w:sz w:val="24"/>
        </w:rPr>
        <w:t xml:space="preserve"> </w:t>
      </w:r>
      <w:r>
        <w:rPr>
          <w:rFonts w:hint="eastAsia" w:ascii="宋体" w:hAnsi="宋体"/>
          <w:b/>
          <w:sz w:val="24"/>
          <w:szCs w:val="24"/>
        </w:rPr>
        <w:t>附件</w:t>
      </w:r>
      <w:r>
        <w:rPr>
          <w:rFonts w:hint="eastAsia" w:ascii="宋体" w:hAnsi="宋体"/>
          <w:b/>
          <w:sz w:val="24"/>
          <w:szCs w:val="24"/>
          <w:lang w:val="en-US" w:eastAsia="zh-CN"/>
        </w:rPr>
        <w:t>10</w:t>
      </w:r>
      <w:r>
        <w:rPr>
          <w:rFonts w:hint="eastAsia" w:ascii="宋体" w:hAnsi="宋体"/>
          <w:b/>
          <w:sz w:val="24"/>
          <w:szCs w:val="24"/>
        </w:rPr>
        <w:t xml:space="preserve">-3                  </w:t>
      </w:r>
      <w:r>
        <w:rPr>
          <w:rFonts w:hint="eastAsia" w:ascii="宋体" w:hAnsi="宋体"/>
          <w:b/>
          <w:bCs/>
          <w:sz w:val="24"/>
          <w:szCs w:val="24"/>
        </w:rPr>
        <w:t>残疾人福利性单位声明函</w:t>
      </w:r>
    </w:p>
    <w:p>
      <w:pPr>
        <w:spacing w:line="360" w:lineRule="auto"/>
        <w:rPr>
          <w:rFonts w:ascii="宋体" w:hAnsi="宋体"/>
          <w:sz w:val="24"/>
        </w:rPr>
      </w:pPr>
    </w:p>
    <w:p>
      <w:pPr>
        <w:spacing w:line="360" w:lineRule="auto"/>
        <w:ind w:firstLine="480" w:firstLineChars="200"/>
        <w:rPr>
          <w:rFonts w:ascii="宋体" w:hAnsi="宋体"/>
          <w:sz w:val="24"/>
        </w:rPr>
      </w:pPr>
      <w:r>
        <w:rPr>
          <w:rFonts w:hint="eastAsia" w:ascii="宋体" w:hAnsi="宋体"/>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u w:val="single"/>
        </w:rPr>
        <w:t>（采购人名称）</w:t>
      </w:r>
      <w:r>
        <w:rPr>
          <w:rFonts w:hint="eastAsia" w:ascii="宋体" w:hAnsi="宋体"/>
          <w:sz w:val="24"/>
        </w:rPr>
        <w:t>的</w:t>
      </w:r>
      <w:r>
        <w:rPr>
          <w:rFonts w:ascii="宋体" w:hAnsi="宋体"/>
          <w:sz w:val="24"/>
          <w:u w:val="single"/>
        </w:rPr>
        <w:t xml:space="preserve">          </w:t>
      </w:r>
      <w:r>
        <w:rPr>
          <w:rFonts w:hint="eastAsia" w:ascii="宋体" w:hAnsi="宋体"/>
          <w:sz w:val="24"/>
        </w:rPr>
        <w:t>项目（项目编号</w:t>
      </w:r>
      <w:r>
        <w:rPr>
          <w:rFonts w:ascii="宋体" w:hAnsi="宋体"/>
          <w:sz w:val="24"/>
          <w:u w:val="single"/>
        </w:rPr>
        <w:t xml:space="preserve">           </w:t>
      </w:r>
      <w:r>
        <w:rPr>
          <w:rFonts w:hint="eastAsia" w:ascii="宋体" w:hAnsi="宋体"/>
          <w:sz w:val="24"/>
        </w:rPr>
        <w:t>）采购活动提供本单位制造的货物（由本单位承担工程/提供服务），或者提供其他残疾人福利性单位制造的货物（不包括使用非残疾人福利性单位注册商标的货物）。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ascii="宋体" w:hAnsi="宋体"/>
          <w:sz w:val="24"/>
        </w:rPr>
      </w:pPr>
      <w:r>
        <w:rPr>
          <w:rFonts w:hint="eastAsia" w:ascii="宋体" w:hAnsi="宋体"/>
          <w:sz w:val="24"/>
        </w:rPr>
        <w:t>本单位对上述声明的真实性负责。如有虚假，将依法承担相应责任。</w:t>
      </w:r>
    </w:p>
    <w:p>
      <w:pPr>
        <w:spacing w:line="360" w:lineRule="auto"/>
        <w:ind w:right="480" w:firstLine="5280" w:firstLineChars="2200"/>
        <w:rPr>
          <w:rFonts w:ascii="宋体" w:hAnsi="宋体"/>
          <w:sz w:val="24"/>
        </w:rPr>
      </w:pPr>
      <w:r>
        <w:rPr>
          <w:rFonts w:hint="eastAsia" w:ascii="宋体" w:hAnsi="宋体"/>
          <w:sz w:val="24"/>
        </w:rPr>
        <w:t>单位名称（盖章）：</w:t>
      </w:r>
    </w:p>
    <w:p>
      <w:pPr>
        <w:spacing w:line="360" w:lineRule="auto"/>
        <w:ind w:right="480" w:firstLine="5280" w:firstLineChars="2200"/>
        <w:rPr>
          <w:rFonts w:ascii="宋体" w:hAnsi="宋体"/>
          <w:sz w:val="24"/>
        </w:rPr>
      </w:pPr>
      <w:r>
        <w:rPr>
          <w:rFonts w:hint="eastAsia" w:ascii="宋体" w:hAnsi="宋体"/>
          <w:sz w:val="24"/>
        </w:rPr>
        <w:t>日  期：</w:t>
      </w:r>
    </w:p>
    <w:p>
      <w:pPr>
        <w:spacing w:line="360" w:lineRule="auto"/>
        <w:rPr>
          <w:rFonts w:hAnsi="宋体"/>
          <w:sz w:val="24"/>
        </w:rPr>
      </w:pPr>
      <w:r>
        <w:rPr>
          <w:rFonts w:hint="eastAsia" w:hAnsi="宋体"/>
          <w:sz w:val="24"/>
        </w:rPr>
        <w:t>注：</w:t>
      </w:r>
    </w:p>
    <w:p>
      <w:pPr>
        <w:spacing w:line="360" w:lineRule="auto"/>
        <w:jc w:val="left"/>
        <w:rPr>
          <w:rFonts w:hAnsi="宋体"/>
          <w:sz w:val="24"/>
          <w:szCs w:val="24"/>
        </w:rPr>
      </w:pPr>
      <w:r>
        <w:rPr>
          <w:rFonts w:hint="eastAsia" w:hAnsi="宋体"/>
          <w:sz w:val="24"/>
          <w:szCs w:val="24"/>
        </w:rPr>
        <w:t>1、以上三种声明函/证明文件，</w:t>
      </w:r>
      <w:r>
        <w:rPr>
          <w:rFonts w:hint="eastAsia" w:hAnsi="宋体"/>
          <w:sz w:val="24"/>
          <w:szCs w:val="24"/>
          <w:lang w:eastAsia="zh-CN"/>
        </w:rPr>
        <w:t>供应商</w:t>
      </w:r>
      <w:r>
        <w:rPr>
          <w:rFonts w:hint="eastAsia" w:hAnsi="宋体"/>
          <w:sz w:val="24"/>
          <w:szCs w:val="24"/>
        </w:rPr>
        <w:t>根据企业实际情况做出一种声明/证明即可，都不满足，本附件无需放在</w:t>
      </w:r>
      <w:r>
        <w:rPr>
          <w:rFonts w:hint="eastAsia" w:hAnsi="宋体"/>
          <w:sz w:val="24"/>
          <w:szCs w:val="24"/>
          <w:lang w:eastAsia="zh-CN"/>
        </w:rPr>
        <w:t>响应</w:t>
      </w:r>
      <w:r>
        <w:rPr>
          <w:rFonts w:hint="eastAsia" w:hAnsi="宋体"/>
          <w:sz w:val="24"/>
          <w:szCs w:val="24"/>
        </w:rPr>
        <w:t>文件中。</w:t>
      </w:r>
    </w:p>
    <w:p>
      <w:pPr>
        <w:numPr>
          <w:ilvl w:val="0"/>
          <w:numId w:val="0"/>
        </w:numPr>
        <w:spacing w:line="360" w:lineRule="auto"/>
        <w:rPr>
          <w:rFonts w:hAnsi="宋体"/>
          <w:sz w:val="24"/>
          <w:szCs w:val="24"/>
        </w:rPr>
      </w:pPr>
      <w:r>
        <w:rPr>
          <w:rFonts w:hAnsi="宋体"/>
          <w:sz w:val="24"/>
          <w:szCs w:val="24"/>
        </w:rPr>
        <w:t>2、</w:t>
      </w:r>
      <w:r>
        <w:rPr>
          <w:rFonts w:hint="eastAsia" w:hAnsi="宋体"/>
          <w:sz w:val="24"/>
          <w:szCs w:val="24"/>
          <w:lang w:eastAsia="zh-CN"/>
        </w:rPr>
        <w:t>成交</w:t>
      </w:r>
      <w:r>
        <w:rPr>
          <w:rFonts w:hAnsi="宋体"/>
          <w:sz w:val="24"/>
          <w:szCs w:val="24"/>
        </w:rPr>
        <w:t>供应商为残疾人福利性单位且评审中享受了残疾人福利性单位相关政府采购支持政策的，其《残疾人福利性单位声明函》将在</w:t>
      </w:r>
      <w:r>
        <w:rPr>
          <w:rFonts w:hint="eastAsia" w:hAnsi="宋体"/>
          <w:sz w:val="24"/>
          <w:szCs w:val="24"/>
          <w:lang w:eastAsia="zh-CN"/>
        </w:rPr>
        <w:t>成交</w:t>
      </w:r>
      <w:r>
        <w:rPr>
          <w:rFonts w:hAnsi="宋体"/>
          <w:sz w:val="24"/>
          <w:szCs w:val="24"/>
        </w:rPr>
        <w:t>公示中公告，接受社会监督。</w:t>
      </w:r>
    </w:p>
    <w:p>
      <w:pPr>
        <w:numPr>
          <w:ilvl w:val="0"/>
          <w:numId w:val="0"/>
        </w:numPr>
        <w:spacing w:line="360" w:lineRule="auto"/>
        <w:rPr>
          <w:rFonts w:hAnsi="宋体"/>
          <w:sz w:val="24"/>
          <w:szCs w:val="24"/>
        </w:rPr>
      </w:pPr>
    </w:p>
    <w:p>
      <w:pPr>
        <w:spacing w:line="360" w:lineRule="auto"/>
        <w:rPr>
          <w:rFonts w:hint="eastAsia"/>
        </w:rPr>
      </w:pPr>
      <w:r>
        <w:rPr>
          <w:rFonts w:hint="eastAsia" w:hAnsi="宋体"/>
          <w:b/>
          <w:sz w:val="24"/>
          <w:szCs w:val="24"/>
          <w:highlight w:val="none"/>
        </w:rPr>
        <w:t>附件</w:t>
      </w:r>
      <w:r>
        <w:rPr>
          <w:rFonts w:hint="eastAsia" w:hAnsi="宋体"/>
          <w:b/>
          <w:sz w:val="24"/>
          <w:szCs w:val="24"/>
          <w:highlight w:val="none"/>
          <w:lang w:val="en-US" w:eastAsia="zh-CN"/>
        </w:rPr>
        <w:t>11</w:t>
      </w:r>
      <w:r>
        <w:rPr>
          <w:rFonts w:hint="eastAsia" w:hAnsi="宋体"/>
          <w:b/>
          <w:sz w:val="24"/>
          <w:szCs w:val="24"/>
          <w:highlight w:val="none"/>
        </w:rPr>
        <w:t xml:space="preserve"> </w:t>
      </w:r>
      <w:r>
        <w:rPr>
          <w:rFonts w:hint="eastAsia" w:hAnsi="宋体"/>
          <w:sz w:val="24"/>
          <w:szCs w:val="24"/>
          <w:highlight w:val="none"/>
        </w:rPr>
        <w:t xml:space="preserve"> </w:t>
      </w:r>
      <w:r>
        <w:rPr>
          <w:rFonts w:hint="eastAsia" w:ascii="宋体" w:hAnsi="宋体"/>
          <w:sz w:val="24"/>
          <w:szCs w:val="24"/>
          <w:highlight w:val="none"/>
          <w:lang w:eastAsia="zh-CN"/>
        </w:rPr>
        <w:t>供应商</w:t>
      </w:r>
      <w:r>
        <w:rPr>
          <w:rFonts w:hint="eastAsia" w:ascii="宋体" w:hAnsi="宋体"/>
          <w:sz w:val="24"/>
          <w:szCs w:val="24"/>
          <w:highlight w:val="none"/>
        </w:rPr>
        <w:t>认为有必要提供的其他文件</w:t>
      </w:r>
      <w:r>
        <w:rPr>
          <w:rFonts w:hint="eastAsia"/>
          <w:b/>
          <w:sz w:val="24"/>
          <w:szCs w:val="24"/>
          <w:highlight w:val="none"/>
        </w:rPr>
        <w:t>（加盖</w:t>
      </w:r>
      <w:r>
        <w:rPr>
          <w:rFonts w:hint="eastAsia"/>
          <w:b/>
          <w:sz w:val="24"/>
          <w:szCs w:val="24"/>
          <w:highlight w:val="none"/>
          <w:lang w:eastAsia="zh-CN"/>
        </w:rPr>
        <w:t>供应商</w:t>
      </w:r>
      <w:r>
        <w:rPr>
          <w:rFonts w:hint="eastAsia"/>
          <w:b/>
          <w:sz w:val="24"/>
          <w:szCs w:val="24"/>
          <w:highlight w:val="none"/>
        </w:rPr>
        <w:t>单位公章）</w:t>
      </w:r>
    </w:p>
    <w:p>
      <w:pPr>
        <w:numPr>
          <w:ilvl w:val="0"/>
          <w:numId w:val="0"/>
        </w:numPr>
        <w:spacing w:line="360" w:lineRule="auto"/>
        <w:jc w:val="center"/>
        <w:rPr>
          <w:rFonts w:hint="eastAsia" w:hAnsi="宋体"/>
          <w:b/>
          <w:bCs/>
          <w:sz w:val="32"/>
          <w:szCs w:val="32"/>
          <w:highlight w:val="none"/>
        </w:rPr>
      </w:pPr>
    </w:p>
    <w:p>
      <w:pPr>
        <w:pStyle w:val="2"/>
        <w:rPr>
          <w:rFonts w:hint="eastAsia" w:hAnsi="宋体"/>
          <w:b/>
          <w:bCs/>
          <w:sz w:val="32"/>
          <w:szCs w:val="32"/>
          <w:highlight w:val="none"/>
        </w:rPr>
      </w:pPr>
    </w:p>
    <w:p>
      <w:pPr>
        <w:rPr>
          <w:rFonts w:hint="eastAsia" w:hAnsi="宋体"/>
          <w:b/>
          <w:bCs/>
          <w:sz w:val="32"/>
          <w:szCs w:val="32"/>
          <w:highlight w:val="none"/>
        </w:rPr>
      </w:pPr>
    </w:p>
    <w:p>
      <w:pPr>
        <w:pStyle w:val="2"/>
        <w:rPr>
          <w:rFonts w:hint="eastAsia" w:hAnsi="宋体"/>
          <w:b/>
          <w:bCs/>
          <w:sz w:val="32"/>
          <w:szCs w:val="32"/>
          <w:highlight w:val="none"/>
        </w:rPr>
      </w:pPr>
    </w:p>
    <w:p>
      <w:pPr>
        <w:rPr>
          <w:rFonts w:hint="eastAsia" w:hAnsi="宋体"/>
          <w:b/>
          <w:bCs/>
          <w:sz w:val="32"/>
          <w:szCs w:val="32"/>
          <w:highlight w:val="none"/>
        </w:rPr>
      </w:pPr>
    </w:p>
    <w:p>
      <w:pPr>
        <w:pStyle w:val="2"/>
        <w:rPr>
          <w:rFonts w:hint="eastAsia" w:hAnsi="宋体"/>
          <w:b/>
          <w:bCs/>
          <w:sz w:val="32"/>
          <w:szCs w:val="32"/>
          <w:highlight w:val="none"/>
        </w:rPr>
      </w:pPr>
    </w:p>
    <w:p>
      <w:pPr>
        <w:rPr>
          <w:rFonts w:hint="eastAsia" w:hAnsi="宋体"/>
          <w:b/>
          <w:bCs/>
          <w:sz w:val="32"/>
          <w:szCs w:val="32"/>
          <w:highlight w:val="none"/>
        </w:rPr>
      </w:pPr>
    </w:p>
    <w:p>
      <w:pPr>
        <w:pStyle w:val="2"/>
        <w:rPr>
          <w:rFonts w:hint="eastAsia" w:hAnsi="宋体"/>
          <w:b/>
          <w:bCs/>
          <w:sz w:val="32"/>
          <w:szCs w:val="32"/>
          <w:highlight w:val="none"/>
        </w:rPr>
      </w:pPr>
    </w:p>
    <w:p>
      <w:pPr>
        <w:rPr>
          <w:rFonts w:hint="eastAsia" w:hAnsi="宋体"/>
          <w:b/>
          <w:bCs/>
          <w:sz w:val="32"/>
          <w:szCs w:val="32"/>
          <w:highlight w:val="none"/>
        </w:rPr>
      </w:pPr>
    </w:p>
    <w:p>
      <w:pPr>
        <w:pStyle w:val="2"/>
        <w:rPr>
          <w:rFonts w:hint="eastAsia" w:hAnsi="宋体"/>
          <w:b/>
          <w:bCs/>
          <w:sz w:val="32"/>
          <w:szCs w:val="32"/>
          <w:highlight w:val="none"/>
        </w:rPr>
      </w:pPr>
    </w:p>
    <w:p>
      <w:pPr>
        <w:rPr>
          <w:rFonts w:hint="eastAsia" w:hAnsi="宋体"/>
          <w:b/>
          <w:bCs/>
          <w:sz w:val="32"/>
          <w:szCs w:val="32"/>
          <w:highlight w:val="none"/>
        </w:rPr>
      </w:pPr>
    </w:p>
    <w:p>
      <w:pPr>
        <w:pStyle w:val="2"/>
        <w:rPr>
          <w:rFonts w:hint="eastAsia" w:hAnsi="宋体"/>
          <w:b/>
          <w:bCs/>
          <w:sz w:val="32"/>
          <w:szCs w:val="32"/>
          <w:highlight w:val="none"/>
        </w:rPr>
      </w:pPr>
    </w:p>
    <w:p>
      <w:pPr>
        <w:rPr>
          <w:rFonts w:hint="eastAsia" w:hAnsi="宋体"/>
          <w:b/>
          <w:bCs/>
          <w:sz w:val="32"/>
          <w:szCs w:val="32"/>
          <w:highlight w:val="none"/>
        </w:rPr>
      </w:pPr>
    </w:p>
    <w:p>
      <w:pPr>
        <w:pStyle w:val="2"/>
        <w:rPr>
          <w:rFonts w:hint="eastAsia" w:hAnsi="宋体"/>
          <w:b/>
          <w:bCs/>
          <w:sz w:val="32"/>
          <w:szCs w:val="32"/>
          <w:highlight w:val="none"/>
        </w:rPr>
      </w:pPr>
    </w:p>
    <w:p>
      <w:pPr>
        <w:rPr>
          <w:rFonts w:hint="eastAsia" w:hAnsi="宋体"/>
          <w:b/>
          <w:bCs/>
          <w:sz w:val="32"/>
          <w:szCs w:val="32"/>
          <w:highlight w:val="none"/>
        </w:rPr>
      </w:pPr>
    </w:p>
    <w:p>
      <w:pPr>
        <w:pStyle w:val="2"/>
        <w:rPr>
          <w:rFonts w:hint="eastAsia"/>
        </w:rPr>
      </w:pPr>
    </w:p>
    <w:p>
      <w:pPr>
        <w:numPr>
          <w:ilvl w:val="0"/>
          <w:numId w:val="0"/>
        </w:numPr>
        <w:spacing w:line="360" w:lineRule="auto"/>
        <w:jc w:val="center"/>
        <w:rPr>
          <w:rFonts w:hint="eastAsia" w:hAnsi="宋体"/>
          <w:sz w:val="32"/>
          <w:szCs w:val="32"/>
          <w:highlight w:val="none"/>
          <w:lang w:val="en-US" w:eastAsia="zh-CN"/>
        </w:rPr>
      </w:pPr>
      <w:r>
        <w:rPr>
          <w:rFonts w:hint="eastAsia" w:hAnsi="宋体"/>
          <w:b/>
          <w:bCs/>
          <w:sz w:val="32"/>
          <w:szCs w:val="32"/>
          <w:highlight w:val="none"/>
        </w:rPr>
        <w:t>第</w:t>
      </w:r>
      <w:r>
        <w:rPr>
          <w:rFonts w:hint="eastAsia" w:hAnsi="宋体"/>
          <w:b/>
          <w:bCs/>
          <w:sz w:val="32"/>
          <w:szCs w:val="32"/>
          <w:highlight w:val="none"/>
          <w:lang w:eastAsia="zh-CN"/>
        </w:rPr>
        <w:t>五</w:t>
      </w:r>
      <w:r>
        <w:rPr>
          <w:rFonts w:hint="eastAsia" w:hAnsi="宋体"/>
          <w:b/>
          <w:bCs/>
          <w:sz w:val="32"/>
          <w:szCs w:val="32"/>
          <w:highlight w:val="none"/>
        </w:rPr>
        <w:t>部分</w:t>
      </w:r>
      <w:r>
        <w:rPr>
          <w:rFonts w:hint="eastAsia" w:hAnsi="宋体"/>
          <w:b/>
          <w:bCs/>
          <w:sz w:val="32"/>
          <w:szCs w:val="32"/>
          <w:highlight w:val="none"/>
          <w:lang w:val="en-US" w:eastAsia="zh-CN"/>
        </w:rPr>
        <w:t xml:space="preserve">   评审办法</w:t>
      </w:r>
    </w:p>
    <w:p>
      <w:pPr>
        <w:pStyle w:val="47"/>
        <w:spacing w:line="560" w:lineRule="exact"/>
        <w:ind w:firstLine="482"/>
        <w:rPr>
          <w:rFonts w:hint="eastAsia" w:ascii="宋体" w:hAnsi="宋体" w:cs="仿宋"/>
          <w:b/>
        </w:rPr>
      </w:pPr>
      <w:r>
        <w:rPr>
          <w:rFonts w:hint="eastAsia" w:ascii="宋体" w:hAnsi="宋体" w:cs="仿宋"/>
          <w:b/>
          <w:lang w:eastAsia="zh-CN"/>
        </w:rPr>
        <w:t>一</w:t>
      </w:r>
      <w:r>
        <w:rPr>
          <w:rFonts w:hint="eastAsia" w:ascii="宋体" w:hAnsi="宋体" w:cs="仿宋"/>
          <w:b/>
        </w:rPr>
        <w:t>、评审程序</w:t>
      </w:r>
    </w:p>
    <w:p>
      <w:pPr>
        <w:pStyle w:val="47"/>
        <w:spacing w:line="560" w:lineRule="exact"/>
        <w:ind w:firstLine="482"/>
        <w:rPr>
          <w:rFonts w:hint="eastAsia" w:ascii="宋体" w:hAnsi="宋体" w:cs="仿宋"/>
          <w:b/>
        </w:rPr>
      </w:pPr>
      <w:r>
        <w:rPr>
          <w:rFonts w:hint="eastAsia" w:ascii="宋体" w:hAnsi="宋体" w:cs="仿宋"/>
          <w:b/>
        </w:rPr>
        <w:t>（一）资格审查和符合性审查</w:t>
      </w:r>
    </w:p>
    <w:p>
      <w:pPr>
        <w:pStyle w:val="47"/>
        <w:spacing w:line="560" w:lineRule="exact"/>
        <w:ind w:firstLine="480"/>
        <w:rPr>
          <w:rFonts w:hint="eastAsia" w:ascii="宋体" w:hAnsi="宋体" w:cs="仿宋"/>
          <w:bCs/>
        </w:rPr>
      </w:pPr>
      <w:r>
        <w:rPr>
          <w:rFonts w:hint="eastAsia" w:ascii="宋体" w:hAnsi="宋体" w:cs="仿宋"/>
          <w:bCs/>
        </w:rPr>
        <w:t>按照</w:t>
      </w:r>
      <w:r>
        <w:rPr>
          <w:rFonts w:hint="eastAsia" w:ascii="宋体" w:hAnsi="宋体" w:cs="仿宋"/>
          <w:bCs/>
          <w:lang w:eastAsia="zh-CN"/>
        </w:rPr>
        <w:t>竞争性磋商</w:t>
      </w:r>
      <w:r>
        <w:rPr>
          <w:rFonts w:hint="eastAsia" w:ascii="宋体" w:hAnsi="宋体" w:cs="仿宋"/>
          <w:bCs/>
        </w:rPr>
        <w:t>文件的规定，对</w:t>
      </w:r>
      <w:r>
        <w:rPr>
          <w:rFonts w:hint="eastAsia" w:ascii="宋体" w:hAnsi="宋体" w:cs="仿宋"/>
          <w:bCs/>
          <w:lang w:eastAsia="zh-CN"/>
        </w:rPr>
        <w:t>供应商递交的响应文件</w:t>
      </w:r>
      <w:r>
        <w:rPr>
          <w:rFonts w:hint="eastAsia" w:ascii="宋体" w:hAnsi="宋体" w:cs="仿宋"/>
          <w:bCs/>
        </w:rPr>
        <w:t>进行资格审查（附表1）和符合性审查（附表2）审查。</w:t>
      </w:r>
    </w:p>
    <w:p>
      <w:pPr>
        <w:pStyle w:val="47"/>
        <w:spacing w:line="560" w:lineRule="exact"/>
        <w:ind w:firstLine="482"/>
        <w:rPr>
          <w:rFonts w:hint="eastAsia" w:ascii="宋体" w:hAnsi="宋体" w:cs="仿宋"/>
          <w:b/>
        </w:rPr>
      </w:pPr>
      <w:r>
        <w:rPr>
          <w:rFonts w:hint="eastAsia" w:ascii="宋体" w:hAnsi="宋体" w:cs="仿宋"/>
          <w:b/>
        </w:rPr>
        <w:t>附表1</w:t>
      </w:r>
    </w:p>
    <w:tbl>
      <w:tblPr>
        <w:tblStyle w:val="56"/>
        <w:tblW w:w="9102" w:type="dxa"/>
        <w:jc w:val="center"/>
        <w:tblInd w:w="0" w:type="dxa"/>
        <w:tblLayout w:type="fixed"/>
        <w:tblCellMar>
          <w:top w:w="15" w:type="dxa"/>
          <w:left w:w="15" w:type="dxa"/>
          <w:bottom w:w="15" w:type="dxa"/>
          <w:right w:w="15" w:type="dxa"/>
        </w:tblCellMar>
      </w:tblPr>
      <w:tblGrid>
        <w:gridCol w:w="459"/>
        <w:gridCol w:w="3086"/>
        <w:gridCol w:w="4739"/>
        <w:gridCol w:w="818"/>
      </w:tblGrid>
      <w:tr>
        <w:tblPrEx>
          <w:tblLayout w:type="fixed"/>
          <w:tblCellMar>
            <w:top w:w="15" w:type="dxa"/>
            <w:left w:w="15" w:type="dxa"/>
            <w:bottom w:w="15" w:type="dxa"/>
            <w:right w:w="15" w:type="dxa"/>
          </w:tblCellMar>
        </w:tblPrEx>
        <w:trPr>
          <w:trHeight w:val="375" w:hRule="atLeast"/>
          <w:jc w:val="center"/>
        </w:trPr>
        <w:tc>
          <w:tcPr>
            <w:tcW w:w="8284" w:type="dxa"/>
            <w:gridSpan w:val="3"/>
            <w:vAlign w:val="center"/>
          </w:tcPr>
          <w:p>
            <w:pPr>
              <w:widowControl/>
              <w:jc w:val="center"/>
              <w:textAlignment w:val="center"/>
              <w:rPr>
                <w:rFonts w:hint="eastAsia" w:ascii="宋体" w:hAnsi="宋体" w:cs="宋体"/>
                <w:color w:val="000000"/>
                <w:sz w:val="24"/>
                <w:szCs w:val="24"/>
              </w:rPr>
            </w:pPr>
            <w:r>
              <w:rPr>
                <w:rFonts w:hint="eastAsia" w:ascii="宋体" w:hAnsi="宋体" w:cs="宋体"/>
                <w:b/>
                <w:bCs/>
                <w:color w:val="000000"/>
                <w:kern w:val="0"/>
                <w:sz w:val="24"/>
                <w:szCs w:val="24"/>
                <w:lang w:bidi="ar"/>
              </w:rPr>
              <w:t>资格审查评审表</w:t>
            </w:r>
          </w:p>
        </w:tc>
        <w:tc>
          <w:tcPr>
            <w:tcW w:w="818" w:type="dxa"/>
            <w:vAlign w:val="bottom"/>
          </w:tcPr>
          <w:p>
            <w:pPr>
              <w:rPr>
                <w:rFonts w:hint="eastAsia" w:ascii="宋体" w:hAnsi="宋体" w:cs="宋体"/>
                <w:color w:val="000000"/>
                <w:sz w:val="24"/>
                <w:szCs w:val="24"/>
              </w:rPr>
            </w:pPr>
          </w:p>
        </w:tc>
      </w:tr>
      <w:tr>
        <w:tblPrEx>
          <w:tblLayout w:type="fixed"/>
          <w:tblCellMar>
            <w:top w:w="15" w:type="dxa"/>
            <w:left w:w="15" w:type="dxa"/>
            <w:bottom w:w="15" w:type="dxa"/>
            <w:right w:w="15" w:type="dxa"/>
          </w:tblCellMar>
        </w:tblPrEx>
        <w:trPr>
          <w:trHeight w:val="495" w:hRule="atLeast"/>
          <w:jc w:val="center"/>
        </w:trPr>
        <w:tc>
          <w:tcPr>
            <w:tcW w:w="45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000000"/>
                <w:sz w:val="24"/>
                <w:szCs w:val="24"/>
              </w:rPr>
            </w:pPr>
            <w:r>
              <w:rPr>
                <w:rFonts w:hint="eastAsia" w:ascii="宋体" w:hAnsi="宋体" w:cs="宋体"/>
                <w:b/>
                <w:color w:val="000000"/>
                <w:kern w:val="0"/>
                <w:sz w:val="24"/>
                <w:szCs w:val="24"/>
                <w:lang w:bidi="ar"/>
              </w:rPr>
              <w:t>序号</w:t>
            </w:r>
          </w:p>
        </w:tc>
        <w:tc>
          <w:tcPr>
            <w:tcW w:w="3086" w:type="dxa"/>
            <w:tcBorders>
              <w:top w:val="single" w:color="000000" w:sz="4" w:space="0"/>
              <w:left w:val="single" w:color="000000" w:sz="4" w:space="0"/>
              <w:bottom w:val="single" w:color="000000" w:sz="4" w:space="0"/>
            </w:tcBorders>
            <w:vAlign w:val="center"/>
          </w:tcPr>
          <w:p>
            <w:pPr>
              <w:widowControl/>
              <w:jc w:val="center"/>
              <w:textAlignment w:val="center"/>
              <w:rPr>
                <w:rFonts w:hint="eastAsia" w:ascii="宋体" w:hAnsi="宋体" w:cs="宋体"/>
                <w:b/>
                <w:color w:val="000000"/>
                <w:sz w:val="24"/>
                <w:szCs w:val="24"/>
              </w:rPr>
            </w:pPr>
            <w:r>
              <w:rPr>
                <w:rFonts w:hint="eastAsia" w:ascii="宋体" w:hAnsi="宋体" w:cs="宋体"/>
                <w:b/>
                <w:color w:val="000000"/>
                <w:kern w:val="0"/>
                <w:sz w:val="24"/>
                <w:szCs w:val="24"/>
                <w:lang w:bidi="ar"/>
              </w:rPr>
              <w:t>资格条件</w:t>
            </w:r>
          </w:p>
        </w:tc>
        <w:tc>
          <w:tcPr>
            <w:tcW w:w="473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000000"/>
                <w:sz w:val="24"/>
                <w:szCs w:val="24"/>
              </w:rPr>
            </w:pPr>
            <w:r>
              <w:rPr>
                <w:rFonts w:hint="eastAsia" w:ascii="宋体" w:hAnsi="宋体" w:cs="宋体"/>
                <w:b/>
                <w:color w:val="000000"/>
                <w:kern w:val="0"/>
                <w:sz w:val="24"/>
                <w:szCs w:val="24"/>
                <w:lang w:bidi="ar"/>
              </w:rPr>
              <w:t>审查内容和审查标准</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000000"/>
                <w:sz w:val="24"/>
                <w:szCs w:val="24"/>
              </w:rPr>
            </w:pPr>
            <w:r>
              <w:rPr>
                <w:rFonts w:hint="eastAsia" w:ascii="宋体" w:hAnsi="宋体" w:cs="宋体"/>
                <w:b/>
                <w:color w:val="000000"/>
                <w:kern w:val="0"/>
                <w:sz w:val="24"/>
                <w:szCs w:val="24"/>
                <w:lang w:bidi="ar"/>
              </w:rPr>
              <w:t>结论</w:t>
            </w:r>
          </w:p>
        </w:tc>
      </w:tr>
      <w:tr>
        <w:tblPrEx>
          <w:tblLayout w:type="fixed"/>
          <w:tblCellMar>
            <w:top w:w="15" w:type="dxa"/>
            <w:left w:w="15" w:type="dxa"/>
            <w:bottom w:w="15" w:type="dxa"/>
            <w:right w:w="15" w:type="dxa"/>
          </w:tblCellMar>
        </w:tblPrEx>
        <w:trPr>
          <w:trHeight w:val="540" w:hRule="atLeast"/>
          <w:jc w:val="center"/>
        </w:trPr>
        <w:tc>
          <w:tcPr>
            <w:tcW w:w="45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1</w:t>
            </w:r>
          </w:p>
        </w:tc>
        <w:tc>
          <w:tcPr>
            <w:tcW w:w="3086" w:type="dxa"/>
            <w:tcBorders>
              <w:top w:val="single" w:color="000000" w:sz="4" w:space="0"/>
              <w:left w:val="single" w:color="000000" w:sz="4" w:space="0"/>
              <w:bottom w:val="single" w:color="000000" w:sz="4" w:space="0"/>
            </w:tcBorders>
            <w:vAlign w:val="center"/>
          </w:tcPr>
          <w:p>
            <w:pPr>
              <w:widowControl/>
              <w:jc w:val="center"/>
              <w:textAlignment w:val="center"/>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营业执照</w:t>
            </w:r>
          </w:p>
        </w:tc>
        <w:tc>
          <w:tcPr>
            <w:tcW w:w="473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在中华人民共和国境内注册，能够独立承担民事责任的法人或其他组织</w:t>
            </w:r>
            <w:r>
              <w:rPr>
                <w:rFonts w:hint="eastAsia" w:ascii="宋体" w:hAnsi="宋体" w:cs="宋体"/>
                <w:color w:val="000000"/>
                <w:kern w:val="0"/>
                <w:sz w:val="24"/>
                <w:szCs w:val="24"/>
                <w:lang w:eastAsia="zh-CN" w:bidi="ar"/>
              </w:rPr>
              <w:t>。</w:t>
            </w:r>
            <w:r>
              <w:rPr>
                <w:rFonts w:hint="eastAsia" w:ascii="宋体" w:hAnsi="宋体" w:cs="宋体"/>
                <w:color w:val="000000"/>
                <w:kern w:val="0"/>
                <w:sz w:val="24"/>
                <w:szCs w:val="24"/>
                <w:lang w:bidi="ar"/>
              </w:rPr>
              <w:t>有效的营业执照副本复印件并加盖公章。</w:t>
            </w:r>
          </w:p>
        </w:tc>
        <w:tc>
          <w:tcPr>
            <w:tcW w:w="818"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000000"/>
                <w:sz w:val="24"/>
                <w:szCs w:val="24"/>
              </w:rPr>
            </w:pPr>
          </w:p>
        </w:tc>
      </w:tr>
      <w:tr>
        <w:tblPrEx>
          <w:tblLayout w:type="fixed"/>
          <w:tblCellMar>
            <w:top w:w="15" w:type="dxa"/>
            <w:left w:w="15" w:type="dxa"/>
            <w:bottom w:w="15" w:type="dxa"/>
            <w:right w:w="15" w:type="dxa"/>
          </w:tblCellMar>
        </w:tblPrEx>
        <w:trPr>
          <w:trHeight w:val="495" w:hRule="atLeast"/>
          <w:jc w:val="center"/>
        </w:trPr>
        <w:tc>
          <w:tcPr>
            <w:tcW w:w="45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4"/>
                <w:szCs w:val="24"/>
                <w:lang w:eastAsia="zh-CN"/>
              </w:rPr>
            </w:pPr>
            <w:r>
              <w:rPr>
                <w:rFonts w:hint="eastAsia" w:ascii="宋体" w:hAnsi="宋体" w:cs="宋体"/>
                <w:color w:val="000000"/>
                <w:kern w:val="0"/>
                <w:sz w:val="24"/>
                <w:szCs w:val="24"/>
                <w:lang w:val="en-US" w:eastAsia="zh-CN" w:bidi="ar"/>
              </w:rPr>
              <w:t>2</w:t>
            </w:r>
          </w:p>
        </w:tc>
        <w:tc>
          <w:tcPr>
            <w:tcW w:w="3086" w:type="dxa"/>
            <w:tcBorders>
              <w:top w:val="single" w:color="000000" w:sz="4" w:space="0"/>
              <w:left w:val="single" w:color="000000" w:sz="4" w:space="0"/>
              <w:bottom w:val="single" w:color="000000" w:sz="4" w:space="0"/>
            </w:tcBorders>
            <w:vAlign w:val="center"/>
          </w:tcPr>
          <w:p>
            <w:pPr>
              <w:pStyle w:val="5"/>
              <w:jc w:val="center"/>
              <w:rPr>
                <w:rFonts w:hint="eastAsia" w:ascii="宋体" w:hAnsi="宋体" w:cs="宋体"/>
                <w:color w:val="000000"/>
                <w:sz w:val="24"/>
                <w:szCs w:val="24"/>
              </w:rPr>
            </w:pPr>
            <w:r>
              <w:rPr>
                <w:rFonts w:hint="eastAsia" w:ascii="宋体" w:hAnsi="宋体"/>
                <w:b w:val="0"/>
                <w:bCs/>
                <w:color w:val="auto"/>
                <w:sz w:val="24"/>
                <w:u w:val="none"/>
              </w:rPr>
              <w:t>投标人资格条件承诺书</w:t>
            </w:r>
          </w:p>
        </w:tc>
        <w:tc>
          <w:tcPr>
            <w:tcW w:w="473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24"/>
                <w:szCs w:val="24"/>
              </w:rPr>
            </w:pPr>
            <w:r>
              <w:rPr>
                <w:rFonts w:hint="eastAsia" w:ascii="宋体" w:hAnsi="宋体" w:cs="宋体"/>
                <w:color w:val="000000"/>
                <w:kern w:val="0"/>
                <w:sz w:val="24"/>
                <w:szCs w:val="24"/>
                <w:lang w:eastAsia="zh-CN" w:bidi="ar"/>
              </w:rPr>
              <w:t>供应商按磋商文件格式要求提供并加盖公章。</w:t>
            </w:r>
          </w:p>
        </w:tc>
        <w:tc>
          <w:tcPr>
            <w:tcW w:w="818"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000000"/>
                <w:sz w:val="24"/>
                <w:szCs w:val="24"/>
              </w:rPr>
            </w:pPr>
          </w:p>
        </w:tc>
      </w:tr>
      <w:tr>
        <w:tblPrEx>
          <w:tblLayout w:type="fixed"/>
          <w:tblCellMar>
            <w:top w:w="15" w:type="dxa"/>
            <w:left w:w="15" w:type="dxa"/>
            <w:bottom w:w="15" w:type="dxa"/>
            <w:right w:w="15" w:type="dxa"/>
          </w:tblCellMar>
        </w:tblPrEx>
        <w:trPr>
          <w:trHeight w:val="271" w:hRule="atLeast"/>
          <w:jc w:val="center"/>
        </w:trPr>
        <w:tc>
          <w:tcPr>
            <w:tcW w:w="45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kern w:val="0"/>
                <w:sz w:val="24"/>
                <w:szCs w:val="24"/>
                <w:lang w:eastAsia="zh-CN" w:bidi="ar"/>
              </w:rPr>
            </w:pPr>
            <w:r>
              <w:rPr>
                <w:rFonts w:hint="eastAsia" w:ascii="宋体" w:hAnsi="宋体" w:cs="宋体"/>
                <w:color w:val="000000"/>
                <w:kern w:val="0"/>
                <w:sz w:val="24"/>
                <w:szCs w:val="24"/>
                <w:lang w:val="en-US" w:eastAsia="zh-CN" w:bidi="ar"/>
              </w:rPr>
              <w:t>3</w:t>
            </w:r>
          </w:p>
        </w:tc>
        <w:tc>
          <w:tcPr>
            <w:tcW w:w="3086" w:type="dxa"/>
            <w:tcBorders>
              <w:top w:val="single" w:color="000000" w:sz="4" w:space="0"/>
              <w:left w:val="single" w:color="000000" w:sz="4" w:space="0"/>
              <w:bottom w:val="single" w:color="000000" w:sz="4" w:space="0"/>
            </w:tcBorders>
            <w:vAlign w:val="center"/>
          </w:tcPr>
          <w:p>
            <w:pPr>
              <w:widowControl/>
              <w:jc w:val="center"/>
              <w:textAlignment w:val="center"/>
              <w:rPr>
                <w:rFonts w:hint="eastAsia" w:ascii="宋体" w:hAnsi="宋体" w:cs="宋体"/>
                <w:color w:val="000000"/>
                <w:kern w:val="0"/>
                <w:sz w:val="24"/>
                <w:szCs w:val="24"/>
                <w:lang w:bidi="ar"/>
              </w:rPr>
            </w:pPr>
            <w:r>
              <w:rPr>
                <w:rFonts w:hint="eastAsia" w:ascii="宋体" w:hAnsi="宋体" w:cs="宋体"/>
                <w:bCs/>
                <w:kern w:val="0"/>
                <w:sz w:val="24"/>
                <w:szCs w:val="24"/>
                <w:lang w:bidi="ar"/>
              </w:rPr>
              <w:t>信用记录查询</w:t>
            </w:r>
          </w:p>
        </w:tc>
        <w:tc>
          <w:tcPr>
            <w:tcW w:w="473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eastAsia="zh-CN" w:bidi="ar"/>
              </w:rPr>
              <w:t>供应商</w:t>
            </w:r>
            <w:r>
              <w:rPr>
                <w:rFonts w:hint="eastAsia" w:ascii="宋体" w:hAnsi="宋体" w:cs="宋体"/>
                <w:color w:val="auto"/>
                <w:kern w:val="0"/>
                <w:sz w:val="24"/>
                <w:szCs w:val="24"/>
                <w:lang w:bidi="ar"/>
              </w:rPr>
              <w:t>未被“ 信用中国” 网站（www.creditchina.gov.cn）及中国政府采购网（www.ccgp.gov.cn）列入“失信被执行人”、“重大税收违法案件当事人名单”、“政府采购严重违法失信行为记录名单”且符合《中华人民共和国政府采购法》第二十二条的规定条件。</w:t>
            </w:r>
          </w:p>
        </w:tc>
        <w:tc>
          <w:tcPr>
            <w:tcW w:w="818"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000000"/>
                <w:sz w:val="24"/>
                <w:szCs w:val="24"/>
              </w:rPr>
            </w:pPr>
          </w:p>
        </w:tc>
      </w:tr>
      <w:tr>
        <w:tblPrEx>
          <w:tblLayout w:type="fixed"/>
          <w:tblCellMar>
            <w:top w:w="15" w:type="dxa"/>
            <w:left w:w="15" w:type="dxa"/>
            <w:bottom w:w="15" w:type="dxa"/>
            <w:right w:w="15" w:type="dxa"/>
          </w:tblCellMar>
        </w:tblPrEx>
        <w:trPr>
          <w:trHeight w:val="271" w:hRule="atLeast"/>
          <w:jc w:val="center"/>
        </w:trPr>
        <w:tc>
          <w:tcPr>
            <w:tcW w:w="45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4</w:t>
            </w:r>
          </w:p>
        </w:tc>
        <w:tc>
          <w:tcPr>
            <w:tcW w:w="3086" w:type="dxa"/>
            <w:tcBorders>
              <w:top w:val="single" w:color="000000" w:sz="4" w:space="0"/>
              <w:left w:val="single" w:color="000000" w:sz="4" w:space="0"/>
              <w:bottom w:val="single" w:color="000000" w:sz="4" w:space="0"/>
            </w:tcBorders>
            <w:vAlign w:val="center"/>
          </w:tcPr>
          <w:p>
            <w:pPr>
              <w:widowControl/>
              <w:jc w:val="center"/>
              <w:textAlignment w:val="center"/>
              <w:rPr>
                <w:rFonts w:hint="eastAsia" w:ascii="宋体" w:hAnsi="宋体" w:eastAsia="宋体" w:cs="宋体"/>
                <w:bCs/>
                <w:kern w:val="0"/>
                <w:sz w:val="24"/>
                <w:szCs w:val="24"/>
                <w:highlight w:val="none"/>
                <w:lang w:eastAsia="zh-CN" w:bidi="ar"/>
              </w:rPr>
            </w:pPr>
            <w:r>
              <w:rPr>
                <w:rFonts w:hint="eastAsia" w:ascii="宋体" w:hAnsi="宋体" w:cs="宋体"/>
                <w:bCs/>
                <w:kern w:val="0"/>
                <w:sz w:val="24"/>
                <w:szCs w:val="24"/>
                <w:highlight w:val="none"/>
                <w:lang w:eastAsia="zh-CN" w:bidi="ar"/>
              </w:rPr>
              <w:t>企业类型</w:t>
            </w:r>
          </w:p>
        </w:tc>
        <w:tc>
          <w:tcPr>
            <w:tcW w:w="473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highlight w:val="none"/>
                <w:lang w:eastAsia="zh-CN" w:bidi="ar"/>
              </w:rPr>
            </w:pPr>
            <w:r>
              <w:rPr>
                <w:rFonts w:hint="eastAsia" w:ascii="宋体" w:hAnsi="宋体" w:cs="宋体"/>
                <w:color w:val="auto"/>
                <w:kern w:val="0"/>
                <w:sz w:val="24"/>
                <w:szCs w:val="24"/>
                <w:highlight w:val="none"/>
                <w:lang w:eastAsia="zh-CN" w:bidi="ar"/>
              </w:rPr>
              <w:t>本项目第五包为专门面向中小企业采购，第六包至第十一包为专门面向小微企业采购。</w:t>
            </w:r>
          </w:p>
        </w:tc>
        <w:tc>
          <w:tcPr>
            <w:tcW w:w="818"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000000"/>
                <w:sz w:val="24"/>
                <w:szCs w:val="24"/>
              </w:rPr>
            </w:pPr>
          </w:p>
        </w:tc>
      </w:tr>
    </w:tbl>
    <w:p>
      <w:pPr>
        <w:pStyle w:val="47"/>
        <w:spacing w:line="560" w:lineRule="exact"/>
        <w:ind w:firstLine="482"/>
        <w:rPr>
          <w:rFonts w:hint="eastAsia" w:ascii="宋体" w:hAnsi="宋体" w:cs="仿宋"/>
          <w:b/>
        </w:rPr>
      </w:pPr>
      <w:r>
        <w:rPr>
          <w:rFonts w:hint="eastAsia" w:ascii="宋体" w:hAnsi="宋体" w:cs="仿宋"/>
          <w:b/>
        </w:rPr>
        <w:t>附表2</w:t>
      </w:r>
    </w:p>
    <w:tbl>
      <w:tblPr>
        <w:tblStyle w:val="56"/>
        <w:tblW w:w="9102" w:type="dxa"/>
        <w:jc w:val="center"/>
        <w:tblInd w:w="0" w:type="dxa"/>
        <w:tblLayout w:type="fixed"/>
        <w:tblCellMar>
          <w:top w:w="15" w:type="dxa"/>
          <w:left w:w="15" w:type="dxa"/>
          <w:bottom w:w="15" w:type="dxa"/>
          <w:right w:w="15" w:type="dxa"/>
        </w:tblCellMar>
      </w:tblPr>
      <w:tblGrid>
        <w:gridCol w:w="1032"/>
        <w:gridCol w:w="7253"/>
        <w:gridCol w:w="817"/>
      </w:tblGrid>
      <w:tr>
        <w:tblPrEx>
          <w:tblLayout w:type="fixed"/>
          <w:tblCellMar>
            <w:top w:w="15" w:type="dxa"/>
            <w:left w:w="15" w:type="dxa"/>
            <w:bottom w:w="15" w:type="dxa"/>
            <w:right w:w="15" w:type="dxa"/>
          </w:tblCellMar>
        </w:tblPrEx>
        <w:trPr>
          <w:trHeight w:val="375" w:hRule="atLeast"/>
          <w:jc w:val="center"/>
        </w:trPr>
        <w:tc>
          <w:tcPr>
            <w:tcW w:w="8285" w:type="dxa"/>
            <w:gridSpan w:val="2"/>
            <w:vAlign w:val="bottom"/>
          </w:tcPr>
          <w:p>
            <w:pPr>
              <w:widowControl/>
              <w:jc w:val="center"/>
              <w:textAlignment w:val="bottom"/>
              <w:rPr>
                <w:rFonts w:hint="eastAsia" w:ascii="宋体" w:hAnsi="宋体" w:cs="宋体"/>
                <w:color w:val="000000"/>
                <w:sz w:val="28"/>
                <w:szCs w:val="28"/>
              </w:rPr>
            </w:pPr>
            <w:r>
              <w:rPr>
                <w:rFonts w:hint="eastAsia" w:ascii="宋体" w:hAnsi="宋体" w:cs="宋体"/>
                <w:b/>
                <w:bCs/>
                <w:color w:val="000000"/>
                <w:kern w:val="0"/>
                <w:sz w:val="24"/>
                <w:szCs w:val="24"/>
                <w:lang w:bidi="ar"/>
              </w:rPr>
              <w:t>符合性审查表</w:t>
            </w:r>
          </w:p>
        </w:tc>
        <w:tc>
          <w:tcPr>
            <w:tcW w:w="817" w:type="dxa"/>
            <w:vAlign w:val="bottom"/>
          </w:tcPr>
          <w:p>
            <w:pPr>
              <w:rPr>
                <w:rFonts w:hint="eastAsia" w:ascii="宋体" w:hAnsi="宋体" w:cs="宋体"/>
                <w:color w:val="000000"/>
                <w:sz w:val="22"/>
                <w:szCs w:val="22"/>
              </w:rPr>
            </w:pPr>
          </w:p>
        </w:tc>
      </w:tr>
      <w:tr>
        <w:tblPrEx>
          <w:tblLayout w:type="fixed"/>
          <w:tblCellMar>
            <w:top w:w="15" w:type="dxa"/>
            <w:left w:w="15" w:type="dxa"/>
            <w:bottom w:w="15" w:type="dxa"/>
            <w:right w:w="15" w:type="dxa"/>
          </w:tblCellMar>
        </w:tblPrEx>
        <w:trPr>
          <w:trHeight w:val="420" w:hRule="atLeast"/>
          <w:jc w:val="center"/>
        </w:trPr>
        <w:tc>
          <w:tcPr>
            <w:tcW w:w="1032"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000000"/>
                <w:sz w:val="24"/>
                <w:szCs w:val="24"/>
              </w:rPr>
            </w:pPr>
            <w:r>
              <w:rPr>
                <w:rFonts w:hint="eastAsia" w:ascii="宋体" w:hAnsi="宋体" w:cs="宋体"/>
                <w:b/>
                <w:color w:val="000000"/>
                <w:kern w:val="0"/>
                <w:sz w:val="24"/>
                <w:szCs w:val="24"/>
                <w:lang w:bidi="ar"/>
              </w:rPr>
              <w:t>序号</w:t>
            </w:r>
          </w:p>
        </w:tc>
        <w:tc>
          <w:tcPr>
            <w:tcW w:w="7253"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000000"/>
                <w:sz w:val="24"/>
                <w:szCs w:val="24"/>
              </w:rPr>
            </w:pPr>
            <w:r>
              <w:rPr>
                <w:rFonts w:hint="eastAsia" w:ascii="宋体" w:hAnsi="宋体" w:cs="宋体"/>
                <w:b/>
                <w:color w:val="000000"/>
                <w:kern w:val="0"/>
                <w:sz w:val="24"/>
                <w:szCs w:val="24"/>
                <w:lang w:bidi="ar"/>
              </w:rPr>
              <w:t>检查项目</w:t>
            </w:r>
          </w:p>
        </w:tc>
        <w:tc>
          <w:tcPr>
            <w:tcW w:w="817"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000000"/>
                <w:sz w:val="24"/>
                <w:szCs w:val="24"/>
              </w:rPr>
            </w:pPr>
            <w:r>
              <w:rPr>
                <w:rFonts w:hint="eastAsia" w:ascii="宋体" w:hAnsi="宋体" w:cs="宋体"/>
                <w:b/>
                <w:color w:val="000000"/>
                <w:kern w:val="0"/>
                <w:sz w:val="24"/>
                <w:szCs w:val="24"/>
                <w:lang w:bidi="ar"/>
              </w:rPr>
              <w:t>结论</w:t>
            </w:r>
          </w:p>
        </w:tc>
      </w:tr>
      <w:tr>
        <w:tblPrEx>
          <w:tblLayout w:type="fixed"/>
          <w:tblCellMar>
            <w:top w:w="15" w:type="dxa"/>
            <w:left w:w="15" w:type="dxa"/>
            <w:bottom w:w="15" w:type="dxa"/>
            <w:right w:w="15" w:type="dxa"/>
          </w:tblCellMar>
        </w:tblPrEx>
        <w:trPr>
          <w:trHeight w:val="570" w:hRule="atLeast"/>
          <w:jc w:val="center"/>
        </w:trPr>
        <w:tc>
          <w:tcPr>
            <w:tcW w:w="103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1</w:t>
            </w:r>
          </w:p>
        </w:tc>
        <w:tc>
          <w:tcPr>
            <w:tcW w:w="725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按照</w:t>
            </w:r>
            <w:r>
              <w:rPr>
                <w:rFonts w:hint="eastAsia" w:ascii="宋体" w:hAnsi="宋体" w:cs="宋体"/>
                <w:color w:val="000000"/>
                <w:kern w:val="0"/>
                <w:sz w:val="24"/>
                <w:szCs w:val="24"/>
                <w:lang w:eastAsia="zh-CN" w:bidi="ar"/>
              </w:rPr>
              <w:t>磋商</w:t>
            </w:r>
            <w:r>
              <w:rPr>
                <w:rFonts w:hint="eastAsia" w:ascii="宋体" w:hAnsi="宋体" w:cs="宋体"/>
                <w:color w:val="000000"/>
                <w:kern w:val="0"/>
                <w:sz w:val="24"/>
                <w:szCs w:val="24"/>
                <w:lang w:bidi="ar"/>
              </w:rPr>
              <w:t>文件规定格式制作</w:t>
            </w:r>
            <w:r>
              <w:rPr>
                <w:rFonts w:hint="eastAsia" w:ascii="宋体" w:hAnsi="宋体" w:cs="宋体"/>
                <w:color w:val="000000"/>
                <w:kern w:val="0"/>
                <w:sz w:val="24"/>
                <w:szCs w:val="24"/>
                <w:lang w:eastAsia="zh-CN" w:bidi="ar"/>
              </w:rPr>
              <w:t>签署</w:t>
            </w:r>
          </w:p>
        </w:tc>
        <w:tc>
          <w:tcPr>
            <w:tcW w:w="817"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000000"/>
                <w:sz w:val="24"/>
                <w:szCs w:val="24"/>
              </w:rPr>
            </w:pPr>
          </w:p>
        </w:tc>
      </w:tr>
      <w:tr>
        <w:tblPrEx>
          <w:tblLayout w:type="fixed"/>
          <w:tblCellMar>
            <w:top w:w="15" w:type="dxa"/>
            <w:left w:w="15" w:type="dxa"/>
            <w:bottom w:w="15" w:type="dxa"/>
            <w:right w:w="15" w:type="dxa"/>
          </w:tblCellMar>
        </w:tblPrEx>
        <w:trPr>
          <w:trHeight w:val="570" w:hRule="atLeast"/>
          <w:jc w:val="center"/>
        </w:trPr>
        <w:tc>
          <w:tcPr>
            <w:tcW w:w="103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2</w:t>
            </w:r>
          </w:p>
        </w:tc>
        <w:tc>
          <w:tcPr>
            <w:tcW w:w="725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24"/>
                <w:szCs w:val="24"/>
              </w:rPr>
            </w:pPr>
            <w:r>
              <w:rPr>
                <w:rFonts w:hint="eastAsia" w:ascii="宋体" w:hAnsi="宋体" w:cs="宋体"/>
                <w:color w:val="000000"/>
                <w:kern w:val="0"/>
                <w:sz w:val="24"/>
                <w:szCs w:val="24"/>
                <w:lang w:eastAsia="zh-CN" w:bidi="ar"/>
              </w:rPr>
              <w:t>响应文件</w:t>
            </w:r>
            <w:r>
              <w:rPr>
                <w:rFonts w:hint="eastAsia" w:ascii="宋体" w:hAnsi="宋体" w:cs="宋体"/>
                <w:color w:val="000000"/>
                <w:kern w:val="0"/>
                <w:sz w:val="24"/>
                <w:szCs w:val="24"/>
                <w:lang w:bidi="ar"/>
              </w:rPr>
              <w:t>有效期满足</w:t>
            </w:r>
            <w:r>
              <w:rPr>
                <w:rFonts w:hint="eastAsia" w:ascii="宋体" w:hAnsi="宋体" w:cs="宋体"/>
                <w:color w:val="000000"/>
                <w:kern w:val="0"/>
                <w:sz w:val="24"/>
                <w:szCs w:val="24"/>
                <w:lang w:eastAsia="zh-CN" w:bidi="ar"/>
              </w:rPr>
              <w:t>磋商</w:t>
            </w:r>
            <w:r>
              <w:rPr>
                <w:rFonts w:hint="eastAsia" w:ascii="宋体" w:hAnsi="宋体" w:cs="宋体"/>
                <w:color w:val="000000"/>
                <w:kern w:val="0"/>
                <w:sz w:val="24"/>
                <w:szCs w:val="24"/>
                <w:lang w:bidi="ar"/>
              </w:rPr>
              <w:t>文件要求</w:t>
            </w:r>
          </w:p>
        </w:tc>
        <w:tc>
          <w:tcPr>
            <w:tcW w:w="817"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000000"/>
                <w:sz w:val="24"/>
                <w:szCs w:val="24"/>
              </w:rPr>
            </w:pPr>
          </w:p>
        </w:tc>
      </w:tr>
      <w:tr>
        <w:tblPrEx>
          <w:tblLayout w:type="fixed"/>
          <w:tblCellMar>
            <w:top w:w="15" w:type="dxa"/>
            <w:left w:w="15" w:type="dxa"/>
            <w:bottom w:w="15" w:type="dxa"/>
            <w:right w:w="15" w:type="dxa"/>
          </w:tblCellMar>
        </w:tblPrEx>
        <w:trPr>
          <w:trHeight w:val="570" w:hRule="atLeast"/>
          <w:jc w:val="center"/>
        </w:trPr>
        <w:tc>
          <w:tcPr>
            <w:tcW w:w="103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3</w:t>
            </w:r>
          </w:p>
        </w:tc>
        <w:tc>
          <w:tcPr>
            <w:tcW w:w="725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按照</w:t>
            </w:r>
            <w:r>
              <w:rPr>
                <w:rFonts w:hint="eastAsia" w:ascii="宋体" w:hAnsi="宋体" w:cs="宋体"/>
                <w:color w:val="000000"/>
                <w:kern w:val="0"/>
                <w:sz w:val="24"/>
                <w:szCs w:val="24"/>
                <w:lang w:eastAsia="zh-CN" w:bidi="ar"/>
              </w:rPr>
              <w:t>磋商</w:t>
            </w:r>
            <w:r>
              <w:rPr>
                <w:rFonts w:hint="eastAsia" w:ascii="宋体" w:hAnsi="宋体" w:cs="宋体"/>
                <w:color w:val="000000"/>
                <w:kern w:val="0"/>
                <w:sz w:val="24"/>
                <w:szCs w:val="24"/>
                <w:lang w:bidi="ar"/>
              </w:rPr>
              <w:t>文件规定要求提供授权委托书</w:t>
            </w:r>
          </w:p>
        </w:tc>
        <w:tc>
          <w:tcPr>
            <w:tcW w:w="817"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000000"/>
                <w:sz w:val="24"/>
                <w:szCs w:val="24"/>
              </w:rPr>
            </w:pPr>
          </w:p>
        </w:tc>
      </w:tr>
      <w:tr>
        <w:tblPrEx>
          <w:tblLayout w:type="fixed"/>
          <w:tblCellMar>
            <w:top w:w="15" w:type="dxa"/>
            <w:left w:w="15" w:type="dxa"/>
            <w:bottom w:w="15" w:type="dxa"/>
            <w:right w:w="15" w:type="dxa"/>
          </w:tblCellMar>
        </w:tblPrEx>
        <w:trPr>
          <w:trHeight w:val="570" w:hRule="atLeast"/>
          <w:jc w:val="center"/>
        </w:trPr>
        <w:tc>
          <w:tcPr>
            <w:tcW w:w="103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4</w:t>
            </w:r>
          </w:p>
        </w:tc>
        <w:tc>
          <w:tcPr>
            <w:tcW w:w="725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24"/>
                <w:szCs w:val="24"/>
              </w:rPr>
            </w:pPr>
            <w:r>
              <w:rPr>
                <w:rFonts w:hint="eastAsia" w:ascii="宋体" w:hAnsi="宋体" w:cs="宋体"/>
                <w:color w:val="000000"/>
                <w:kern w:val="0"/>
                <w:sz w:val="24"/>
                <w:szCs w:val="24"/>
                <w:lang w:eastAsia="zh-CN" w:bidi="ar"/>
              </w:rPr>
              <w:t>实质性响应</w:t>
            </w:r>
            <w:r>
              <w:rPr>
                <w:rFonts w:hint="eastAsia" w:ascii="宋体" w:hAnsi="宋体" w:cs="宋体"/>
                <w:color w:val="000000"/>
                <w:kern w:val="0"/>
                <w:sz w:val="24"/>
                <w:szCs w:val="24"/>
                <w:lang w:bidi="ar"/>
              </w:rPr>
              <w:t>内容未出现不全或关键字迹模糊、无法辨认</w:t>
            </w:r>
          </w:p>
        </w:tc>
        <w:tc>
          <w:tcPr>
            <w:tcW w:w="817"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000000"/>
                <w:sz w:val="24"/>
                <w:szCs w:val="24"/>
              </w:rPr>
            </w:pPr>
          </w:p>
        </w:tc>
      </w:tr>
      <w:tr>
        <w:tblPrEx>
          <w:tblLayout w:type="fixed"/>
          <w:tblCellMar>
            <w:top w:w="15" w:type="dxa"/>
            <w:left w:w="15" w:type="dxa"/>
            <w:bottom w:w="15" w:type="dxa"/>
            <w:right w:w="15" w:type="dxa"/>
          </w:tblCellMar>
        </w:tblPrEx>
        <w:trPr>
          <w:trHeight w:val="570" w:hRule="atLeast"/>
          <w:jc w:val="center"/>
        </w:trPr>
        <w:tc>
          <w:tcPr>
            <w:tcW w:w="103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5</w:t>
            </w:r>
          </w:p>
        </w:tc>
        <w:tc>
          <w:tcPr>
            <w:tcW w:w="725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未以他人名义</w:t>
            </w:r>
            <w:r>
              <w:rPr>
                <w:rFonts w:hint="eastAsia" w:ascii="宋体" w:hAnsi="宋体" w:cs="宋体"/>
                <w:color w:val="000000"/>
                <w:kern w:val="0"/>
                <w:sz w:val="24"/>
                <w:szCs w:val="24"/>
                <w:lang w:eastAsia="zh-CN" w:bidi="ar"/>
              </w:rPr>
              <w:t>磋商</w:t>
            </w:r>
            <w:r>
              <w:rPr>
                <w:rFonts w:hint="eastAsia" w:ascii="宋体" w:hAnsi="宋体" w:cs="宋体"/>
                <w:color w:val="000000"/>
                <w:kern w:val="0"/>
                <w:sz w:val="24"/>
                <w:szCs w:val="24"/>
                <w:lang w:bidi="ar"/>
              </w:rPr>
              <w:t>、串通</w:t>
            </w:r>
            <w:r>
              <w:rPr>
                <w:rFonts w:hint="eastAsia" w:ascii="宋体" w:hAnsi="宋体" w:cs="宋体"/>
                <w:color w:val="000000"/>
                <w:kern w:val="0"/>
                <w:sz w:val="24"/>
                <w:szCs w:val="24"/>
                <w:lang w:eastAsia="zh-CN" w:bidi="ar"/>
              </w:rPr>
              <w:t>磋商</w:t>
            </w:r>
            <w:r>
              <w:rPr>
                <w:rFonts w:hint="eastAsia" w:ascii="宋体" w:hAnsi="宋体" w:cs="宋体"/>
                <w:color w:val="000000"/>
                <w:kern w:val="0"/>
                <w:sz w:val="24"/>
                <w:szCs w:val="24"/>
                <w:lang w:bidi="ar"/>
              </w:rPr>
              <w:t>，以行贿等手段谋取</w:t>
            </w:r>
            <w:r>
              <w:rPr>
                <w:rFonts w:hint="eastAsia" w:ascii="宋体" w:hAnsi="宋体" w:cs="宋体"/>
                <w:color w:val="000000"/>
                <w:kern w:val="0"/>
                <w:sz w:val="24"/>
                <w:szCs w:val="24"/>
                <w:lang w:eastAsia="zh-CN" w:bidi="ar"/>
              </w:rPr>
              <w:t>成交</w:t>
            </w:r>
            <w:r>
              <w:rPr>
                <w:rFonts w:hint="eastAsia" w:ascii="宋体" w:hAnsi="宋体" w:cs="宋体"/>
                <w:color w:val="000000"/>
                <w:kern w:val="0"/>
                <w:sz w:val="24"/>
                <w:szCs w:val="24"/>
                <w:lang w:bidi="ar"/>
              </w:rPr>
              <w:t>或者以其他弄虚作假的方式</w:t>
            </w:r>
            <w:r>
              <w:rPr>
                <w:rFonts w:hint="eastAsia" w:ascii="宋体" w:hAnsi="宋体" w:cs="宋体"/>
                <w:color w:val="000000"/>
                <w:kern w:val="0"/>
                <w:sz w:val="24"/>
                <w:szCs w:val="24"/>
                <w:lang w:eastAsia="zh-CN" w:bidi="ar"/>
              </w:rPr>
              <w:t>磋商</w:t>
            </w:r>
          </w:p>
        </w:tc>
        <w:tc>
          <w:tcPr>
            <w:tcW w:w="817"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000000"/>
                <w:sz w:val="24"/>
                <w:szCs w:val="24"/>
              </w:rPr>
            </w:pPr>
          </w:p>
        </w:tc>
      </w:tr>
      <w:tr>
        <w:tblPrEx>
          <w:tblLayout w:type="fixed"/>
          <w:tblCellMar>
            <w:top w:w="15" w:type="dxa"/>
            <w:left w:w="15" w:type="dxa"/>
            <w:bottom w:w="15" w:type="dxa"/>
            <w:right w:w="15" w:type="dxa"/>
          </w:tblCellMar>
        </w:tblPrEx>
        <w:trPr>
          <w:trHeight w:val="570" w:hRule="atLeast"/>
          <w:jc w:val="center"/>
        </w:trPr>
        <w:tc>
          <w:tcPr>
            <w:tcW w:w="103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kern w:val="0"/>
                <w:sz w:val="24"/>
                <w:szCs w:val="24"/>
                <w:lang w:bidi="ar"/>
              </w:rPr>
            </w:pPr>
            <w:r>
              <w:rPr>
                <w:rFonts w:hint="eastAsia" w:ascii="宋体" w:hAnsi="宋体" w:cs="宋体"/>
                <w:color w:val="000000"/>
                <w:kern w:val="0"/>
                <w:sz w:val="24"/>
                <w:szCs w:val="24"/>
                <w:lang w:bidi="ar"/>
              </w:rPr>
              <w:t>6</w:t>
            </w:r>
          </w:p>
        </w:tc>
        <w:tc>
          <w:tcPr>
            <w:tcW w:w="725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24"/>
                <w:szCs w:val="24"/>
                <w:lang w:bidi="ar"/>
              </w:rPr>
            </w:pPr>
            <w:r>
              <w:rPr>
                <w:rFonts w:hint="eastAsia" w:ascii="宋体" w:hAnsi="宋体" w:cs="宋体"/>
                <w:color w:val="000000"/>
                <w:kern w:val="0"/>
                <w:sz w:val="24"/>
                <w:szCs w:val="24"/>
                <w:lang w:bidi="ar"/>
              </w:rPr>
              <w:t>未出现选择性报价</w:t>
            </w:r>
          </w:p>
        </w:tc>
        <w:tc>
          <w:tcPr>
            <w:tcW w:w="817"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000000"/>
                <w:sz w:val="24"/>
                <w:szCs w:val="24"/>
              </w:rPr>
            </w:pPr>
          </w:p>
        </w:tc>
      </w:tr>
      <w:tr>
        <w:tblPrEx>
          <w:tblLayout w:type="fixed"/>
          <w:tblCellMar>
            <w:top w:w="15" w:type="dxa"/>
            <w:left w:w="15" w:type="dxa"/>
            <w:bottom w:w="15" w:type="dxa"/>
            <w:right w:w="15" w:type="dxa"/>
          </w:tblCellMar>
        </w:tblPrEx>
        <w:trPr>
          <w:trHeight w:val="570" w:hRule="atLeast"/>
          <w:jc w:val="center"/>
        </w:trPr>
        <w:tc>
          <w:tcPr>
            <w:tcW w:w="103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7</w:t>
            </w:r>
          </w:p>
        </w:tc>
        <w:tc>
          <w:tcPr>
            <w:tcW w:w="725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不存在</w:t>
            </w:r>
            <w:r>
              <w:rPr>
                <w:rFonts w:hint="eastAsia" w:ascii="宋体" w:hAnsi="宋体" w:cs="宋体"/>
                <w:color w:val="000000"/>
                <w:kern w:val="0"/>
                <w:sz w:val="24"/>
                <w:szCs w:val="24"/>
                <w:lang w:eastAsia="zh-CN" w:bidi="ar"/>
              </w:rPr>
              <w:t>磋商</w:t>
            </w:r>
            <w:r>
              <w:rPr>
                <w:rFonts w:hint="eastAsia" w:ascii="宋体" w:hAnsi="宋体" w:cs="宋体"/>
                <w:color w:val="000000"/>
                <w:kern w:val="0"/>
                <w:sz w:val="24"/>
                <w:szCs w:val="24"/>
                <w:lang w:bidi="ar"/>
              </w:rPr>
              <w:t>文件规定的其它无效标的情形</w:t>
            </w:r>
          </w:p>
        </w:tc>
        <w:tc>
          <w:tcPr>
            <w:tcW w:w="817"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000000"/>
                <w:sz w:val="24"/>
                <w:szCs w:val="24"/>
              </w:rPr>
            </w:pPr>
          </w:p>
        </w:tc>
      </w:tr>
    </w:tbl>
    <w:p>
      <w:pPr>
        <w:keepNext w:val="0"/>
        <w:keepLines w:val="0"/>
        <w:pageBreakBefore w:val="0"/>
        <w:widowControl/>
        <w:numPr>
          <w:ilvl w:val="0"/>
          <w:numId w:val="8"/>
        </w:numPr>
        <w:kinsoku/>
        <w:wordWrap/>
        <w:overflowPunct/>
        <w:topLinePunct w:val="0"/>
        <w:autoSpaceDE/>
        <w:autoSpaceDN/>
        <w:bidi w:val="0"/>
        <w:adjustRightInd/>
        <w:snapToGrid/>
        <w:spacing w:line="360" w:lineRule="auto"/>
        <w:ind w:left="0" w:leftChars="0" w:right="0" w:rightChars="0" w:firstLine="361" w:firstLineChars="150"/>
        <w:jc w:val="both"/>
        <w:textAlignment w:val="auto"/>
        <w:outlineLvl w:val="9"/>
        <w:rPr>
          <w:rFonts w:hint="eastAsia" w:hAnsi="宋体"/>
          <w:b/>
          <w:bCs/>
          <w:sz w:val="24"/>
          <w:szCs w:val="24"/>
        </w:rPr>
      </w:pPr>
      <w:r>
        <w:rPr>
          <w:rFonts w:hint="eastAsia" w:ascii="宋体" w:hAnsi="宋体" w:cs="仿宋"/>
          <w:b/>
          <w:color w:val="auto"/>
          <w:sz w:val="24"/>
          <w:szCs w:val="24"/>
        </w:rPr>
        <w:t>综合打分</w:t>
      </w:r>
      <w:r>
        <w:rPr>
          <w:rFonts w:hint="eastAsia" w:ascii="宋体" w:hAnsi="宋体" w:cs="仿宋"/>
          <w:b/>
          <w:color w:val="auto"/>
          <w:sz w:val="24"/>
          <w:szCs w:val="24"/>
          <w:lang w:eastAsia="zh-CN"/>
        </w:rPr>
        <w:t>：</w:t>
      </w:r>
      <w:r>
        <w:rPr>
          <w:rFonts w:hint="eastAsia" w:ascii="宋体" w:hAnsi="宋体" w:cs="仿宋"/>
          <w:b/>
          <w:sz w:val="24"/>
          <w:szCs w:val="24"/>
        </w:rPr>
        <w:t>根据</w:t>
      </w:r>
      <w:r>
        <w:rPr>
          <w:rFonts w:hint="eastAsia" w:ascii="宋体" w:hAnsi="宋体" w:cs="仿宋"/>
          <w:b/>
          <w:sz w:val="24"/>
          <w:szCs w:val="24"/>
          <w:lang w:eastAsia="zh-CN"/>
        </w:rPr>
        <w:t>竞争性磋商</w:t>
      </w:r>
      <w:r>
        <w:rPr>
          <w:rFonts w:hint="eastAsia" w:ascii="宋体" w:hAnsi="宋体" w:cs="仿宋"/>
          <w:b/>
          <w:sz w:val="24"/>
          <w:szCs w:val="24"/>
        </w:rPr>
        <w:t>文件中规定的评标标准，计算综合得分。</w:t>
      </w:r>
      <w:r>
        <w:rPr>
          <w:rFonts w:hint="eastAsia" w:hAnsi="宋体"/>
          <w:b/>
          <w:bCs/>
          <w:sz w:val="24"/>
          <w:szCs w:val="24"/>
        </w:rPr>
        <w:t>最低报价不作为中标的保证。</w:t>
      </w:r>
    </w:p>
    <w:tbl>
      <w:tblPr>
        <w:tblStyle w:val="56"/>
        <w:tblW w:w="953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736"/>
        <w:gridCol w:w="999"/>
        <w:gridCol w:w="1075"/>
        <w:gridCol w:w="5851"/>
        <w:gridCol w:w="8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7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i w:val="0"/>
                <w:color w:val="000000"/>
                <w:kern w:val="0"/>
                <w:sz w:val="24"/>
                <w:szCs w:val="24"/>
                <w:u w:val="none"/>
                <w:lang w:val="en-US" w:eastAsia="zh-CN" w:bidi="ar"/>
              </w:rPr>
            </w:pPr>
            <w:r>
              <w:rPr>
                <w:rFonts w:hint="eastAsia" w:ascii="宋体" w:hAnsi="宋体" w:eastAsia="宋体" w:cs="宋体"/>
                <w:b/>
                <w:i w:val="0"/>
                <w:color w:val="000000"/>
                <w:kern w:val="0"/>
                <w:sz w:val="24"/>
                <w:szCs w:val="24"/>
                <w:u w:val="none"/>
                <w:lang w:val="en-US" w:eastAsia="zh-CN" w:bidi="ar"/>
              </w:rPr>
              <w:t>序号</w:t>
            </w:r>
          </w:p>
        </w:tc>
        <w:tc>
          <w:tcPr>
            <w:tcW w:w="99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评审项目</w:t>
            </w:r>
          </w:p>
        </w:tc>
        <w:tc>
          <w:tcPr>
            <w:tcW w:w="107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评审细则</w:t>
            </w:r>
          </w:p>
        </w:tc>
        <w:tc>
          <w:tcPr>
            <w:tcW w:w="5851" w:type="dxa"/>
            <w:tcBorders>
              <w:top w:val="single" w:color="000000" w:sz="4" w:space="0"/>
              <w:left w:val="single" w:color="000000" w:sz="4" w:space="0"/>
              <w:bottom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说明</w:t>
            </w:r>
          </w:p>
        </w:tc>
        <w:tc>
          <w:tcPr>
            <w:tcW w:w="8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73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i w:val="0"/>
                <w:color w:val="000000"/>
                <w:kern w:val="0"/>
                <w:sz w:val="24"/>
                <w:szCs w:val="24"/>
                <w:u w:val="none"/>
                <w:lang w:val="en-US" w:eastAsia="zh-CN" w:bidi="ar"/>
              </w:rPr>
            </w:pPr>
            <w:r>
              <w:rPr>
                <w:rFonts w:hint="eastAsia" w:ascii="宋体" w:hAnsi="宋体" w:eastAsia="宋体" w:cs="宋体"/>
                <w:b w:val="0"/>
                <w:bCs/>
                <w:i w:val="0"/>
                <w:color w:val="000000"/>
                <w:kern w:val="0"/>
                <w:sz w:val="24"/>
                <w:szCs w:val="24"/>
                <w:u w:val="none"/>
                <w:lang w:val="en-US" w:eastAsia="zh-CN" w:bidi="ar"/>
              </w:rPr>
              <w:t>1</w:t>
            </w:r>
          </w:p>
        </w:tc>
        <w:tc>
          <w:tcPr>
            <w:tcW w:w="99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i w:val="0"/>
                <w:color w:val="000000"/>
                <w:kern w:val="0"/>
                <w:sz w:val="24"/>
                <w:szCs w:val="24"/>
                <w:u w:val="none"/>
                <w:lang w:val="en-US" w:eastAsia="zh-CN" w:bidi="ar"/>
              </w:rPr>
            </w:pPr>
            <w:r>
              <w:rPr>
                <w:rFonts w:hint="eastAsia" w:ascii="宋体" w:hAnsi="宋体" w:eastAsia="宋体" w:cs="宋体"/>
                <w:b w:val="0"/>
                <w:bCs/>
                <w:i w:val="0"/>
                <w:color w:val="000000"/>
                <w:kern w:val="0"/>
                <w:sz w:val="24"/>
                <w:szCs w:val="24"/>
                <w:u w:val="none"/>
                <w:lang w:val="en-US" w:eastAsia="zh-CN" w:bidi="ar"/>
              </w:rPr>
              <w:t>价格</w:t>
            </w:r>
          </w:p>
          <w:p>
            <w:pPr>
              <w:keepNext w:val="0"/>
              <w:keepLines w:val="0"/>
              <w:widowControl/>
              <w:suppressLineNumbers w:val="0"/>
              <w:jc w:val="center"/>
              <w:textAlignment w:val="center"/>
              <w:rPr>
                <w:rFonts w:hint="eastAsia" w:ascii="宋体" w:hAnsi="宋体" w:eastAsia="宋体" w:cs="宋体"/>
                <w:b/>
                <w:i w:val="0"/>
                <w:color w:val="000000"/>
                <w:kern w:val="0"/>
                <w:sz w:val="24"/>
                <w:szCs w:val="24"/>
                <w:u w:val="none"/>
                <w:lang w:val="en-US" w:eastAsia="zh-CN" w:bidi="ar"/>
              </w:rPr>
            </w:pPr>
            <w:r>
              <w:rPr>
                <w:rFonts w:hint="eastAsia" w:ascii="宋体" w:hAnsi="宋体" w:eastAsia="宋体" w:cs="宋体"/>
                <w:b w:val="0"/>
                <w:bCs/>
                <w:i w:val="0"/>
                <w:color w:val="000000"/>
                <w:kern w:val="0"/>
                <w:sz w:val="24"/>
                <w:szCs w:val="24"/>
                <w:u w:val="none"/>
                <w:lang w:val="en-US" w:eastAsia="zh-CN" w:bidi="ar"/>
              </w:rPr>
              <w:t>（10分）</w:t>
            </w:r>
          </w:p>
        </w:tc>
        <w:tc>
          <w:tcPr>
            <w:tcW w:w="107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i w:val="0"/>
                <w:color w:val="000000"/>
                <w:kern w:val="0"/>
                <w:sz w:val="24"/>
                <w:szCs w:val="24"/>
                <w:u w:val="none"/>
                <w:lang w:val="en-US" w:eastAsia="zh-CN" w:bidi="ar"/>
              </w:rPr>
            </w:pPr>
            <w:r>
              <w:rPr>
                <w:rFonts w:hint="eastAsia" w:ascii="宋体" w:hAnsi="宋体" w:eastAsia="宋体" w:cs="宋体"/>
                <w:b w:val="0"/>
                <w:bCs/>
                <w:i w:val="0"/>
                <w:color w:val="000000"/>
                <w:kern w:val="0"/>
                <w:sz w:val="24"/>
                <w:szCs w:val="24"/>
                <w:u w:val="none"/>
                <w:lang w:val="en-US" w:eastAsia="zh-CN" w:bidi="ar"/>
              </w:rPr>
              <w:t>投标报价</w:t>
            </w:r>
          </w:p>
        </w:tc>
        <w:tc>
          <w:tcPr>
            <w:tcW w:w="5851" w:type="dxa"/>
            <w:tcBorders>
              <w:top w:val="single" w:color="000000" w:sz="4" w:space="0"/>
              <w:left w:val="single" w:color="000000" w:sz="4" w:space="0"/>
              <w:bottom w:val="single" w:color="000000" w:sz="4" w:space="0"/>
            </w:tcBorders>
            <w:vAlign w:val="center"/>
          </w:tcPr>
          <w:p>
            <w:pPr>
              <w:keepNext w:val="0"/>
              <w:keepLines w:val="0"/>
              <w:pageBreakBefore w:val="0"/>
              <w:kinsoku/>
              <w:wordWrap/>
              <w:overflowPunct/>
              <w:topLinePunct w:val="0"/>
              <w:autoSpaceDE/>
              <w:autoSpaceDN/>
              <w:bidi w:val="0"/>
              <w:snapToGrid w:val="0"/>
              <w:spacing w:line="240" w:lineRule="auto"/>
              <w:ind w:left="0" w:leftChars="0" w:right="0" w:rightChars="0" w:firstLine="0" w:firstLineChars="0"/>
              <w:textAlignment w:val="auto"/>
              <w:outlineLvl w:val="9"/>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lang w:val="en-US" w:eastAsia="zh-CN"/>
              </w:rPr>
              <w:t>1.</w:t>
            </w:r>
            <w:r>
              <w:rPr>
                <w:rFonts w:hint="eastAsia" w:ascii="宋体" w:hAnsi="宋体" w:eastAsia="宋体" w:cs="宋体"/>
                <w:color w:val="auto"/>
                <w:sz w:val="24"/>
                <w:szCs w:val="24"/>
                <w:shd w:val="clear" w:color="auto" w:fill="auto"/>
              </w:rPr>
              <w:t>投标报价得分=（评标基准价/投标报价）×10</w:t>
            </w:r>
          </w:p>
          <w:p>
            <w:pPr>
              <w:keepNext w:val="0"/>
              <w:keepLines w:val="0"/>
              <w:pageBreakBefore w:val="0"/>
              <w:kinsoku/>
              <w:wordWrap/>
              <w:overflowPunct/>
              <w:topLinePunct w:val="0"/>
              <w:autoSpaceDE/>
              <w:autoSpaceDN/>
              <w:bidi w:val="0"/>
              <w:snapToGrid w:val="0"/>
              <w:spacing w:line="240" w:lineRule="auto"/>
              <w:ind w:left="0" w:leftChars="0" w:right="0" w:rightChars="0" w:firstLine="0" w:firstLineChars="0"/>
              <w:textAlignment w:val="auto"/>
              <w:outlineLvl w:val="9"/>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lang w:val="en-US" w:eastAsia="zh-CN"/>
              </w:rPr>
              <w:t>2.</w:t>
            </w:r>
            <w:r>
              <w:rPr>
                <w:rFonts w:hint="eastAsia" w:ascii="宋体" w:hAnsi="宋体" w:eastAsia="宋体" w:cs="宋体"/>
                <w:color w:val="auto"/>
                <w:sz w:val="24"/>
                <w:szCs w:val="24"/>
                <w:shd w:val="clear" w:color="auto" w:fill="auto"/>
              </w:rPr>
              <w:t>满足招标文件要求且投标价格最低的投标报价为评标基准价。</w:t>
            </w:r>
          </w:p>
          <w:p>
            <w:pPr>
              <w:keepNext w:val="0"/>
              <w:keepLines w:val="0"/>
              <w:pageBreakBefore w:val="0"/>
              <w:kinsoku/>
              <w:wordWrap/>
              <w:overflowPunct/>
              <w:topLinePunct w:val="0"/>
              <w:autoSpaceDE/>
              <w:autoSpaceDN/>
              <w:bidi w:val="0"/>
              <w:snapToGrid w:val="0"/>
              <w:spacing w:line="240" w:lineRule="auto"/>
              <w:ind w:left="0" w:leftChars="0" w:right="0" w:rightChars="0" w:firstLine="0" w:firstLineChars="0"/>
              <w:textAlignment w:val="auto"/>
              <w:outlineLvl w:val="9"/>
              <w:rPr>
                <w:rFonts w:hint="eastAsia" w:ascii="宋体" w:hAnsi="宋体" w:eastAsia="宋体" w:cs="宋体"/>
                <w:b/>
                <w:i w:val="0"/>
                <w:color w:val="000000"/>
                <w:kern w:val="0"/>
                <w:sz w:val="24"/>
                <w:szCs w:val="24"/>
                <w:u w:val="none"/>
                <w:lang w:val="en-US" w:eastAsia="zh-CN" w:bidi="ar"/>
              </w:rPr>
            </w:pPr>
            <w:r>
              <w:rPr>
                <w:rFonts w:hint="eastAsia" w:ascii="宋体" w:hAnsi="宋体" w:eastAsia="宋体" w:cs="宋体"/>
                <w:color w:val="auto"/>
                <w:kern w:val="0"/>
                <w:sz w:val="24"/>
                <w:szCs w:val="24"/>
                <w:highlight w:val="none"/>
                <w:shd w:val="clear" w:color="auto" w:fill="auto"/>
                <w:lang w:val="en-US" w:eastAsia="zh-CN"/>
              </w:rPr>
              <w:t>3.</w:t>
            </w:r>
            <w:r>
              <w:rPr>
                <w:rFonts w:hint="eastAsia" w:ascii="宋体" w:hAnsi="宋体" w:eastAsia="宋体" w:cs="宋体"/>
                <w:color w:val="auto"/>
                <w:kern w:val="0"/>
                <w:sz w:val="24"/>
                <w:szCs w:val="24"/>
                <w:highlight w:val="none"/>
                <w:shd w:val="clear" w:color="auto" w:fill="auto"/>
              </w:rPr>
              <w:t>本次招标</w:t>
            </w:r>
            <w:r>
              <w:rPr>
                <w:rFonts w:hint="eastAsia" w:ascii="宋体" w:hAnsi="宋体" w:eastAsia="宋体" w:cs="宋体"/>
                <w:color w:val="auto"/>
                <w:kern w:val="0"/>
                <w:sz w:val="24"/>
                <w:szCs w:val="24"/>
                <w:highlight w:val="none"/>
                <w:shd w:val="clear" w:color="auto" w:fill="auto"/>
                <w:lang w:eastAsia="zh-CN"/>
              </w:rPr>
              <w:t>第一包、第二包、第三包、第四包</w:t>
            </w:r>
            <w:r>
              <w:rPr>
                <w:rFonts w:hint="eastAsia" w:ascii="宋体" w:hAnsi="宋体" w:eastAsia="宋体" w:cs="宋体"/>
                <w:color w:val="auto"/>
                <w:kern w:val="0"/>
                <w:sz w:val="24"/>
                <w:szCs w:val="24"/>
                <w:highlight w:val="none"/>
                <w:shd w:val="clear" w:color="auto" w:fill="auto"/>
              </w:rPr>
              <w:t>对小型和微型企业</w:t>
            </w:r>
            <w:r>
              <w:rPr>
                <w:rFonts w:hint="eastAsia" w:ascii="宋体" w:hAnsi="宋体" w:eastAsia="宋体" w:cs="宋体"/>
                <w:color w:val="auto"/>
                <w:kern w:val="0"/>
                <w:sz w:val="24"/>
                <w:szCs w:val="24"/>
                <w:highlight w:val="none"/>
                <w:shd w:val="clear" w:color="auto" w:fill="auto"/>
                <w:lang w:eastAsia="zh-CN"/>
              </w:rPr>
              <w:t>的投标报价</w:t>
            </w:r>
            <w:r>
              <w:rPr>
                <w:rFonts w:hint="eastAsia" w:ascii="宋体" w:hAnsi="宋体" w:eastAsia="宋体" w:cs="宋体"/>
                <w:color w:val="auto"/>
                <w:kern w:val="0"/>
                <w:sz w:val="24"/>
                <w:szCs w:val="24"/>
                <w:highlight w:val="none"/>
                <w:shd w:val="clear" w:color="auto" w:fill="auto"/>
              </w:rPr>
              <w:t>给予</w:t>
            </w:r>
            <w:r>
              <w:rPr>
                <w:rFonts w:hint="eastAsia" w:ascii="宋体" w:hAnsi="宋体" w:eastAsia="宋体" w:cs="宋体"/>
                <w:color w:val="auto"/>
                <w:kern w:val="0"/>
                <w:sz w:val="24"/>
                <w:szCs w:val="24"/>
                <w:highlight w:val="none"/>
                <w:shd w:val="clear" w:color="auto" w:fill="auto"/>
                <w:lang w:val="en-US" w:eastAsia="zh-CN"/>
              </w:rPr>
              <w:t>10</w:t>
            </w:r>
            <w:r>
              <w:rPr>
                <w:rFonts w:hint="eastAsia" w:ascii="宋体" w:hAnsi="宋体" w:eastAsia="宋体" w:cs="宋体"/>
                <w:color w:val="auto"/>
                <w:kern w:val="0"/>
                <w:sz w:val="24"/>
                <w:szCs w:val="24"/>
                <w:highlight w:val="none"/>
                <w:shd w:val="clear" w:color="auto" w:fill="auto"/>
              </w:rPr>
              <w:t>%的扣除</w:t>
            </w:r>
            <w:r>
              <w:rPr>
                <w:rFonts w:hint="eastAsia" w:ascii="宋体" w:hAnsi="宋体" w:eastAsia="宋体" w:cs="宋体"/>
                <w:color w:val="auto"/>
                <w:kern w:val="0"/>
                <w:sz w:val="24"/>
                <w:szCs w:val="24"/>
                <w:highlight w:val="none"/>
                <w:shd w:val="clear" w:color="auto" w:fill="auto"/>
                <w:lang w:eastAsia="zh-CN"/>
              </w:rPr>
              <w:t>，用扣除后的价格参加评审</w:t>
            </w:r>
            <w:r>
              <w:rPr>
                <w:rFonts w:hint="eastAsia" w:ascii="宋体" w:hAnsi="宋体" w:eastAsia="宋体" w:cs="宋体"/>
                <w:color w:val="auto"/>
                <w:kern w:val="0"/>
                <w:sz w:val="24"/>
                <w:szCs w:val="24"/>
                <w:highlight w:val="none"/>
                <w:shd w:val="clear" w:color="auto" w:fill="auto"/>
              </w:rPr>
              <w:t>。</w:t>
            </w:r>
          </w:p>
        </w:tc>
        <w:tc>
          <w:tcPr>
            <w:tcW w:w="8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i w:val="0"/>
                <w:color w:val="000000"/>
                <w:kern w:val="0"/>
                <w:sz w:val="24"/>
                <w:szCs w:val="24"/>
                <w:u w:val="none"/>
                <w:lang w:val="en-US" w:eastAsia="zh-CN" w:bidi="ar"/>
              </w:rPr>
            </w:pPr>
            <w:r>
              <w:rPr>
                <w:rFonts w:hint="eastAsia" w:ascii="宋体" w:hAnsi="宋体" w:eastAsia="宋体" w:cs="宋体"/>
                <w:b w:val="0"/>
                <w:bCs/>
                <w:i w:val="0"/>
                <w:color w:val="000000"/>
                <w:kern w:val="0"/>
                <w:sz w:val="24"/>
                <w:szCs w:val="24"/>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736" w:type="dxa"/>
            <w:vMerge w:val="restart"/>
            <w:tcBorders>
              <w:top w:val="single" w:color="000000" w:sz="4" w:space="0"/>
              <w:left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i w:val="0"/>
                <w:color w:val="000000"/>
                <w:kern w:val="0"/>
                <w:sz w:val="24"/>
                <w:szCs w:val="24"/>
                <w:u w:val="none"/>
                <w:lang w:val="en-US" w:eastAsia="zh-CN" w:bidi="ar"/>
              </w:rPr>
            </w:pPr>
          </w:p>
        </w:tc>
        <w:tc>
          <w:tcPr>
            <w:tcW w:w="999" w:type="dxa"/>
            <w:vMerge w:val="restart"/>
            <w:tcBorders>
              <w:top w:val="single" w:color="000000" w:sz="4" w:space="0"/>
              <w:left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服务方案</w:t>
            </w:r>
          </w:p>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（60分）</w:t>
            </w:r>
          </w:p>
        </w:tc>
        <w:tc>
          <w:tcPr>
            <w:tcW w:w="107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服务质量保证措施</w:t>
            </w:r>
          </w:p>
        </w:tc>
        <w:tc>
          <w:tcPr>
            <w:tcW w:w="5851" w:type="dxa"/>
            <w:tcBorders>
              <w:top w:val="single" w:color="000000" w:sz="4" w:space="0"/>
              <w:left w:val="single" w:color="000000" w:sz="4" w:space="0"/>
              <w:bottom w:val="single" w:color="000000" w:sz="4" w:space="0"/>
            </w:tcBorders>
            <w:vAlign w:val="center"/>
          </w:tcPr>
          <w:p>
            <w:pPr>
              <w:keepNext w:val="0"/>
              <w:keepLines w:val="0"/>
              <w:widowControl/>
              <w:suppressLineNumbers w:val="0"/>
              <w:jc w:val="left"/>
              <w:textAlignment w:val="center"/>
              <w:rPr>
                <w:rFonts w:hint="eastAsia" w:ascii="宋体" w:hAnsi="宋体" w:eastAsia="宋体" w:cs="宋体"/>
                <w:color w:val="auto"/>
                <w:sz w:val="24"/>
                <w:szCs w:val="24"/>
                <w:shd w:val="clear" w:color="auto" w:fill="auto"/>
              </w:rPr>
            </w:pPr>
            <w:r>
              <w:rPr>
                <w:rFonts w:hint="eastAsia" w:ascii="宋体" w:hAnsi="宋体" w:eastAsia="宋体" w:cs="宋体"/>
                <w:i w:val="0"/>
                <w:color w:val="000000"/>
                <w:kern w:val="0"/>
                <w:sz w:val="24"/>
                <w:szCs w:val="24"/>
                <w:u w:val="none"/>
                <w:lang w:val="en-US" w:eastAsia="zh-CN" w:bidi="ar"/>
              </w:rPr>
              <w:t>有详细具体的审核人员专业、数量，有明确的企业内部审核制度流程，有科学可行的审核争议问题处理程序方式，及其他质量保证措施，得10分；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有人员配备情况，内部审核制度流程、审核争议问题处理程序方式等较为科学可行，得6分；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简单、笼统叙述服务质量保证措施，可行性不明确，得2分；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无明确具体的服务质量保证措施，不得分。</w:t>
            </w:r>
          </w:p>
        </w:tc>
        <w:tc>
          <w:tcPr>
            <w:tcW w:w="8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736" w:type="dxa"/>
            <w:vMerge w:val="continue"/>
            <w:tcBorders>
              <w:left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i w:val="0"/>
                <w:color w:val="000000"/>
                <w:kern w:val="0"/>
                <w:sz w:val="24"/>
                <w:szCs w:val="24"/>
                <w:u w:val="none"/>
                <w:lang w:val="en-US" w:eastAsia="zh-CN" w:bidi="ar"/>
              </w:rPr>
            </w:pPr>
          </w:p>
        </w:tc>
        <w:tc>
          <w:tcPr>
            <w:tcW w:w="999" w:type="dxa"/>
            <w:vMerge w:val="continue"/>
            <w:tcBorders>
              <w:left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c>
          <w:tcPr>
            <w:tcW w:w="107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资料收集方案</w:t>
            </w:r>
          </w:p>
        </w:tc>
        <w:tc>
          <w:tcPr>
            <w:tcW w:w="5851" w:type="dxa"/>
            <w:tcBorders>
              <w:top w:val="single" w:color="000000" w:sz="4" w:space="0"/>
              <w:left w:val="single" w:color="000000" w:sz="4" w:space="0"/>
              <w:bottom w:val="single" w:color="000000" w:sz="4" w:space="0"/>
            </w:tcBorders>
            <w:vAlign w:val="center"/>
          </w:tcPr>
          <w:p>
            <w:pPr>
              <w:keepNext w:val="0"/>
              <w:keepLines w:val="0"/>
              <w:widowControl/>
              <w:suppressLineNumbers w:val="0"/>
              <w:jc w:val="left"/>
              <w:textAlignment w:val="center"/>
              <w:rPr>
                <w:rFonts w:hint="eastAsia" w:ascii="宋体" w:hAnsi="宋体" w:eastAsia="宋体" w:cs="宋体"/>
                <w:b/>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拟收集资料清单分类清晰完整，内容具体，详细明确，科学且针对性强，方式方法得当，得10分；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拟收集资料清单较完整，内容有展开叙述，相对明确、科学，较优针对性得6分；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仅列举部分主要资料，完整性、科学性、针对性不明确，得2分；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无此项方案，不得分。</w:t>
            </w:r>
          </w:p>
        </w:tc>
        <w:tc>
          <w:tcPr>
            <w:tcW w:w="8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736" w:type="dxa"/>
            <w:tcBorders>
              <w:left w:val="single" w:color="000000" w:sz="4" w:space="0"/>
              <w:right w:val="single" w:color="000000" w:sz="4" w:space="0"/>
            </w:tcBorders>
            <w:vAlign w:val="center"/>
          </w:tcPr>
          <w:p>
            <w:pPr>
              <w:jc w:val="center"/>
              <w:rPr>
                <w:rFonts w:hint="eastAsia" w:ascii="宋体" w:hAnsi="宋体" w:eastAsia="宋体" w:cs="宋体"/>
                <w:b w:val="0"/>
                <w:bCs/>
                <w:i w:val="0"/>
                <w:color w:val="000000"/>
                <w:kern w:val="0"/>
                <w:sz w:val="24"/>
                <w:szCs w:val="24"/>
                <w:u w:val="none"/>
                <w:lang w:val="en-US" w:eastAsia="zh-CN" w:bidi="ar"/>
              </w:rPr>
            </w:pPr>
            <w:r>
              <w:rPr>
                <w:rFonts w:hint="eastAsia" w:ascii="宋体" w:hAnsi="宋体" w:eastAsia="宋体" w:cs="宋体"/>
                <w:b w:val="0"/>
                <w:bCs/>
                <w:i w:val="0"/>
                <w:color w:val="000000"/>
                <w:kern w:val="0"/>
                <w:sz w:val="24"/>
                <w:szCs w:val="24"/>
                <w:u w:val="none"/>
                <w:lang w:val="en-US" w:eastAsia="zh-CN" w:bidi="ar"/>
              </w:rPr>
              <w:t>2</w:t>
            </w:r>
          </w:p>
        </w:tc>
        <w:tc>
          <w:tcPr>
            <w:tcW w:w="999" w:type="dxa"/>
            <w:vMerge w:val="continue"/>
            <w:tcBorders>
              <w:left w:val="single" w:color="000000" w:sz="4" w:space="0"/>
              <w:right w:val="single" w:color="000000" w:sz="4" w:space="0"/>
            </w:tcBorders>
            <w:vAlign w:val="center"/>
          </w:tcPr>
          <w:p>
            <w:pPr>
              <w:jc w:val="center"/>
              <w:rPr>
                <w:rFonts w:hint="eastAsia" w:ascii="宋体" w:hAnsi="宋体" w:eastAsia="宋体" w:cs="宋体"/>
                <w:b/>
                <w:i w:val="0"/>
                <w:color w:val="000000"/>
                <w:kern w:val="0"/>
                <w:sz w:val="24"/>
                <w:szCs w:val="24"/>
                <w:u w:val="none"/>
                <w:lang w:val="en-US" w:eastAsia="zh-CN" w:bidi="ar"/>
              </w:rPr>
            </w:pPr>
          </w:p>
        </w:tc>
        <w:tc>
          <w:tcPr>
            <w:tcW w:w="107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进度控制方案及措施</w:t>
            </w:r>
          </w:p>
        </w:tc>
        <w:tc>
          <w:tcPr>
            <w:tcW w:w="5851" w:type="dxa"/>
            <w:tcBorders>
              <w:top w:val="single" w:color="000000" w:sz="4" w:space="0"/>
              <w:left w:val="single" w:color="000000" w:sz="4" w:space="0"/>
              <w:bottom w:val="single" w:color="000000" w:sz="4" w:space="0"/>
            </w:tcBorders>
            <w:vAlign w:val="center"/>
          </w:tcPr>
          <w:p>
            <w:pPr>
              <w:keepNext w:val="0"/>
              <w:keepLines w:val="0"/>
              <w:widowControl/>
              <w:suppressLineNumbers w:val="0"/>
              <w:jc w:val="left"/>
              <w:textAlignment w:val="center"/>
              <w:rPr>
                <w:rFonts w:hint="eastAsia" w:ascii="宋体" w:hAnsi="宋体" w:eastAsia="宋体" w:cs="宋体"/>
                <w:b/>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有具体的时间进度安排及明确的进度控制措施，且科学可行，得10分；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有时间进度安排，简要列举进度控制措施，较为科学可行，得6分；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简单、笼统叙述进度控制方案及措施，可行性不明确，得2分；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无明确具体的进度控制方案及措施，不得分。</w:t>
            </w:r>
          </w:p>
        </w:tc>
        <w:tc>
          <w:tcPr>
            <w:tcW w:w="8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736" w:type="dxa"/>
            <w:tcBorders>
              <w:left w:val="single" w:color="000000" w:sz="4" w:space="0"/>
              <w:right w:val="single" w:color="000000" w:sz="4" w:space="0"/>
            </w:tcBorders>
            <w:vAlign w:val="center"/>
          </w:tcPr>
          <w:p>
            <w:pPr>
              <w:jc w:val="center"/>
              <w:rPr>
                <w:rFonts w:hint="eastAsia" w:ascii="宋体" w:hAnsi="宋体" w:eastAsia="宋体" w:cs="宋体"/>
                <w:b w:val="0"/>
                <w:bCs/>
                <w:i w:val="0"/>
                <w:color w:val="000000"/>
                <w:kern w:val="0"/>
                <w:sz w:val="24"/>
                <w:szCs w:val="24"/>
                <w:u w:val="none"/>
                <w:lang w:val="en-US" w:eastAsia="zh-CN" w:bidi="ar"/>
              </w:rPr>
            </w:pPr>
          </w:p>
        </w:tc>
        <w:tc>
          <w:tcPr>
            <w:tcW w:w="999" w:type="dxa"/>
            <w:vMerge w:val="continue"/>
            <w:tcBorders>
              <w:left w:val="single" w:color="000000" w:sz="4" w:space="0"/>
              <w:right w:val="single" w:color="000000" w:sz="4" w:space="0"/>
            </w:tcBorders>
            <w:vAlign w:val="center"/>
          </w:tcPr>
          <w:p>
            <w:pPr>
              <w:jc w:val="center"/>
              <w:rPr>
                <w:rFonts w:hint="eastAsia" w:ascii="宋体" w:hAnsi="宋体" w:eastAsia="宋体" w:cs="宋体"/>
                <w:b/>
                <w:i w:val="0"/>
                <w:color w:val="000000"/>
                <w:kern w:val="0"/>
                <w:sz w:val="24"/>
                <w:szCs w:val="24"/>
                <w:u w:val="none"/>
                <w:lang w:val="en-US" w:eastAsia="zh-CN" w:bidi="ar"/>
              </w:rPr>
            </w:pPr>
          </w:p>
        </w:tc>
        <w:tc>
          <w:tcPr>
            <w:tcW w:w="107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对本项目的认识及总体服务承诺</w:t>
            </w:r>
          </w:p>
        </w:tc>
        <w:tc>
          <w:tcPr>
            <w:tcW w:w="5851" w:type="dxa"/>
            <w:tcBorders>
              <w:top w:val="single" w:color="000000" w:sz="4" w:space="0"/>
              <w:left w:val="single" w:color="000000" w:sz="4" w:space="0"/>
              <w:bottom w:val="single" w:color="000000" w:sz="4" w:space="0"/>
            </w:tcBorders>
            <w:vAlign w:val="center"/>
          </w:tcPr>
          <w:p>
            <w:pPr>
              <w:keepNext w:val="0"/>
              <w:keepLines w:val="0"/>
              <w:widowControl/>
              <w:suppressLineNumbers w:val="0"/>
              <w:jc w:val="left"/>
              <w:textAlignment w:val="center"/>
              <w:rPr>
                <w:rFonts w:hint="eastAsia" w:ascii="宋体" w:hAnsi="宋体" w:eastAsia="宋体" w:cs="宋体"/>
                <w:b/>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对本项目的认识贴合项目实际、针对性强，工作内容理解全面到位，服务要求中涉及的要点均做出承诺，得10分；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对工作内容有一定了解，对服务要求涉及的重点内容做出承诺，得6分；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有针对本项目的认识及总体服务承诺，但较为笼统，针对性不强、不够具体，得2分；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无承诺不得分。</w:t>
            </w:r>
          </w:p>
        </w:tc>
        <w:tc>
          <w:tcPr>
            <w:tcW w:w="8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736" w:type="dxa"/>
            <w:tcBorders>
              <w:left w:val="single" w:color="000000" w:sz="4" w:space="0"/>
              <w:right w:val="single" w:color="000000" w:sz="4" w:space="0"/>
            </w:tcBorders>
            <w:vAlign w:val="center"/>
          </w:tcPr>
          <w:p>
            <w:pPr>
              <w:jc w:val="center"/>
              <w:rPr>
                <w:rFonts w:hint="eastAsia" w:ascii="宋体" w:hAnsi="宋体" w:eastAsia="宋体" w:cs="宋体"/>
                <w:b w:val="0"/>
                <w:bCs/>
                <w:i w:val="0"/>
                <w:color w:val="000000"/>
                <w:kern w:val="0"/>
                <w:sz w:val="24"/>
                <w:szCs w:val="24"/>
                <w:u w:val="none"/>
                <w:lang w:val="en-US" w:eastAsia="zh-CN" w:bidi="ar"/>
              </w:rPr>
            </w:pPr>
          </w:p>
        </w:tc>
        <w:tc>
          <w:tcPr>
            <w:tcW w:w="999" w:type="dxa"/>
            <w:vMerge w:val="continue"/>
            <w:tcBorders>
              <w:left w:val="single" w:color="000000" w:sz="4" w:space="0"/>
              <w:right w:val="single" w:color="000000" w:sz="4" w:space="0"/>
            </w:tcBorders>
            <w:vAlign w:val="center"/>
          </w:tcPr>
          <w:p>
            <w:pPr>
              <w:jc w:val="center"/>
              <w:rPr>
                <w:rFonts w:hint="eastAsia" w:ascii="宋体" w:hAnsi="宋体" w:eastAsia="宋体" w:cs="宋体"/>
                <w:b/>
                <w:i w:val="0"/>
                <w:color w:val="000000"/>
                <w:kern w:val="0"/>
                <w:sz w:val="24"/>
                <w:szCs w:val="24"/>
                <w:u w:val="none"/>
                <w:lang w:val="en-US" w:eastAsia="zh-CN" w:bidi="ar"/>
              </w:rPr>
            </w:pPr>
          </w:p>
        </w:tc>
        <w:tc>
          <w:tcPr>
            <w:tcW w:w="1075" w:type="dxa"/>
            <w:vMerge w:val="restart"/>
            <w:tcBorders>
              <w:top w:val="single" w:color="000000" w:sz="4" w:space="0"/>
              <w:left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内部管理</w:t>
            </w:r>
          </w:p>
        </w:tc>
        <w:tc>
          <w:tcPr>
            <w:tcW w:w="5851" w:type="dxa"/>
            <w:vMerge w:val="restart"/>
            <w:tcBorders>
              <w:top w:val="single" w:color="000000" w:sz="4" w:space="0"/>
              <w:left w:val="single" w:color="000000" w:sz="4" w:space="0"/>
            </w:tcBorders>
            <w:vAlign w:val="center"/>
          </w:tcPr>
          <w:p>
            <w:pPr>
              <w:keepNext w:val="0"/>
              <w:keepLines w:val="0"/>
              <w:widowControl/>
              <w:suppressLineNumbers w:val="0"/>
              <w:jc w:val="left"/>
              <w:textAlignment w:val="center"/>
              <w:rPr>
                <w:rFonts w:hint="eastAsia" w:ascii="宋体" w:hAnsi="宋体" w:eastAsia="宋体" w:cs="宋体"/>
                <w:b/>
                <w:i w:val="0"/>
                <w:color w:val="000000"/>
                <w:kern w:val="0"/>
                <w:sz w:val="24"/>
                <w:szCs w:val="24"/>
                <w:u w:val="none"/>
                <w:lang w:val="en-US" w:eastAsia="zh-CN" w:bidi="ar"/>
              </w:rPr>
            </w:pPr>
            <w:r>
              <w:rPr>
                <w:rStyle w:val="202"/>
                <w:lang w:val="en-US" w:eastAsia="zh-CN" w:bidi="ar"/>
              </w:rPr>
              <w:t>投标人内部管理制度（如薪酬管理制度、质量控制制度、人员培训考核制度）完善，齐全得10分；</w:t>
            </w:r>
            <w:r>
              <w:rPr>
                <w:rStyle w:val="202"/>
                <w:lang w:val="en-US" w:eastAsia="zh-CN" w:bidi="ar"/>
              </w:rPr>
              <w:br w:type="textWrapping"/>
            </w:r>
            <w:r>
              <w:rPr>
                <w:rStyle w:val="202"/>
                <w:lang w:val="en-US" w:eastAsia="zh-CN" w:bidi="ar"/>
              </w:rPr>
              <w:t>投标人内部管理制度（如薪酬管理制度、质量控制制度、人员培训考核制度）</w:t>
            </w:r>
            <w:r>
              <w:rPr>
                <w:rFonts w:hint="eastAsia" w:ascii="宋体" w:hAnsi="宋体" w:eastAsia="宋体" w:cs="宋体"/>
                <w:i w:val="0"/>
                <w:color w:val="auto"/>
                <w:kern w:val="0"/>
                <w:sz w:val="24"/>
                <w:szCs w:val="24"/>
                <w:u w:val="none"/>
                <w:lang w:val="en-US" w:eastAsia="zh-CN" w:bidi="ar"/>
              </w:rPr>
              <w:t>相对完善</w:t>
            </w:r>
            <w:r>
              <w:rPr>
                <w:rStyle w:val="202"/>
                <w:color w:val="auto"/>
                <w:lang w:val="en-US" w:eastAsia="zh-CN" w:bidi="ar"/>
              </w:rPr>
              <w:t>得6分；</w:t>
            </w:r>
            <w:r>
              <w:rPr>
                <w:rStyle w:val="202"/>
                <w:color w:val="auto"/>
                <w:lang w:val="en-US" w:eastAsia="zh-CN" w:bidi="ar"/>
              </w:rPr>
              <w:br w:type="textWrapping"/>
            </w:r>
            <w:r>
              <w:rPr>
                <w:rStyle w:val="202"/>
                <w:color w:val="auto"/>
                <w:lang w:val="en-US" w:eastAsia="zh-CN" w:bidi="ar"/>
              </w:rPr>
              <w:t>投标人内部管理制度（如薪酬管理制度、质量控制制度、人员培训考核制度）</w:t>
            </w:r>
            <w:r>
              <w:rPr>
                <w:rFonts w:hint="eastAsia" w:ascii="宋体" w:hAnsi="宋体" w:eastAsia="宋体" w:cs="宋体"/>
                <w:i w:val="0"/>
                <w:color w:val="auto"/>
                <w:kern w:val="0"/>
                <w:sz w:val="24"/>
                <w:szCs w:val="24"/>
                <w:u w:val="none"/>
                <w:lang w:val="en-US" w:eastAsia="zh-CN" w:bidi="ar"/>
              </w:rPr>
              <w:t>明显缺失</w:t>
            </w:r>
            <w:r>
              <w:rPr>
                <w:rStyle w:val="202"/>
                <w:color w:val="auto"/>
                <w:lang w:val="en-US" w:eastAsia="zh-CN" w:bidi="ar"/>
              </w:rPr>
              <w:t>得2分；</w:t>
            </w:r>
            <w:r>
              <w:rPr>
                <w:rStyle w:val="202"/>
                <w:color w:val="auto"/>
                <w:lang w:val="en-US" w:eastAsia="zh-CN" w:bidi="ar"/>
              </w:rPr>
              <w:br w:type="textWrapping"/>
            </w:r>
            <w:r>
              <w:rPr>
                <w:rStyle w:val="202"/>
                <w:lang w:val="en-US" w:eastAsia="zh-CN" w:bidi="ar"/>
              </w:rPr>
              <w:t>未提供相关内容不得分。</w:t>
            </w:r>
          </w:p>
        </w:tc>
        <w:tc>
          <w:tcPr>
            <w:tcW w:w="870" w:type="dxa"/>
            <w:vMerge w:val="restart"/>
            <w:tcBorders>
              <w:top w:val="single" w:color="000000" w:sz="4" w:space="0"/>
              <w:left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75" w:hRule="atLeast"/>
        </w:trPr>
        <w:tc>
          <w:tcPr>
            <w:tcW w:w="736" w:type="dxa"/>
            <w:tcBorders>
              <w:left w:val="single" w:color="000000" w:sz="4" w:space="0"/>
              <w:right w:val="single" w:color="000000" w:sz="4" w:space="0"/>
            </w:tcBorders>
            <w:vAlign w:val="center"/>
          </w:tcPr>
          <w:p>
            <w:pPr>
              <w:jc w:val="center"/>
              <w:rPr>
                <w:rFonts w:hint="eastAsia" w:ascii="宋体" w:hAnsi="宋体" w:eastAsia="宋体" w:cs="宋体"/>
                <w:b w:val="0"/>
                <w:bCs/>
                <w:i w:val="0"/>
                <w:color w:val="000000"/>
                <w:kern w:val="0"/>
                <w:sz w:val="24"/>
                <w:szCs w:val="24"/>
                <w:u w:val="none"/>
                <w:lang w:val="en-US" w:eastAsia="zh-CN" w:bidi="ar"/>
              </w:rPr>
            </w:pPr>
          </w:p>
        </w:tc>
        <w:tc>
          <w:tcPr>
            <w:tcW w:w="999" w:type="dxa"/>
            <w:vMerge w:val="continue"/>
            <w:tcBorders>
              <w:left w:val="single" w:color="000000" w:sz="4" w:space="0"/>
              <w:right w:val="single" w:color="000000" w:sz="4" w:space="0"/>
            </w:tcBorders>
            <w:vAlign w:val="center"/>
          </w:tcPr>
          <w:p>
            <w:pPr>
              <w:jc w:val="center"/>
              <w:rPr>
                <w:rFonts w:hint="eastAsia" w:ascii="宋体" w:hAnsi="宋体" w:eastAsia="宋体" w:cs="宋体"/>
                <w:b/>
                <w:i w:val="0"/>
                <w:color w:val="000000"/>
                <w:kern w:val="0"/>
                <w:sz w:val="24"/>
                <w:szCs w:val="24"/>
                <w:u w:val="none"/>
                <w:lang w:val="en-US" w:eastAsia="zh-CN" w:bidi="ar"/>
              </w:rPr>
            </w:pPr>
          </w:p>
        </w:tc>
        <w:tc>
          <w:tcPr>
            <w:tcW w:w="1075" w:type="dxa"/>
            <w:vMerge w:val="continue"/>
            <w:tcBorders>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i w:val="0"/>
                <w:color w:val="000000"/>
                <w:kern w:val="0"/>
                <w:sz w:val="24"/>
                <w:szCs w:val="24"/>
                <w:u w:val="none"/>
                <w:lang w:val="en-US" w:eastAsia="zh-CN" w:bidi="ar"/>
              </w:rPr>
            </w:pPr>
          </w:p>
        </w:tc>
        <w:tc>
          <w:tcPr>
            <w:tcW w:w="5851" w:type="dxa"/>
            <w:vMerge w:val="continue"/>
            <w:tcBorders>
              <w:left w:val="single" w:color="000000" w:sz="4" w:space="0"/>
              <w:bottom w:val="single" w:color="000000" w:sz="4" w:space="0"/>
            </w:tcBorders>
            <w:vAlign w:val="center"/>
          </w:tcPr>
          <w:p>
            <w:pPr>
              <w:keepNext w:val="0"/>
              <w:keepLines w:val="0"/>
              <w:widowControl/>
              <w:suppressLineNumbers w:val="0"/>
              <w:jc w:val="left"/>
              <w:textAlignment w:val="center"/>
              <w:rPr>
                <w:rFonts w:hint="eastAsia" w:ascii="宋体" w:hAnsi="宋体" w:eastAsia="宋体" w:cs="宋体"/>
                <w:b/>
                <w:i w:val="0"/>
                <w:color w:val="000000"/>
                <w:kern w:val="0"/>
                <w:sz w:val="24"/>
                <w:szCs w:val="24"/>
                <w:u w:val="none"/>
                <w:lang w:val="en-US" w:eastAsia="zh-CN" w:bidi="ar"/>
              </w:rPr>
            </w:pPr>
          </w:p>
        </w:tc>
        <w:tc>
          <w:tcPr>
            <w:tcW w:w="870" w:type="dxa"/>
            <w:vMerge w:val="continue"/>
            <w:tcBorders>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736" w:type="dxa"/>
            <w:tcBorders>
              <w:left w:val="single" w:color="000000" w:sz="4" w:space="0"/>
              <w:bottom w:val="single" w:color="000000" w:sz="4" w:space="0"/>
              <w:right w:val="single" w:color="000000" w:sz="4" w:space="0"/>
            </w:tcBorders>
            <w:vAlign w:val="center"/>
          </w:tcPr>
          <w:p>
            <w:pPr>
              <w:jc w:val="center"/>
              <w:rPr>
                <w:rFonts w:hint="eastAsia" w:ascii="宋体" w:hAnsi="宋体" w:eastAsia="宋体" w:cs="宋体"/>
                <w:b w:val="0"/>
                <w:bCs/>
                <w:i w:val="0"/>
                <w:color w:val="000000"/>
                <w:kern w:val="0"/>
                <w:sz w:val="24"/>
                <w:szCs w:val="24"/>
                <w:u w:val="none"/>
                <w:lang w:val="en-US" w:eastAsia="zh-CN" w:bidi="ar"/>
              </w:rPr>
            </w:pPr>
          </w:p>
        </w:tc>
        <w:tc>
          <w:tcPr>
            <w:tcW w:w="999" w:type="dxa"/>
            <w:vMerge w:val="continue"/>
            <w:tcBorders>
              <w:left w:val="single" w:color="000000" w:sz="4" w:space="0"/>
              <w:bottom w:val="single" w:color="000000" w:sz="4" w:space="0"/>
              <w:right w:val="single" w:color="000000" w:sz="4" w:space="0"/>
            </w:tcBorders>
            <w:vAlign w:val="center"/>
          </w:tcPr>
          <w:p>
            <w:pPr>
              <w:jc w:val="center"/>
              <w:rPr>
                <w:rFonts w:hint="eastAsia" w:ascii="宋体" w:hAnsi="宋体" w:eastAsia="宋体" w:cs="宋体"/>
                <w:b/>
                <w:i w:val="0"/>
                <w:color w:val="000000"/>
                <w:kern w:val="0"/>
                <w:sz w:val="24"/>
                <w:szCs w:val="24"/>
                <w:u w:val="none"/>
                <w:lang w:val="en-US" w:eastAsia="zh-CN" w:bidi="ar"/>
              </w:rPr>
            </w:pPr>
          </w:p>
        </w:tc>
        <w:tc>
          <w:tcPr>
            <w:tcW w:w="107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保密措施</w:t>
            </w:r>
          </w:p>
        </w:tc>
        <w:tc>
          <w:tcPr>
            <w:tcW w:w="5851" w:type="dxa"/>
            <w:tcBorders>
              <w:top w:val="single" w:color="000000" w:sz="4" w:space="0"/>
              <w:left w:val="single" w:color="000000" w:sz="4" w:space="0"/>
              <w:bottom w:val="single" w:color="000000" w:sz="4" w:space="0"/>
            </w:tcBorders>
            <w:vAlign w:val="center"/>
          </w:tcPr>
          <w:p>
            <w:pPr>
              <w:keepNext w:val="0"/>
              <w:keepLines w:val="0"/>
              <w:widowControl/>
              <w:suppressLineNumbers w:val="0"/>
              <w:jc w:val="left"/>
              <w:textAlignment w:val="center"/>
              <w:rPr>
                <w:rFonts w:hint="eastAsia" w:ascii="宋体" w:hAnsi="宋体" w:eastAsia="宋体" w:cs="宋体"/>
                <w:b/>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保密措施提供完整可行得10分，提供的不够完整的得6分，提供的内容明显缺失得2分；未提供相关内容不得分。</w:t>
            </w:r>
          </w:p>
        </w:tc>
        <w:tc>
          <w:tcPr>
            <w:tcW w:w="8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996" w:hRule="atLeast"/>
        </w:trPr>
        <w:tc>
          <w:tcPr>
            <w:tcW w:w="736" w:type="dxa"/>
            <w:vMerge w:val="restart"/>
            <w:tcBorders>
              <w:top w:val="single" w:color="000000" w:sz="4" w:space="0"/>
              <w:left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i w:val="0"/>
                <w:color w:val="000000"/>
                <w:kern w:val="0"/>
                <w:sz w:val="24"/>
                <w:szCs w:val="24"/>
                <w:u w:val="none"/>
                <w:lang w:val="en-US" w:eastAsia="zh-CN" w:bidi="ar"/>
              </w:rPr>
            </w:pPr>
            <w:r>
              <w:rPr>
                <w:rFonts w:hint="eastAsia" w:ascii="宋体" w:hAnsi="宋体" w:eastAsia="宋体" w:cs="宋体"/>
                <w:b w:val="0"/>
                <w:bCs/>
                <w:i w:val="0"/>
                <w:color w:val="000000"/>
                <w:kern w:val="0"/>
                <w:sz w:val="24"/>
                <w:szCs w:val="24"/>
                <w:u w:val="none"/>
                <w:lang w:val="en-US" w:eastAsia="zh-CN" w:bidi="ar"/>
              </w:rPr>
              <w:t>3</w:t>
            </w:r>
          </w:p>
        </w:tc>
        <w:tc>
          <w:tcPr>
            <w:tcW w:w="999"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团队人员</w:t>
            </w:r>
          </w:p>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（20分）</w:t>
            </w:r>
          </w:p>
        </w:tc>
        <w:tc>
          <w:tcPr>
            <w:tcW w:w="107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项目团队人员</w:t>
            </w:r>
          </w:p>
        </w:tc>
        <w:tc>
          <w:tcPr>
            <w:tcW w:w="5851" w:type="dxa"/>
            <w:tcBorders>
              <w:top w:val="single" w:color="000000" w:sz="4" w:space="0"/>
              <w:left w:val="single" w:color="000000" w:sz="4" w:space="0"/>
              <w:bottom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项目团队注册造价工程师占比(提供注册造价工程师证书，2019年以前取得资格的可不体现分级，2019年及之后取得资格的为一级）：</w:t>
            </w:r>
          </w:p>
          <w:p>
            <w:pPr>
              <w:keepNext w:val="0"/>
              <w:keepLines w:val="0"/>
              <w:widowControl/>
              <w:suppressLineNumbers w:val="0"/>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≥50%，得10分；</w:t>
            </w:r>
          </w:p>
          <w:p>
            <w:pPr>
              <w:keepNext w:val="0"/>
              <w:keepLines w:val="0"/>
              <w:widowControl/>
              <w:suppressLineNumbers w:val="0"/>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30%≤占比&lt;50%，得6分；</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30%以下，得2分。</w:t>
            </w:r>
          </w:p>
        </w:tc>
        <w:tc>
          <w:tcPr>
            <w:tcW w:w="8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636" w:hRule="atLeast"/>
        </w:trPr>
        <w:tc>
          <w:tcPr>
            <w:tcW w:w="736" w:type="dxa"/>
            <w:vMerge w:val="continue"/>
            <w:tcBorders>
              <w:left w:val="single" w:color="000000" w:sz="4" w:space="0"/>
              <w:bottom w:val="single" w:color="000000" w:sz="4" w:space="0"/>
              <w:right w:val="single" w:color="000000" w:sz="4" w:space="0"/>
            </w:tcBorders>
            <w:vAlign w:val="center"/>
          </w:tcPr>
          <w:p>
            <w:pPr>
              <w:jc w:val="center"/>
              <w:rPr>
                <w:rFonts w:hint="eastAsia" w:ascii="宋体" w:hAnsi="宋体" w:eastAsia="宋体" w:cs="宋体"/>
                <w:b w:val="0"/>
                <w:bCs/>
                <w:i w:val="0"/>
                <w:color w:val="000000"/>
                <w:sz w:val="24"/>
                <w:szCs w:val="24"/>
                <w:u w:val="none"/>
              </w:rPr>
            </w:pPr>
          </w:p>
        </w:tc>
        <w:tc>
          <w:tcPr>
            <w:tcW w:w="99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color w:val="000000"/>
                <w:sz w:val="24"/>
                <w:szCs w:val="24"/>
                <w:u w:val="none"/>
              </w:rPr>
            </w:pPr>
          </w:p>
        </w:tc>
        <w:tc>
          <w:tcPr>
            <w:tcW w:w="107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团队结构及配置</w:t>
            </w:r>
          </w:p>
        </w:tc>
        <w:tc>
          <w:tcPr>
            <w:tcW w:w="5851" w:type="dxa"/>
            <w:tcBorders>
              <w:top w:val="single" w:color="000000" w:sz="4" w:space="0"/>
              <w:left w:val="single" w:color="000000" w:sz="4" w:space="0"/>
              <w:bottom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人员专业配置：</w:t>
            </w:r>
          </w:p>
          <w:p>
            <w:pPr>
              <w:keepNext w:val="0"/>
              <w:keepLines w:val="0"/>
              <w:widowControl/>
              <w:suppressLineNumbers w:val="0"/>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人员结构科学、专业配置齐全：得10分；</w:t>
            </w:r>
          </w:p>
          <w:p>
            <w:pPr>
              <w:keepNext w:val="0"/>
              <w:keepLines w:val="0"/>
              <w:widowControl/>
              <w:suppressLineNumbers w:val="0"/>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人员结构较科学、专业配置较齐全：得6分；</w:t>
            </w:r>
          </w:p>
          <w:p>
            <w:pPr>
              <w:keepNext w:val="0"/>
              <w:keepLines w:val="0"/>
              <w:widowControl/>
              <w:suppressLineNumbers w:val="0"/>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人员结构不明确、专业配置不齐全：得2分；</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未提供相关内容不得分。</w:t>
            </w:r>
          </w:p>
        </w:tc>
        <w:tc>
          <w:tcPr>
            <w:tcW w:w="8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996" w:hRule="atLeast"/>
        </w:trPr>
        <w:tc>
          <w:tcPr>
            <w:tcW w:w="736" w:type="dxa"/>
            <w:tcBorders>
              <w:top w:val="single" w:color="000000" w:sz="4" w:space="0"/>
              <w:left w:val="single" w:color="000000" w:sz="4" w:space="0"/>
              <w:bottom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i w:val="0"/>
                <w:color w:val="000000"/>
                <w:kern w:val="0"/>
                <w:sz w:val="24"/>
                <w:szCs w:val="24"/>
                <w:u w:val="none"/>
                <w:lang w:val="en-US" w:eastAsia="zh-CN" w:bidi="ar"/>
              </w:rPr>
            </w:pPr>
            <w:r>
              <w:rPr>
                <w:rFonts w:hint="eastAsia" w:ascii="宋体" w:hAnsi="宋体" w:eastAsia="宋体" w:cs="宋体"/>
                <w:b w:val="0"/>
                <w:bCs/>
                <w:i w:val="0"/>
                <w:color w:val="000000"/>
                <w:kern w:val="0"/>
                <w:sz w:val="24"/>
                <w:szCs w:val="24"/>
                <w:u w:val="none"/>
                <w:lang w:val="en-US" w:eastAsia="zh-CN" w:bidi="ar"/>
              </w:rPr>
              <w:t>4</w:t>
            </w:r>
          </w:p>
        </w:tc>
        <w:tc>
          <w:tcPr>
            <w:tcW w:w="999" w:type="dxa"/>
            <w:tcBorders>
              <w:top w:val="single" w:color="000000" w:sz="4" w:space="0"/>
              <w:left w:val="single" w:color="000000" w:sz="4" w:space="0"/>
              <w:bottom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供应商业绩</w:t>
            </w:r>
          </w:p>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（10分）</w:t>
            </w:r>
          </w:p>
        </w:tc>
        <w:tc>
          <w:tcPr>
            <w:tcW w:w="107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类似业绩</w:t>
            </w:r>
          </w:p>
        </w:tc>
        <w:tc>
          <w:tcPr>
            <w:tcW w:w="5851" w:type="dxa"/>
            <w:tcBorders>
              <w:top w:val="single" w:color="000000" w:sz="4" w:space="0"/>
              <w:left w:val="single" w:color="000000" w:sz="4" w:space="0"/>
              <w:bottom w:val="single" w:color="000000" w:sz="4" w:space="0"/>
            </w:tcBorders>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2021年1月1日至今承担过类似的业绩（提供合同关键页复印件及甲方联系人、电话及体现评审业绩的成果文件；若为甲方提供的服务为一次性签订合同从事多个项目工作的，除上述材料须另附具体项目清单，每个项目算为一个业绩）每提供1个得5分，最高10分，不提供不得分。</w:t>
            </w:r>
          </w:p>
        </w:tc>
        <w:tc>
          <w:tcPr>
            <w:tcW w:w="87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1735" w:type="dxa"/>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总计</w:t>
            </w:r>
          </w:p>
        </w:tc>
        <w:tc>
          <w:tcPr>
            <w:tcW w:w="6926" w:type="dxa"/>
            <w:gridSpan w:val="2"/>
            <w:tcBorders>
              <w:top w:val="single" w:color="000000" w:sz="4" w:space="0"/>
              <w:left w:val="single" w:color="000000" w:sz="4" w:space="0"/>
              <w:bottom w:val="single" w:color="000000" w:sz="4" w:space="0"/>
            </w:tcBorders>
            <w:vAlign w:val="center"/>
          </w:tcPr>
          <w:p>
            <w:pPr>
              <w:jc w:val="center"/>
              <w:rPr>
                <w:rFonts w:hint="eastAsia" w:ascii="宋体" w:hAnsi="宋体" w:eastAsia="宋体" w:cs="宋体"/>
                <w:b/>
                <w:i w:val="0"/>
                <w:color w:val="000000"/>
                <w:sz w:val="24"/>
                <w:szCs w:val="24"/>
                <w:u w:val="none"/>
              </w:rPr>
            </w:pPr>
          </w:p>
        </w:tc>
        <w:tc>
          <w:tcPr>
            <w:tcW w:w="870"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i w:val="0"/>
                <w:color w:val="000000"/>
                <w:sz w:val="24"/>
                <w:szCs w:val="24"/>
                <w:u w:val="none"/>
                <w:lang w:val="en-US" w:eastAsia="zh-CN"/>
              </w:rPr>
            </w:pPr>
            <w:r>
              <w:rPr>
                <w:rFonts w:hint="eastAsia" w:ascii="宋体" w:hAnsi="宋体" w:eastAsia="宋体" w:cs="宋体"/>
                <w:b/>
                <w:i w:val="0"/>
                <w:color w:val="000000"/>
                <w:sz w:val="24"/>
                <w:szCs w:val="24"/>
                <w:u w:val="none"/>
                <w:lang w:val="en-US" w:eastAsia="zh-CN"/>
              </w:rPr>
              <w:t>100</w:t>
            </w:r>
          </w:p>
        </w:tc>
      </w:tr>
    </w:tbl>
    <w:p>
      <w:pPr>
        <w:pStyle w:val="2"/>
        <w:rPr>
          <w:rFonts w:hint="eastAsia"/>
        </w:rPr>
      </w:pPr>
    </w:p>
    <w:p>
      <w:pPr>
        <w:numPr>
          <w:ilvl w:val="0"/>
          <w:numId w:val="0"/>
        </w:numPr>
        <w:spacing w:line="360" w:lineRule="auto"/>
        <w:jc w:val="center"/>
        <w:rPr>
          <w:rFonts w:hint="eastAsia" w:hAnsi="宋体"/>
          <w:b/>
          <w:bCs/>
          <w:color w:val="auto"/>
          <w:sz w:val="32"/>
          <w:szCs w:val="32"/>
          <w:highlight w:val="none"/>
          <w:lang w:val="en-US" w:eastAsia="zh-CN"/>
        </w:rPr>
      </w:pPr>
    </w:p>
    <w:p>
      <w:pPr>
        <w:numPr>
          <w:ilvl w:val="0"/>
          <w:numId w:val="0"/>
        </w:numPr>
        <w:spacing w:line="360" w:lineRule="auto"/>
        <w:jc w:val="center"/>
        <w:rPr>
          <w:rFonts w:hint="eastAsia" w:hAnsi="宋体"/>
          <w:b/>
          <w:bCs/>
          <w:color w:val="auto"/>
          <w:sz w:val="32"/>
          <w:szCs w:val="32"/>
          <w:highlight w:val="none"/>
          <w:lang w:val="en-US" w:eastAsia="zh-CN"/>
        </w:rPr>
      </w:pPr>
    </w:p>
    <w:p>
      <w:pPr>
        <w:numPr>
          <w:ilvl w:val="0"/>
          <w:numId w:val="0"/>
        </w:numPr>
        <w:spacing w:line="360" w:lineRule="auto"/>
        <w:jc w:val="center"/>
        <w:rPr>
          <w:rFonts w:hint="eastAsia" w:hAnsi="宋体"/>
          <w:b/>
          <w:bCs/>
          <w:color w:val="auto"/>
          <w:sz w:val="32"/>
          <w:szCs w:val="32"/>
          <w:highlight w:val="none"/>
          <w:lang w:val="en-US" w:eastAsia="zh-CN"/>
        </w:rPr>
      </w:pPr>
    </w:p>
    <w:p>
      <w:pPr>
        <w:numPr>
          <w:ilvl w:val="0"/>
          <w:numId w:val="0"/>
        </w:numPr>
        <w:spacing w:line="360" w:lineRule="auto"/>
        <w:jc w:val="center"/>
        <w:rPr>
          <w:rFonts w:hint="eastAsia" w:hAnsi="宋体"/>
          <w:b/>
          <w:bCs/>
          <w:color w:val="auto"/>
          <w:sz w:val="32"/>
          <w:szCs w:val="32"/>
          <w:highlight w:val="none"/>
          <w:lang w:val="en-US" w:eastAsia="zh-CN"/>
        </w:rPr>
      </w:pPr>
    </w:p>
    <w:p>
      <w:pPr>
        <w:pStyle w:val="2"/>
        <w:ind w:left="0" w:leftChars="0" w:firstLine="0" w:firstLineChars="0"/>
        <w:rPr>
          <w:rFonts w:hint="eastAsia" w:hAnsi="宋体"/>
          <w:b/>
          <w:bCs/>
          <w:color w:val="auto"/>
          <w:sz w:val="32"/>
          <w:szCs w:val="32"/>
          <w:highlight w:val="none"/>
          <w:lang w:val="en-US" w:eastAsia="zh-CN"/>
        </w:rPr>
      </w:pPr>
    </w:p>
    <w:p>
      <w:pPr>
        <w:rPr>
          <w:rFonts w:hint="eastAsia"/>
          <w:lang w:val="en-US" w:eastAsia="zh-CN"/>
        </w:rPr>
      </w:pPr>
    </w:p>
    <w:p>
      <w:pPr>
        <w:numPr>
          <w:ilvl w:val="0"/>
          <w:numId w:val="0"/>
        </w:numPr>
        <w:spacing w:line="360" w:lineRule="auto"/>
        <w:jc w:val="center"/>
        <w:rPr>
          <w:rFonts w:hint="eastAsia" w:hAnsi="宋体"/>
          <w:b/>
          <w:bCs/>
          <w:color w:val="auto"/>
          <w:sz w:val="32"/>
          <w:szCs w:val="32"/>
          <w:highlight w:val="none"/>
          <w:lang w:val="en-US" w:eastAsia="zh-CN"/>
        </w:rPr>
      </w:pPr>
      <w:r>
        <w:rPr>
          <w:rFonts w:hint="eastAsia" w:hAnsi="宋体"/>
          <w:b/>
          <w:bCs/>
          <w:color w:val="auto"/>
          <w:sz w:val="32"/>
          <w:szCs w:val="32"/>
          <w:highlight w:val="none"/>
          <w:lang w:val="en-US" w:eastAsia="zh-CN"/>
        </w:rPr>
        <w:t>第六部分  合同格式</w:t>
      </w:r>
    </w:p>
    <w:p>
      <w:pPr>
        <w:keepNext w:val="0"/>
        <w:keepLines w:val="0"/>
        <w:pageBreakBefore w:val="0"/>
        <w:widowControl w:val="0"/>
        <w:kinsoku/>
        <w:wordWrap/>
        <w:overflowPunct w:val="0"/>
        <w:topLinePunct w:val="0"/>
        <w:autoSpaceDE w:val="0"/>
        <w:autoSpaceDN w:val="0"/>
        <w:bidi w:val="0"/>
        <w:adjustRightInd w:val="0"/>
        <w:snapToGrid w:val="0"/>
        <w:spacing w:line="360" w:lineRule="auto"/>
        <w:ind w:left="0"/>
        <w:jc w:val="center"/>
        <w:textAlignment w:val="auto"/>
        <w:rPr>
          <w:rFonts w:hint="eastAsia" w:ascii="宋体" w:hAnsi="宋体"/>
          <w:snapToGrid w:val="0"/>
          <w:w w:val="100"/>
          <w:kern w:val="0"/>
          <w:lang w:val="en-US" w:eastAsia="zh-CN"/>
        </w:rPr>
      </w:pPr>
    </w:p>
    <w:p>
      <w:pPr>
        <w:spacing w:before="156" w:beforeLines="50"/>
        <w:jc w:val="center"/>
        <w:rPr>
          <w:rFonts w:hint="eastAsia" w:ascii="宋体" w:hAnsi="宋体" w:eastAsia="宋体" w:cs="宋体"/>
          <w:sz w:val="72"/>
          <w:szCs w:val="36"/>
        </w:rPr>
      </w:pPr>
      <w:r>
        <w:rPr>
          <w:rFonts w:hint="eastAsia" w:ascii="宋体" w:hAnsi="宋体" w:eastAsia="宋体" w:cs="宋体"/>
          <w:sz w:val="72"/>
          <w:szCs w:val="36"/>
        </w:rPr>
        <w:t>北京市石景山区财政局</w:t>
      </w:r>
    </w:p>
    <w:p>
      <w:pPr>
        <w:spacing w:before="156" w:beforeLines="50"/>
        <w:jc w:val="center"/>
        <w:rPr>
          <w:rFonts w:hint="eastAsia" w:ascii="宋体" w:hAnsi="宋体" w:eastAsia="宋体" w:cs="宋体"/>
          <w:sz w:val="72"/>
          <w:szCs w:val="36"/>
        </w:rPr>
      </w:pPr>
      <w:r>
        <w:rPr>
          <w:rFonts w:hint="eastAsia" w:ascii="宋体" w:hAnsi="宋体" w:eastAsia="宋体" w:cs="宋体"/>
          <w:sz w:val="72"/>
          <w:szCs w:val="36"/>
        </w:rPr>
        <w:t>财政评审服务合同</w:t>
      </w:r>
    </w:p>
    <w:p>
      <w:pPr>
        <w:spacing w:before="156" w:beforeLines="50"/>
        <w:jc w:val="center"/>
        <w:rPr>
          <w:rFonts w:ascii="宋体" w:hAnsi="宋体"/>
          <w:sz w:val="44"/>
          <w:szCs w:val="36"/>
        </w:rPr>
      </w:pPr>
    </w:p>
    <w:p>
      <w:pPr>
        <w:spacing w:before="156" w:beforeLines="50"/>
        <w:jc w:val="center"/>
        <w:rPr>
          <w:rFonts w:ascii="宋体" w:hAnsi="宋体"/>
          <w:sz w:val="36"/>
          <w:szCs w:val="36"/>
        </w:rPr>
      </w:pPr>
    </w:p>
    <w:p>
      <w:pPr>
        <w:spacing w:line="360" w:lineRule="auto"/>
        <w:ind w:firstLine="560" w:firstLineChars="200"/>
        <w:rPr>
          <w:rFonts w:hint="eastAsia" w:ascii="宋体" w:hAnsi="宋体" w:eastAsia="宋体" w:cs="宋体"/>
          <w:bCs/>
          <w:sz w:val="28"/>
        </w:rPr>
      </w:pPr>
    </w:p>
    <w:p>
      <w:pPr>
        <w:spacing w:line="360" w:lineRule="auto"/>
        <w:ind w:firstLine="1120" w:firstLineChars="400"/>
        <w:rPr>
          <w:rFonts w:hint="eastAsia" w:ascii="宋体" w:hAnsi="宋体" w:eastAsia="宋体" w:cs="宋体"/>
          <w:bCs/>
          <w:sz w:val="28"/>
          <w:szCs w:val="28"/>
        </w:rPr>
      </w:pPr>
      <w:r>
        <w:rPr>
          <w:rFonts w:hint="eastAsia" w:ascii="宋体" w:hAnsi="宋体" w:eastAsia="宋体" w:cs="宋体"/>
          <w:bCs/>
          <w:sz w:val="28"/>
          <w:szCs w:val="28"/>
        </w:rPr>
        <w:t>编号：</w:t>
      </w:r>
    </w:p>
    <w:p>
      <w:pPr>
        <w:spacing w:line="360" w:lineRule="auto"/>
        <w:ind w:firstLine="420" w:firstLineChars="200"/>
        <w:jc w:val="center"/>
        <w:rPr>
          <w:rFonts w:hint="eastAsia" w:ascii="宋体" w:hAnsi="宋体" w:eastAsia="宋体" w:cs="宋体"/>
          <w:bCs/>
          <w:szCs w:val="21"/>
        </w:rPr>
      </w:pPr>
    </w:p>
    <w:p>
      <w:pPr>
        <w:spacing w:line="360" w:lineRule="auto"/>
        <w:ind w:firstLine="420" w:firstLineChars="200"/>
        <w:rPr>
          <w:rFonts w:hint="eastAsia" w:ascii="宋体" w:hAnsi="宋体" w:eastAsia="宋体" w:cs="宋体"/>
          <w:bCs/>
          <w:szCs w:val="21"/>
        </w:rPr>
      </w:pPr>
    </w:p>
    <w:p>
      <w:pPr>
        <w:ind w:firstLine="105" w:firstLineChars="50"/>
        <w:rPr>
          <w:rFonts w:hint="eastAsia" w:ascii="宋体" w:hAnsi="宋体" w:eastAsia="宋体" w:cs="宋体"/>
          <w:szCs w:val="21"/>
        </w:rPr>
      </w:pPr>
      <w:r>
        <w:rPr>
          <w:rFonts w:hint="eastAsia" w:ascii="宋体" w:hAnsi="宋体" w:eastAsia="宋体" w:cs="宋体"/>
          <w:bCs/>
          <w:szCs w:val="21"/>
        </w:rPr>
        <w:br w:type="page"/>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委托方（以下简称甲方）：北京市石景山区财政局</w:t>
      </w:r>
    </w:p>
    <w:p>
      <w:pPr>
        <w:spacing w:before="312" w:beforeLines="100" w:after="312" w:afterLines="100"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地址：北京市石景山区阜石路167号</w:t>
      </w:r>
    </w:p>
    <w:p>
      <w:pPr>
        <w:spacing w:before="312" w:beforeLines="100" w:after="312" w:afterLines="100" w:line="400" w:lineRule="exact"/>
        <w:ind w:firstLine="480" w:firstLineChars="200"/>
        <w:rPr>
          <w:rFonts w:hint="eastAsia" w:ascii="宋体" w:hAnsi="宋体" w:eastAsia="宋体" w:cs="宋体"/>
          <w:sz w:val="24"/>
          <w:szCs w:val="24"/>
        </w:rPr>
      </w:pPr>
    </w:p>
    <w:p>
      <w:pPr>
        <w:spacing w:before="312" w:beforeLines="100" w:after="312" w:afterLines="100" w:line="400" w:lineRule="exact"/>
        <w:ind w:firstLine="480" w:firstLineChars="200"/>
        <w:rPr>
          <w:rFonts w:hint="eastAsia" w:ascii="宋体" w:hAnsi="宋体" w:eastAsia="宋体" w:cs="宋体"/>
          <w:bCs/>
          <w:sz w:val="24"/>
          <w:szCs w:val="24"/>
        </w:rPr>
      </w:pPr>
      <w:r>
        <w:rPr>
          <w:rFonts w:hint="eastAsia" w:ascii="宋体" w:hAnsi="宋体" w:eastAsia="宋体" w:cs="宋体"/>
          <w:sz w:val="24"/>
          <w:szCs w:val="24"/>
        </w:rPr>
        <w:t>受托方（以下简称乙方）：</w:t>
      </w:r>
    </w:p>
    <w:p>
      <w:pPr>
        <w:spacing w:before="312" w:beforeLines="100" w:after="312" w:afterLines="100"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地址：</w:t>
      </w:r>
    </w:p>
    <w:p>
      <w:pPr>
        <w:spacing w:before="312" w:beforeLines="100" w:after="312" w:afterLines="100" w:line="400" w:lineRule="exact"/>
        <w:ind w:firstLine="480" w:firstLineChars="200"/>
        <w:rPr>
          <w:rFonts w:hint="eastAsia" w:ascii="宋体" w:hAnsi="宋体" w:eastAsia="宋体" w:cs="宋体"/>
          <w:sz w:val="24"/>
          <w:szCs w:val="24"/>
        </w:rPr>
      </w:pPr>
    </w:p>
    <w:p>
      <w:pPr>
        <w:spacing w:line="560" w:lineRule="exact"/>
        <w:ind w:left="141" w:leftChars="67" w:firstLine="360" w:firstLineChars="150"/>
        <w:rPr>
          <w:rFonts w:hint="eastAsia" w:ascii="宋体" w:hAnsi="宋体" w:eastAsia="宋体" w:cs="宋体"/>
          <w:sz w:val="24"/>
          <w:szCs w:val="24"/>
          <w:u w:val="single"/>
        </w:rPr>
      </w:pPr>
      <w:r>
        <w:rPr>
          <w:rFonts w:hint="eastAsia" w:ascii="宋体" w:hAnsi="宋体" w:eastAsia="宋体" w:cs="宋体"/>
          <w:sz w:val="24"/>
          <w:szCs w:val="24"/>
        </w:rPr>
        <w:t>鉴于甲方财政评审工作的需要，委托乙方作为负责评审任务的中介机构，甲、乙双方在协商一致的基础上签订本合同，供双方共同遵守执行。</w:t>
      </w:r>
    </w:p>
    <w:p>
      <w:pPr>
        <w:spacing w:before="156" w:beforeLines="50" w:after="156" w:afterLines="50"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1、合同术语定义</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除非另有特别的解释或说明，在本合同中及与合同相关的，甲乙双方另行签署的其他文件（包括但不限于本合同的附件）中，下述词语均按照如下定义进行解释：</w:t>
      </w:r>
    </w:p>
    <w:p>
      <w:pPr>
        <w:tabs>
          <w:tab w:val="left" w:pos="1995"/>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1.1、“甲方”系指北京市石景山区财政局；</w:t>
      </w:r>
    </w:p>
    <w:p>
      <w:pPr>
        <w:tabs>
          <w:tab w:val="left" w:pos="1995"/>
        </w:tabs>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1.2、</w:t>
      </w:r>
      <w:r>
        <w:rPr>
          <w:rFonts w:hint="eastAsia" w:ascii="宋体" w:hAnsi="宋体" w:eastAsia="宋体" w:cs="宋体"/>
          <w:sz w:val="24"/>
          <w:szCs w:val="24"/>
        </w:rPr>
        <w:t>“乙方”</w:t>
      </w:r>
      <w:r>
        <w:rPr>
          <w:rFonts w:hint="eastAsia" w:ascii="宋体" w:hAnsi="宋体" w:eastAsia="宋体" w:cs="宋体"/>
          <w:bCs/>
          <w:sz w:val="24"/>
          <w:szCs w:val="24"/>
        </w:rPr>
        <w:t>系指根据</w:t>
      </w:r>
      <w:r>
        <w:rPr>
          <w:rFonts w:hint="eastAsia" w:ascii="宋体" w:hAnsi="宋体" w:eastAsia="宋体" w:cs="宋体"/>
          <w:sz w:val="24"/>
          <w:szCs w:val="24"/>
        </w:rPr>
        <w:t>合同</w:t>
      </w:r>
      <w:r>
        <w:rPr>
          <w:rFonts w:hint="eastAsia" w:ascii="宋体" w:hAnsi="宋体" w:eastAsia="宋体" w:cs="宋体"/>
          <w:bCs/>
          <w:sz w:val="24"/>
          <w:szCs w:val="24"/>
        </w:rPr>
        <w:t>规定向甲方提供服务的具有法人资格的实体，即中标/成交供应商；</w:t>
      </w:r>
    </w:p>
    <w:p>
      <w:pPr>
        <w:tabs>
          <w:tab w:val="left" w:pos="1995"/>
        </w:tabs>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1.3、“项目单位”是指委托合同中各项工作业务所涉及的被审计（评审）检查的单位；</w:t>
      </w:r>
    </w:p>
    <w:p>
      <w:pPr>
        <w:tabs>
          <w:tab w:val="left" w:pos="1995"/>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1.4、“合同”系指甲乙双方签署的，各条款中载明的甲乙双方所达成的约定，包括构成合同的所有附件、附录等所有文件；</w:t>
      </w:r>
    </w:p>
    <w:p>
      <w:pPr>
        <w:spacing w:line="360" w:lineRule="auto"/>
        <w:ind w:left="2" w:firstLine="480" w:firstLineChars="200"/>
        <w:rPr>
          <w:rFonts w:hint="eastAsia" w:ascii="宋体" w:hAnsi="宋体" w:eastAsia="宋体" w:cs="宋体"/>
          <w:sz w:val="24"/>
          <w:szCs w:val="24"/>
        </w:rPr>
      </w:pPr>
      <w:r>
        <w:rPr>
          <w:rFonts w:hint="eastAsia" w:ascii="宋体" w:hAnsi="宋体" w:eastAsia="宋体" w:cs="宋体"/>
          <w:sz w:val="24"/>
          <w:szCs w:val="24"/>
        </w:rPr>
        <w:t>1.5、“服务”系指乙方根据《招标内容及要求》和本合同规定须向甲方提供的全部服务。</w:t>
      </w:r>
    </w:p>
    <w:p>
      <w:pPr>
        <w:spacing w:before="156" w:beforeLines="50" w:after="156" w:afterLines="50"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2、服务综述</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为了甲方的财政评审工作，乙方在甲方的统一组织管理下实施任务，接受甲方的指导和监督，按照规定的程序和方法按时、保质完成，并提交工作报告。</w:t>
      </w:r>
    </w:p>
    <w:p>
      <w:pPr>
        <w:spacing w:before="156" w:beforeLines="50" w:after="156" w:afterLines="50"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3、工作内容</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乙方在甲方指导下，按照规定程序实施任务，具体包括：</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3.1使用财政资金的项目预算评审。</w:t>
      </w:r>
    </w:p>
    <w:p>
      <w:pPr>
        <w:widowControl/>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3.2使用财政资金的项目结算评审。</w:t>
      </w:r>
    </w:p>
    <w:p>
      <w:pPr>
        <w:widowControl/>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3.3甲方委托的其他评审事项。</w:t>
      </w:r>
    </w:p>
    <w:p>
      <w:pPr>
        <w:spacing w:before="156" w:beforeLines="50" w:after="156" w:afterLines="50"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4、工作要求</w:t>
      </w:r>
    </w:p>
    <w:p>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4.1、工作效率</w:t>
      </w:r>
    </w:p>
    <w:p>
      <w:pPr>
        <w:spacing w:before="156" w:beforeLines="50" w:after="156" w:afterLines="5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送审资料合格后，概算、预算项目财政评审应在</w:t>
      </w:r>
      <w:r>
        <w:rPr>
          <w:rFonts w:hint="eastAsia" w:ascii="宋体" w:hAnsi="宋体" w:eastAsia="宋体" w:cs="宋体"/>
          <w:sz w:val="24"/>
          <w:szCs w:val="24"/>
          <w:highlight w:val="none"/>
        </w:rPr>
        <w:t>10个工作日内完成，结算项目财政评审应在22个工作日内完成。团队负责人随时跟进项</w:t>
      </w:r>
      <w:r>
        <w:rPr>
          <w:rFonts w:hint="eastAsia" w:ascii="宋体" w:hAnsi="宋体" w:eastAsia="宋体" w:cs="宋体"/>
          <w:sz w:val="24"/>
          <w:szCs w:val="24"/>
        </w:rPr>
        <w:t>目工作进度并做好记录，特殊情况应及时向甲方报告。</w:t>
      </w:r>
    </w:p>
    <w:p>
      <w:pPr>
        <w:spacing w:before="156" w:beforeLines="50" w:after="156" w:afterLines="50"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4.2、工作依据</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通用依据包括：《工程造价咨询企业管理办法》等。专用依据为甲方出台的财政评审相关管理规定。</w:t>
      </w:r>
    </w:p>
    <w:p>
      <w:pPr>
        <w:spacing w:before="156" w:beforeLines="50" w:after="156" w:afterLines="50"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4.3、服务要求</w:t>
      </w:r>
    </w:p>
    <w:p>
      <w:pPr>
        <w:snapToGrid w:val="0"/>
        <w:spacing w:line="360" w:lineRule="auto"/>
        <w:ind w:firstLine="480" w:firstLineChars="200"/>
        <w:rPr>
          <w:rFonts w:hint="eastAsia" w:ascii="宋体" w:hAnsi="宋体" w:eastAsia="宋体" w:cs="宋体"/>
          <w:b/>
          <w:sz w:val="24"/>
          <w:szCs w:val="24"/>
          <w:highlight w:val="none"/>
        </w:rPr>
      </w:pPr>
      <w:r>
        <w:rPr>
          <w:rFonts w:hint="eastAsia" w:ascii="宋体" w:hAnsi="宋体" w:eastAsia="宋体" w:cs="宋体"/>
          <w:sz w:val="24"/>
          <w:szCs w:val="24"/>
        </w:rPr>
        <w:t>4.3.1对组织机构的要求：乙方应组建专业团队服务甲方，团队成员应不少于10人，专业结构分布合理且具备相应的职业资格，具有丰富从业经验，具备信息化项目评审能力，应确保团队人员相对固定，确需更换人员，应提前一个月报批准且做好人员交接培训，所更换人员资格条件符合服务要求。特殊时段项目数量较多时应及时补充</w:t>
      </w:r>
      <w:r>
        <w:rPr>
          <w:rFonts w:hint="eastAsia" w:ascii="宋体" w:hAnsi="宋体" w:eastAsia="宋体" w:cs="宋体"/>
          <w:sz w:val="24"/>
          <w:szCs w:val="24"/>
          <w:highlight w:val="none"/>
        </w:rPr>
        <w:t>专业人员数量，确保项目审核的时效性。不能以任何形式将项目再次委托给其他中介机构。</w:t>
      </w:r>
      <w:r>
        <w:rPr>
          <w:rFonts w:hint="eastAsia" w:ascii="宋体" w:hAnsi="宋体" w:eastAsia="宋体" w:cs="宋体"/>
          <w:b/>
          <w:sz w:val="24"/>
          <w:szCs w:val="24"/>
          <w:highlight w:val="none"/>
        </w:rPr>
        <w:t>工程建设、信息化等项目根据工作要求安排团队负责人驻场，按照甲方指定地点办理要求的评审工作，应尽可能保证驻场代表固定，原则上不得更换团队负责人、驻场代表。</w:t>
      </w:r>
    </w:p>
    <w:p>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4.3.2对技术力量的要求：①乙方应明确指定一名团队负责人，负责与甲方联络，配合甲方工作。团队负责人应具有注册造价工程师资格、从事工程造价专业五年（含）以上相关工作经验（以注册执业证书初始注册时间为准）；具有较强的组织管理、沟通协调能力；工作态度认真负责，熟悉财政评审管理制度，能够随时跟进各个项目进度。②团队其他人员要求具有3年以上执业经历，业务熟练、勤奋敬业、有团队协作精神、综合业务素质高，人员专业结构合理。③乙方具备财务审核能力，能够对项目中涉及的部分成本费用类内容进行评审。④项目复核人员应具有注册造价工程师资格。</w:t>
      </w:r>
    </w:p>
    <w:p>
      <w:pPr>
        <w:snapToGrid w:val="0"/>
        <w:spacing w:line="360" w:lineRule="auto"/>
        <w:ind w:firstLine="600" w:firstLineChars="250"/>
        <w:rPr>
          <w:rFonts w:hint="eastAsia" w:ascii="宋体" w:hAnsi="宋体" w:eastAsia="宋体" w:cs="宋体"/>
          <w:sz w:val="24"/>
          <w:szCs w:val="24"/>
        </w:rPr>
      </w:pPr>
      <w:r>
        <w:rPr>
          <w:rFonts w:hint="eastAsia" w:ascii="宋体" w:hAnsi="宋体" w:eastAsia="宋体" w:cs="宋体"/>
          <w:sz w:val="24"/>
          <w:szCs w:val="24"/>
        </w:rPr>
        <w:t>4.3.3对审核质量的要求：乙方须遵守国家和地方政府主管部门的有关法律、法规以及甲方制定的财政评审相关规定，客观公正、实事求是地对项目进行审核，确保审核依据充分，程序严谨合规，结果科学公正；乙方要建立评审资料收集方案、进度控制方案及措施、质量内部控制制度。项目审核结果要加盖项目复核人执业章及乙方公章；乙方应严格按照甲方规定的审核程序开展工作，保证各审核环节的工作质量。</w:t>
      </w:r>
    </w:p>
    <w:p>
      <w:pPr>
        <w:spacing w:before="156" w:beforeLines="50" w:after="156" w:afterLines="50"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4.4其它要求</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4.4.1①乙方须在投标文件中针对此内容作出专项承诺并列明各团队人员名单（包含但不限于人员名单、是否为注册造价师、职称情况、专业构成情况等）。②项目团队具备注册造价师资格。③项目团队所有人员本行业工作年限须提供有效证明材料，其中团队负责人、项目复核人、</w:t>
      </w:r>
      <w:r>
        <w:rPr>
          <w:rFonts w:hint="eastAsia" w:ascii="宋体" w:hAnsi="宋体" w:eastAsia="宋体" w:cs="宋体"/>
          <w:b w:val="0"/>
          <w:bCs/>
          <w:sz w:val="24"/>
          <w:szCs w:val="24"/>
        </w:rPr>
        <w:t>驻场</w:t>
      </w:r>
      <w:r>
        <w:rPr>
          <w:rFonts w:hint="eastAsia" w:ascii="宋体" w:hAnsi="宋体" w:eastAsia="宋体" w:cs="宋体"/>
          <w:sz w:val="24"/>
          <w:szCs w:val="24"/>
        </w:rPr>
        <w:t>代表为五年（含）以上。</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4.4.2乙方要严格执行国家的法律法规，遵守职业道德准则和独立审核准则，有良好的社会信誉，遵守国家有关保密规定和廉政规定，遵守甲方内部相关管理制度，不得向项目单位另行收取任何费用，不得向项目单位提出与财政评审工作无关要求，不得对外泄露在审核过程中获知的审核项目的任何资料、信息。乙方没有被责令停业、没有被暂停或取消投标资格、财产没有被接管或冻结，最近三年内没有骗取中标（成交）或严重违约情形、没有不良从业记录，也没有违反法律、法规和规章的其他情形。</w:t>
      </w:r>
    </w:p>
    <w:p>
      <w:pPr>
        <w:spacing w:before="156" w:beforeLines="50" w:after="156" w:afterLines="50"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5、服务费用</w:t>
      </w:r>
    </w:p>
    <w:p>
      <w:pPr>
        <w:spacing w:line="360" w:lineRule="auto"/>
        <w:ind w:firstLine="420"/>
        <w:rPr>
          <w:rFonts w:hint="eastAsia" w:ascii="宋体" w:hAnsi="宋体" w:eastAsia="宋体" w:cs="宋体"/>
          <w:bCs/>
          <w:sz w:val="24"/>
          <w:szCs w:val="24"/>
        </w:rPr>
      </w:pPr>
      <w:r>
        <w:rPr>
          <w:rFonts w:hint="eastAsia" w:ascii="宋体" w:hAnsi="宋体" w:eastAsia="宋体" w:cs="宋体"/>
          <w:bCs/>
          <w:sz w:val="24"/>
          <w:szCs w:val="24"/>
        </w:rPr>
        <w:t>按照甲方制定的评审服务费用标准，根据实际完成工作量确定服务费用。</w:t>
      </w:r>
      <w:r>
        <w:rPr>
          <w:rFonts w:hint="eastAsia" w:ascii="宋体" w:hAnsi="宋体" w:eastAsia="宋体" w:cs="宋体"/>
          <w:sz w:val="24"/>
          <w:szCs w:val="24"/>
        </w:rPr>
        <w:t>评审费用计算公式=按照各类项目付费标准及当期实际工作量累计测算的评审费用。</w:t>
      </w:r>
      <w:r>
        <w:rPr>
          <w:rFonts w:hint="eastAsia" w:ascii="宋体" w:hAnsi="宋体" w:eastAsia="宋体" w:cs="宋体"/>
          <w:bCs/>
          <w:sz w:val="24"/>
          <w:szCs w:val="24"/>
        </w:rPr>
        <w:t>服务费一年至少支付一次。甲方向乙方付款时，乙方应当向甲方出具相应金额的发票。</w:t>
      </w:r>
    </w:p>
    <w:p>
      <w:pPr>
        <w:pStyle w:val="2"/>
        <w:rPr>
          <w:rFonts w:hint="eastAsia" w:ascii="宋体" w:hAnsi="宋体" w:eastAsia="宋体" w:cs="宋体"/>
          <w:color w:val="auto"/>
          <w:sz w:val="24"/>
          <w:szCs w:val="24"/>
        </w:rPr>
      </w:pPr>
      <w:r>
        <w:rPr>
          <w:rFonts w:hint="eastAsia" w:ascii="宋体" w:hAnsi="宋体" w:eastAsia="宋体" w:cs="宋体"/>
          <w:color w:val="auto"/>
          <w:sz w:val="24"/>
          <w:szCs w:val="24"/>
        </w:rPr>
        <w:t>如因工作及服务内容发生调整导致服务费用发生变化，或乙方提交的评审报告不能完全符合甲方委托要求的，由甲乙双方另行协商约定该项目的服务费用。</w:t>
      </w:r>
    </w:p>
    <w:p>
      <w:pPr>
        <w:spacing w:before="156" w:beforeLines="50" w:after="156" w:afterLines="50"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6、权利义务</w:t>
      </w:r>
    </w:p>
    <w:p>
      <w:pPr>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bCs/>
          <w:sz w:val="24"/>
          <w:szCs w:val="24"/>
        </w:rPr>
        <w:t>6</w:t>
      </w:r>
      <w:r>
        <w:rPr>
          <w:rFonts w:hint="eastAsia" w:ascii="宋体" w:hAnsi="宋体" w:eastAsia="宋体" w:cs="宋体"/>
          <w:sz w:val="24"/>
          <w:szCs w:val="24"/>
        </w:rPr>
        <w:t>.1、甲方按照服务费标准，根据实际完成工作量确定服务费用，为乙方顺利开展工作提供政策指导。</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bCs/>
          <w:sz w:val="24"/>
          <w:szCs w:val="24"/>
        </w:rPr>
        <w:t>6</w:t>
      </w:r>
      <w:r>
        <w:rPr>
          <w:rFonts w:hint="eastAsia" w:ascii="宋体" w:hAnsi="宋体" w:eastAsia="宋体" w:cs="宋体"/>
          <w:sz w:val="24"/>
          <w:szCs w:val="24"/>
        </w:rPr>
        <w:t>.2、未经甲方书面许可，乙方不得擅自将业务转委托其他机构，擅自转委托给甲方造成损失的，乙方应当赔偿甲方；乙方应明确本合同工作的团队负责人和项目复核人，并按照甲方财政评审管理相关规定开展工作，合同执行期间未经甲方书面同意不得随意调换人员，擅自更换人员的，甲方有权视情况解除合同，并要求乙方赔偿损失。经甲方同意更换人员的，乙方应当做好交接工作，确保对本合同约定事宜不受影响。</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bCs/>
          <w:sz w:val="24"/>
          <w:szCs w:val="24"/>
        </w:rPr>
        <w:t>6</w:t>
      </w:r>
      <w:r>
        <w:rPr>
          <w:rFonts w:hint="eastAsia" w:ascii="宋体" w:hAnsi="宋体" w:eastAsia="宋体" w:cs="宋体"/>
          <w:sz w:val="24"/>
          <w:szCs w:val="24"/>
        </w:rPr>
        <w:t>.3、根据项目工作情况需要聘请专家的，发生的费用由乙方自理；现场、非现场工作由甲方协调、乙方具体组织进行。</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bCs/>
          <w:sz w:val="24"/>
          <w:szCs w:val="24"/>
        </w:rPr>
        <w:t>6</w:t>
      </w:r>
      <w:r>
        <w:rPr>
          <w:rFonts w:hint="eastAsia" w:ascii="宋体" w:hAnsi="宋体" w:eastAsia="宋体" w:cs="宋体"/>
          <w:sz w:val="24"/>
          <w:szCs w:val="24"/>
        </w:rPr>
        <w:t>.4、乙方在工作过程中应接受甲方的监督，并根据甲方的建议和要求加以改进。</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bCs/>
          <w:sz w:val="24"/>
          <w:szCs w:val="24"/>
        </w:rPr>
        <w:t>6</w:t>
      </w:r>
      <w:r>
        <w:rPr>
          <w:rFonts w:hint="eastAsia" w:ascii="宋体" w:hAnsi="宋体" w:eastAsia="宋体" w:cs="宋体"/>
          <w:sz w:val="24"/>
          <w:szCs w:val="24"/>
        </w:rPr>
        <w:t>.5、乙方负责对项目单位工作人员和专家组成员进行培训，并协助项目单位完成评审材料的收集、整理和编写报告。</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bCs/>
          <w:sz w:val="24"/>
          <w:szCs w:val="24"/>
        </w:rPr>
        <w:t>6</w:t>
      </w:r>
      <w:r>
        <w:rPr>
          <w:rFonts w:hint="eastAsia" w:ascii="宋体" w:hAnsi="宋体" w:eastAsia="宋体" w:cs="宋体"/>
          <w:sz w:val="24"/>
          <w:szCs w:val="24"/>
        </w:rPr>
        <w:t>.6、乙方在合同规定的时间内提交评审报告和相关材料，并保证报告合法、全面、客观、公正和真实，甲方对乙方提交的报告、材料组织验收。</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bCs/>
          <w:sz w:val="24"/>
          <w:szCs w:val="24"/>
        </w:rPr>
        <w:t>6</w:t>
      </w:r>
      <w:r>
        <w:rPr>
          <w:rFonts w:hint="eastAsia" w:ascii="宋体" w:hAnsi="宋体" w:eastAsia="宋体" w:cs="宋体"/>
          <w:sz w:val="24"/>
          <w:szCs w:val="24"/>
        </w:rPr>
        <w:t>.7、乙方应及时向甲方通报工作进展情况。</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bCs/>
          <w:sz w:val="24"/>
          <w:szCs w:val="24"/>
        </w:rPr>
        <w:t>6</w:t>
      </w:r>
      <w:r>
        <w:rPr>
          <w:rFonts w:hint="eastAsia" w:ascii="宋体" w:hAnsi="宋体" w:eastAsia="宋体" w:cs="宋体"/>
          <w:sz w:val="24"/>
          <w:szCs w:val="24"/>
        </w:rPr>
        <w:t>.8、乙方应遵守甲方规定的纪律要求和工作规范，坚持公平、公正、客观的工作原则，不得自行变更标准；同时应遵循保密原则，对项目单位提供的材料和工作中掌握的信息应严格保密。</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bCs/>
          <w:sz w:val="24"/>
          <w:szCs w:val="24"/>
        </w:rPr>
        <w:t>6</w:t>
      </w:r>
      <w:r>
        <w:rPr>
          <w:rFonts w:hint="eastAsia" w:ascii="宋体" w:hAnsi="宋体" w:eastAsia="宋体" w:cs="宋体"/>
          <w:sz w:val="24"/>
          <w:szCs w:val="24"/>
        </w:rPr>
        <w:t>.9、乙方与项目单位有评审、审计、评估、咨询等业务往来的，应主动向甲方声明回避，由甲方根据具体情况确定乙方是否可以继续实施工作。</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bCs/>
          <w:sz w:val="24"/>
          <w:szCs w:val="24"/>
        </w:rPr>
        <w:t>6</w:t>
      </w:r>
      <w:r>
        <w:rPr>
          <w:rFonts w:hint="eastAsia" w:ascii="宋体" w:hAnsi="宋体" w:eastAsia="宋体" w:cs="宋体"/>
          <w:sz w:val="24"/>
          <w:szCs w:val="24"/>
        </w:rPr>
        <w:t>.10、乙方不得向项目单位提出与本合同工作无关的要求，不得另行收取费用或接受任何好处。</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bCs/>
          <w:sz w:val="24"/>
          <w:szCs w:val="24"/>
        </w:rPr>
        <w:t>6</w:t>
      </w:r>
      <w:r>
        <w:rPr>
          <w:rFonts w:hint="eastAsia" w:ascii="宋体" w:hAnsi="宋体" w:eastAsia="宋体" w:cs="宋体"/>
          <w:sz w:val="24"/>
          <w:szCs w:val="24"/>
        </w:rPr>
        <w:t>.11、甲方有权向乙方询问工作进展情况及相关的内容；有权阐述对具体问题的意见和建议；当甲方认定乙方工作人员不按本合同履行其职责，或与第三人串通给甲方造成经济损失的，甲方有权要求更换乙方工作人员，直至终止合同并要求乙方承担相应的赔偿责任。在本合同执行中，甲方有权随时对乙方在投标时的服务承诺进行核查，如发现存在以下问题，将视情况终止委托关系、扣减服务费用。</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bCs/>
          <w:sz w:val="24"/>
          <w:szCs w:val="24"/>
        </w:rPr>
        <w:t>6</w:t>
      </w:r>
      <w:r>
        <w:rPr>
          <w:rFonts w:hint="eastAsia" w:ascii="宋体" w:hAnsi="宋体" w:eastAsia="宋体" w:cs="宋体"/>
          <w:sz w:val="24"/>
          <w:szCs w:val="24"/>
        </w:rPr>
        <w:t>.11.1、乙方缺乏承担约定业务能力的；</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bCs/>
          <w:sz w:val="24"/>
          <w:szCs w:val="24"/>
        </w:rPr>
        <w:t>6</w:t>
      </w:r>
      <w:r>
        <w:rPr>
          <w:rFonts w:hint="eastAsia" w:ascii="宋体" w:hAnsi="宋体" w:eastAsia="宋体" w:cs="宋体"/>
          <w:sz w:val="24"/>
          <w:szCs w:val="24"/>
        </w:rPr>
        <w:t>.11.2、未经允许改变人员安排的；</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bCs/>
          <w:sz w:val="24"/>
          <w:szCs w:val="24"/>
        </w:rPr>
        <w:t>6</w:t>
      </w:r>
      <w:r>
        <w:rPr>
          <w:rFonts w:hint="eastAsia" w:ascii="宋体" w:hAnsi="宋体" w:eastAsia="宋体" w:cs="宋体"/>
          <w:sz w:val="24"/>
          <w:szCs w:val="24"/>
        </w:rPr>
        <w:t>.11.3、有应查而未查出的重大违法违规事项或者对检查出来的问题未发表公正性审核意见的；</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bCs/>
          <w:sz w:val="24"/>
          <w:szCs w:val="24"/>
        </w:rPr>
        <w:t>6</w:t>
      </w:r>
      <w:r>
        <w:rPr>
          <w:rFonts w:hint="eastAsia" w:ascii="宋体" w:hAnsi="宋体" w:eastAsia="宋体" w:cs="宋体"/>
          <w:sz w:val="24"/>
          <w:szCs w:val="24"/>
        </w:rPr>
        <w:t>.11.4、应当回避而未主动声明的；</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bCs/>
          <w:sz w:val="24"/>
          <w:szCs w:val="24"/>
        </w:rPr>
        <w:t>6</w:t>
      </w:r>
      <w:r>
        <w:rPr>
          <w:rFonts w:hint="eastAsia" w:ascii="宋体" w:hAnsi="宋体" w:eastAsia="宋体" w:cs="宋体"/>
          <w:sz w:val="24"/>
          <w:szCs w:val="24"/>
        </w:rPr>
        <w:t>.11.5、向项目单位收取额外费用或接受项目单位好处的；</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bCs/>
          <w:sz w:val="24"/>
          <w:szCs w:val="24"/>
        </w:rPr>
        <w:t>6</w:t>
      </w:r>
      <w:r>
        <w:rPr>
          <w:rFonts w:hint="eastAsia" w:ascii="宋体" w:hAnsi="宋体" w:eastAsia="宋体" w:cs="宋体"/>
          <w:sz w:val="24"/>
          <w:szCs w:val="24"/>
        </w:rPr>
        <w:t>.11.6、项目审核沟通未按照甲方要求进行，未履行甲方规定的人员行为规范，造成恶劣影响甚至违反法律法规的；</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bCs/>
          <w:sz w:val="24"/>
          <w:szCs w:val="24"/>
        </w:rPr>
        <w:t>6</w:t>
      </w:r>
      <w:r>
        <w:rPr>
          <w:rFonts w:hint="eastAsia" w:ascii="宋体" w:hAnsi="宋体" w:eastAsia="宋体" w:cs="宋体"/>
          <w:sz w:val="24"/>
          <w:szCs w:val="24"/>
        </w:rPr>
        <w:t>.12、甲方将定期对乙方已完结项目进行抽查，并根据项目评审报告的合规性、服务质量、廉洁评审、用户满意度、档案管理对乙方进行考核。考核不合格的，将视情扣减服务费用或终止委托关系。</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bCs/>
          <w:sz w:val="24"/>
          <w:szCs w:val="24"/>
        </w:rPr>
        <w:t>6</w:t>
      </w:r>
      <w:r>
        <w:rPr>
          <w:rFonts w:hint="eastAsia" w:ascii="宋体" w:hAnsi="宋体" w:eastAsia="宋体" w:cs="宋体"/>
          <w:sz w:val="24"/>
          <w:szCs w:val="24"/>
        </w:rPr>
        <w:t>.13、在本合同执行中，乙方不得无故单方终止委托关系。</w:t>
      </w:r>
    </w:p>
    <w:p>
      <w:pPr>
        <w:spacing w:before="156" w:beforeLines="50" w:after="156" w:afterLines="50"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7、保密义务</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7.1、保密的内容和范围：</w:t>
      </w:r>
    </w:p>
    <w:p>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项目资料和涉密信息：是指甲方和项目单位提供的需要保密的项目情况和信息，其形式包括但不限于书面资料和电子文档。</w:t>
      </w:r>
    </w:p>
    <w:p>
      <w:pPr>
        <w:spacing w:line="360" w:lineRule="auto"/>
        <w:ind w:firstLine="480" w:firstLineChars="200"/>
        <w:rPr>
          <w:rFonts w:hint="eastAsia" w:ascii="宋体" w:hAnsi="宋体" w:eastAsia="宋体" w:cs="宋体"/>
          <w:bCs/>
          <w:sz w:val="24"/>
          <w:szCs w:val="24"/>
        </w:rPr>
      </w:pPr>
      <w:r>
        <w:rPr>
          <w:rFonts w:hint="eastAsia" w:ascii="宋体" w:hAnsi="宋体" w:eastAsia="宋体" w:cs="宋体"/>
          <w:sz w:val="24"/>
          <w:szCs w:val="24"/>
        </w:rPr>
        <w:t>7.2、</w:t>
      </w:r>
      <w:r>
        <w:rPr>
          <w:rFonts w:hint="eastAsia" w:ascii="宋体" w:hAnsi="宋体" w:eastAsia="宋体" w:cs="宋体"/>
          <w:bCs/>
          <w:sz w:val="24"/>
          <w:szCs w:val="24"/>
        </w:rPr>
        <w:t>乙方承诺，依法遵守保密义务并承担相应保密责任，除非甲方书面允许，乙方将无限期保守秘密。</w:t>
      </w:r>
    </w:p>
    <w:p>
      <w:pPr>
        <w:spacing w:line="360" w:lineRule="auto"/>
        <w:ind w:firstLine="480" w:firstLineChars="200"/>
        <w:rPr>
          <w:rFonts w:hint="eastAsia" w:ascii="宋体" w:hAnsi="宋体" w:eastAsia="宋体" w:cs="宋体"/>
          <w:bCs/>
          <w:sz w:val="24"/>
          <w:szCs w:val="24"/>
        </w:rPr>
      </w:pPr>
      <w:r>
        <w:rPr>
          <w:rFonts w:hint="eastAsia" w:ascii="宋体" w:hAnsi="宋体" w:eastAsia="宋体" w:cs="宋体"/>
          <w:sz w:val="24"/>
          <w:szCs w:val="24"/>
        </w:rPr>
        <w:t>7.3、</w:t>
      </w:r>
      <w:r>
        <w:rPr>
          <w:rFonts w:hint="eastAsia" w:ascii="宋体" w:hAnsi="宋体" w:eastAsia="宋体" w:cs="宋体"/>
          <w:bCs/>
          <w:sz w:val="24"/>
          <w:szCs w:val="24"/>
        </w:rPr>
        <w:t>乙方要严格要求接触项目资料和涉密信息的员工树立保密意识并采取必要的措施避免员工泄密行为的发生。在员工知悉该保密信息前，应向其提示保密信息的保密性和应承担的义务，并保证上述人员以书面形式同意接受本</w:t>
      </w:r>
      <w:r>
        <w:rPr>
          <w:rFonts w:hint="eastAsia" w:ascii="宋体" w:hAnsi="宋体" w:eastAsia="宋体" w:cs="宋体"/>
          <w:sz w:val="24"/>
          <w:szCs w:val="24"/>
        </w:rPr>
        <w:t>合同</w:t>
      </w:r>
      <w:r>
        <w:rPr>
          <w:rFonts w:hint="eastAsia" w:ascii="宋体" w:hAnsi="宋体" w:eastAsia="宋体" w:cs="宋体"/>
          <w:bCs/>
          <w:sz w:val="24"/>
          <w:szCs w:val="24"/>
        </w:rPr>
        <w:t>条款的约束，确保上述人员承担保密责任的程度不低于本</w:t>
      </w:r>
      <w:r>
        <w:rPr>
          <w:rFonts w:hint="eastAsia" w:ascii="宋体" w:hAnsi="宋体" w:eastAsia="宋体" w:cs="宋体"/>
          <w:sz w:val="24"/>
          <w:szCs w:val="24"/>
        </w:rPr>
        <w:t>合同</w:t>
      </w:r>
      <w:r>
        <w:rPr>
          <w:rFonts w:hint="eastAsia" w:ascii="宋体" w:hAnsi="宋体" w:eastAsia="宋体" w:cs="宋体"/>
          <w:bCs/>
          <w:sz w:val="24"/>
          <w:szCs w:val="24"/>
        </w:rPr>
        <w:t>规定的程度。</w:t>
      </w:r>
    </w:p>
    <w:p>
      <w:pPr>
        <w:spacing w:line="360" w:lineRule="auto"/>
        <w:ind w:firstLine="480" w:firstLineChars="200"/>
        <w:rPr>
          <w:rFonts w:hint="eastAsia" w:ascii="宋体" w:hAnsi="宋体" w:eastAsia="宋体" w:cs="宋体"/>
          <w:bCs/>
          <w:sz w:val="24"/>
          <w:szCs w:val="24"/>
        </w:rPr>
      </w:pPr>
      <w:r>
        <w:rPr>
          <w:rFonts w:hint="eastAsia" w:ascii="宋体" w:hAnsi="宋体" w:eastAsia="宋体" w:cs="宋体"/>
          <w:sz w:val="24"/>
          <w:szCs w:val="24"/>
        </w:rPr>
        <w:t>7.4、</w:t>
      </w:r>
      <w:r>
        <w:rPr>
          <w:rFonts w:hint="eastAsia" w:ascii="宋体" w:hAnsi="宋体" w:eastAsia="宋体" w:cs="宋体"/>
          <w:bCs/>
          <w:sz w:val="24"/>
          <w:szCs w:val="24"/>
        </w:rPr>
        <w:t>乙方对项目资料和涉密信息采取严格的归档、保管。乙方应将所有包含保密信息的文件和记录存放在一个安全的、保险的地方。任何以电子方式存储于电脑的保密信息应当有效地防范任何未经授权的直接或间接通过网络进行的入侵或使用行为。</w:t>
      </w:r>
    </w:p>
    <w:p>
      <w:pPr>
        <w:spacing w:line="360" w:lineRule="auto"/>
        <w:ind w:firstLine="480" w:firstLineChars="200"/>
        <w:rPr>
          <w:rFonts w:hint="eastAsia" w:ascii="宋体" w:hAnsi="宋体" w:eastAsia="宋体" w:cs="宋体"/>
          <w:bCs/>
          <w:sz w:val="24"/>
          <w:szCs w:val="24"/>
        </w:rPr>
      </w:pPr>
      <w:r>
        <w:rPr>
          <w:rFonts w:hint="eastAsia" w:ascii="宋体" w:hAnsi="宋体" w:eastAsia="宋体" w:cs="宋体"/>
          <w:sz w:val="24"/>
          <w:szCs w:val="24"/>
        </w:rPr>
        <w:t>7.5、</w:t>
      </w:r>
      <w:r>
        <w:rPr>
          <w:rFonts w:hint="eastAsia" w:ascii="宋体" w:hAnsi="宋体" w:eastAsia="宋体" w:cs="宋体"/>
          <w:bCs/>
          <w:sz w:val="24"/>
          <w:szCs w:val="24"/>
        </w:rPr>
        <w:t>乙方要严格限制项目资料和涉密信息的借阅范围，保证资料信息没有被广泛传播。</w:t>
      </w:r>
    </w:p>
    <w:p>
      <w:pPr>
        <w:spacing w:line="360" w:lineRule="auto"/>
        <w:ind w:firstLine="480" w:firstLineChars="200"/>
        <w:rPr>
          <w:rFonts w:hint="eastAsia" w:ascii="宋体" w:hAnsi="宋体" w:eastAsia="宋体" w:cs="宋体"/>
          <w:bCs/>
          <w:sz w:val="24"/>
          <w:szCs w:val="24"/>
        </w:rPr>
      </w:pPr>
      <w:r>
        <w:rPr>
          <w:rFonts w:hint="eastAsia" w:ascii="宋体" w:hAnsi="宋体" w:eastAsia="宋体" w:cs="宋体"/>
          <w:sz w:val="24"/>
          <w:szCs w:val="24"/>
        </w:rPr>
        <w:t>7.6、</w:t>
      </w:r>
      <w:r>
        <w:rPr>
          <w:rFonts w:hint="eastAsia" w:ascii="宋体" w:hAnsi="宋体" w:eastAsia="宋体" w:cs="宋体"/>
          <w:bCs/>
          <w:sz w:val="24"/>
          <w:szCs w:val="24"/>
        </w:rPr>
        <w:t>除非甲方书面允许，乙方不得以任何形式向除甲方以外的第三方透漏、传播该项目资料和涉密信息的任何信息，不得将本</w:t>
      </w:r>
      <w:r>
        <w:rPr>
          <w:rFonts w:hint="eastAsia" w:ascii="宋体" w:hAnsi="宋体" w:eastAsia="宋体" w:cs="宋体"/>
          <w:sz w:val="24"/>
          <w:szCs w:val="24"/>
        </w:rPr>
        <w:t>合同</w:t>
      </w:r>
      <w:r>
        <w:rPr>
          <w:rFonts w:hint="eastAsia" w:ascii="宋体" w:hAnsi="宋体" w:eastAsia="宋体" w:cs="宋体"/>
          <w:bCs/>
          <w:sz w:val="24"/>
          <w:szCs w:val="24"/>
        </w:rPr>
        <w:t>项目涉及的任何资料和信息应用于本合同之外的其它用途。</w:t>
      </w:r>
    </w:p>
    <w:p>
      <w:pPr>
        <w:spacing w:line="360" w:lineRule="auto"/>
        <w:ind w:firstLine="480" w:firstLineChars="200"/>
        <w:rPr>
          <w:rFonts w:hint="eastAsia" w:ascii="宋体" w:hAnsi="宋体" w:eastAsia="宋体" w:cs="宋体"/>
          <w:bCs/>
          <w:sz w:val="24"/>
          <w:szCs w:val="24"/>
        </w:rPr>
      </w:pPr>
      <w:r>
        <w:rPr>
          <w:rFonts w:hint="eastAsia" w:ascii="宋体" w:hAnsi="宋体" w:eastAsia="宋体" w:cs="宋体"/>
          <w:sz w:val="24"/>
          <w:szCs w:val="24"/>
        </w:rPr>
        <w:t>7.7、</w:t>
      </w:r>
      <w:r>
        <w:rPr>
          <w:rFonts w:hint="eastAsia" w:ascii="宋体" w:hAnsi="宋体" w:eastAsia="宋体" w:cs="宋体"/>
          <w:bCs/>
          <w:sz w:val="24"/>
          <w:szCs w:val="24"/>
        </w:rPr>
        <w:t>若乙方有违反本</w:t>
      </w:r>
      <w:r>
        <w:rPr>
          <w:rFonts w:hint="eastAsia" w:ascii="宋体" w:hAnsi="宋体" w:eastAsia="宋体" w:cs="宋体"/>
          <w:sz w:val="24"/>
          <w:szCs w:val="24"/>
        </w:rPr>
        <w:t>合同</w:t>
      </w:r>
      <w:r>
        <w:rPr>
          <w:rFonts w:hint="eastAsia" w:ascii="宋体" w:hAnsi="宋体" w:eastAsia="宋体" w:cs="宋体"/>
          <w:bCs/>
          <w:sz w:val="24"/>
          <w:szCs w:val="24"/>
        </w:rPr>
        <w:t>的情形，无论故意与过失，应当立即停止违约，并在第一时间采取一切必要措施防止保密信息的扩散，尽最大可能消除影响，并按照当期服务费的50%向甲方支付违约金，违约金不足以弥补甲方损失的，还应就剩余损失承担赔偿责任，情节严重的将终止委托关系，乙方承担全部责任。</w:t>
      </w:r>
    </w:p>
    <w:p>
      <w:pPr>
        <w:spacing w:before="156" w:beforeLines="50" w:after="156" w:afterLines="50"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8、违约责任</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bCs/>
          <w:sz w:val="24"/>
          <w:szCs w:val="24"/>
        </w:rPr>
        <w:t>如乙方未能严格执行服务要求及工作流程，未按时提交评审报告，未严格履行甲方规定的人员行为规范和廉政要求，提交的报告、材料经验收不合格并拒绝改进，已完工项目经抽查不合格的，甲方有权按违约处理，处以当期应付服务费10%-30%的违约金或终止委托关系，</w:t>
      </w:r>
      <w:r>
        <w:rPr>
          <w:rFonts w:hint="eastAsia" w:ascii="宋体" w:hAnsi="宋体" w:eastAsia="宋体" w:cs="宋体"/>
          <w:sz w:val="24"/>
          <w:szCs w:val="24"/>
        </w:rPr>
        <w:t>如因乙方违约造成甲方损失，违约金不足以覆盖给甲方造成的所有损失的，乙方应当赔偿。因乙方的单方过失造成的经济损失，应当向甲方进行赔偿。本合同中甲乙双方违反合同约定，造成对方损失的，损失的赔偿范围包括因此产生的律师费、鉴定费、公证费、差旅费等。</w:t>
      </w:r>
    </w:p>
    <w:p>
      <w:pPr>
        <w:spacing w:before="156" w:beforeLines="50" w:after="156" w:afterLines="50"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9、税费</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乙方根据本合同取得的收入，其有关的一切税费由乙方根据国家现行法律规定负担。</w:t>
      </w:r>
    </w:p>
    <w:p>
      <w:pPr>
        <w:spacing w:before="156" w:beforeLines="50" w:after="156" w:afterLines="50"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10、适用法律及争议解决</w:t>
      </w:r>
    </w:p>
    <w:p>
      <w:pPr>
        <w:spacing w:line="52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10.1 本合同的订立、效力、解释、履行、变更、解除、终止和争议解决均适用中华人民共和国（为本合同之目的，不包括香港特别行政区、澳门特别行政区及台湾地区）法律，并受其管辖。</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10.2 因本合同产生的，或与本合同有关的任何争议，双方应首先本着友好态度协商解决。若争议无法在一方向另一方提出友好协商的书面通知之日起三十工作日内通过协商方式予以解决，则任何一方有权向甲方所在地有管辖权的法院提起诉讼。</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10.3 在争议解决期间，除有争议的事项外，双方应继续全面履行本合同。</w:t>
      </w:r>
    </w:p>
    <w:p>
      <w:pPr>
        <w:spacing w:before="156" w:beforeLines="50" w:after="156" w:afterLines="50"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11、本合同自签订之日起生效，项目委托期至</w:t>
      </w:r>
      <w:r>
        <w:rPr>
          <w:rFonts w:hint="eastAsia" w:ascii="宋体" w:hAnsi="宋体" w:eastAsia="宋体" w:cs="宋体"/>
          <w:sz w:val="24"/>
          <w:szCs w:val="24"/>
          <w:lang w:val="en-US" w:eastAsia="zh-CN"/>
        </w:rPr>
        <w:t>2026年12月31日</w:t>
      </w:r>
      <w:r>
        <w:rPr>
          <w:rFonts w:hint="eastAsia" w:ascii="宋体" w:hAnsi="宋体" w:eastAsia="宋体" w:cs="宋体"/>
          <w:bCs/>
          <w:sz w:val="24"/>
          <w:szCs w:val="24"/>
        </w:rPr>
        <w:t>。</w:t>
      </w:r>
    </w:p>
    <w:p>
      <w:pPr>
        <w:spacing w:before="156" w:beforeLines="50" w:after="156" w:afterLines="50"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12、本合同一式7份，由甲方、乙方各执3份，北京市石景山区政府采购中心备案1份。</w:t>
      </w:r>
      <w:r>
        <w:rPr>
          <w:rFonts w:hint="eastAsia" w:ascii="宋体" w:hAnsi="宋体" w:eastAsia="宋体" w:cs="宋体"/>
          <w:bCs/>
          <w:sz w:val="24"/>
          <w:szCs w:val="24"/>
          <w:lang w:eastAsia="zh-CN"/>
        </w:rPr>
        <w:t>本合同</w:t>
      </w:r>
      <w:r>
        <w:rPr>
          <w:rFonts w:hint="eastAsia" w:ascii="宋体" w:hAnsi="宋体" w:eastAsia="宋体" w:cs="宋体"/>
          <w:bCs/>
          <w:sz w:val="24"/>
          <w:szCs w:val="24"/>
        </w:rPr>
        <w:t>自双方签字并盖章之日起生效。</w:t>
      </w:r>
    </w:p>
    <w:p>
      <w:pPr>
        <w:ind w:firstLine="235" w:firstLineChars="98"/>
        <w:rPr>
          <w:rFonts w:hint="eastAsia" w:ascii="宋体" w:hAnsi="宋体" w:eastAsia="宋体" w:cs="宋体"/>
          <w:sz w:val="24"/>
          <w:szCs w:val="24"/>
        </w:rPr>
      </w:pPr>
    </w:p>
    <w:p>
      <w:pPr>
        <w:ind w:firstLine="235" w:firstLineChars="98"/>
        <w:rPr>
          <w:rFonts w:hint="eastAsia" w:ascii="宋体" w:hAnsi="宋体" w:eastAsia="宋体" w:cs="宋体"/>
          <w:sz w:val="24"/>
          <w:szCs w:val="24"/>
        </w:rPr>
      </w:pPr>
    </w:p>
    <w:p>
      <w:pPr>
        <w:ind w:firstLine="235" w:firstLineChars="98"/>
        <w:rPr>
          <w:rFonts w:hint="eastAsia" w:ascii="宋体" w:hAnsi="宋体" w:eastAsia="宋体" w:cs="宋体"/>
          <w:sz w:val="24"/>
          <w:szCs w:val="24"/>
        </w:rPr>
      </w:pPr>
    </w:p>
    <w:p>
      <w:pPr>
        <w:ind w:firstLine="235" w:firstLineChars="98"/>
        <w:rPr>
          <w:rFonts w:hint="eastAsia" w:ascii="宋体" w:hAnsi="宋体" w:eastAsia="宋体" w:cs="宋体"/>
          <w:sz w:val="24"/>
          <w:szCs w:val="24"/>
        </w:rPr>
      </w:pPr>
      <w:r>
        <w:rPr>
          <w:rFonts w:hint="eastAsia" w:ascii="宋体" w:hAnsi="宋体" w:eastAsia="宋体" w:cs="宋体"/>
          <w:sz w:val="24"/>
          <w:szCs w:val="24"/>
        </w:rPr>
        <w:t xml:space="preserve">甲方：                                乙方： </w:t>
      </w:r>
    </w:p>
    <w:p>
      <w:pPr>
        <w:rPr>
          <w:rFonts w:hint="eastAsia" w:ascii="宋体" w:hAnsi="宋体" w:eastAsia="宋体" w:cs="宋体"/>
          <w:sz w:val="24"/>
          <w:szCs w:val="24"/>
        </w:rPr>
      </w:pPr>
    </w:p>
    <w:p>
      <w:pPr>
        <w:rPr>
          <w:rFonts w:hint="eastAsia" w:ascii="宋体" w:hAnsi="宋体" w:eastAsia="宋体" w:cs="宋体"/>
          <w:sz w:val="24"/>
          <w:szCs w:val="24"/>
        </w:rPr>
      </w:pPr>
      <w:r>
        <w:rPr>
          <w:rFonts w:hint="eastAsia" w:ascii="宋体" w:hAnsi="宋体" w:eastAsia="宋体" w:cs="宋体"/>
          <w:sz w:val="24"/>
          <w:szCs w:val="24"/>
        </w:rPr>
        <w:t>（盖章）                              （盖章）</w:t>
      </w:r>
    </w:p>
    <w:p>
      <w:pPr>
        <w:rPr>
          <w:rFonts w:hint="eastAsia" w:ascii="宋体" w:hAnsi="宋体" w:eastAsia="宋体" w:cs="宋体"/>
          <w:sz w:val="24"/>
          <w:szCs w:val="24"/>
        </w:rPr>
      </w:pPr>
    </w:p>
    <w:p>
      <w:pPr>
        <w:ind w:firstLine="120" w:firstLineChars="50"/>
        <w:rPr>
          <w:rFonts w:hint="eastAsia" w:ascii="宋体" w:hAnsi="宋体" w:eastAsia="宋体" w:cs="宋体"/>
          <w:sz w:val="24"/>
          <w:szCs w:val="24"/>
        </w:rPr>
      </w:pPr>
      <w:r>
        <w:rPr>
          <w:rFonts w:hint="eastAsia" w:ascii="宋体" w:hAnsi="宋体" w:eastAsia="宋体" w:cs="宋体"/>
          <w:sz w:val="24"/>
          <w:szCs w:val="24"/>
        </w:rPr>
        <w:t>法定代表人（负责人）签字：            法定代表人（负责人）签字：</w:t>
      </w:r>
    </w:p>
    <w:p>
      <w:pPr>
        <w:rPr>
          <w:rFonts w:hint="eastAsia" w:ascii="宋体" w:hAnsi="宋体" w:eastAsia="宋体" w:cs="宋体"/>
          <w:sz w:val="24"/>
          <w:szCs w:val="24"/>
        </w:rPr>
      </w:pPr>
    </w:p>
    <w:p>
      <w:pPr>
        <w:ind w:firstLine="120" w:firstLineChars="50"/>
        <w:rPr>
          <w:rFonts w:hint="eastAsia" w:ascii="宋体" w:hAnsi="宋体" w:eastAsia="宋体" w:cs="宋体"/>
          <w:sz w:val="24"/>
          <w:szCs w:val="24"/>
        </w:rPr>
      </w:pPr>
      <w:r>
        <w:rPr>
          <w:rFonts w:hint="eastAsia" w:ascii="宋体" w:hAnsi="宋体" w:eastAsia="宋体" w:cs="宋体"/>
          <w:sz w:val="24"/>
          <w:szCs w:val="24"/>
        </w:rPr>
        <w:t>签订时间：    年  月  日              签订时间：    年  月  日</w:t>
      </w:r>
    </w:p>
    <w:p>
      <w:pPr>
        <w:pStyle w:val="47"/>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textAlignment w:val="auto"/>
        <w:outlineLvl w:val="9"/>
        <w:rPr>
          <w:rFonts w:hint="eastAsia" w:ascii="宋体" w:hAnsi="宋体" w:eastAsia="宋体" w:cs="宋体"/>
          <w:sz w:val="24"/>
          <w:szCs w:val="24"/>
          <w:lang w:val="en-US" w:eastAsia="zh-CN"/>
        </w:rPr>
      </w:pPr>
    </w:p>
    <w:sectPr>
      <w:footerReference r:id="rId3" w:type="default"/>
      <w:pgSz w:w="11906" w:h="16838"/>
      <w:pgMar w:top="1440" w:right="1417" w:bottom="1440" w:left="1417" w:header="720" w:footer="720" w:gutter="0"/>
      <w:pgBorders>
        <w:top w:val="none" w:sz="0" w:space="0"/>
        <w:left w:val="none" w:sz="0" w:space="0"/>
        <w:bottom w:val="none" w:sz="0" w:space="0"/>
        <w:right w:val="none" w:sz="0" w:space="0"/>
      </w:pgBorders>
      <w:pgNumType w:fmt="decimal"/>
      <w:cols w:space="72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02"/>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10" w:usb3="00000000" w:csb0="00040000" w:csb1="00000000"/>
  </w:font>
  <w:font w:name="Arial Narrow">
    <w:altName w:val="Arial"/>
    <w:panose1 w:val="020B0506020202030204"/>
    <w:charset w:val="00"/>
    <w:family w:val="swiss"/>
    <w:pitch w:val="default"/>
    <w:sig w:usb0="00000000" w:usb1="00000000" w:usb2="00000000" w:usb3="00000000" w:csb0="0000009F" w:csb1="00000000"/>
  </w:font>
  <w:font w:name="楷体">
    <w:panose1 w:val="02010609060101010101"/>
    <w:charset w:val="86"/>
    <w:family w:val="modern"/>
    <w:pitch w:val="default"/>
    <w:sig w:usb0="800002BF" w:usb1="38CF7CFA" w:usb2="00000016" w:usb3="00000000" w:csb0="00040001" w:csb1="00000000"/>
  </w:font>
  <w:font w:name="五">
    <w:altName w:val="黑体"/>
    <w:panose1 w:val="00000000000000000000"/>
    <w:charset w:val="86"/>
    <w:family w:val="auto"/>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
    <w:altName w:val="Times New Roman"/>
    <w:panose1 w:val="00000000000000000000"/>
    <w:charset w:val="00"/>
    <w:family w:val="roman"/>
    <w:pitch w:val="default"/>
    <w:sig w:usb0="00000000" w:usb1="00000000" w:usb2="00000000" w:usb3="00000000" w:csb0="00000001" w:csb1="00000000"/>
  </w:font>
  <w:font w:name="ˎ̥">
    <w:altName w:val="Times New Roman"/>
    <w:panose1 w:val="00000000000000000000"/>
    <w:charset w:val="00"/>
    <w:family w:val="auto"/>
    <w:pitch w:val="default"/>
    <w:sig w:usb0="00000000" w:usb1="00000000" w:usb2="00000000" w:usb3="00000000" w:csb0="00040001"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AFF" w:usb1="C0007843" w:usb2="00000009" w:usb3="00000000" w:csb0="400001FF" w:csb1="FFFF0000"/>
  </w:font>
  <w:font w:name="Calibri">
    <w:panose1 w:val="020F0502020204030204"/>
    <w:charset w:val="86"/>
    <w:family w:val="swiss"/>
    <w:pitch w:val="default"/>
    <w:sig w:usb0="E00002FF" w:usb1="4000ACFF" w:usb2="00000001" w:usb3="00000000" w:csb0="2000019F" w:csb1="00000000"/>
  </w:font>
  <w:font w:name="Microsoft JhengHei">
    <w:panose1 w:val="020B0604030504040204"/>
    <w:charset w:val="88"/>
    <w:family w:val="swiss"/>
    <w:pitch w:val="default"/>
    <w:sig w:usb0="00000087" w:usb1="28AF4000" w:usb2="00000016" w:usb3="00000000" w:csb0="00100009" w:csb1="00000000"/>
  </w:font>
  <w:font w:name="Courier New">
    <w:panose1 w:val="02070309020205020404"/>
    <w:charset w:val="00"/>
    <w:family w:val="modern"/>
    <w:pitch w:val="default"/>
    <w:sig w:usb0="E0002AFF" w:usb1="C0007843" w:usb2="00000009" w:usb3="00000000" w:csb0="400001FF" w:csb1="FFFF0000"/>
  </w:font>
  <w:font w:name="等线">
    <w:altName w:val="宋体"/>
    <w:panose1 w:val="02010600030101010101"/>
    <w:charset w:val="86"/>
    <w:family w:val="auto"/>
    <w:pitch w:val="default"/>
    <w:sig w:usb0="00000000" w:usb1="00000000" w:usb2="00000016" w:usb3="00000000" w:csb0="0004000F" w:csb1="00000000"/>
  </w:font>
  <w:font w:name="Wingdings 2">
    <w:altName w:val="Wingdings"/>
    <w:panose1 w:val="05020102010507070707"/>
    <w:charset w:val="02"/>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汉仪细圆B5">
    <w:altName w:val="仿宋"/>
    <w:panose1 w:val="00000000000000000000"/>
    <w:charset w:val="00"/>
    <w:family w:val="auto"/>
    <w:pitch w:val="default"/>
    <w:sig w:usb0="00000000" w:usb1="00000000" w:usb2="00000000" w:usb3="00000000" w:csb0="00000000" w:csb1="00000000"/>
  </w:font>
  <w:font w:name="方正书宋_GBK">
    <w:altName w:val="微软雅黑"/>
    <w:panose1 w:val="02000000000000000000"/>
    <w:charset w:val="86"/>
    <w:family w:val="auto"/>
    <w:pitch w:val="default"/>
    <w:sig w:usb0="00000000" w:usb1="00000000" w:usb2="00000000" w:usb3="00000000" w:csb0="00040000" w:csb1="00000000"/>
  </w:font>
  <w:font w:name="文泉驿正黑">
    <w:altName w:val="黑体"/>
    <w:panose1 w:val="02000603000000000000"/>
    <w:charset w:val="86"/>
    <w:family w:val="auto"/>
    <w:pitch w:val="default"/>
    <w:sig w:usb0="00000000" w:usb1="00000000" w:usb2="00000036" w:usb3="00000000" w:csb0="603E000D" w:csb1="D2D70000"/>
  </w:font>
  <w:font w:name="华文宋体">
    <w:altName w:val="宋体"/>
    <w:panose1 w:val="02010600040101010101"/>
    <w:charset w:val="86"/>
    <w:family w:val="auto"/>
    <w:pitch w:val="default"/>
    <w:sig w:usb0="00000000" w:usb1="00000000" w:usb2="00000000" w:usb3="00000000" w:csb0="0004009F" w:csb1="DFD70000"/>
  </w:font>
  <w:font w:name="PMingLiU">
    <w:panose1 w:val="02020500000000000000"/>
    <w:charset w:val="88"/>
    <w:family w:val="auto"/>
    <w:pitch w:val="default"/>
    <w:sig w:usb0="A00002FF" w:usb1="28CFFCFA" w:usb2="00000016" w:usb3="00000000" w:csb0="00100001" w:csb1="00000000"/>
  </w:font>
  <w:font w:name="Glyphicons Halflings">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auto"/>
    <w:pitch w:val="default"/>
    <w:sig w:usb0="E10002FF" w:usb1="4000FCFF" w:usb2="00000009" w:usb3="00000000" w:csb0="6000019F" w:csb1="DFD70000"/>
  </w:font>
  <w:font w:name="Segoe Print">
    <w:panose1 w:val="02000600000000000000"/>
    <w:charset w:val="00"/>
    <w:family w:val="auto"/>
    <w:pitch w:val="default"/>
    <w:sig w:usb0="0000028F" w:usb1="00000000" w:usb2="00000000" w:usb3="00000000" w:csb0="2000009F" w:csb1="47010000"/>
  </w:font>
  <w:font w:name="华文中宋">
    <w:altName w:val="宋体"/>
    <w:panose1 w:val="02010600040101010101"/>
    <w:charset w:val="86"/>
    <w:family w:val="auto"/>
    <w:pitch w:val="default"/>
    <w:sig w:usb0="00000000" w:usb1="00000000" w:usb2="00000000" w:usb3="00000000" w:csb0="0004009F" w:csb1="DFD70000"/>
  </w:font>
  <w:font w:name="方正小标宋简体">
    <w:altName w:val="微软雅黑"/>
    <w:panose1 w:val="03000509000000000000"/>
    <w:charset w:val="86"/>
    <w:family w:val="auto"/>
    <w:pitch w:val="default"/>
    <w:sig w:usb0="00000000" w:usb1="00000000" w:usb2="00000000" w:usb3="00000000" w:csb0="00040000" w:csb1="00000000"/>
  </w:font>
  <w:font w:name="方正仿宋简体">
    <w:altName w:val="微软雅黑"/>
    <w:panose1 w:val="00000000000000000000"/>
    <w:charset w:val="86"/>
    <w:family w:val="auto"/>
    <w:pitch w:val="default"/>
    <w:sig w:usb0="00000000" w:usb1="00000000" w:usb2="0000000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Century Gothic">
    <w:altName w:val="Segoe Print"/>
    <w:panose1 w:val="020B0502020202020204"/>
    <w:charset w:val="00"/>
    <w:family w:val="swiss"/>
    <w:pitch w:val="default"/>
    <w:sig w:usb0="00000000" w:usb1="00000000" w:usb2="00000000" w:usb3="00000000" w:csb0="0000009F" w:csb1="00000000"/>
  </w:font>
  <w:font w:name="方正宋体S-超大字符集">
    <w:altName w:val="宋体"/>
    <w:panose1 w:val="02000000000000000000"/>
    <w:charset w:val="86"/>
    <w:family w:val="auto"/>
    <w:pitch w:val="default"/>
    <w:sig w:usb0="00000000" w:usb1="0000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CESI黑体-GB2312">
    <w:altName w:val="黑体"/>
    <w:panose1 w:val="02000500000000000000"/>
    <w:charset w:val="86"/>
    <w:family w:val="auto"/>
    <w:pitch w:val="default"/>
    <w:sig w:usb0="00000000" w:usb1="00000000" w:usb2="00000012" w:usb3="00000000" w:csb0="0004000F" w:csb1="00000000"/>
  </w:font>
  <w:font w:name="方正仿宋_GBK">
    <w:altName w:val="微软雅黑"/>
    <w:panose1 w:val="02000000000000000000"/>
    <w:charset w:val="86"/>
    <w:family w:val="auto"/>
    <w:pitch w:val="default"/>
    <w:sig w:usb0="00000000" w:usb1="00000000" w:usb2="00000000" w:usb3="00000000" w:csb0="00040000" w:csb1="00000000"/>
  </w:font>
  <w:font w:name="Segoe UI Symbol">
    <w:panose1 w:val="020B0502040204020203"/>
    <w:charset w:val="00"/>
    <w:family w:val="swiss"/>
    <w:pitch w:val="default"/>
    <w:sig w:usb0="8000006F" w:usb1="1200FBEF" w:usb2="0064C000" w:usb3="00000002" w:csb0="00000001" w:csb1="40000000"/>
  </w:font>
  <w:font w:name="Aparajita">
    <w:panose1 w:val="020B0604020202020204"/>
    <w:charset w:val="00"/>
    <w:family w:val="auto"/>
    <w:pitch w:val="default"/>
    <w:sig w:usb0="00008003" w:usb1="00000000" w:usb2="00000000" w:usb3="00000000" w:csb0="00000001"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Times New Toman">
    <w:altName w:val="Traditional Arabic"/>
    <w:panose1 w:val="02020603050405020304"/>
    <w:charset w:val="00"/>
    <w:family w:val="roman"/>
    <w:pitch w:val="default"/>
    <w:sig w:usb0="00000000" w:usb1="00000000" w:usb2="00000008" w:usb3="00000000" w:csb0="000001FF" w:csb1="00000000"/>
  </w:font>
  <w:font w:name="Arial">
    <w:panose1 w:val="020B0604020202020204"/>
    <w:charset w:val="86"/>
    <w:family w:val="auto"/>
    <w:pitch w:val="default"/>
    <w:sig w:usb0="E0002AFF" w:usb1="C0007843" w:usb2="00000009" w:usb3="00000000" w:csb0="400001FF" w:csb1="FFFF0000"/>
  </w:font>
  <w:font w:name="Arial Unicode MS">
    <w:altName w:val="Arial"/>
    <w:panose1 w:val="00000000000000000000"/>
    <w:charset w:val="00"/>
    <w:family w:val="auto"/>
    <w:pitch w:val="default"/>
    <w:sig w:usb0="00000000" w:usb1="00000000" w:usb2="00000000" w:usb3="00000000" w:csb0="00000000" w:csb1="00000000"/>
  </w:font>
  <w:font w:name="Nirmala UI">
    <w:altName w:val="Segoe Print"/>
    <w:panose1 w:val="00000000000000000000"/>
    <w:charset w:val="00"/>
    <w:family w:val="auto"/>
    <w:pitch w:val="default"/>
    <w:sig w:usb0="00000000" w:usb1="00000000" w:usb2="00000000" w:usb3="00000000" w:csb0="00000000" w:csb1="00000000"/>
  </w:font>
  <w:font w:name="Leelawadee UI">
    <w:altName w:val="Leelawadee"/>
    <w:panose1 w:val="00000000000000000000"/>
    <w:charset w:val="00"/>
    <w:family w:val="auto"/>
    <w:pitch w:val="default"/>
    <w:sig w:usb0="00000000" w:usb1="00000000" w:usb2="00000000" w:usb3="00000000" w:csb0="00000000" w:csb1="00000000"/>
  </w:font>
  <w:font w:name="Leelawadee">
    <w:panose1 w:val="020B0502040204020203"/>
    <w:charset w:val="00"/>
    <w:family w:val="auto"/>
    <w:pitch w:val="default"/>
    <w:sig w:usb0="810000AF" w:usb1="4000204B" w:usb2="00000000" w:usb3="00000000" w:csb0="20010001" w:csb1="00000000"/>
  </w:font>
  <w:font w:name="Traditional Arabic">
    <w:panose1 w:val="02020603050405020304"/>
    <w:charset w:val="00"/>
    <w:family w:val="auto"/>
    <w:pitch w:val="default"/>
    <w:sig w:usb0="00006003" w:usb1="80000000" w:usb2="00000008" w:usb3="00000000" w:csb0="00000041" w:csb1="20080000"/>
  </w:font>
  <w:font w:name="Cambria Math">
    <w:panose1 w:val="02040503050406030204"/>
    <w:charset w:val="00"/>
    <w:family w:val="roman"/>
    <w:pitch w:val="default"/>
    <w:sig w:usb0="E00002FF" w:usb1="420024FF" w:usb2="00000000" w:usb3="00000000" w:csb0="2000019F" w:csb1="00000000"/>
  </w:font>
  <w:font w:name="瀹嬩綋">
    <w:altName w:val="宋体"/>
    <w:panose1 w:val="00000000000000000000"/>
    <w:charset w:val="86"/>
    <w:family w:val="auto"/>
    <w:pitch w:val="default"/>
    <w:sig w:usb0="00000000" w:usb1="00000000" w:usb2="00000010" w:usb3="00000000" w:csb0="00040000" w:csb1="00000000"/>
  </w:font>
  <w:font w:name="等线 Light">
    <w:altName w:val="宋体"/>
    <w:panose1 w:val="02010600030101010101"/>
    <w:charset w:val="86"/>
    <w:family w:val="auto"/>
    <w:pitch w:val="default"/>
    <w:sig w:usb0="00000000" w:usb1="00000000" w:usb2="00000016" w:usb3="00000000" w:csb0="0004000F" w:csb1="00000000"/>
  </w:font>
  <w:font w:name="time">
    <w:altName w:val="微软雅黑"/>
    <w:panose1 w:val="00000000000000000000"/>
    <w:charset w:val="00"/>
    <w:family w:val="auto"/>
    <w:pitch w:val="default"/>
    <w:sig w:usb0="00000000" w:usb1="00000000" w:usb2="00000000" w:usb3="00000000" w:csb0="00040001" w:csb1="00000000"/>
  </w:font>
  <w:font w:name="等线">
    <w:altName w:val="Segoe Print"/>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KaiTi_GB2312">
    <w:altName w:val="楷体"/>
    <w:panose1 w:val="02010609030101010101"/>
    <w:charset w:val="86"/>
    <w:family w:val="modern"/>
    <w:pitch w:val="default"/>
    <w:sig w:usb0="00000000" w:usb1="00000000" w:usb2="00000000" w:usb3="00000000" w:csb0="00040000" w:csb1="00000000"/>
  </w:font>
  <w:font w:name="FangSong_GB2312">
    <w:altName w:val="仿宋"/>
    <w:panose1 w:val="00000000000000000000"/>
    <w:charset w:val="86"/>
    <w:family w:val="modern"/>
    <w:pitch w:val="default"/>
    <w:sig w:usb0="00000000" w:usb1="00000000" w:usb2="00000016" w:usb3="00000000" w:csb0="00040001" w:csb1="00000000"/>
  </w:font>
  <w:font w:name="Tw Cen MT">
    <w:altName w:val="Segoe Print"/>
    <w:panose1 w:val="00000000000000000000"/>
    <w:charset w:val="00"/>
    <w:family w:val="swiss"/>
    <w:pitch w:val="default"/>
    <w:sig w:usb0="00000000" w:usb1="00000000" w:usb2="00000000" w:usb3="00000000" w:csb0="00000003" w:csb1="00000000"/>
  </w:font>
  <w:font w:name="DengXian">
    <w:altName w:val="宋体"/>
    <w:panose1 w:val="02010600030101010101"/>
    <w:charset w:val="86"/>
    <w:family w:val="auto"/>
    <w:pitch w:val="default"/>
    <w:sig w:usb0="00000000" w:usb1="00000000" w:usb2="00000016" w:usb3="00000000" w:csb0="0004000F" w:csb1="00000000"/>
  </w:font>
  <w:font w:name="DengXian Light">
    <w:altName w:val="宋体"/>
    <w:panose1 w:val="00000000000000000000"/>
    <w:charset w:val="86"/>
    <w:family w:val="auto"/>
    <w:pitch w:val="default"/>
    <w:sig w:usb0="00000000" w:usb1="00000000" w:usb2="00000016" w:usb3="00000000" w:csb0="0004000F" w:csb1="00000000"/>
  </w:font>
  <w:font w:name="华文细黑">
    <w:altName w:val="微软雅黑"/>
    <w:panose1 w:val="02010600040101010101"/>
    <w:charset w:val="86"/>
    <w:family w:val="auto"/>
    <w:pitch w:val="default"/>
    <w:sig w:usb0="00000000" w:usb1="00000000" w:usb2="00000000" w:usb3="00000000" w:csb0="00000000" w:csb1="00000000"/>
  </w:font>
  <w:font w:name="新宋体">
    <w:panose1 w:val="02010609030101010101"/>
    <w:charset w:val="86"/>
    <w:family w:val="modern"/>
    <w:pitch w:val="default"/>
    <w:sig w:usb0="00000003" w:usb1="288F0000" w:usb2="00000006" w:usb3="00000000" w:csb0="00040001" w:csb1="00000000"/>
  </w:font>
  <w:font w:name="华文隶书">
    <w:altName w:val="微软雅黑"/>
    <w:panose1 w:val="02010800040101010101"/>
    <w:charset w:val="86"/>
    <w:family w:val="auto"/>
    <w:pitch w:val="default"/>
    <w:sig w:usb0="00000000" w:usb1="00000000" w:usb2="00000010" w:usb3="00000000" w:csb0="00040000" w:csb1="00000000"/>
  </w:font>
  <w:font w:name="方正仿宋_GB18030">
    <w:altName w:val="仿宋"/>
    <w:panose1 w:val="02000000000000000000"/>
    <w:charset w:val="86"/>
    <w:family w:val="auto"/>
    <w:pitch w:val="default"/>
    <w:sig w:usb0="00000000" w:usb1="00000000" w:usb2="00000000" w:usb3="00000000" w:csb0="00000000" w:csb1="00000000"/>
  </w:font>
  <w:font w:name="仿宋_GB2312">
    <w:altName w:val="仿宋"/>
    <w:panose1 w:val="02010609030101010101"/>
    <w:charset w:val="00"/>
    <w:family w:val="auto"/>
    <w:pitch w:val="default"/>
    <w:sig w:usb0="00000000" w:usb1="00000000" w:usb2="00000000" w:usb3="00000000" w:csb0="00000000" w:csb1="00000000"/>
  </w:font>
  <w:font w:name="serif">
    <w:altName w:val="Segoe Print"/>
    <w:panose1 w:val="00000000000000000000"/>
    <w:charset w:val="00"/>
    <w:family w:val="auto"/>
    <w:pitch w:val="default"/>
    <w:sig w:usb0="00000000" w:usb1="00000000" w:usb2="00000000" w:usb3="00000000" w:csb0="00040001" w:csb1="00000000"/>
  </w:font>
  <w:font w:name="Garamond">
    <w:altName w:val="PMingLiU"/>
    <w:panose1 w:val="02020404030301010803"/>
    <w:charset w:val="00"/>
    <w:family w:val="roman"/>
    <w:pitch w:val="default"/>
    <w:sig w:usb0="00000000" w:usb1="00000000" w:usb2="00000000" w:usb3="00000000" w:csb0="0000009F" w:csb1="00000000"/>
  </w:font>
  <w:font w:name="zjaf">
    <w:altName w:val="Times New Roman"/>
    <w:panose1 w:val="00000000000000000000"/>
    <w:charset w:val="00"/>
    <w:family w:val="roman"/>
    <w:pitch w:val="default"/>
    <w:sig w:usb0="00000000" w:usb1="00000000" w:usb2="00000000"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方正楷体_GBK">
    <w:altName w:val="微软雅黑"/>
    <w:panose1 w:val="02000000000000000000"/>
    <w:charset w:val="86"/>
    <w:family w:val="auto"/>
    <w:pitch w:val="default"/>
    <w:sig w:usb0="00000000" w:usb1="00000000" w:usb2="00082016" w:usb3="00000000" w:csb0="00040001" w:csb1="00000000"/>
  </w:font>
  <w:font w:name="Noto Sans Syriac Eastern">
    <w:altName w:val="宋体"/>
    <w:panose1 w:val="02040503050306020203"/>
    <w:charset w:val="86"/>
    <w:family w:val="auto"/>
    <w:pitch w:val="default"/>
    <w:sig w:usb0="00000000" w:usb1="00000000" w:usb2="00000080" w:usb3="00000000" w:csb0="203E0161" w:csb1="D7FF0000"/>
  </w:font>
  <w:font w:name="Arial Unicode MS">
    <w:altName w:val="Arial"/>
    <w:panose1 w:val="020B0604020202020204"/>
    <w:charset w:val="80"/>
    <w:family w:val="swiss"/>
    <w:pitch w:val="default"/>
    <w:sig w:usb0="00000000" w:usb1="00000000" w:usb2="0000003F" w:usb3="00000000" w:csb0="603F01FF" w:csb1="FFFF0000"/>
  </w:font>
  <w:font w:name="方正粗黑宋简体">
    <w:panose1 w:val="02000000000000000000"/>
    <w:charset w:val="86"/>
    <w:family w:val="auto"/>
    <w:pitch w:val="default"/>
    <w:sig w:usb0="A00002BF" w:usb1="184F6CFA" w:usb2="00000012" w:usb3="00000000" w:csb0="00040001" w:csb1="00000000"/>
  </w:font>
  <w:font w:name="MS PGothic">
    <w:panose1 w:val="020B0600070205080204"/>
    <w:charset w:val="80"/>
    <w:family w:val="auto"/>
    <w:pitch w:val="default"/>
    <w:sig w:usb0="E00002FF" w:usb1="6AC7FDFB" w:usb2="00000012" w:usb3="00000000" w:csb0="4002009F" w:csb1="DFD70000"/>
  </w:font>
  <w:font w:name="Batang">
    <w:panose1 w:val="02030600000101010101"/>
    <w:charset w:val="81"/>
    <w:family w:val="auto"/>
    <w:pitch w:val="default"/>
    <w:sig w:usb0="B00002AF" w:usb1="69D77CFB" w:usb2="00000030" w:usb3="00000000" w:csb0="4008009F" w:csb1="DFD70000"/>
  </w:font>
  <w:font w:name="BatangChe">
    <w:panose1 w:val="02030609000101010101"/>
    <w:charset w:val="81"/>
    <w:family w:val="auto"/>
    <w:pitch w:val="default"/>
    <w:sig w:usb0="B00002AF" w:usb1="69D77CFB" w:usb2="00000030" w:usb3="00000000" w:csb0="4008009F" w:csb1="DFD70000"/>
  </w:font>
  <w:font w:name="DFKai-SB">
    <w:panose1 w:val="03000509000000000000"/>
    <w:charset w:val="88"/>
    <w:family w:val="auto"/>
    <w:pitch w:val="default"/>
    <w:sig w:usb0="00000003" w:usb1="082E0000" w:usb2="00000016" w:usb3="00000000" w:csb0="00100001" w:csb1="00000000"/>
  </w:font>
  <w:font w:name="Dotum">
    <w:panose1 w:val="020B0600000101010101"/>
    <w:charset w:val="81"/>
    <w:family w:val="auto"/>
    <w:pitch w:val="default"/>
    <w:sig w:usb0="B00002AF" w:usb1="69D77CFB" w:usb2="00000030" w:usb3="00000000" w:csb0="4008009F" w:csb1="DFD70000"/>
  </w:font>
  <w:font w:name="DotumChe">
    <w:panose1 w:val="020B0609000101010101"/>
    <w:charset w:val="81"/>
    <w:family w:val="auto"/>
    <w:pitch w:val="default"/>
    <w:sig w:usb0="B00002AF" w:usb1="69D77CFB" w:usb2="00000030" w:usb3="00000000" w:csb0="4008009F" w:csb1="DFD70000"/>
  </w:font>
  <w:font w:name="Songti SC Regular">
    <w:altName w:val="Times New Roman"/>
    <w:panose1 w:val="00000000000000000000"/>
    <w:charset w:val="00"/>
    <w:family w:val="roman"/>
    <w:pitch w:val="default"/>
    <w:sig w:usb0="00000000" w:usb1="00000000" w:usb2="00000000" w:usb3="00000000" w:csb0="00000000" w:csb1="00000000"/>
  </w:font>
  <w:font w:name="Microsoft JhengHei UI">
    <w:altName w:val="Microsoft JhengHei"/>
    <w:panose1 w:val="020B0604030504040204"/>
    <w:charset w:val="88"/>
    <w:family w:val="auto"/>
    <w:pitch w:val="default"/>
    <w:sig w:usb0="00000000" w:usb1="00000000" w:usb2="00000016" w:usb3="00000000" w:csb0="00100009" w:csb1="00000000"/>
  </w:font>
  <w:font w:name="汉仪书宋二KW">
    <w:altName w:val="宋体"/>
    <w:panose1 w:val="00020600040101010101"/>
    <w:charset w:val="86"/>
    <w:family w:val="auto"/>
    <w:pitch w:val="default"/>
    <w:sig w:usb0="00000000" w:usb1="00000000" w:usb2="00000016" w:usb3="00000000" w:csb0="00040000" w:csb1="00000000"/>
  </w:font>
  <w:font w:name="Kingsoft Confetti">
    <w:altName w:val="Segoe Print"/>
    <w:panose1 w:val="05000100010000000000"/>
    <w:charset w:val="00"/>
    <w:family w:val="auto"/>
    <w:pitch w:val="default"/>
    <w:sig w:usb0="00000000" w:usb1="00000000" w:usb2="00000000" w:usb3="00000000" w:csb0="80000000" w:csb1="00000000"/>
  </w:font>
  <w:font w:name="汉仪中黑KW">
    <w:altName w:val="黑体"/>
    <w:panose1 w:val="00020600040101010101"/>
    <w:charset w:val="86"/>
    <w:family w:val="auto"/>
    <w:pitch w:val="default"/>
    <w:sig w:usb0="00000000" w:usb1="00000000" w:usb2="00000016" w:usb3="00000000" w:csb0="00040000" w:csb1="00000000"/>
  </w:font>
  <w:font w:name="Kingsoft Sign">
    <w:altName w:val="Segoe Print"/>
    <w:panose1 w:val="05050102010706020507"/>
    <w:charset w:val="00"/>
    <w:family w:val="auto"/>
    <w:pitch w:val="default"/>
    <w:sig w:usb0="00000000" w:usb1="00000000" w:usb2="00000000" w:usb3="00000000" w:csb0="80000000" w:csb1="00000000"/>
  </w:font>
  <w:font w:name="汉仪仿宋KW">
    <w:altName w:val="仿宋"/>
    <w:panose1 w:val="00020600040101010101"/>
    <w:charset w:val="86"/>
    <w:family w:val="auto"/>
    <w:pitch w:val="default"/>
    <w:sig w:usb0="00000000" w:usb1="00000000" w:usb2="00000016" w:usb3="00000000" w:csb0="00040000" w:csb1="00000000"/>
  </w:font>
  <w:font w:name="汉仪旗黑KW 55S">
    <w:altName w:val="黑体"/>
    <w:panose1 w:val="00020600040101010101"/>
    <w:charset w:val="86"/>
    <w:family w:val="auto"/>
    <w:pitch w:val="default"/>
    <w:sig w:usb0="00000000" w:usb1="00000000" w:usb2="00000016" w:usb3="00000000" w:csb0="0004009F" w:csb1="DFD70000"/>
  </w:font>
  <w:font w:name="汉仪中等线KW">
    <w:altName w:val="宋体"/>
    <w:panose1 w:val="01010104010101010101"/>
    <w:charset w:val="86"/>
    <w:family w:val="auto"/>
    <w:pitch w:val="default"/>
    <w:sig w:usb0="00000000" w:usb1="00000000" w:usb2="00000000" w:usb3="00000000" w:csb0="00040001" w:csb1="00000000"/>
  </w:font>
  <w:font w:name="Segoe UI">
    <w:panose1 w:val="020B0502040204020203"/>
    <w:charset w:val="00"/>
    <w:family w:val="auto"/>
    <w:pitch w:val="default"/>
    <w:sig w:usb0="E10022FF" w:usb1="C000E47F" w:usb2="00000029" w:usb3="00000000" w:csb0="200001DF" w:csb1="20000000"/>
  </w:font>
  <w:font w:name="华文宋体">
    <w:altName w:val="宋体"/>
    <w:panose1 w:val="02010600040101010101"/>
    <w:charset w:val="00"/>
    <w:family w:val="auto"/>
    <w:pitch w:val="default"/>
    <w:sig w:usb0="00000000" w:usb1="0000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46</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46</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0000001B"/>
    <w:lvl w:ilvl="0" w:tentative="0">
      <w:start w:val="1"/>
      <w:numFmt w:val="decimal"/>
      <w:lvlText w:val="%1."/>
      <w:lvlJc w:val="left"/>
      <w:pPr>
        <w:tabs>
          <w:tab w:val="left" w:pos="142"/>
        </w:tabs>
        <w:ind w:left="142" w:firstLine="0"/>
      </w:pPr>
      <w:rPr>
        <w:rFonts w:hint="eastAsia"/>
        <w:b/>
      </w:rPr>
    </w:lvl>
    <w:lvl w:ilvl="1" w:tentative="0">
      <w:start w:val="1"/>
      <w:numFmt w:val="decimal"/>
      <w:lvlText w:val="%1.%2"/>
      <w:lvlJc w:val="left"/>
      <w:pPr>
        <w:tabs>
          <w:tab w:val="left" w:pos="992"/>
        </w:tabs>
        <w:ind w:left="992" w:hanging="567"/>
      </w:pPr>
      <w:rPr>
        <w:rFonts w:hint="eastAsia" w:ascii="仿宋_GB2312" w:eastAsia="仿宋_GB2312"/>
        <w:b w:val="0"/>
        <w:color w:val="auto"/>
        <w:sz w:val="24"/>
        <w:szCs w:val="24"/>
      </w:rPr>
    </w:lvl>
    <w:lvl w:ilvl="2" w:tentative="0">
      <w:start w:val="1"/>
      <w:numFmt w:val="none"/>
      <w:lvlText w:val="1.2.1"/>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
    <w:nsid w:val="0F125F58"/>
    <w:multiLevelType w:val="multilevel"/>
    <w:tmpl w:val="0F125F58"/>
    <w:lvl w:ilvl="0" w:tentative="0">
      <w:start w:val="1"/>
      <w:numFmt w:val="chineseCountingThousand"/>
      <w:suff w:val="nothing"/>
      <w:lvlText w:val="%1、"/>
      <w:lvlJc w:val="left"/>
      <w:pPr>
        <w:ind w:left="-493" w:firstLine="635"/>
      </w:pPr>
      <w:rPr>
        <w:rFonts w:hint="eastAsia"/>
      </w:rPr>
    </w:lvl>
    <w:lvl w:ilvl="1" w:tentative="0">
      <w:start w:val="1"/>
      <w:numFmt w:val="chineseCountingThousand"/>
      <w:pStyle w:val="46"/>
      <w:suff w:val="nothing"/>
      <w:lvlText w:val="（%2）"/>
      <w:lvlJc w:val="left"/>
      <w:pPr>
        <w:ind w:left="734" w:firstLine="400"/>
      </w:pPr>
      <w:rPr>
        <w:rFonts w:hint="eastAsia"/>
      </w:rPr>
    </w:lvl>
    <w:lvl w:ilvl="2" w:tentative="0">
      <w:start w:val="1"/>
      <w:numFmt w:val="decimal"/>
      <w:suff w:val="nothing"/>
      <w:lvlText w:val="%3."/>
      <w:lvlJc w:val="left"/>
      <w:pPr>
        <w:ind w:left="0" w:firstLine="635"/>
      </w:pPr>
      <w:rPr>
        <w:rFonts w:hint="eastAsia"/>
      </w:rPr>
    </w:lvl>
    <w:lvl w:ilvl="3" w:tentative="0">
      <w:start w:val="1"/>
      <w:numFmt w:val="decimal"/>
      <w:suff w:val="nothing"/>
      <w:lvlText w:val="（%4）"/>
      <w:lvlJc w:val="left"/>
      <w:pPr>
        <w:ind w:left="0" w:firstLine="635"/>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3">
    <w:nsid w:val="420C153B"/>
    <w:multiLevelType w:val="multilevel"/>
    <w:tmpl w:val="420C153B"/>
    <w:lvl w:ilvl="0" w:tentative="0">
      <w:start w:val="1"/>
      <w:numFmt w:val="decimal"/>
      <w:pStyle w:val="98"/>
      <w:lvlText w:val="%1."/>
      <w:lvlJc w:val="left"/>
      <w:pPr>
        <w:tabs>
          <w:tab w:val="left" w:pos="949"/>
        </w:tabs>
        <w:ind w:left="949" w:hanging="709"/>
      </w:pPr>
    </w:lvl>
    <w:lvl w:ilvl="1" w:tentative="0">
      <w:start w:val="1"/>
      <w:numFmt w:val="decimal"/>
      <w:lvlText w:val="%1.%2"/>
      <w:lvlJc w:val="left"/>
      <w:pPr>
        <w:tabs>
          <w:tab w:val="left" w:pos="709"/>
        </w:tabs>
        <w:ind w:left="709" w:hanging="709"/>
      </w:pPr>
      <w:rPr>
        <w:b w:val="0"/>
      </w:r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4">
    <w:nsid w:val="607FC5B7"/>
    <w:multiLevelType w:val="singleLevel"/>
    <w:tmpl w:val="607FC5B7"/>
    <w:lvl w:ilvl="0" w:tentative="0">
      <w:start w:val="1"/>
      <w:numFmt w:val="decimal"/>
      <w:lvlText w:val="%1."/>
      <w:lvlJc w:val="left"/>
      <w:pPr>
        <w:ind w:left="425" w:hanging="425"/>
      </w:pPr>
      <w:rPr>
        <w:rFonts w:hint="default"/>
      </w:rPr>
    </w:lvl>
  </w:abstractNum>
  <w:abstractNum w:abstractNumId="5">
    <w:nsid w:val="607FC732"/>
    <w:multiLevelType w:val="singleLevel"/>
    <w:tmpl w:val="607FC732"/>
    <w:lvl w:ilvl="0" w:tentative="0">
      <w:start w:val="1"/>
      <w:numFmt w:val="chineseCounting"/>
      <w:suff w:val="nothing"/>
      <w:lvlText w:val="（%1）"/>
      <w:lvlJc w:val="left"/>
    </w:lvl>
  </w:abstractNum>
  <w:abstractNum w:abstractNumId="6">
    <w:nsid w:val="66B41E32"/>
    <w:multiLevelType w:val="singleLevel"/>
    <w:tmpl w:val="66B41E32"/>
    <w:lvl w:ilvl="0" w:tentative="0">
      <w:start w:val="1"/>
      <w:numFmt w:val="chineseCounting"/>
      <w:suff w:val="nothing"/>
      <w:lvlText w:val="%1、"/>
      <w:lvlJc w:val="left"/>
    </w:lvl>
  </w:abstractNum>
  <w:abstractNum w:abstractNumId="7">
    <w:nsid w:val="66D91503"/>
    <w:multiLevelType w:val="singleLevel"/>
    <w:tmpl w:val="66D91503"/>
    <w:lvl w:ilvl="0" w:tentative="0">
      <w:start w:val="2"/>
      <w:numFmt w:val="chineseCounting"/>
      <w:suff w:val="nothing"/>
      <w:lvlText w:val="（%1）"/>
      <w:lvlJc w:val="left"/>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6"/>
  </w:num>
  <w:num w:numId="5">
    <w:abstractNumId w:val="4"/>
  </w:num>
  <w:num w:numId="6">
    <w:abstractNumId w:val="5"/>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bordersDoNotSurroundHeader w:val="0"/>
  <w:bordersDoNotSurroundFooter w:val="0"/>
  <w:attachedTemplate r:id="rId1"/>
  <w:documentProtection w:enforcement="0"/>
  <w:defaultTabStop w:val="425"/>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ZlZjg2ZDYwMmI4ODcyNWE2OGNlY2IxMTcxMjgxN2MifQ=="/>
  </w:docVars>
  <w:rsids>
    <w:rsidRoot w:val="000A6830"/>
    <w:rsid w:val="00000DCA"/>
    <w:rsid w:val="000040A0"/>
    <w:rsid w:val="00006EB0"/>
    <w:rsid w:val="000109FB"/>
    <w:rsid w:val="00013B64"/>
    <w:rsid w:val="000207B0"/>
    <w:rsid w:val="00023591"/>
    <w:rsid w:val="0002404C"/>
    <w:rsid w:val="000242E7"/>
    <w:rsid w:val="00026CA3"/>
    <w:rsid w:val="00027A54"/>
    <w:rsid w:val="00030E68"/>
    <w:rsid w:val="000314D7"/>
    <w:rsid w:val="00037767"/>
    <w:rsid w:val="00037824"/>
    <w:rsid w:val="000417AF"/>
    <w:rsid w:val="0004272A"/>
    <w:rsid w:val="00043625"/>
    <w:rsid w:val="00045838"/>
    <w:rsid w:val="00045BA5"/>
    <w:rsid w:val="0005125E"/>
    <w:rsid w:val="000521E6"/>
    <w:rsid w:val="000528A6"/>
    <w:rsid w:val="00053CCA"/>
    <w:rsid w:val="00055DD8"/>
    <w:rsid w:val="000600E5"/>
    <w:rsid w:val="000641EF"/>
    <w:rsid w:val="00067061"/>
    <w:rsid w:val="00070E70"/>
    <w:rsid w:val="000723CC"/>
    <w:rsid w:val="000757EA"/>
    <w:rsid w:val="000758AC"/>
    <w:rsid w:val="0007599C"/>
    <w:rsid w:val="00075A51"/>
    <w:rsid w:val="00076D0A"/>
    <w:rsid w:val="00077C8B"/>
    <w:rsid w:val="0008243A"/>
    <w:rsid w:val="0008456A"/>
    <w:rsid w:val="00086A4E"/>
    <w:rsid w:val="00087C86"/>
    <w:rsid w:val="0009105E"/>
    <w:rsid w:val="00091493"/>
    <w:rsid w:val="0009161C"/>
    <w:rsid w:val="000957EC"/>
    <w:rsid w:val="00096E4D"/>
    <w:rsid w:val="00097FF0"/>
    <w:rsid w:val="000A0579"/>
    <w:rsid w:val="000A0EE7"/>
    <w:rsid w:val="000A22BA"/>
    <w:rsid w:val="000A2C9A"/>
    <w:rsid w:val="000A3B4E"/>
    <w:rsid w:val="000A6296"/>
    <w:rsid w:val="000A6724"/>
    <w:rsid w:val="000A6830"/>
    <w:rsid w:val="000A6B9B"/>
    <w:rsid w:val="000B0B41"/>
    <w:rsid w:val="000B15B2"/>
    <w:rsid w:val="000B3B0C"/>
    <w:rsid w:val="000B4639"/>
    <w:rsid w:val="000B71FE"/>
    <w:rsid w:val="000C000A"/>
    <w:rsid w:val="000C0E94"/>
    <w:rsid w:val="000C11A9"/>
    <w:rsid w:val="000C22CF"/>
    <w:rsid w:val="000C5215"/>
    <w:rsid w:val="000C6ABF"/>
    <w:rsid w:val="000D2F87"/>
    <w:rsid w:val="000D34DE"/>
    <w:rsid w:val="000E100B"/>
    <w:rsid w:val="000E48F9"/>
    <w:rsid w:val="000E4ADD"/>
    <w:rsid w:val="000F0272"/>
    <w:rsid w:val="000F0605"/>
    <w:rsid w:val="000F09EE"/>
    <w:rsid w:val="000F1AB8"/>
    <w:rsid w:val="000F1C9E"/>
    <w:rsid w:val="000F24C8"/>
    <w:rsid w:val="000F2828"/>
    <w:rsid w:val="000F3D37"/>
    <w:rsid w:val="000F5639"/>
    <w:rsid w:val="000F57CF"/>
    <w:rsid w:val="000F5BC7"/>
    <w:rsid w:val="000F6176"/>
    <w:rsid w:val="000F62A6"/>
    <w:rsid w:val="000F6EFE"/>
    <w:rsid w:val="00100A4E"/>
    <w:rsid w:val="00102F10"/>
    <w:rsid w:val="001034E8"/>
    <w:rsid w:val="00103FC4"/>
    <w:rsid w:val="00104353"/>
    <w:rsid w:val="001046F1"/>
    <w:rsid w:val="00105FA6"/>
    <w:rsid w:val="001065FA"/>
    <w:rsid w:val="0010683E"/>
    <w:rsid w:val="00110F3D"/>
    <w:rsid w:val="00112037"/>
    <w:rsid w:val="00113101"/>
    <w:rsid w:val="00113224"/>
    <w:rsid w:val="00113736"/>
    <w:rsid w:val="00113C9C"/>
    <w:rsid w:val="001140B6"/>
    <w:rsid w:val="00114F64"/>
    <w:rsid w:val="00115B10"/>
    <w:rsid w:val="00117A43"/>
    <w:rsid w:val="0012075A"/>
    <w:rsid w:val="00120891"/>
    <w:rsid w:val="00123B98"/>
    <w:rsid w:val="00126C19"/>
    <w:rsid w:val="001273E5"/>
    <w:rsid w:val="001275B9"/>
    <w:rsid w:val="00127A8F"/>
    <w:rsid w:val="0013071C"/>
    <w:rsid w:val="0013109C"/>
    <w:rsid w:val="0013273E"/>
    <w:rsid w:val="00135A9F"/>
    <w:rsid w:val="0014107F"/>
    <w:rsid w:val="00142376"/>
    <w:rsid w:val="00144DB0"/>
    <w:rsid w:val="0014677B"/>
    <w:rsid w:val="0015524B"/>
    <w:rsid w:val="00155E9B"/>
    <w:rsid w:val="001568F6"/>
    <w:rsid w:val="0015797F"/>
    <w:rsid w:val="001603A0"/>
    <w:rsid w:val="00160813"/>
    <w:rsid w:val="00161298"/>
    <w:rsid w:val="0016372E"/>
    <w:rsid w:val="0016686D"/>
    <w:rsid w:val="001705AD"/>
    <w:rsid w:val="00170C4E"/>
    <w:rsid w:val="00171911"/>
    <w:rsid w:val="001747E4"/>
    <w:rsid w:val="00181981"/>
    <w:rsid w:val="001828E1"/>
    <w:rsid w:val="00182FDB"/>
    <w:rsid w:val="001866A2"/>
    <w:rsid w:val="00191DF8"/>
    <w:rsid w:val="00195574"/>
    <w:rsid w:val="00195EC1"/>
    <w:rsid w:val="00196022"/>
    <w:rsid w:val="00197B59"/>
    <w:rsid w:val="001A28F3"/>
    <w:rsid w:val="001A66B8"/>
    <w:rsid w:val="001A6AA6"/>
    <w:rsid w:val="001A77D6"/>
    <w:rsid w:val="001A798A"/>
    <w:rsid w:val="001A7BE7"/>
    <w:rsid w:val="001B3380"/>
    <w:rsid w:val="001B33FF"/>
    <w:rsid w:val="001B4D1F"/>
    <w:rsid w:val="001B5F7B"/>
    <w:rsid w:val="001B69E6"/>
    <w:rsid w:val="001B6BE5"/>
    <w:rsid w:val="001B729F"/>
    <w:rsid w:val="001C1C29"/>
    <w:rsid w:val="001C3046"/>
    <w:rsid w:val="001C499F"/>
    <w:rsid w:val="001C582E"/>
    <w:rsid w:val="001D2C77"/>
    <w:rsid w:val="001D2E3E"/>
    <w:rsid w:val="001E4232"/>
    <w:rsid w:val="001E4DDA"/>
    <w:rsid w:val="001E58C3"/>
    <w:rsid w:val="001E635F"/>
    <w:rsid w:val="001E7A5E"/>
    <w:rsid w:val="001F30DF"/>
    <w:rsid w:val="001F3500"/>
    <w:rsid w:val="001F49B3"/>
    <w:rsid w:val="001F5882"/>
    <w:rsid w:val="002006ED"/>
    <w:rsid w:val="00206A66"/>
    <w:rsid w:val="0020764D"/>
    <w:rsid w:val="00211407"/>
    <w:rsid w:val="0021298C"/>
    <w:rsid w:val="00213E93"/>
    <w:rsid w:val="002162CC"/>
    <w:rsid w:val="0021792F"/>
    <w:rsid w:val="00217C11"/>
    <w:rsid w:val="0022022A"/>
    <w:rsid w:val="00220FFF"/>
    <w:rsid w:val="002210FE"/>
    <w:rsid w:val="00223D83"/>
    <w:rsid w:val="002256DE"/>
    <w:rsid w:val="002313BE"/>
    <w:rsid w:val="00231483"/>
    <w:rsid w:val="0023169A"/>
    <w:rsid w:val="00231F27"/>
    <w:rsid w:val="00233076"/>
    <w:rsid w:val="002338C6"/>
    <w:rsid w:val="00235CD4"/>
    <w:rsid w:val="0023733C"/>
    <w:rsid w:val="0024336C"/>
    <w:rsid w:val="00250498"/>
    <w:rsid w:val="0025065D"/>
    <w:rsid w:val="00250DE8"/>
    <w:rsid w:val="00251011"/>
    <w:rsid w:val="002514DA"/>
    <w:rsid w:val="00251F89"/>
    <w:rsid w:val="00252970"/>
    <w:rsid w:val="00253922"/>
    <w:rsid w:val="00255000"/>
    <w:rsid w:val="00263BF9"/>
    <w:rsid w:val="00264B5D"/>
    <w:rsid w:val="0026515E"/>
    <w:rsid w:val="00266BBF"/>
    <w:rsid w:val="00270D4C"/>
    <w:rsid w:val="00270F52"/>
    <w:rsid w:val="0027176C"/>
    <w:rsid w:val="0027350B"/>
    <w:rsid w:val="00275AF0"/>
    <w:rsid w:val="00276B3C"/>
    <w:rsid w:val="00277194"/>
    <w:rsid w:val="00281DEC"/>
    <w:rsid w:val="00282EA3"/>
    <w:rsid w:val="0028478D"/>
    <w:rsid w:val="00285C49"/>
    <w:rsid w:val="002861D6"/>
    <w:rsid w:val="00287279"/>
    <w:rsid w:val="00287E65"/>
    <w:rsid w:val="00293F11"/>
    <w:rsid w:val="002952DB"/>
    <w:rsid w:val="00295973"/>
    <w:rsid w:val="00296C21"/>
    <w:rsid w:val="00296C55"/>
    <w:rsid w:val="00296E66"/>
    <w:rsid w:val="002972F3"/>
    <w:rsid w:val="002A021E"/>
    <w:rsid w:val="002A133E"/>
    <w:rsid w:val="002A1742"/>
    <w:rsid w:val="002A3982"/>
    <w:rsid w:val="002A41E6"/>
    <w:rsid w:val="002B1115"/>
    <w:rsid w:val="002B48DE"/>
    <w:rsid w:val="002B702B"/>
    <w:rsid w:val="002B736F"/>
    <w:rsid w:val="002B749E"/>
    <w:rsid w:val="002C09E2"/>
    <w:rsid w:val="002C270C"/>
    <w:rsid w:val="002C3366"/>
    <w:rsid w:val="002C486A"/>
    <w:rsid w:val="002C4DFA"/>
    <w:rsid w:val="002C5920"/>
    <w:rsid w:val="002C6EEB"/>
    <w:rsid w:val="002D5E10"/>
    <w:rsid w:val="002D72DB"/>
    <w:rsid w:val="002D7BD0"/>
    <w:rsid w:val="002E4584"/>
    <w:rsid w:val="002E56CD"/>
    <w:rsid w:val="002E621B"/>
    <w:rsid w:val="002E791C"/>
    <w:rsid w:val="002E79D7"/>
    <w:rsid w:val="002E7BC3"/>
    <w:rsid w:val="002E7CED"/>
    <w:rsid w:val="002F251A"/>
    <w:rsid w:val="002F26D0"/>
    <w:rsid w:val="002F4497"/>
    <w:rsid w:val="002F4797"/>
    <w:rsid w:val="002F749C"/>
    <w:rsid w:val="002F7B81"/>
    <w:rsid w:val="00300B7B"/>
    <w:rsid w:val="0030171E"/>
    <w:rsid w:val="00302F8E"/>
    <w:rsid w:val="00304D23"/>
    <w:rsid w:val="003052D2"/>
    <w:rsid w:val="003061DC"/>
    <w:rsid w:val="003065F6"/>
    <w:rsid w:val="003071FD"/>
    <w:rsid w:val="00307CF0"/>
    <w:rsid w:val="003107B6"/>
    <w:rsid w:val="00310C62"/>
    <w:rsid w:val="00310DDB"/>
    <w:rsid w:val="00311373"/>
    <w:rsid w:val="003116F8"/>
    <w:rsid w:val="00314C75"/>
    <w:rsid w:val="00317769"/>
    <w:rsid w:val="00320EE4"/>
    <w:rsid w:val="00325739"/>
    <w:rsid w:val="00325C48"/>
    <w:rsid w:val="00330C17"/>
    <w:rsid w:val="00333044"/>
    <w:rsid w:val="00333497"/>
    <w:rsid w:val="003335F9"/>
    <w:rsid w:val="00333EE8"/>
    <w:rsid w:val="003347C3"/>
    <w:rsid w:val="00335079"/>
    <w:rsid w:val="0033608B"/>
    <w:rsid w:val="0033618E"/>
    <w:rsid w:val="00336740"/>
    <w:rsid w:val="00337D7A"/>
    <w:rsid w:val="00340625"/>
    <w:rsid w:val="003427F5"/>
    <w:rsid w:val="00342D36"/>
    <w:rsid w:val="00343FE4"/>
    <w:rsid w:val="00344613"/>
    <w:rsid w:val="00345D2F"/>
    <w:rsid w:val="0034628A"/>
    <w:rsid w:val="0034722C"/>
    <w:rsid w:val="00350FDA"/>
    <w:rsid w:val="00351ABB"/>
    <w:rsid w:val="00352000"/>
    <w:rsid w:val="00353464"/>
    <w:rsid w:val="00353FE6"/>
    <w:rsid w:val="003548ED"/>
    <w:rsid w:val="00355207"/>
    <w:rsid w:val="0035540A"/>
    <w:rsid w:val="00356F51"/>
    <w:rsid w:val="003601C0"/>
    <w:rsid w:val="00360729"/>
    <w:rsid w:val="00360E43"/>
    <w:rsid w:val="003615D1"/>
    <w:rsid w:val="003627B8"/>
    <w:rsid w:val="00363CCB"/>
    <w:rsid w:val="00364E54"/>
    <w:rsid w:val="00365774"/>
    <w:rsid w:val="00366D6E"/>
    <w:rsid w:val="003701BF"/>
    <w:rsid w:val="0037076F"/>
    <w:rsid w:val="0037144F"/>
    <w:rsid w:val="0037163B"/>
    <w:rsid w:val="00374937"/>
    <w:rsid w:val="0038144A"/>
    <w:rsid w:val="00382A48"/>
    <w:rsid w:val="00383DDF"/>
    <w:rsid w:val="00386F2C"/>
    <w:rsid w:val="00391472"/>
    <w:rsid w:val="003917EB"/>
    <w:rsid w:val="00392ECF"/>
    <w:rsid w:val="00393EE6"/>
    <w:rsid w:val="0039728C"/>
    <w:rsid w:val="003A2F1E"/>
    <w:rsid w:val="003A38C4"/>
    <w:rsid w:val="003A52AA"/>
    <w:rsid w:val="003A741C"/>
    <w:rsid w:val="003A7641"/>
    <w:rsid w:val="003B1D70"/>
    <w:rsid w:val="003B4A45"/>
    <w:rsid w:val="003B521A"/>
    <w:rsid w:val="003B666A"/>
    <w:rsid w:val="003B7ADC"/>
    <w:rsid w:val="003D2182"/>
    <w:rsid w:val="003D28F2"/>
    <w:rsid w:val="003D392F"/>
    <w:rsid w:val="003D5EF9"/>
    <w:rsid w:val="003D6CE4"/>
    <w:rsid w:val="003D76FA"/>
    <w:rsid w:val="003E2189"/>
    <w:rsid w:val="003E365A"/>
    <w:rsid w:val="003E54C8"/>
    <w:rsid w:val="003F1B1B"/>
    <w:rsid w:val="003F1E55"/>
    <w:rsid w:val="003F2EC2"/>
    <w:rsid w:val="003F4678"/>
    <w:rsid w:val="003F48F7"/>
    <w:rsid w:val="003F4D96"/>
    <w:rsid w:val="003F5821"/>
    <w:rsid w:val="003F6400"/>
    <w:rsid w:val="003F76B2"/>
    <w:rsid w:val="003F7706"/>
    <w:rsid w:val="003F7E3E"/>
    <w:rsid w:val="00400824"/>
    <w:rsid w:val="00400E7B"/>
    <w:rsid w:val="0040314D"/>
    <w:rsid w:val="004043B0"/>
    <w:rsid w:val="00405317"/>
    <w:rsid w:val="00405B77"/>
    <w:rsid w:val="00411684"/>
    <w:rsid w:val="00411CDF"/>
    <w:rsid w:val="0041346D"/>
    <w:rsid w:val="00413A7B"/>
    <w:rsid w:val="00413C07"/>
    <w:rsid w:val="0042343A"/>
    <w:rsid w:val="004244B1"/>
    <w:rsid w:val="004245F4"/>
    <w:rsid w:val="00425364"/>
    <w:rsid w:val="00426FB3"/>
    <w:rsid w:val="00427CA9"/>
    <w:rsid w:val="00427F89"/>
    <w:rsid w:val="0043340A"/>
    <w:rsid w:val="004420FF"/>
    <w:rsid w:val="00443BA5"/>
    <w:rsid w:val="00447559"/>
    <w:rsid w:val="00450219"/>
    <w:rsid w:val="00450A0F"/>
    <w:rsid w:val="00450D8B"/>
    <w:rsid w:val="00453105"/>
    <w:rsid w:val="0045482B"/>
    <w:rsid w:val="00454C84"/>
    <w:rsid w:val="00455663"/>
    <w:rsid w:val="004572FA"/>
    <w:rsid w:val="00461910"/>
    <w:rsid w:val="00464078"/>
    <w:rsid w:val="00464656"/>
    <w:rsid w:val="004728F0"/>
    <w:rsid w:val="00475849"/>
    <w:rsid w:val="00476129"/>
    <w:rsid w:val="0047638C"/>
    <w:rsid w:val="00482BC8"/>
    <w:rsid w:val="00483617"/>
    <w:rsid w:val="004858A1"/>
    <w:rsid w:val="0048668A"/>
    <w:rsid w:val="004938E0"/>
    <w:rsid w:val="004A1020"/>
    <w:rsid w:val="004A163C"/>
    <w:rsid w:val="004A32C2"/>
    <w:rsid w:val="004A4572"/>
    <w:rsid w:val="004A491C"/>
    <w:rsid w:val="004A54FC"/>
    <w:rsid w:val="004A5E95"/>
    <w:rsid w:val="004B52E6"/>
    <w:rsid w:val="004B605E"/>
    <w:rsid w:val="004C1D54"/>
    <w:rsid w:val="004C445A"/>
    <w:rsid w:val="004D0A57"/>
    <w:rsid w:val="004D0C9E"/>
    <w:rsid w:val="004D3185"/>
    <w:rsid w:val="004D33E8"/>
    <w:rsid w:val="004D4EF2"/>
    <w:rsid w:val="004E0795"/>
    <w:rsid w:val="004E48DD"/>
    <w:rsid w:val="004E6ACA"/>
    <w:rsid w:val="004F047E"/>
    <w:rsid w:val="004F2547"/>
    <w:rsid w:val="004F2F2A"/>
    <w:rsid w:val="004F3601"/>
    <w:rsid w:val="004F4ACC"/>
    <w:rsid w:val="004F6023"/>
    <w:rsid w:val="004F638B"/>
    <w:rsid w:val="0050003A"/>
    <w:rsid w:val="00501132"/>
    <w:rsid w:val="005021EA"/>
    <w:rsid w:val="00504273"/>
    <w:rsid w:val="00505A97"/>
    <w:rsid w:val="00506FE4"/>
    <w:rsid w:val="0050704A"/>
    <w:rsid w:val="005070E1"/>
    <w:rsid w:val="00507873"/>
    <w:rsid w:val="00512EF5"/>
    <w:rsid w:val="00515AE2"/>
    <w:rsid w:val="00516C82"/>
    <w:rsid w:val="00516DA2"/>
    <w:rsid w:val="00520634"/>
    <w:rsid w:val="00522877"/>
    <w:rsid w:val="005233E2"/>
    <w:rsid w:val="00523E2B"/>
    <w:rsid w:val="005246F4"/>
    <w:rsid w:val="00533286"/>
    <w:rsid w:val="0053580E"/>
    <w:rsid w:val="00535B3E"/>
    <w:rsid w:val="00535EFF"/>
    <w:rsid w:val="005376C7"/>
    <w:rsid w:val="00537BBB"/>
    <w:rsid w:val="00537C84"/>
    <w:rsid w:val="005415FB"/>
    <w:rsid w:val="005421D6"/>
    <w:rsid w:val="0054293C"/>
    <w:rsid w:val="00543055"/>
    <w:rsid w:val="0054460B"/>
    <w:rsid w:val="00544A96"/>
    <w:rsid w:val="00545040"/>
    <w:rsid w:val="00546C00"/>
    <w:rsid w:val="00552E74"/>
    <w:rsid w:val="005530BA"/>
    <w:rsid w:val="00553B59"/>
    <w:rsid w:val="00557696"/>
    <w:rsid w:val="00560640"/>
    <w:rsid w:val="00561236"/>
    <w:rsid w:val="0056257F"/>
    <w:rsid w:val="005634DF"/>
    <w:rsid w:val="00567DB9"/>
    <w:rsid w:val="005720B6"/>
    <w:rsid w:val="00577133"/>
    <w:rsid w:val="0057796E"/>
    <w:rsid w:val="0058072A"/>
    <w:rsid w:val="0058206E"/>
    <w:rsid w:val="005822DB"/>
    <w:rsid w:val="00583547"/>
    <w:rsid w:val="00590C7D"/>
    <w:rsid w:val="005932B9"/>
    <w:rsid w:val="005935B3"/>
    <w:rsid w:val="005A1FE2"/>
    <w:rsid w:val="005B2C3F"/>
    <w:rsid w:val="005C15C9"/>
    <w:rsid w:val="005C2155"/>
    <w:rsid w:val="005C4026"/>
    <w:rsid w:val="005C41C4"/>
    <w:rsid w:val="005C5114"/>
    <w:rsid w:val="005C605E"/>
    <w:rsid w:val="005C72FF"/>
    <w:rsid w:val="005C7FDF"/>
    <w:rsid w:val="005D1F0D"/>
    <w:rsid w:val="005D350B"/>
    <w:rsid w:val="005D6BFD"/>
    <w:rsid w:val="005E10BE"/>
    <w:rsid w:val="005E2690"/>
    <w:rsid w:val="005E72DA"/>
    <w:rsid w:val="005F0358"/>
    <w:rsid w:val="005F086D"/>
    <w:rsid w:val="005F0C54"/>
    <w:rsid w:val="005F22C4"/>
    <w:rsid w:val="005F2448"/>
    <w:rsid w:val="005F3188"/>
    <w:rsid w:val="005F34CD"/>
    <w:rsid w:val="005F67F9"/>
    <w:rsid w:val="005F6F87"/>
    <w:rsid w:val="005F7692"/>
    <w:rsid w:val="00602C6A"/>
    <w:rsid w:val="006031EA"/>
    <w:rsid w:val="00610CB2"/>
    <w:rsid w:val="006118A7"/>
    <w:rsid w:val="0061305B"/>
    <w:rsid w:val="00613294"/>
    <w:rsid w:val="0061399F"/>
    <w:rsid w:val="00615C86"/>
    <w:rsid w:val="0061747D"/>
    <w:rsid w:val="006179B0"/>
    <w:rsid w:val="006220DC"/>
    <w:rsid w:val="006229A7"/>
    <w:rsid w:val="00624CA1"/>
    <w:rsid w:val="00625624"/>
    <w:rsid w:val="006264DE"/>
    <w:rsid w:val="00634219"/>
    <w:rsid w:val="00635224"/>
    <w:rsid w:val="00635C5D"/>
    <w:rsid w:val="006366B5"/>
    <w:rsid w:val="00636739"/>
    <w:rsid w:val="00637593"/>
    <w:rsid w:val="006403BA"/>
    <w:rsid w:val="00643B16"/>
    <w:rsid w:val="00650CA1"/>
    <w:rsid w:val="0065264C"/>
    <w:rsid w:val="006530CF"/>
    <w:rsid w:val="006531B6"/>
    <w:rsid w:val="00654EF5"/>
    <w:rsid w:val="0065625F"/>
    <w:rsid w:val="00656E6C"/>
    <w:rsid w:val="00657324"/>
    <w:rsid w:val="00665CDB"/>
    <w:rsid w:val="006721CC"/>
    <w:rsid w:val="00675AC8"/>
    <w:rsid w:val="00681578"/>
    <w:rsid w:val="00682790"/>
    <w:rsid w:val="00685BCF"/>
    <w:rsid w:val="0068604B"/>
    <w:rsid w:val="006917EE"/>
    <w:rsid w:val="0069189C"/>
    <w:rsid w:val="006961EE"/>
    <w:rsid w:val="006964EF"/>
    <w:rsid w:val="006A2895"/>
    <w:rsid w:val="006A3B63"/>
    <w:rsid w:val="006A4A21"/>
    <w:rsid w:val="006A511D"/>
    <w:rsid w:val="006A5AAE"/>
    <w:rsid w:val="006A7076"/>
    <w:rsid w:val="006A782E"/>
    <w:rsid w:val="006B0246"/>
    <w:rsid w:val="006B09B9"/>
    <w:rsid w:val="006B2372"/>
    <w:rsid w:val="006B24B1"/>
    <w:rsid w:val="006B2D7A"/>
    <w:rsid w:val="006B3227"/>
    <w:rsid w:val="006B499A"/>
    <w:rsid w:val="006B4D8C"/>
    <w:rsid w:val="006B6E67"/>
    <w:rsid w:val="006C0914"/>
    <w:rsid w:val="006C11A5"/>
    <w:rsid w:val="006D1808"/>
    <w:rsid w:val="006D26CA"/>
    <w:rsid w:val="006D299D"/>
    <w:rsid w:val="006D33CD"/>
    <w:rsid w:val="006D5415"/>
    <w:rsid w:val="006D56E6"/>
    <w:rsid w:val="006D78BE"/>
    <w:rsid w:val="006E0457"/>
    <w:rsid w:val="006E0C45"/>
    <w:rsid w:val="006E1470"/>
    <w:rsid w:val="006E2452"/>
    <w:rsid w:val="006E4654"/>
    <w:rsid w:val="006E697E"/>
    <w:rsid w:val="006F3B37"/>
    <w:rsid w:val="006F48CB"/>
    <w:rsid w:val="006F4C31"/>
    <w:rsid w:val="006F4EAB"/>
    <w:rsid w:val="006F5D85"/>
    <w:rsid w:val="006F7C0D"/>
    <w:rsid w:val="007036EA"/>
    <w:rsid w:val="007044A0"/>
    <w:rsid w:val="00704916"/>
    <w:rsid w:val="0070683F"/>
    <w:rsid w:val="00706EB9"/>
    <w:rsid w:val="00707481"/>
    <w:rsid w:val="00707934"/>
    <w:rsid w:val="007102B2"/>
    <w:rsid w:val="00710EED"/>
    <w:rsid w:val="00716258"/>
    <w:rsid w:val="00716C67"/>
    <w:rsid w:val="00720479"/>
    <w:rsid w:val="00723942"/>
    <w:rsid w:val="00723CA8"/>
    <w:rsid w:val="00724BB0"/>
    <w:rsid w:val="007253C6"/>
    <w:rsid w:val="00727769"/>
    <w:rsid w:val="007300FA"/>
    <w:rsid w:val="00730F4F"/>
    <w:rsid w:val="0073207C"/>
    <w:rsid w:val="00733643"/>
    <w:rsid w:val="00734565"/>
    <w:rsid w:val="007414DE"/>
    <w:rsid w:val="00742013"/>
    <w:rsid w:val="00742C3E"/>
    <w:rsid w:val="007446DE"/>
    <w:rsid w:val="00744B71"/>
    <w:rsid w:val="007470FF"/>
    <w:rsid w:val="00747900"/>
    <w:rsid w:val="007501DF"/>
    <w:rsid w:val="00750F6B"/>
    <w:rsid w:val="0075205A"/>
    <w:rsid w:val="00753CEF"/>
    <w:rsid w:val="007542C4"/>
    <w:rsid w:val="00757070"/>
    <w:rsid w:val="00762210"/>
    <w:rsid w:val="00762B8E"/>
    <w:rsid w:val="00762D3D"/>
    <w:rsid w:val="00764981"/>
    <w:rsid w:val="007669E5"/>
    <w:rsid w:val="00766EB6"/>
    <w:rsid w:val="00767719"/>
    <w:rsid w:val="00770D9E"/>
    <w:rsid w:val="00772EBE"/>
    <w:rsid w:val="0078041A"/>
    <w:rsid w:val="007811F6"/>
    <w:rsid w:val="00783104"/>
    <w:rsid w:val="00790B4E"/>
    <w:rsid w:val="007913C3"/>
    <w:rsid w:val="00794777"/>
    <w:rsid w:val="00794950"/>
    <w:rsid w:val="00795BC0"/>
    <w:rsid w:val="0079631C"/>
    <w:rsid w:val="007963E4"/>
    <w:rsid w:val="0079775C"/>
    <w:rsid w:val="007A13FC"/>
    <w:rsid w:val="007A1EC6"/>
    <w:rsid w:val="007A68AE"/>
    <w:rsid w:val="007A749B"/>
    <w:rsid w:val="007B0726"/>
    <w:rsid w:val="007B07C7"/>
    <w:rsid w:val="007B0A26"/>
    <w:rsid w:val="007B221C"/>
    <w:rsid w:val="007B2F31"/>
    <w:rsid w:val="007B3F78"/>
    <w:rsid w:val="007B4606"/>
    <w:rsid w:val="007B56FC"/>
    <w:rsid w:val="007B57DC"/>
    <w:rsid w:val="007C1408"/>
    <w:rsid w:val="007C2F4A"/>
    <w:rsid w:val="007C3016"/>
    <w:rsid w:val="007C6BB2"/>
    <w:rsid w:val="007C7501"/>
    <w:rsid w:val="007D2C2E"/>
    <w:rsid w:val="007D31F7"/>
    <w:rsid w:val="007D3A02"/>
    <w:rsid w:val="007D57C2"/>
    <w:rsid w:val="007D5DDB"/>
    <w:rsid w:val="007D7046"/>
    <w:rsid w:val="007E0D1F"/>
    <w:rsid w:val="007E1B23"/>
    <w:rsid w:val="007E1D8D"/>
    <w:rsid w:val="007E1E4D"/>
    <w:rsid w:val="007E3904"/>
    <w:rsid w:val="007E5D09"/>
    <w:rsid w:val="007F470B"/>
    <w:rsid w:val="007F67BA"/>
    <w:rsid w:val="0080224B"/>
    <w:rsid w:val="0080288D"/>
    <w:rsid w:val="008029E9"/>
    <w:rsid w:val="008044C7"/>
    <w:rsid w:val="00806A53"/>
    <w:rsid w:val="0081267D"/>
    <w:rsid w:val="00817258"/>
    <w:rsid w:val="0081780B"/>
    <w:rsid w:val="0081795A"/>
    <w:rsid w:val="00821F7A"/>
    <w:rsid w:val="00822BCD"/>
    <w:rsid w:val="008249C7"/>
    <w:rsid w:val="008250A1"/>
    <w:rsid w:val="0082661D"/>
    <w:rsid w:val="0082740E"/>
    <w:rsid w:val="00830EE4"/>
    <w:rsid w:val="00830F0B"/>
    <w:rsid w:val="00833462"/>
    <w:rsid w:val="00835062"/>
    <w:rsid w:val="008361E8"/>
    <w:rsid w:val="00837EF6"/>
    <w:rsid w:val="00840270"/>
    <w:rsid w:val="00840546"/>
    <w:rsid w:val="0084286B"/>
    <w:rsid w:val="00842E86"/>
    <w:rsid w:val="0084697D"/>
    <w:rsid w:val="00846A1D"/>
    <w:rsid w:val="00847D52"/>
    <w:rsid w:val="008513C1"/>
    <w:rsid w:val="00857957"/>
    <w:rsid w:val="008613E9"/>
    <w:rsid w:val="00861E84"/>
    <w:rsid w:val="008638E8"/>
    <w:rsid w:val="00865474"/>
    <w:rsid w:val="00865C64"/>
    <w:rsid w:val="00866AD5"/>
    <w:rsid w:val="008677A1"/>
    <w:rsid w:val="00870059"/>
    <w:rsid w:val="00874BAA"/>
    <w:rsid w:val="008774F7"/>
    <w:rsid w:val="00877963"/>
    <w:rsid w:val="00877BC9"/>
    <w:rsid w:val="00880D59"/>
    <w:rsid w:val="00883A9E"/>
    <w:rsid w:val="00892F6B"/>
    <w:rsid w:val="00896491"/>
    <w:rsid w:val="00897B5F"/>
    <w:rsid w:val="008A3060"/>
    <w:rsid w:val="008A5394"/>
    <w:rsid w:val="008A67FA"/>
    <w:rsid w:val="008A7115"/>
    <w:rsid w:val="008B1F62"/>
    <w:rsid w:val="008B47E0"/>
    <w:rsid w:val="008B4B07"/>
    <w:rsid w:val="008B607A"/>
    <w:rsid w:val="008B7001"/>
    <w:rsid w:val="008B770B"/>
    <w:rsid w:val="008C02C6"/>
    <w:rsid w:val="008C10F9"/>
    <w:rsid w:val="008C11C1"/>
    <w:rsid w:val="008C11DF"/>
    <w:rsid w:val="008C209E"/>
    <w:rsid w:val="008C2FD5"/>
    <w:rsid w:val="008C515E"/>
    <w:rsid w:val="008C616C"/>
    <w:rsid w:val="008D091F"/>
    <w:rsid w:val="008D3D03"/>
    <w:rsid w:val="008D6DF0"/>
    <w:rsid w:val="008E0BDA"/>
    <w:rsid w:val="008E0F97"/>
    <w:rsid w:val="008E17C7"/>
    <w:rsid w:val="008E2A0A"/>
    <w:rsid w:val="008E2F82"/>
    <w:rsid w:val="008E3103"/>
    <w:rsid w:val="008E48DA"/>
    <w:rsid w:val="008E5E03"/>
    <w:rsid w:val="008E6EAA"/>
    <w:rsid w:val="008F02C3"/>
    <w:rsid w:val="008F1326"/>
    <w:rsid w:val="008F17E2"/>
    <w:rsid w:val="008F22F5"/>
    <w:rsid w:val="008F5131"/>
    <w:rsid w:val="008F5D20"/>
    <w:rsid w:val="008F659A"/>
    <w:rsid w:val="008F6AB8"/>
    <w:rsid w:val="0090002C"/>
    <w:rsid w:val="00902AA0"/>
    <w:rsid w:val="00906B4B"/>
    <w:rsid w:val="00907741"/>
    <w:rsid w:val="00907A3B"/>
    <w:rsid w:val="00910AE5"/>
    <w:rsid w:val="00910FEE"/>
    <w:rsid w:val="00911057"/>
    <w:rsid w:val="009121D3"/>
    <w:rsid w:val="00914AC5"/>
    <w:rsid w:val="00914AEF"/>
    <w:rsid w:val="00915879"/>
    <w:rsid w:val="00916007"/>
    <w:rsid w:val="009171F4"/>
    <w:rsid w:val="0092157C"/>
    <w:rsid w:val="00921AE0"/>
    <w:rsid w:val="00923B77"/>
    <w:rsid w:val="009252AD"/>
    <w:rsid w:val="0092597E"/>
    <w:rsid w:val="00926BDC"/>
    <w:rsid w:val="00930D3B"/>
    <w:rsid w:val="00936109"/>
    <w:rsid w:val="00936CA9"/>
    <w:rsid w:val="00940130"/>
    <w:rsid w:val="00940C9F"/>
    <w:rsid w:val="00941DC7"/>
    <w:rsid w:val="00943799"/>
    <w:rsid w:val="0094489B"/>
    <w:rsid w:val="00944CAF"/>
    <w:rsid w:val="009464D4"/>
    <w:rsid w:val="009520CD"/>
    <w:rsid w:val="009569BA"/>
    <w:rsid w:val="00960448"/>
    <w:rsid w:val="00962048"/>
    <w:rsid w:val="00965CA8"/>
    <w:rsid w:val="009668F3"/>
    <w:rsid w:val="00967F1F"/>
    <w:rsid w:val="00971AA4"/>
    <w:rsid w:val="009733A8"/>
    <w:rsid w:val="00976330"/>
    <w:rsid w:val="009859AA"/>
    <w:rsid w:val="00987EA8"/>
    <w:rsid w:val="009A05B9"/>
    <w:rsid w:val="009A1416"/>
    <w:rsid w:val="009A3224"/>
    <w:rsid w:val="009A419F"/>
    <w:rsid w:val="009A5816"/>
    <w:rsid w:val="009A5F00"/>
    <w:rsid w:val="009A5F92"/>
    <w:rsid w:val="009A642B"/>
    <w:rsid w:val="009B06B4"/>
    <w:rsid w:val="009B0868"/>
    <w:rsid w:val="009B24F5"/>
    <w:rsid w:val="009B2F98"/>
    <w:rsid w:val="009B4362"/>
    <w:rsid w:val="009B724D"/>
    <w:rsid w:val="009C14B3"/>
    <w:rsid w:val="009C25C1"/>
    <w:rsid w:val="009D2560"/>
    <w:rsid w:val="009D603A"/>
    <w:rsid w:val="009E1954"/>
    <w:rsid w:val="009E44C1"/>
    <w:rsid w:val="009E6BD3"/>
    <w:rsid w:val="009E6EEC"/>
    <w:rsid w:val="009E728C"/>
    <w:rsid w:val="009F09FE"/>
    <w:rsid w:val="009F12B4"/>
    <w:rsid w:val="009F1D74"/>
    <w:rsid w:val="009F2D45"/>
    <w:rsid w:val="009F36ED"/>
    <w:rsid w:val="009F3737"/>
    <w:rsid w:val="009F6C60"/>
    <w:rsid w:val="009F7EC8"/>
    <w:rsid w:val="00A00AA0"/>
    <w:rsid w:val="00A06127"/>
    <w:rsid w:val="00A07EC8"/>
    <w:rsid w:val="00A101BE"/>
    <w:rsid w:val="00A11DD1"/>
    <w:rsid w:val="00A14651"/>
    <w:rsid w:val="00A14BF2"/>
    <w:rsid w:val="00A159EC"/>
    <w:rsid w:val="00A15BAC"/>
    <w:rsid w:val="00A17298"/>
    <w:rsid w:val="00A23590"/>
    <w:rsid w:val="00A23B45"/>
    <w:rsid w:val="00A3100D"/>
    <w:rsid w:val="00A36F97"/>
    <w:rsid w:val="00A3732B"/>
    <w:rsid w:val="00A40A04"/>
    <w:rsid w:val="00A40C0E"/>
    <w:rsid w:val="00A40C6B"/>
    <w:rsid w:val="00A43D42"/>
    <w:rsid w:val="00A44D10"/>
    <w:rsid w:val="00A4566D"/>
    <w:rsid w:val="00A457F4"/>
    <w:rsid w:val="00A45B75"/>
    <w:rsid w:val="00A47138"/>
    <w:rsid w:val="00A50A38"/>
    <w:rsid w:val="00A50E0A"/>
    <w:rsid w:val="00A512C0"/>
    <w:rsid w:val="00A51811"/>
    <w:rsid w:val="00A532D6"/>
    <w:rsid w:val="00A550C7"/>
    <w:rsid w:val="00A566B6"/>
    <w:rsid w:val="00A56E9F"/>
    <w:rsid w:val="00A666FD"/>
    <w:rsid w:val="00A66CC7"/>
    <w:rsid w:val="00A67899"/>
    <w:rsid w:val="00A713F6"/>
    <w:rsid w:val="00A7141A"/>
    <w:rsid w:val="00A72092"/>
    <w:rsid w:val="00A72544"/>
    <w:rsid w:val="00A73297"/>
    <w:rsid w:val="00A73CD1"/>
    <w:rsid w:val="00A7653B"/>
    <w:rsid w:val="00A765BC"/>
    <w:rsid w:val="00A77811"/>
    <w:rsid w:val="00A77A2F"/>
    <w:rsid w:val="00A82CA9"/>
    <w:rsid w:val="00A85383"/>
    <w:rsid w:val="00A86A14"/>
    <w:rsid w:val="00A87F11"/>
    <w:rsid w:val="00A905A8"/>
    <w:rsid w:val="00A91C3C"/>
    <w:rsid w:val="00A933B5"/>
    <w:rsid w:val="00A93D69"/>
    <w:rsid w:val="00A9539A"/>
    <w:rsid w:val="00AA0D5C"/>
    <w:rsid w:val="00AA23DC"/>
    <w:rsid w:val="00AA369B"/>
    <w:rsid w:val="00AA3799"/>
    <w:rsid w:val="00AA6B37"/>
    <w:rsid w:val="00AA6CE4"/>
    <w:rsid w:val="00AB1C08"/>
    <w:rsid w:val="00AB3CCD"/>
    <w:rsid w:val="00AB45D8"/>
    <w:rsid w:val="00AB4A1D"/>
    <w:rsid w:val="00AB4C8E"/>
    <w:rsid w:val="00AB6068"/>
    <w:rsid w:val="00AB6E5D"/>
    <w:rsid w:val="00AB7D92"/>
    <w:rsid w:val="00AC245C"/>
    <w:rsid w:val="00AC3A82"/>
    <w:rsid w:val="00AC4FE6"/>
    <w:rsid w:val="00AC5A6A"/>
    <w:rsid w:val="00AD0C01"/>
    <w:rsid w:val="00AD1231"/>
    <w:rsid w:val="00AD4848"/>
    <w:rsid w:val="00AD4DA2"/>
    <w:rsid w:val="00AD64AF"/>
    <w:rsid w:val="00AD702D"/>
    <w:rsid w:val="00AD7306"/>
    <w:rsid w:val="00AE1C99"/>
    <w:rsid w:val="00AE3C37"/>
    <w:rsid w:val="00AF33C2"/>
    <w:rsid w:val="00AF6898"/>
    <w:rsid w:val="00AF68FB"/>
    <w:rsid w:val="00B01951"/>
    <w:rsid w:val="00B0483A"/>
    <w:rsid w:val="00B0487D"/>
    <w:rsid w:val="00B04ED9"/>
    <w:rsid w:val="00B05955"/>
    <w:rsid w:val="00B06852"/>
    <w:rsid w:val="00B14E1A"/>
    <w:rsid w:val="00B156B8"/>
    <w:rsid w:val="00B16095"/>
    <w:rsid w:val="00B1634C"/>
    <w:rsid w:val="00B21553"/>
    <w:rsid w:val="00B21CD0"/>
    <w:rsid w:val="00B21D06"/>
    <w:rsid w:val="00B24537"/>
    <w:rsid w:val="00B25CE6"/>
    <w:rsid w:val="00B262B5"/>
    <w:rsid w:val="00B324F8"/>
    <w:rsid w:val="00B325AE"/>
    <w:rsid w:val="00B33020"/>
    <w:rsid w:val="00B33D38"/>
    <w:rsid w:val="00B3404B"/>
    <w:rsid w:val="00B376CA"/>
    <w:rsid w:val="00B4476D"/>
    <w:rsid w:val="00B45303"/>
    <w:rsid w:val="00B45F0F"/>
    <w:rsid w:val="00B47AA4"/>
    <w:rsid w:val="00B5433D"/>
    <w:rsid w:val="00B61BB9"/>
    <w:rsid w:val="00B62F6E"/>
    <w:rsid w:val="00B63E6A"/>
    <w:rsid w:val="00B64A79"/>
    <w:rsid w:val="00B6516A"/>
    <w:rsid w:val="00B745BE"/>
    <w:rsid w:val="00B74671"/>
    <w:rsid w:val="00B74FFE"/>
    <w:rsid w:val="00B758B2"/>
    <w:rsid w:val="00B76378"/>
    <w:rsid w:val="00B77662"/>
    <w:rsid w:val="00B82657"/>
    <w:rsid w:val="00B838B0"/>
    <w:rsid w:val="00B84487"/>
    <w:rsid w:val="00B922DF"/>
    <w:rsid w:val="00B92956"/>
    <w:rsid w:val="00B93897"/>
    <w:rsid w:val="00B94DE5"/>
    <w:rsid w:val="00B94FF2"/>
    <w:rsid w:val="00B95B6E"/>
    <w:rsid w:val="00BA1C6D"/>
    <w:rsid w:val="00BA1E47"/>
    <w:rsid w:val="00BA3B88"/>
    <w:rsid w:val="00BA7CCB"/>
    <w:rsid w:val="00BB0402"/>
    <w:rsid w:val="00BB0E32"/>
    <w:rsid w:val="00BC00B1"/>
    <w:rsid w:val="00BC023C"/>
    <w:rsid w:val="00BC3FA9"/>
    <w:rsid w:val="00BC4C49"/>
    <w:rsid w:val="00BC6606"/>
    <w:rsid w:val="00BC6629"/>
    <w:rsid w:val="00BD6C32"/>
    <w:rsid w:val="00BE29FD"/>
    <w:rsid w:val="00BE4BEF"/>
    <w:rsid w:val="00BE5977"/>
    <w:rsid w:val="00BE6074"/>
    <w:rsid w:val="00BE6404"/>
    <w:rsid w:val="00BE7280"/>
    <w:rsid w:val="00BE7827"/>
    <w:rsid w:val="00BF1B71"/>
    <w:rsid w:val="00BF20A7"/>
    <w:rsid w:val="00BF41C9"/>
    <w:rsid w:val="00BF44D9"/>
    <w:rsid w:val="00BF48C0"/>
    <w:rsid w:val="00BF5856"/>
    <w:rsid w:val="00BF5B66"/>
    <w:rsid w:val="00C01F66"/>
    <w:rsid w:val="00C01F78"/>
    <w:rsid w:val="00C021B7"/>
    <w:rsid w:val="00C02567"/>
    <w:rsid w:val="00C02FE3"/>
    <w:rsid w:val="00C03BDF"/>
    <w:rsid w:val="00C05E5F"/>
    <w:rsid w:val="00C069BB"/>
    <w:rsid w:val="00C07F41"/>
    <w:rsid w:val="00C110CC"/>
    <w:rsid w:val="00C12F0A"/>
    <w:rsid w:val="00C1595B"/>
    <w:rsid w:val="00C2044D"/>
    <w:rsid w:val="00C20BFA"/>
    <w:rsid w:val="00C2131A"/>
    <w:rsid w:val="00C21565"/>
    <w:rsid w:val="00C21CA9"/>
    <w:rsid w:val="00C223FE"/>
    <w:rsid w:val="00C23445"/>
    <w:rsid w:val="00C23838"/>
    <w:rsid w:val="00C24F6A"/>
    <w:rsid w:val="00C27184"/>
    <w:rsid w:val="00C306D1"/>
    <w:rsid w:val="00C310F0"/>
    <w:rsid w:val="00C319EC"/>
    <w:rsid w:val="00C32ACC"/>
    <w:rsid w:val="00C338E4"/>
    <w:rsid w:val="00C3407D"/>
    <w:rsid w:val="00C367A9"/>
    <w:rsid w:val="00C36891"/>
    <w:rsid w:val="00C37DFD"/>
    <w:rsid w:val="00C4061F"/>
    <w:rsid w:val="00C4142A"/>
    <w:rsid w:val="00C41969"/>
    <w:rsid w:val="00C460B9"/>
    <w:rsid w:val="00C53083"/>
    <w:rsid w:val="00C55F6E"/>
    <w:rsid w:val="00C57160"/>
    <w:rsid w:val="00C572F5"/>
    <w:rsid w:val="00C57772"/>
    <w:rsid w:val="00C60097"/>
    <w:rsid w:val="00C60D0E"/>
    <w:rsid w:val="00C610FA"/>
    <w:rsid w:val="00C629C1"/>
    <w:rsid w:val="00C6387B"/>
    <w:rsid w:val="00C63AE1"/>
    <w:rsid w:val="00C64504"/>
    <w:rsid w:val="00C67208"/>
    <w:rsid w:val="00C674FB"/>
    <w:rsid w:val="00C707FD"/>
    <w:rsid w:val="00C70D4A"/>
    <w:rsid w:val="00C7179A"/>
    <w:rsid w:val="00C71B36"/>
    <w:rsid w:val="00C750CA"/>
    <w:rsid w:val="00C7671A"/>
    <w:rsid w:val="00C76BA0"/>
    <w:rsid w:val="00C778EE"/>
    <w:rsid w:val="00C801F8"/>
    <w:rsid w:val="00C81144"/>
    <w:rsid w:val="00C830DB"/>
    <w:rsid w:val="00C83920"/>
    <w:rsid w:val="00C8393A"/>
    <w:rsid w:val="00C86231"/>
    <w:rsid w:val="00C8786A"/>
    <w:rsid w:val="00C90771"/>
    <w:rsid w:val="00C93188"/>
    <w:rsid w:val="00C93A23"/>
    <w:rsid w:val="00C93C88"/>
    <w:rsid w:val="00C96032"/>
    <w:rsid w:val="00CA11CD"/>
    <w:rsid w:val="00CA2012"/>
    <w:rsid w:val="00CA23AF"/>
    <w:rsid w:val="00CA33D5"/>
    <w:rsid w:val="00CA40BA"/>
    <w:rsid w:val="00CA4851"/>
    <w:rsid w:val="00CB26C8"/>
    <w:rsid w:val="00CB2706"/>
    <w:rsid w:val="00CB4BE6"/>
    <w:rsid w:val="00CB5671"/>
    <w:rsid w:val="00CB59B6"/>
    <w:rsid w:val="00CC091E"/>
    <w:rsid w:val="00CC0AF6"/>
    <w:rsid w:val="00CC55A3"/>
    <w:rsid w:val="00CD123E"/>
    <w:rsid w:val="00CD13D0"/>
    <w:rsid w:val="00CD18C2"/>
    <w:rsid w:val="00CD3F4E"/>
    <w:rsid w:val="00CD4CB2"/>
    <w:rsid w:val="00CD543F"/>
    <w:rsid w:val="00CD5814"/>
    <w:rsid w:val="00CD58C3"/>
    <w:rsid w:val="00CD68E2"/>
    <w:rsid w:val="00CE0BE4"/>
    <w:rsid w:val="00CE1318"/>
    <w:rsid w:val="00CE21E2"/>
    <w:rsid w:val="00CE3740"/>
    <w:rsid w:val="00CE4158"/>
    <w:rsid w:val="00CE5030"/>
    <w:rsid w:val="00CE65FB"/>
    <w:rsid w:val="00CE68B9"/>
    <w:rsid w:val="00CE6A4D"/>
    <w:rsid w:val="00CE6E27"/>
    <w:rsid w:val="00CE7C52"/>
    <w:rsid w:val="00CF0B98"/>
    <w:rsid w:val="00CF1EC3"/>
    <w:rsid w:val="00CF3BC3"/>
    <w:rsid w:val="00CF4947"/>
    <w:rsid w:val="00CF7F6C"/>
    <w:rsid w:val="00D02635"/>
    <w:rsid w:val="00D02830"/>
    <w:rsid w:val="00D0346C"/>
    <w:rsid w:val="00D105BA"/>
    <w:rsid w:val="00D1107E"/>
    <w:rsid w:val="00D13843"/>
    <w:rsid w:val="00D16BAF"/>
    <w:rsid w:val="00D17BB6"/>
    <w:rsid w:val="00D17F2E"/>
    <w:rsid w:val="00D203D4"/>
    <w:rsid w:val="00D25BF5"/>
    <w:rsid w:val="00D26C09"/>
    <w:rsid w:val="00D307C9"/>
    <w:rsid w:val="00D30907"/>
    <w:rsid w:val="00D33C6B"/>
    <w:rsid w:val="00D33CA1"/>
    <w:rsid w:val="00D34C9A"/>
    <w:rsid w:val="00D37136"/>
    <w:rsid w:val="00D37D8C"/>
    <w:rsid w:val="00D4005C"/>
    <w:rsid w:val="00D438A0"/>
    <w:rsid w:val="00D4468E"/>
    <w:rsid w:val="00D47B50"/>
    <w:rsid w:val="00D5258E"/>
    <w:rsid w:val="00D52B15"/>
    <w:rsid w:val="00D63A38"/>
    <w:rsid w:val="00D65AC8"/>
    <w:rsid w:val="00D65B89"/>
    <w:rsid w:val="00D7070D"/>
    <w:rsid w:val="00D76251"/>
    <w:rsid w:val="00D80AC5"/>
    <w:rsid w:val="00D82967"/>
    <w:rsid w:val="00D83075"/>
    <w:rsid w:val="00D84401"/>
    <w:rsid w:val="00D849DE"/>
    <w:rsid w:val="00D85704"/>
    <w:rsid w:val="00D86FA1"/>
    <w:rsid w:val="00D90689"/>
    <w:rsid w:val="00D90FFD"/>
    <w:rsid w:val="00D92DF0"/>
    <w:rsid w:val="00D9308A"/>
    <w:rsid w:val="00D93D85"/>
    <w:rsid w:val="00D94012"/>
    <w:rsid w:val="00D94BE2"/>
    <w:rsid w:val="00D94FB8"/>
    <w:rsid w:val="00D96575"/>
    <w:rsid w:val="00D96BD1"/>
    <w:rsid w:val="00DA2791"/>
    <w:rsid w:val="00DA43E0"/>
    <w:rsid w:val="00DA71A6"/>
    <w:rsid w:val="00DA7301"/>
    <w:rsid w:val="00DB5B55"/>
    <w:rsid w:val="00DC3251"/>
    <w:rsid w:val="00DC4FAA"/>
    <w:rsid w:val="00DC5BDE"/>
    <w:rsid w:val="00DC66EC"/>
    <w:rsid w:val="00DC6BC9"/>
    <w:rsid w:val="00DD0CFD"/>
    <w:rsid w:val="00DD0E1F"/>
    <w:rsid w:val="00DD1C28"/>
    <w:rsid w:val="00DD1DBC"/>
    <w:rsid w:val="00DD447E"/>
    <w:rsid w:val="00DD725A"/>
    <w:rsid w:val="00DE25EE"/>
    <w:rsid w:val="00DE441E"/>
    <w:rsid w:val="00DF0EBC"/>
    <w:rsid w:val="00DF3023"/>
    <w:rsid w:val="00DF4140"/>
    <w:rsid w:val="00DF4F75"/>
    <w:rsid w:val="00DF60CA"/>
    <w:rsid w:val="00DF6B94"/>
    <w:rsid w:val="00DF7B0F"/>
    <w:rsid w:val="00DF7B27"/>
    <w:rsid w:val="00E00943"/>
    <w:rsid w:val="00E0260C"/>
    <w:rsid w:val="00E043ED"/>
    <w:rsid w:val="00E072F1"/>
    <w:rsid w:val="00E074EB"/>
    <w:rsid w:val="00E07CCE"/>
    <w:rsid w:val="00E10078"/>
    <w:rsid w:val="00E10F68"/>
    <w:rsid w:val="00E12C11"/>
    <w:rsid w:val="00E13192"/>
    <w:rsid w:val="00E17D77"/>
    <w:rsid w:val="00E17DC1"/>
    <w:rsid w:val="00E2083C"/>
    <w:rsid w:val="00E217B7"/>
    <w:rsid w:val="00E223A0"/>
    <w:rsid w:val="00E22454"/>
    <w:rsid w:val="00E22D1B"/>
    <w:rsid w:val="00E25011"/>
    <w:rsid w:val="00E251DB"/>
    <w:rsid w:val="00E25B5A"/>
    <w:rsid w:val="00E25B88"/>
    <w:rsid w:val="00E25ED8"/>
    <w:rsid w:val="00E30767"/>
    <w:rsid w:val="00E32A69"/>
    <w:rsid w:val="00E33323"/>
    <w:rsid w:val="00E33607"/>
    <w:rsid w:val="00E34982"/>
    <w:rsid w:val="00E35CA0"/>
    <w:rsid w:val="00E3654F"/>
    <w:rsid w:val="00E36765"/>
    <w:rsid w:val="00E37590"/>
    <w:rsid w:val="00E379E7"/>
    <w:rsid w:val="00E37D34"/>
    <w:rsid w:val="00E40901"/>
    <w:rsid w:val="00E409A4"/>
    <w:rsid w:val="00E409EF"/>
    <w:rsid w:val="00E40A3B"/>
    <w:rsid w:val="00E425E1"/>
    <w:rsid w:val="00E428EC"/>
    <w:rsid w:val="00E42A2E"/>
    <w:rsid w:val="00E430B7"/>
    <w:rsid w:val="00E431C2"/>
    <w:rsid w:val="00E47805"/>
    <w:rsid w:val="00E51FE0"/>
    <w:rsid w:val="00E53242"/>
    <w:rsid w:val="00E53618"/>
    <w:rsid w:val="00E55171"/>
    <w:rsid w:val="00E56436"/>
    <w:rsid w:val="00E5656B"/>
    <w:rsid w:val="00E603DC"/>
    <w:rsid w:val="00E61093"/>
    <w:rsid w:val="00E61D8B"/>
    <w:rsid w:val="00E641AB"/>
    <w:rsid w:val="00E66396"/>
    <w:rsid w:val="00E664A0"/>
    <w:rsid w:val="00E7285A"/>
    <w:rsid w:val="00E7361A"/>
    <w:rsid w:val="00E73BEB"/>
    <w:rsid w:val="00E73C1F"/>
    <w:rsid w:val="00E74A03"/>
    <w:rsid w:val="00E76D29"/>
    <w:rsid w:val="00E802BE"/>
    <w:rsid w:val="00E81B07"/>
    <w:rsid w:val="00E848D7"/>
    <w:rsid w:val="00E8520E"/>
    <w:rsid w:val="00E85DF1"/>
    <w:rsid w:val="00E91BFC"/>
    <w:rsid w:val="00E94567"/>
    <w:rsid w:val="00E9688D"/>
    <w:rsid w:val="00E96FDD"/>
    <w:rsid w:val="00EA0ED8"/>
    <w:rsid w:val="00EA2930"/>
    <w:rsid w:val="00EA324B"/>
    <w:rsid w:val="00EA3B84"/>
    <w:rsid w:val="00EA4AF7"/>
    <w:rsid w:val="00EA5E37"/>
    <w:rsid w:val="00EA6261"/>
    <w:rsid w:val="00EA783B"/>
    <w:rsid w:val="00EB15D4"/>
    <w:rsid w:val="00EB768B"/>
    <w:rsid w:val="00EC1BB0"/>
    <w:rsid w:val="00EC1FC7"/>
    <w:rsid w:val="00EC5981"/>
    <w:rsid w:val="00ED21B4"/>
    <w:rsid w:val="00ED47F0"/>
    <w:rsid w:val="00EE1217"/>
    <w:rsid w:val="00EE2106"/>
    <w:rsid w:val="00EE54CE"/>
    <w:rsid w:val="00EE79EC"/>
    <w:rsid w:val="00EF2793"/>
    <w:rsid w:val="00EF3CA8"/>
    <w:rsid w:val="00EF3F20"/>
    <w:rsid w:val="00EF5858"/>
    <w:rsid w:val="00F00698"/>
    <w:rsid w:val="00F019CE"/>
    <w:rsid w:val="00F0341E"/>
    <w:rsid w:val="00F03571"/>
    <w:rsid w:val="00F047CC"/>
    <w:rsid w:val="00F06139"/>
    <w:rsid w:val="00F108E2"/>
    <w:rsid w:val="00F11A8A"/>
    <w:rsid w:val="00F11D38"/>
    <w:rsid w:val="00F14439"/>
    <w:rsid w:val="00F14E92"/>
    <w:rsid w:val="00F1535E"/>
    <w:rsid w:val="00F15996"/>
    <w:rsid w:val="00F16101"/>
    <w:rsid w:val="00F275EA"/>
    <w:rsid w:val="00F346A2"/>
    <w:rsid w:val="00F367A4"/>
    <w:rsid w:val="00F36C08"/>
    <w:rsid w:val="00F37B4E"/>
    <w:rsid w:val="00F438C4"/>
    <w:rsid w:val="00F46151"/>
    <w:rsid w:val="00F47CAE"/>
    <w:rsid w:val="00F50FED"/>
    <w:rsid w:val="00F51068"/>
    <w:rsid w:val="00F5190E"/>
    <w:rsid w:val="00F53F73"/>
    <w:rsid w:val="00F54C07"/>
    <w:rsid w:val="00F601CF"/>
    <w:rsid w:val="00F61271"/>
    <w:rsid w:val="00F6412A"/>
    <w:rsid w:val="00F67E18"/>
    <w:rsid w:val="00F70D2F"/>
    <w:rsid w:val="00F72007"/>
    <w:rsid w:val="00F74F74"/>
    <w:rsid w:val="00F75DC4"/>
    <w:rsid w:val="00F76452"/>
    <w:rsid w:val="00F77610"/>
    <w:rsid w:val="00F816EB"/>
    <w:rsid w:val="00F91E60"/>
    <w:rsid w:val="00F92310"/>
    <w:rsid w:val="00F93C79"/>
    <w:rsid w:val="00F93D8F"/>
    <w:rsid w:val="00F94496"/>
    <w:rsid w:val="00F956E1"/>
    <w:rsid w:val="00F95CD4"/>
    <w:rsid w:val="00F965D0"/>
    <w:rsid w:val="00F96E65"/>
    <w:rsid w:val="00F97FF0"/>
    <w:rsid w:val="00FA0553"/>
    <w:rsid w:val="00FA0576"/>
    <w:rsid w:val="00FA0D44"/>
    <w:rsid w:val="00FA1839"/>
    <w:rsid w:val="00FA2220"/>
    <w:rsid w:val="00FA247D"/>
    <w:rsid w:val="00FA29A7"/>
    <w:rsid w:val="00FA3E96"/>
    <w:rsid w:val="00FA6128"/>
    <w:rsid w:val="00FA6EA4"/>
    <w:rsid w:val="00FA70AD"/>
    <w:rsid w:val="00FB125B"/>
    <w:rsid w:val="00FB59A8"/>
    <w:rsid w:val="00FB685F"/>
    <w:rsid w:val="00FC1620"/>
    <w:rsid w:val="00FC187B"/>
    <w:rsid w:val="00FC3A81"/>
    <w:rsid w:val="00FC5B84"/>
    <w:rsid w:val="00FD0A2A"/>
    <w:rsid w:val="00FD4A27"/>
    <w:rsid w:val="00FD537A"/>
    <w:rsid w:val="00FD69C1"/>
    <w:rsid w:val="00FE090A"/>
    <w:rsid w:val="00FE1EAA"/>
    <w:rsid w:val="00FE3DA4"/>
    <w:rsid w:val="00FE541F"/>
    <w:rsid w:val="00FF2575"/>
    <w:rsid w:val="00FF4163"/>
    <w:rsid w:val="00FF596D"/>
    <w:rsid w:val="00FF6BE7"/>
    <w:rsid w:val="00FF7420"/>
    <w:rsid w:val="010C7CFB"/>
    <w:rsid w:val="01413317"/>
    <w:rsid w:val="01416B94"/>
    <w:rsid w:val="01636D34"/>
    <w:rsid w:val="01722D86"/>
    <w:rsid w:val="01EC3D57"/>
    <w:rsid w:val="02135275"/>
    <w:rsid w:val="02165E06"/>
    <w:rsid w:val="021A48F0"/>
    <w:rsid w:val="022E324B"/>
    <w:rsid w:val="02384BB2"/>
    <w:rsid w:val="02570BE6"/>
    <w:rsid w:val="02AA24E5"/>
    <w:rsid w:val="02B77273"/>
    <w:rsid w:val="03700E4C"/>
    <w:rsid w:val="040E78F4"/>
    <w:rsid w:val="04267367"/>
    <w:rsid w:val="044A4572"/>
    <w:rsid w:val="049B0FC2"/>
    <w:rsid w:val="04C92C08"/>
    <w:rsid w:val="04E27EAF"/>
    <w:rsid w:val="04F02068"/>
    <w:rsid w:val="0504027E"/>
    <w:rsid w:val="05116857"/>
    <w:rsid w:val="053D3311"/>
    <w:rsid w:val="0551112A"/>
    <w:rsid w:val="0588477D"/>
    <w:rsid w:val="058A6387"/>
    <w:rsid w:val="05B115C5"/>
    <w:rsid w:val="05B6050C"/>
    <w:rsid w:val="06056EC1"/>
    <w:rsid w:val="060A79D6"/>
    <w:rsid w:val="062A1298"/>
    <w:rsid w:val="06BE3E68"/>
    <w:rsid w:val="06CF2B71"/>
    <w:rsid w:val="073E3B0B"/>
    <w:rsid w:val="079B5DA4"/>
    <w:rsid w:val="07C52498"/>
    <w:rsid w:val="08397920"/>
    <w:rsid w:val="08426321"/>
    <w:rsid w:val="086F2D2D"/>
    <w:rsid w:val="087C58C5"/>
    <w:rsid w:val="08992B35"/>
    <w:rsid w:val="08BE6DF8"/>
    <w:rsid w:val="08EF6938"/>
    <w:rsid w:val="09096C7E"/>
    <w:rsid w:val="092052CD"/>
    <w:rsid w:val="097B0C95"/>
    <w:rsid w:val="097B1FC4"/>
    <w:rsid w:val="09C26EE3"/>
    <w:rsid w:val="09DB584B"/>
    <w:rsid w:val="09F92BE0"/>
    <w:rsid w:val="09FF27D9"/>
    <w:rsid w:val="0A4300F6"/>
    <w:rsid w:val="0A904B81"/>
    <w:rsid w:val="0A995E79"/>
    <w:rsid w:val="0A9C0F77"/>
    <w:rsid w:val="0B004FEB"/>
    <w:rsid w:val="0B0650FF"/>
    <w:rsid w:val="0B083B72"/>
    <w:rsid w:val="0B190377"/>
    <w:rsid w:val="0B267AD7"/>
    <w:rsid w:val="0B3B7B2A"/>
    <w:rsid w:val="0B3C22B0"/>
    <w:rsid w:val="0B3F61F6"/>
    <w:rsid w:val="0B4973D6"/>
    <w:rsid w:val="0B4F0474"/>
    <w:rsid w:val="0BC849CD"/>
    <w:rsid w:val="0C1E2BC9"/>
    <w:rsid w:val="0C3F67B3"/>
    <w:rsid w:val="0C7D6815"/>
    <w:rsid w:val="0CB07190"/>
    <w:rsid w:val="0CC536D9"/>
    <w:rsid w:val="0CD1027C"/>
    <w:rsid w:val="0CDC65E0"/>
    <w:rsid w:val="0D257BB1"/>
    <w:rsid w:val="0D267E6A"/>
    <w:rsid w:val="0D541007"/>
    <w:rsid w:val="0D5661EB"/>
    <w:rsid w:val="0D691B6B"/>
    <w:rsid w:val="0D9E0671"/>
    <w:rsid w:val="0DD53904"/>
    <w:rsid w:val="0DF8026B"/>
    <w:rsid w:val="0E531E4C"/>
    <w:rsid w:val="0E7B24A5"/>
    <w:rsid w:val="0E884CDA"/>
    <w:rsid w:val="0E9E327B"/>
    <w:rsid w:val="0EF07E39"/>
    <w:rsid w:val="0F131637"/>
    <w:rsid w:val="0F1B7C76"/>
    <w:rsid w:val="0F1E5621"/>
    <w:rsid w:val="0F3A2255"/>
    <w:rsid w:val="0F6B7FD8"/>
    <w:rsid w:val="0FAD2572"/>
    <w:rsid w:val="0FB21101"/>
    <w:rsid w:val="0FE104EF"/>
    <w:rsid w:val="100311D2"/>
    <w:rsid w:val="10171F3A"/>
    <w:rsid w:val="10231560"/>
    <w:rsid w:val="102B5E28"/>
    <w:rsid w:val="105D5AA7"/>
    <w:rsid w:val="10720044"/>
    <w:rsid w:val="108B28DB"/>
    <w:rsid w:val="108F72F7"/>
    <w:rsid w:val="10941E7D"/>
    <w:rsid w:val="10AC4D47"/>
    <w:rsid w:val="10B94E7F"/>
    <w:rsid w:val="10E744E7"/>
    <w:rsid w:val="111325F3"/>
    <w:rsid w:val="112778A6"/>
    <w:rsid w:val="112F4802"/>
    <w:rsid w:val="113F1487"/>
    <w:rsid w:val="114C0BBB"/>
    <w:rsid w:val="119503B0"/>
    <w:rsid w:val="119741E9"/>
    <w:rsid w:val="119F3A26"/>
    <w:rsid w:val="11B77B9B"/>
    <w:rsid w:val="11C37C51"/>
    <w:rsid w:val="11C96E4D"/>
    <w:rsid w:val="11E90AAF"/>
    <w:rsid w:val="125D796B"/>
    <w:rsid w:val="12783B0B"/>
    <w:rsid w:val="12A3708E"/>
    <w:rsid w:val="12BA4739"/>
    <w:rsid w:val="12CE1B39"/>
    <w:rsid w:val="12F07F8D"/>
    <w:rsid w:val="134A59D3"/>
    <w:rsid w:val="135C507C"/>
    <w:rsid w:val="136F54AC"/>
    <w:rsid w:val="139F08F7"/>
    <w:rsid w:val="13CA3147"/>
    <w:rsid w:val="13CF19D1"/>
    <w:rsid w:val="141F1065"/>
    <w:rsid w:val="141F61A6"/>
    <w:rsid w:val="1450533A"/>
    <w:rsid w:val="146B5B6F"/>
    <w:rsid w:val="14BF6B14"/>
    <w:rsid w:val="14CC2606"/>
    <w:rsid w:val="14F442D1"/>
    <w:rsid w:val="1519398F"/>
    <w:rsid w:val="15356798"/>
    <w:rsid w:val="15564FA8"/>
    <w:rsid w:val="1582118E"/>
    <w:rsid w:val="15A96E9E"/>
    <w:rsid w:val="15B1082D"/>
    <w:rsid w:val="15CE7B5A"/>
    <w:rsid w:val="15EF0591"/>
    <w:rsid w:val="15F01CD6"/>
    <w:rsid w:val="16116283"/>
    <w:rsid w:val="164E1ADC"/>
    <w:rsid w:val="16567F6A"/>
    <w:rsid w:val="166670B2"/>
    <w:rsid w:val="16763C69"/>
    <w:rsid w:val="169B0729"/>
    <w:rsid w:val="16A61D15"/>
    <w:rsid w:val="16D0603C"/>
    <w:rsid w:val="16DC2AD6"/>
    <w:rsid w:val="16DD4D77"/>
    <w:rsid w:val="16E13B3E"/>
    <w:rsid w:val="17081D31"/>
    <w:rsid w:val="17283452"/>
    <w:rsid w:val="173953A2"/>
    <w:rsid w:val="174B2AF8"/>
    <w:rsid w:val="17A87537"/>
    <w:rsid w:val="17FB722C"/>
    <w:rsid w:val="18434B16"/>
    <w:rsid w:val="18664B8F"/>
    <w:rsid w:val="18686D9E"/>
    <w:rsid w:val="187B1B3B"/>
    <w:rsid w:val="188942BC"/>
    <w:rsid w:val="189F2351"/>
    <w:rsid w:val="18AF0CF9"/>
    <w:rsid w:val="197A2CFF"/>
    <w:rsid w:val="19811525"/>
    <w:rsid w:val="199A6473"/>
    <w:rsid w:val="199F68C3"/>
    <w:rsid w:val="1A1E31D5"/>
    <w:rsid w:val="1A2D2112"/>
    <w:rsid w:val="1A366B41"/>
    <w:rsid w:val="1A4338E6"/>
    <w:rsid w:val="1A6F74A5"/>
    <w:rsid w:val="1A7A2DE1"/>
    <w:rsid w:val="1A8D629C"/>
    <w:rsid w:val="1A9032FB"/>
    <w:rsid w:val="1AB258C4"/>
    <w:rsid w:val="1ACB63F9"/>
    <w:rsid w:val="1B0A4C3C"/>
    <w:rsid w:val="1B0C24F9"/>
    <w:rsid w:val="1B116033"/>
    <w:rsid w:val="1B12520B"/>
    <w:rsid w:val="1B1F6AB0"/>
    <w:rsid w:val="1B471CE6"/>
    <w:rsid w:val="1B65106A"/>
    <w:rsid w:val="1C51133A"/>
    <w:rsid w:val="1C581968"/>
    <w:rsid w:val="1C904D93"/>
    <w:rsid w:val="1C9F2E01"/>
    <w:rsid w:val="1CAD599A"/>
    <w:rsid w:val="1CC34D69"/>
    <w:rsid w:val="1CDB4446"/>
    <w:rsid w:val="1D137B61"/>
    <w:rsid w:val="1D365F24"/>
    <w:rsid w:val="1D461A1F"/>
    <w:rsid w:val="1D8A0F84"/>
    <w:rsid w:val="1DC2048D"/>
    <w:rsid w:val="1DEE3DE2"/>
    <w:rsid w:val="1DF10D43"/>
    <w:rsid w:val="1E537B2E"/>
    <w:rsid w:val="1E56539E"/>
    <w:rsid w:val="1E6A2B9B"/>
    <w:rsid w:val="1E6A78C6"/>
    <w:rsid w:val="1E760015"/>
    <w:rsid w:val="1E7D6FC1"/>
    <w:rsid w:val="1EA46041"/>
    <w:rsid w:val="1ED72211"/>
    <w:rsid w:val="1F1C7150"/>
    <w:rsid w:val="1F2410F3"/>
    <w:rsid w:val="1F4D385A"/>
    <w:rsid w:val="1F6569B2"/>
    <w:rsid w:val="1FA21374"/>
    <w:rsid w:val="1FE549F6"/>
    <w:rsid w:val="1FEB7A30"/>
    <w:rsid w:val="20142785"/>
    <w:rsid w:val="20193BF9"/>
    <w:rsid w:val="20240EB5"/>
    <w:rsid w:val="204C6E77"/>
    <w:rsid w:val="206146DC"/>
    <w:rsid w:val="206C28AE"/>
    <w:rsid w:val="208D2A9A"/>
    <w:rsid w:val="208D7FB9"/>
    <w:rsid w:val="209E0060"/>
    <w:rsid w:val="20A12544"/>
    <w:rsid w:val="20D13A52"/>
    <w:rsid w:val="212252D0"/>
    <w:rsid w:val="212301F7"/>
    <w:rsid w:val="213C623D"/>
    <w:rsid w:val="21443E48"/>
    <w:rsid w:val="21477BAB"/>
    <w:rsid w:val="21541653"/>
    <w:rsid w:val="215C2AC5"/>
    <w:rsid w:val="216C4A29"/>
    <w:rsid w:val="217324B4"/>
    <w:rsid w:val="21787DA3"/>
    <w:rsid w:val="21B60C2D"/>
    <w:rsid w:val="21BD6C56"/>
    <w:rsid w:val="21CB4071"/>
    <w:rsid w:val="21D71E46"/>
    <w:rsid w:val="221A4677"/>
    <w:rsid w:val="221A6403"/>
    <w:rsid w:val="22352343"/>
    <w:rsid w:val="22996C59"/>
    <w:rsid w:val="229F45B6"/>
    <w:rsid w:val="22A75FAE"/>
    <w:rsid w:val="22E15FCD"/>
    <w:rsid w:val="23740106"/>
    <w:rsid w:val="238009B6"/>
    <w:rsid w:val="239045C9"/>
    <w:rsid w:val="23E23E4F"/>
    <w:rsid w:val="23E44C6A"/>
    <w:rsid w:val="23E60A94"/>
    <w:rsid w:val="23FE7C36"/>
    <w:rsid w:val="24251596"/>
    <w:rsid w:val="243C36BD"/>
    <w:rsid w:val="245067F8"/>
    <w:rsid w:val="247310B9"/>
    <w:rsid w:val="2479067A"/>
    <w:rsid w:val="24AA1113"/>
    <w:rsid w:val="24AE4E7E"/>
    <w:rsid w:val="24BF1BDB"/>
    <w:rsid w:val="24E9572D"/>
    <w:rsid w:val="2507299E"/>
    <w:rsid w:val="251F3266"/>
    <w:rsid w:val="252A4FEB"/>
    <w:rsid w:val="25955F06"/>
    <w:rsid w:val="25BB0A67"/>
    <w:rsid w:val="25F878D7"/>
    <w:rsid w:val="262458BD"/>
    <w:rsid w:val="2665034A"/>
    <w:rsid w:val="266B4B65"/>
    <w:rsid w:val="266C51D3"/>
    <w:rsid w:val="267F07D0"/>
    <w:rsid w:val="269E153C"/>
    <w:rsid w:val="26B155FF"/>
    <w:rsid w:val="26D64DC7"/>
    <w:rsid w:val="26D84CC0"/>
    <w:rsid w:val="27090D2B"/>
    <w:rsid w:val="272B5475"/>
    <w:rsid w:val="272C43B9"/>
    <w:rsid w:val="276964B0"/>
    <w:rsid w:val="27797FF5"/>
    <w:rsid w:val="27D001E4"/>
    <w:rsid w:val="27D71912"/>
    <w:rsid w:val="27DD4937"/>
    <w:rsid w:val="27E063A3"/>
    <w:rsid w:val="27EC08D5"/>
    <w:rsid w:val="27F46AED"/>
    <w:rsid w:val="281251D1"/>
    <w:rsid w:val="281E08E2"/>
    <w:rsid w:val="28285231"/>
    <w:rsid w:val="284E4118"/>
    <w:rsid w:val="28636298"/>
    <w:rsid w:val="286931F1"/>
    <w:rsid w:val="288F0731"/>
    <w:rsid w:val="28B45068"/>
    <w:rsid w:val="28D0447D"/>
    <w:rsid w:val="28D565E1"/>
    <w:rsid w:val="290143F7"/>
    <w:rsid w:val="29047036"/>
    <w:rsid w:val="2911285F"/>
    <w:rsid w:val="296B7FEE"/>
    <w:rsid w:val="29D446DC"/>
    <w:rsid w:val="29F838CA"/>
    <w:rsid w:val="2A2F1024"/>
    <w:rsid w:val="2A3E1B1D"/>
    <w:rsid w:val="2A4F3235"/>
    <w:rsid w:val="2A5C5655"/>
    <w:rsid w:val="2A6F3806"/>
    <w:rsid w:val="2A84510B"/>
    <w:rsid w:val="2A8C7C38"/>
    <w:rsid w:val="2A8F549A"/>
    <w:rsid w:val="2AAA6CCB"/>
    <w:rsid w:val="2AD978F8"/>
    <w:rsid w:val="2B52265B"/>
    <w:rsid w:val="2B8F2DC3"/>
    <w:rsid w:val="2B930093"/>
    <w:rsid w:val="2BB80AC9"/>
    <w:rsid w:val="2BB97246"/>
    <w:rsid w:val="2BBE646E"/>
    <w:rsid w:val="2BD41713"/>
    <w:rsid w:val="2BDA7506"/>
    <w:rsid w:val="2BFE578B"/>
    <w:rsid w:val="2C225DC4"/>
    <w:rsid w:val="2C33753E"/>
    <w:rsid w:val="2C4F1FC8"/>
    <w:rsid w:val="2C6554BB"/>
    <w:rsid w:val="2C6738D4"/>
    <w:rsid w:val="2CA033BE"/>
    <w:rsid w:val="2CA96EA1"/>
    <w:rsid w:val="2CB90409"/>
    <w:rsid w:val="2D312536"/>
    <w:rsid w:val="2D3A4657"/>
    <w:rsid w:val="2D6C5A0C"/>
    <w:rsid w:val="2DA9549F"/>
    <w:rsid w:val="2DFE44F4"/>
    <w:rsid w:val="2DFF410A"/>
    <w:rsid w:val="2E77681F"/>
    <w:rsid w:val="2EA61DE2"/>
    <w:rsid w:val="2EBC00E7"/>
    <w:rsid w:val="2ECC74F7"/>
    <w:rsid w:val="2EE314D3"/>
    <w:rsid w:val="2F1D2AC2"/>
    <w:rsid w:val="2F46134A"/>
    <w:rsid w:val="2F5C7B60"/>
    <w:rsid w:val="2F7D430C"/>
    <w:rsid w:val="2F90246F"/>
    <w:rsid w:val="2FBB6FCF"/>
    <w:rsid w:val="2FD37B7A"/>
    <w:rsid w:val="2FFC39A8"/>
    <w:rsid w:val="300319BC"/>
    <w:rsid w:val="30143833"/>
    <w:rsid w:val="304849FC"/>
    <w:rsid w:val="30506FA6"/>
    <w:rsid w:val="30547F56"/>
    <w:rsid w:val="305E66AF"/>
    <w:rsid w:val="306B2443"/>
    <w:rsid w:val="30B55F86"/>
    <w:rsid w:val="30E47697"/>
    <w:rsid w:val="31313056"/>
    <w:rsid w:val="318F11D3"/>
    <w:rsid w:val="31946AAB"/>
    <w:rsid w:val="31A05D78"/>
    <w:rsid w:val="31CC52AD"/>
    <w:rsid w:val="31EB36F1"/>
    <w:rsid w:val="31EC724E"/>
    <w:rsid w:val="320333C8"/>
    <w:rsid w:val="323E7594"/>
    <w:rsid w:val="3259078B"/>
    <w:rsid w:val="3261110C"/>
    <w:rsid w:val="32734B7A"/>
    <w:rsid w:val="32884C2E"/>
    <w:rsid w:val="32997984"/>
    <w:rsid w:val="329E1225"/>
    <w:rsid w:val="32B54357"/>
    <w:rsid w:val="32B636F9"/>
    <w:rsid w:val="32D63BF3"/>
    <w:rsid w:val="33051E78"/>
    <w:rsid w:val="33060ED5"/>
    <w:rsid w:val="3318660A"/>
    <w:rsid w:val="332C6FBD"/>
    <w:rsid w:val="33333DA0"/>
    <w:rsid w:val="336F7B8B"/>
    <w:rsid w:val="33903BCB"/>
    <w:rsid w:val="33B92033"/>
    <w:rsid w:val="33BB4BE2"/>
    <w:rsid w:val="340072DC"/>
    <w:rsid w:val="341C0DE3"/>
    <w:rsid w:val="34245298"/>
    <w:rsid w:val="34650261"/>
    <w:rsid w:val="34683C20"/>
    <w:rsid w:val="34AB0D26"/>
    <w:rsid w:val="34D846D2"/>
    <w:rsid w:val="34DF3C9C"/>
    <w:rsid w:val="34E932EA"/>
    <w:rsid w:val="34EB5227"/>
    <w:rsid w:val="35090D8C"/>
    <w:rsid w:val="351E13F2"/>
    <w:rsid w:val="353F3A2A"/>
    <w:rsid w:val="35585FD7"/>
    <w:rsid w:val="356A105A"/>
    <w:rsid w:val="357C561A"/>
    <w:rsid w:val="35C50BE6"/>
    <w:rsid w:val="35E01316"/>
    <w:rsid w:val="35FB5D37"/>
    <w:rsid w:val="367C4DD1"/>
    <w:rsid w:val="36A03057"/>
    <w:rsid w:val="36E515CA"/>
    <w:rsid w:val="36E90E4E"/>
    <w:rsid w:val="370C5EA4"/>
    <w:rsid w:val="37215A87"/>
    <w:rsid w:val="372C2B40"/>
    <w:rsid w:val="374842EA"/>
    <w:rsid w:val="374C6F18"/>
    <w:rsid w:val="37807D80"/>
    <w:rsid w:val="37952EB5"/>
    <w:rsid w:val="37986C8D"/>
    <w:rsid w:val="37CA781B"/>
    <w:rsid w:val="3805287C"/>
    <w:rsid w:val="383A624D"/>
    <w:rsid w:val="38614D55"/>
    <w:rsid w:val="388B1A91"/>
    <w:rsid w:val="38B62D69"/>
    <w:rsid w:val="38D767FC"/>
    <w:rsid w:val="38EF2087"/>
    <w:rsid w:val="39A51428"/>
    <w:rsid w:val="39AD0F44"/>
    <w:rsid w:val="39D86701"/>
    <w:rsid w:val="39F2383D"/>
    <w:rsid w:val="39F3709D"/>
    <w:rsid w:val="3A2557D7"/>
    <w:rsid w:val="3A517510"/>
    <w:rsid w:val="3A805653"/>
    <w:rsid w:val="3AA117BA"/>
    <w:rsid w:val="3AAE6BDC"/>
    <w:rsid w:val="3ABA0093"/>
    <w:rsid w:val="3ACD5AF8"/>
    <w:rsid w:val="3AF421B5"/>
    <w:rsid w:val="3B1A6C6C"/>
    <w:rsid w:val="3B1F77C9"/>
    <w:rsid w:val="3B27539D"/>
    <w:rsid w:val="3B3C6F3F"/>
    <w:rsid w:val="3B616C45"/>
    <w:rsid w:val="3B744DDD"/>
    <w:rsid w:val="3B750E7B"/>
    <w:rsid w:val="3B876E41"/>
    <w:rsid w:val="3BA6263F"/>
    <w:rsid w:val="3BC50C78"/>
    <w:rsid w:val="3BD17E05"/>
    <w:rsid w:val="3C350CDB"/>
    <w:rsid w:val="3C447BC4"/>
    <w:rsid w:val="3C801563"/>
    <w:rsid w:val="3C9803C5"/>
    <w:rsid w:val="3CDF04C1"/>
    <w:rsid w:val="3D1D77D8"/>
    <w:rsid w:val="3D38638B"/>
    <w:rsid w:val="3D40587F"/>
    <w:rsid w:val="3D4E3512"/>
    <w:rsid w:val="3D4F44E5"/>
    <w:rsid w:val="3D605F5F"/>
    <w:rsid w:val="3D693ABE"/>
    <w:rsid w:val="3D6D3B80"/>
    <w:rsid w:val="3D8F2D5D"/>
    <w:rsid w:val="3DAF5869"/>
    <w:rsid w:val="3DB26D70"/>
    <w:rsid w:val="3DC205A2"/>
    <w:rsid w:val="3DCA2230"/>
    <w:rsid w:val="3DCF6605"/>
    <w:rsid w:val="3DD6643F"/>
    <w:rsid w:val="3E0B7D77"/>
    <w:rsid w:val="3E260FAE"/>
    <w:rsid w:val="3E263F01"/>
    <w:rsid w:val="3E2E15E7"/>
    <w:rsid w:val="3E633741"/>
    <w:rsid w:val="3E7528E3"/>
    <w:rsid w:val="3EC15166"/>
    <w:rsid w:val="3EF20245"/>
    <w:rsid w:val="3F1F528B"/>
    <w:rsid w:val="3F3B55B7"/>
    <w:rsid w:val="3F59129B"/>
    <w:rsid w:val="3F6D0158"/>
    <w:rsid w:val="3F716AD3"/>
    <w:rsid w:val="3F956369"/>
    <w:rsid w:val="3FAB3968"/>
    <w:rsid w:val="3FF51A6A"/>
    <w:rsid w:val="400C4B72"/>
    <w:rsid w:val="40381467"/>
    <w:rsid w:val="403D44D9"/>
    <w:rsid w:val="406B24F5"/>
    <w:rsid w:val="409A5EC2"/>
    <w:rsid w:val="40A302C8"/>
    <w:rsid w:val="40A40F24"/>
    <w:rsid w:val="40BC32E1"/>
    <w:rsid w:val="40CF48A0"/>
    <w:rsid w:val="40CF6A8B"/>
    <w:rsid w:val="40E56874"/>
    <w:rsid w:val="40FC7963"/>
    <w:rsid w:val="41201699"/>
    <w:rsid w:val="41760F2D"/>
    <w:rsid w:val="41861EC4"/>
    <w:rsid w:val="41A55FA9"/>
    <w:rsid w:val="427D022E"/>
    <w:rsid w:val="42B32A55"/>
    <w:rsid w:val="42B6158B"/>
    <w:rsid w:val="42F100F4"/>
    <w:rsid w:val="42F5442C"/>
    <w:rsid w:val="431258A5"/>
    <w:rsid w:val="432625A0"/>
    <w:rsid w:val="43305B5E"/>
    <w:rsid w:val="43366641"/>
    <w:rsid w:val="438B473B"/>
    <w:rsid w:val="43DB5F69"/>
    <w:rsid w:val="43DC7027"/>
    <w:rsid w:val="44037BA5"/>
    <w:rsid w:val="44545024"/>
    <w:rsid w:val="445A4B92"/>
    <w:rsid w:val="44613641"/>
    <w:rsid w:val="44C12075"/>
    <w:rsid w:val="451D019C"/>
    <w:rsid w:val="45243D34"/>
    <w:rsid w:val="4527318A"/>
    <w:rsid w:val="455147AD"/>
    <w:rsid w:val="457B53BA"/>
    <w:rsid w:val="458B34E0"/>
    <w:rsid w:val="45911309"/>
    <w:rsid w:val="45E74F63"/>
    <w:rsid w:val="45F80A9A"/>
    <w:rsid w:val="46232A5B"/>
    <w:rsid w:val="462B6FD2"/>
    <w:rsid w:val="467244C9"/>
    <w:rsid w:val="46A67FE5"/>
    <w:rsid w:val="46B86158"/>
    <w:rsid w:val="46BE4845"/>
    <w:rsid w:val="46EB5E6B"/>
    <w:rsid w:val="46FD61B1"/>
    <w:rsid w:val="473E0750"/>
    <w:rsid w:val="47411ACC"/>
    <w:rsid w:val="481B55C1"/>
    <w:rsid w:val="482D31BA"/>
    <w:rsid w:val="487825FA"/>
    <w:rsid w:val="48787943"/>
    <w:rsid w:val="487C628F"/>
    <w:rsid w:val="492D104B"/>
    <w:rsid w:val="493659BE"/>
    <w:rsid w:val="494F4178"/>
    <w:rsid w:val="4958780A"/>
    <w:rsid w:val="4997180B"/>
    <w:rsid w:val="49C9622D"/>
    <w:rsid w:val="49E7538E"/>
    <w:rsid w:val="4A05323B"/>
    <w:rsid w:val="4A4A4A88"/>
    <w:rsid w:val="4A61661D"/>
    <w:rsid w:val="4A76501E"/>
    <w:rsid w:val="4AB25D3E"/>
    <w:rsid w:val="4AD66A71"/>
    <w:rsid w:val="4B94672E"/>
    <w:rsid w:val="4BA9618F"/>
    <w:rsid w:val="4BB13E30"/>
    <w:rsid w:val="4BCB3CBF"/>
    <w:rsid w:val="4C142540"/>
    <w:rsid w:val="4C29339C"/>
    <w:rsid w:val="4C321FE7"/>
    <w:rsid w:val="4C3A62C7"/>
    <w:rsid w:val="4C5E1E1F"/>
    <w:rsid w:val="4C714715"/>
    <w:rsid w:val="4C7E5895"/>
    <w:rsid w:val="4CD11873"/>
    <w:rsid w:val="4CD67EB5"/>
    <w:rsid w:val="4CE971C2"/>
    <w:rsid w:val="4D290C8F"/>
    <w:rsid w:val="4D3155B3"/>
    <w:rsid w:val="4D484150"/>
    <w:rsid w:val="4D622D3D"/>
    <w:rsid w:val="4DB23201"/>
    <w:rsid w:val="4E340BDE"/>
    <w:rsid w:val="4E3C4C3C"/>
    <w:rsid w:val="4E637828"/>
    <w:rsid w:val="4EB33233"/>
    <w:rsid w:val="4EB64434"/>
    <w:rsid w:val="4EBA54DC"/>
    <w:rsid w:val="4EC33477"/>
    <w:rsid w:val="4EC70FBE"/>
    <w:rsid w:val="4ECF6D14"/>
    <w:rsid w:val="4EF01780"/>
    <w:rsid w:val="4F0F5F46"/>
    <w:rsid w:val="4F375B55"/>
    <w:rsid w:val="4F521E6A"/>
    <w:rsid w:val="4F6B3279"/>
    <w:rsid w:val="4F6D2C26"/>
    <w:rsid w:val="4F6F5CC7"/>
    <w:rsid w:val="4F7965E1"/>
    <w:rsid w:val="4FD32095"/>
    <w:rsid w:val="4FED7288"/>
    <w:rsid w:val="4FEF7EA0"/>
    <w:rsid w:val="4FF94EEC"/>
    <w:rsid w:val="50491E3D"/>
    <w:rsid w:val="50974167"/>
    <w:rsid w:val="50B226D3"/>
    <w:rsid w:val="50D740B4"/>
    <w:rsid w:val="5102612D"/>
    <w:rsid w:val="51084921"/>
    <w:rsid w:val="51096890"/>
    <w:rsid w:val="511F31E7"/>
    <w:rsid w:val="513C410D"/>
    <w:rsid w:val="51873C3C"/>
    <w:rsid w:val="519D248D"/>
    <w:rsid w:val="519D7775"/>
    <w:rsid w:val="51CB0276"/>
    <w:rsid w:val="51DF2313"/>
    <w:rsid w:val="51EA147E"/>
    <w:rsid w:val="520A7333"/>
    <w:rsid w:val="52195776"/>
    <w:rsid w:val="523D14DF"/>
    <w:rsid w:val="524E390E"/>
    <w:rsid w:val="52E7416F"/>
    <w:rsid w:val="53045915"/>
    <w:rsid w:val="531769F7"/>
    <w:rsid w:val="533E53C1"/>
    <w:rsid w:val="534761D0"/>
    <w:rsid w:val="5356031F"/>
    <w:rsid w:val="535D6780"/>
    <w:rsid w:val="536D0739"/>
    <w:rsid w:val="537A58C6"/>
    <w:rsid w:val="537F61CF"/>
    <w:rsid w:val="538A7BE8"/>
    <w:rsid w:val="538E2C7B"/>
    <w:rsid w:val="53A1106B"/>
    <w:rsid w:val="53C71BC8"/>
    <w:rsid w:val="53E50C05"/>
    <w:rsid w:val="54485E5D"/>
    <w:rsid w:val="544B4F4A"/>
    <w:rsid w:val="545B1CB6"/>
    <w:rsid w:val="545C5B93"/>
    <w:rsid w:val="54976624"/>
    <w:rsid w:val="54AA2725"/>
    <w:rsid w:val="54C250C5"/>
    <w:rsid w:val="55097A3C"/>
    <w:rsid w:val="55353B92"/>
    <w:rsid w:val="55667B02"/>
    <w:rsid w:val="557552B0"/>
    <w:rsid w:val="55A25594"/>
    <w:rsid w:val="55BC1384"/>
    <w:rsid w:val="55F2633C"/>
    <w:rsid w:val="55F57C1C"/>
    <w:rsid w:val="55F902A7"/>
    <w:rsid w:val="560427D5"/>
    <w:rsid w:val="560A5EE0"/>
    <w:rsid w:val="56215FDA"/>
    <w:rsid w:val="56395319"/>
    <w:rsid w:val="564B39C0"/>
    <w:rsid w:val="568D7D39"/>
    <w:rsid w:val="56971DD3"/>
    <w:rsid w:val="56D00CFC"/>
    <w:rsid w:val="56ED5917"/>
    <w:rsid w:val="56FA384B"/>
    <w:rsid w:val="56FD1D20"/>
    <w:rsid w:val="574B4239"/>
    <w:rsid w:val="57511259"/>
    <w:rsid w:val="577036A8"/>
    <w:rsid w:val="578C4816"/>
    <w:rsid w:val="578D0804"/>
    <w:rsid w:val="579047B2"/>
    <w:rsid w:val="57CE5D5D"/>
    <w:rsid w:val="57F46698"/>
    <w:rsid w:val="5812793D"/>
    <w:rsid w:val="582B0B23"/>
    <w:rsid w:val="585A4D9A"/>
    <w:rsid w:val="58767AE8"/>
    <w:rsid w:val="58B94A36"/>
    <w:rsid w:val="58EC4952"/>
    <w:rsid w:val="591E61E1"/>
    <w:rsid w:val="5981509C"/>
    <w:rsid w:val="598A11D4"/>
    <w:rsid w:val="598B43B0"/>
    <w:rsid w:val="59C71030"/>
    <w:rsid w:val="59DE79CB"/>
    <w:rsid w:val="59F577DB"/>
    <w:rsid w:val="59FA37B2"/>
    <w:rsid w:val="59FE2144"/>
    <w:rsid w:val="5A4B1CC2"/>
    <w:rsid w:val="5A5E61B9"/>
    <w:rsid w:val="5A642BF2"/>
    <w:rsid w:val="5AA776ED"/>
    <w:rsid w:val="5AC03ABB"/>
    <w:rsid w:val="5AFA6196"/>
    <w:rsid w:val="5B0A16A8"/>
    <w:rsid w:val="5B236D92"/>
    <w:rsid w:val="5B5F7CAA"/>
    <w:rsid w:val="5B627505"/>
    <w:rsid w:val="5B6C26B4"/>
    <w:rsid w:val="5B8038D6"/>
    <w:rsid w:val="5BB63A6F"/>
    <w:rsid w:val="5BC832CB"/>
    <w:rsid w:val="5BD57712"/>
    <w:rsid w:val="5BE25D71"/>
    <w:rsid w:val="5C273427"/>
    <w:rsid w:val="5C6B6778"/>
    <w:rsid w:val="5CB40DE3"/>
    <w:rsid w:val="5CEC3435"/>
    <w:rsid w:val="5D06772A"/>
    <w:rsid w:val="5D093AAD"/>
    <w:rsid w:val="5D31441E"/>
    <w:rsid w:val="5D485741"/>
    <w:rsid w:val="5D5D5AD0"/>
    <w:rsid w:val="5D936DF1"/>
    <w:rsid w:val="5D9707A6"/>
    <w:rsid w:val="5DEF2C4A"/>
    <w:rsid w:val="5DF63B78"/>
    <w:rsid w:val="5DF752C6"/>
    <w:rsid w:val="5E0D01F9"/>
    <w:rsid w:val="5E1A55B5"/>
    <w:rsid w:val="5E20543B"/>
    <w:rsid w:val="5E484653"/>
    <w:rsid w:val="5E7D6715"/>
    <w:rsid w:val="5E801155"/>
    <w:rsid w:val="5E814093"/>
    <w:rsid w:val="5EE90751"/>
    <w:rsid w:val="5F3C6AB6"/>
    <w:rsid w:val="5F44114C"/>
    <w:rsid w:val="5F4E5A19"/>
    <w:rsid w:val="5F5F4AD5"/>
    <w:rsid w:val="5F6B0AC2"/>
    <w:rsid w:val="5F7366C6"/>
    <w:rsid w:val="5F9F6886"/>
    <w:rsid w:val="5FEF3FDC"/>
    <w:rsid w:val="5FF7451A"/>
    <w:rsid w:val="601640A9"/>
    <w:rsid w:val="60242598"/>
    <w:rsid w:val="60352053"/>
    <w:rsid w:val="60517D24"/>
    <w:rsid w:val="605236BC"/>
    <w:rsid w:val="609E1ADE"/>
    <w:rsid w:val="60A755F1"/>
    <w:rsid w:val="6115793A"/>
    <w:rsid w:val="613516EA"/>
    <w:rsid w:val="613622D9"/>
    <w:rsid w:val="613E1D03"/>
    <w:rsid w:val="614B7DA3"/>
    <w:rsid w:val="61BC5AFE"/>
    <w:rsid w:val="621D2E07"/>
    <w:rsid w:val="627A65BF"/>
    <w:rsid w:val="628D027A"/>
    <w:rsid w:val="629E757B"/>
    <w:rsid w:val="62A12892"/>
    <w:rsid w:val="62C17B80"/>
    <w:rsid w:val="62D93991"/>
    <w:rsid w:val="62ED36F7"/>
    <w:rsid w:val="634254BC"/>
    <w:rsid w:val="634433BA"/>
    <w:rsid w:val="634E5061"/>
    <w:rsid w:val="636A7687"/>
    <w:rsid w:val="63987B20"/>
    <w:rsid w:val="63BE1191"/>
    <w:rsid w:val="63C31A4A"/>
    <w:rsid w:val="640625E8"/>
    <w:rsid w:val="64225D10"/>
    <w:rsid w:val="642C2111"/>
    <w:rsid w:val="64390274"/>
    <w:rsid w:val="6463546F"/>
    <w:rsid w:val="646F7904"/>
    <w:rsid w:val="6488112F"/>
    <w:rsid w:val="64C67B0A"/>
    <w:rsid w:val="64CD1469"/>
    <w:rsid w:val="64D81DD0"/>
    <w:rsid w:val="650414E4"/>
    <w:rsid w:val="652E0BE6"/>
    <w:rsid w:val="656C5B28"/>
    <w:rsid w:val="656C5F5E"/>
    <w:rsid w:val="659507EC"/>
    <w:rsid w:val="659811B8"/>
    <w:rsid w:val="65A1007F"/>
    <w:rsid w:val="65A52C7B"/>
    <w:rsid w:val="65AA1063"/>
    <w:rsid w:val="65E15B3F"/>
    <w:rsid w:val="65E55A3F"/>
    <w:rsid w:val="6639739C"/>
    <w:rsid w:val="66770CED"/>
    <w:rsid w:val="668735A5"/>
    <w:rsid w:val="66A569AB"/>
    <w:rsid w:val="66BD123F"/>
    <w:rsid w:val="66FF5D83"/>
    <w:rsid w:val="67127D81"/>
    <w:rsid w:val="67281571"/>
    <w:rsid w:val="6732190D"/>
    <w:rsid w:val="677E5A9B"/>
    <w:rsid w:val="67955C36"/>
    <w:rsid w:val="679C4913"/>
    <w:rsid w:val="679F409F"/>
    <w:rsid w:val="67A37675"/>
    <w:rsid w:val="67E7089F"/>
    <w:rsid w:val="67FB012D"/>
    <w:rsid w:val="68070F4C"/>
    <w:rsid w:val="681E3465"/>
    <w:rsid w:val="68530F01"/>
    <w:rsid w:val="685F033B"/>
    <w:rsid w:val="68BB659D"/>
    <w:rsid w:val="68E50071"/>
    <w:rsid w:val="68FA509F"/>
    <w:rsid w:val="68FE5894"/>
    <w:rsid w:val="691017A1"/>
    <w:rsid w:val="69264DCD"/>
    <w:rsid w:val="69346558"/>
    <w:rsid w:val="69AD6874"/>
    <w:rsid w:val="6A3669B4"/>
    <w:rsid w:val="6A542342"/>
    <w:rsid w:val="6A6D01EE"/>
    <w:rsid w:val="6A6E1E9E"/>
    <w:rsid w:val="6A9C0C2B"/>
    <w:rsid w:val="6AC723DB"/>
    <w:rsid w:val="6ADD5AAF"/>
    <w:rsid w:val="6AE875CF"/>
    <w:rsid w:val="6AEB52DB"/>
    <w:rsid w:val="6B072B59"/>
    <w:rsid w:val="6B6C1CF4"/>
    <w:rsid w:val="6BB666B8"/>
    <w:rsid w:val="6BB83B11"/>
    <w:rsid w:val="6BC17893"/>
    <w:rsid w:val="6BDE6E7B"/>
    <w:rsid w:val="6BF24B00"/>
    <w:rsid w:val="6C05052B"/>
    <w:rsid w:val="6C266516"/>
    <w:rsid w:val="6C4C20A9"/>
    <w:rsid w:val="6D0D06A6"/>
    <w:rsid w:val="6D2821C9"/>
    <w:rsid w:val="6D2C0791"/>
    <w:rsid w:val="6D530C4D"/>
    <w:rsid w:val="6D86734E"/>
    <w:rsid w:val="6DBA597C"/>
    <w:rsid w:val="6DC66483"/>
    <w:rsid w:val="6E042133"/>
    <w:rsid w:val="6E077E13"/>
    <w:rsid w:val="6E493B9B"/>
    <w:rsid w:val="6E662821"/>
    <w:rsid w:val="6F1E72F5"/>
    <w:rsid w:val="6F2C53BE"/>
    <w:rsid w:val="6F37584D"/>
    <w:rsid w:val="6F423A66"/>
    <w:rsid w:val="6F5B6C0E"/>
    <w:rsid w:val="6F8B3BEC"/>
    <w:rsid w:val="6F93737A"/>
    <w:rsid w:val="6F95668A"/>
    <w:rsid w:val="6F9C224B"/>
    <w:rsid w:val="6FBD576C"/>
    <w:rsid w:val="6FCA640F"/>
    <w:rsid w:val="6FCE3CC0"/>
    <w:rsid w:val="70387C94"/>
    <w:rsid w:val="70792421"/>
    <w:rsid w:val="70B26334"/>
    <w:rsid w:val="70D33A95"/>
    <w:rsid w:val="70D7247D"/>
    <w:rsid w:val="70F61896"/>
    <w:rsid w:val="710F7F81"/>
    <w:rsid w:val="71100848"/>
    <w:rsid w:val="71137A4D"/>
    <w:rsid w:val="711E5759"/>
    <w:rsid w:val="71532A55"/>
    <w:rsid w:val="715A1A15"/>
    <w:rsid w:val="71731DE9"/>
    <w:rsid w:val="717D439B"/>
    <w:rsid w:val="718F7F65"/>
    <w:rsid w:val="719B2A5F"/>
    <w:rsid w:val="71B07C45"/>
    <w:rsid w:val="71C27A5D"/>
    <w:rsid w:val="71E02E37"/>
    <w:rsid w:val="71E557EC"/>
    <w:rsid w:val="71E6242C"/>
    <w:rsid w:val="72251264"/>
    <w:rsid w:val="72350216"/>
    <w:rsid w:val="723E1A3C"/>
    <w:rsid w:val="727F2F10"/>
    <w:rsid w:val="72A8710F"/>
    <w:rsid w:val="72B06046"/>
    <w:rsid w:val="72C4424B"/>
    <w:rsid w:val="72FA691A"/>
    <w:rsid w:val="736B20D7"/>
    <w:rsid w:val="73A25EE0"/>
    <w:rsid w:val="73B608D2"/>
    <w:rsid w:val="73B83F37"/>
    <w:rsid w:val="743831B5"/>
    <w:rsid w:val="74532AB3"/>
    <w:rsid w:val="746C56B2"/>
    <w:rsid w:val="74715D0A"/>
    <w:rsid w:val="747E47E5"/>
    <w:rsid w:val="75124367"/>
    <w:rsid w:val="7552058E"/>
    <w:rsid w:val="75752C4A"/>
    <w:rsid w:val="75A7525A"/>
    <w:rsid w:val="75B45726"/>
    <w:rsid w:val="75DC04B3"/>
    <w:rsid w:val="76163531"/>
    <w:rsid w:val="76597F6E"/>
    <w:rsid w:val="76822D7D"/>
    <w:rsid w:val="769E6BD4"/>
    <w:rsid w:val="76E27941"/>
    <w:rsid w:val="76FB39DF"/>
    <w:rsid w:val="773A02EF"/>
    <w:rsid w:val="7765531F"/>
    <w:rsid w:val="77D864F0"/>
    <w:rsid w:val="77E02D70"/>
    <w:rsid w:val="782C397F"/>
    <w:rsid w:val="784B0F8E"/>
    <w:rsid w:val="784F1D85"/>
    <w:rsid w:val="785D4515"/>
    <w:rsid w:val="788A2DA1"/>
    <w:rsid w:val="790921F7"/>
    <w:rsid w:val="79187FC7"/>
    <w:rsid w:val="793377BA"/>
    <w:rsid w:val="79744EDD"/>
    <w:rsid w:val="79873281"/>
    <w:rsid w:val="79D22A5C"/>
    <w:rsid w:val="79F82227"/>
    <w:rsid w:val="79FE230D"/>
    <w:rsid w:val="7A2C2448"/>
    <w:rsid w:val="7A5F76F1"/>
    <w:rsid w:val="7AB60AF3"/>
    <w:rsid w:val="7ADC716F"/>
    <w:rsid w:val="7AF6618C"/>
    <w:rsid w:val="7B226063"/>
    <w:rsid w:val="7B3E6923"/>
    <w:rsid w:val="7B8674F0"/>
    <w:rsid w:val="7B8C218B"/>
    <w:rsid w:val="7B8E5DCF"/>
    <w:rsid w:val="7B925A95"/>
    <w:rsid w:val="7BBE4FFC"/>
    <w:rsid w:val="7BC67BF9"/>
    <w:rsid w:val="7BD716BB"/>
    <w:rsid w:val="7C0F682E"/>
    <w:rsid w:val="7C20586D"/>
    <w:rsid w:val="7C562F37"/>
    <w:rsid w:val="7C5B01E7"/>
    <w:rsid w:val="7CBD0DB1"/>
    <w:rsid w:val="7CD54CE7"/>
    <w:rsid w:val="7CE747CB"/>
    <w:rsid w:val="7DC01FA2"/>
    <w:rsid w:val="7DC032F6"/>
    <w:rsid w:val="7DFF620A"/>
    <w:rsid w:val="7E0720C1"/>
    <w:rsid w:val="7EBD0CE8"/>
    <w:rsid w:val="7EC02E2F"/>
    <w:rsid w:val="7EDFFC5A"/>
    <w:rsid w:val="7EE13864"/>
    <w:rsid w:val="7F15202E"/>
    <w:rsid w:val="7F454DD4"/>
    <w:rsid w:val="7F790831"/>
    <w:rsid w:val="7F993150"/>
    <w:rsid w:val="7FCA290E"/>
    <w:rsid w:val="7FDF4EE9"/>
    <w:rsid w:val="7FE16F7E"/>
    <w:rsid w:val="CF8FAACC"/>
    <w:rsid w:val="FFBB6367"/>
    <w:rsid w:val="FFF6DC5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qFormat="1" w:unhideWhenUsed="0" w:uiPriority="0" w:semiHidden="0" w:name="table of figures"/>
    <w:lsdException w:uiPriority="99" w:name="envelope address"/>
    <w:lsdException w:qFormat="1" w:uiPriority="99"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156"/>
    <w:qFormat/>
    <w:uiPriority w:val="0"/>
    <w:pPr>
      <w:keepNext/>
      <w:keepLines/>
      <w:autoSpaceDE w:val="0"/>
      <w:autoSpaceDN w:val="0"/>
      <w:adjustRightInd w:val="0"/>
      <w:spacing w:before="240" w:after="120" w:line="300" w:lineRule="auto"/>
      <w:jc w:val="center"/>
      <w:outlineLvl w:val="0"/>
    </w:pPr>
    <w:rPr>
      <w:rFonts w:ascii="宋体"/>
      <w:b/>
      <w:kern w:val="44"/>
      <w:sz w:val="32"/>
    </w:rPr>
  </w:style>
  <w:style w:type="paragraph" w:styleId="4">
    <w:name w:val="heading 2"/>
    <w:basedOn w:val="1"/>
    <w:next w:val="1"/>
    <w:link w:val="171"/>
    <w:qFormat/>
    <w:uiPriority w:val="0"/>
    <w:pPr>
      <w:keepNext/>
      <w:keepLines/>
      <w:autoSpaceDE w:val="0"/>
      <w:autoSpaceDN w:val="0"/>
      <w:adjustRightInd w:val="0"/>
      <w:spacing w:before="120" w:line="300" w:lineRule="auto"/>
      <w:jc w:val="center"/>
      <w:outlineLvl w:val="1"/>
    </w:pPr>
    <w:rPr>
      <w:rFonts w:ascii="Arial" w:hAnsi="Arial" w:eastAsia="黑体"/>
      <w:b/>
      <w:kern w:val="0"/>
      <w:sz w:val="30"/>
    </w:rPr>
  </w:style>
  <w:style w:type="paragraph" w:styleId="5">
    <w:name w:val="heading 3"/>
    <w:basedOn w:val="1"/>
    <w:next w:val="1"/>
    <w:link w:val="157"/>
    <w:qFormat/>
    <w:uiPriority w:val="0"/>
    <w:pPr>
      <w:keepNext/>
      <w:keepLines/>
      <w:autoSpaceDE w:val="0"/>
      <w:autoSpaceDN w:val="0"/>
      <w:adjustRightInd w:val="0"/>
      <w:spacing w:before="360" w:after="120"/>
      <w:jc w:val="left"/>
      <w:outlineLvl w:val="2"/>
    </w:pPr>
    <w:rPr>
      <w:rFonts w:ascii="宋体"/>
      <w:b/>
      <w:kern w:val="0"/>
      <w:sz w:val="24"/>
      <w:u w:val="single"/>
    </w:rPr>
  </w:style>
  <w:style w:type="paragraph" w:styleId="6">
    <w:name w:val="heading 4"/>
    <w:basedOn w:val="1"/>
    <w:next w:val="1"/>
    <w:link w:val="177"/>
    <w:qFormat/>
    <w:uiPriority w:val="0"/>
    <w:pPr>
      <w:keepNext/>
      <w:keepLines/>
      <w:tabs>
        <w:tab w:val="left" w:pos="-2100"/>
        <w:tab w:val="left" w:pos="0"/>
      </w:tabs>
      <w:autoSpaceDE w:val="0"/>
      <w:autoSpaceDN w:val="0"/>
      <w:adjustRightInd w:val="0"/>
      <w:spacing w:before="120" w:after="120" w:line="360" w:lineRule="auto"/>
      <w:outlineLvl w:val="3"/>
    </w:pPr>
    <w:rPr>
      <w:b/>
      <w:snapToGrid w:val="0"/>
      <w:color w:val="000000"/>
      <w:sz w:val="28"/>
    </w:rPr>
  </w:style>
  <w:style w:type="paragraph" w:styleId="7">
    <w:name w:val="heading 5"/>
    <w:basedOn w:val="1"/>
    <w:next w:val="1"/>
    <w:link w:val="185"/>
    <w:qFormat/>
    <w:uiPriority w:val="0"/>
    <w:pPr>
      <w:keepNext/>
      <w:keepLines/>
      <w:tabs>
        <w:tab w:val="left" w:pos="-2100"/>
        <w:tab w:val="left" w:pos="0"/>
      </w:tabs>
      <w:autoSpaceDE w:val="0"/>
      <w:autoSpaceDN w:val="0"/>
      <w:adjustRightInd w:val="0"/>
      <w:spacing w:before="280" w:after="280" w:line="360" w:lineRule="auto"/>
      <w:outlineLvl w:val="4"/>
    </w:pPr>
    <w:rPr>
      <w:b/>
      <w:snapToGrid w:val="0"/>
      <w:color w:val="000000"/>
      <w:sz w:val="28"/>
    </w:rPr>
  </w:style>
  <w:style w:type="paragraph" w:styleId="8">
    <w:name w:val="heading 6"/>
    <w:basedOn w:val="1"/>
    <w:next w:val="1"/>
    <w:link w:val="180"/>
    <w:qFormat/>
    <w:uiPriority w:val="0"/>
    <w:pPr>
      <w:keepNext/>
      <w:keepLines/>
      <w:tabs>
        <w:tab w:val="left" w:pos="-2100"/>
        <w:tab w:val="left" w:pos="0"/>
      </w:tabs>
      <w:autoSpaceDE w:val="0"/>
      <w:autoSpaceDN w:val="0"/>
      <w:adjustRightInd w:val="0"/>
      <w:spacing w:before="240" w:after="64" w:line="317" w:lineRule="auto"/>
      <w:outlineLvl w:val="5"/>
    </w:pPr>
    <w:rPr>
      <w:rFonts w:ascii="Arial" w:hAnsi="Arial" w:eastAsia="黑体"/>
      <w:b/>
      <w:snapToGrid w:val="0"/>
      <w:color w:val="000000"/>
      <w:sz w:val="24"/>
    </w:rPr>
  </w:style>
  <w:style w:type="paragraph" w:styleId="9">
    <w:name w:val="heading 7"/>
    <w:basedOn w:val="1"/>
    <w:next w:val="1"/>
    <w:link w:val="176"/>
    <w:qFormat/>
    <w:uiPriority w:val="0"/>
    <w:pPr>
      <w:keepNext/>
      <w:keepLines/>
      <w:tabs>
        <w:tab w:val="left" w:pos="-2100"/>
        <w:tab w:val="left" w:pos="0"/>
      </w:tabs>
      <w:autoSpaceDE w:val="0"/>
      <w:autoSpaceDN w:val="0"/>
      <w:adjustRightInd w:val="0"/>
      <w:spacing w:before="240" w:after="64" w:line="317" w:lineRule="auto"/>
      <w:outlineLvl w:val="6"/>
    </w:pPr>
    <w:rPr>
      <w:sz w:val="28"/>
    </w:rPr>
  </w:style>
  <w:style w:type="paragraph" w:styleId="10">
    <w:name w:val="heading 8"/>
    <w:basedOn w:val="1"/>
    <w:next w:val="1"/>
    <w:link w:val="162"/>
    <w:qFormat/>
    <w:uiPriority w:val="0"/>
    <w:pPr>
      <w:keepNext/>
      <w:keepLines/>
      <w:tabs>
        <w:tab w:val="left" w:pos="-2100"/>
        <w:tab w:val="left" w:pos="0"/>
      </w:tabs>
      <w:autoSpaceDE w:val="0"/>
      <w:autoSpaceDN w:val="0"/>
      <w:adjustRightInd w:val="0"/>
      <w:spacing w:before="240" w:after="64" w:line="317" w:lineRule="auto"/>
      <w:outlineLvl w:val="7"/>
    </w:pPr>
    <w:rPr>
      <w:sz w:val="28"/>
    </w:rPr>
  </w:style>
  <w:style w:type="paragraph" w:styleId="11">
    <w:name w:val="heading 9"/>
    <w:basedOn w:val="1"/>
    <w:next w:val="1"/>
    <w:link w:val="182"/>
    <w:qFormat/>
    <w:uiPriority w:val="0"/>
    <w:pPr>
      <w:keepNext/>
      <w:keepLines/>
      <w:tabs>
        <w:tab w:val="left" w:pos="-2100"/>
        <w:tab w:val="left" w:pos="0"/>
      </w:tabs>
      <w:autoSpaceDE w:val="0"/>
      <w:autoSpaceDN w:val="0"/>
      <w:adjustRightInd w:val="0"/>
      <w:spacing w:before="240" w:after="64" w:line="317" w:lineRule="auto"/>
      <w:outlineLvl w:val="8"/>
    </w:pPr>
    <w:rPr>
      <w:sz w:val="28"/>
    </w:rPr>
  </w:style>
  <w:style w:type="character" w:default="1" w:styleId="48">
    <w:name w:val="Default Paragraph Font"/>
    <w:unhideWhenUsed/>
    <w:qFormat/>
    <w:uiPriority w:val="1"/>
  </w:style>
  <w:style w:type="table" w:default="1" w:styleId="56">
    <w:name w:val="Normal Table"/>
    <w:unhideWhenUsed/>
    <w:qFormat/>
    <w:uiPriority w:val="99"/>
    <w:tblPr>
      <w:tblLayout w:type="fixed"/>
      <w:tblCellMar>
        <w:top w:w="0" w:type="dxa"/>
        <w:left w:w="108" w:type="dxa"/>
        <w:bottom w:w="0" w:type="dxa"/>
        <w:right w:w="108" w:type="dxa"/>
      </w:tblCellMar>
    </w:tblPr>
  </w:style>
  <w:style w:type="paragraph" w:styleId="2">
    <w:name w:val="Normal Indent"/>
    <w:basedOn w:val="1"/>
    <w:next w:val="1"/>
    <w:qFormat/>
    <w:uiPriority w:val="0"/>
    <w:pPr>
      <w:autoSpaceDE w:val="0"/>
      <w:autoSpaceDN w:val="0"/>
      <w:adjustRightInd w:val="0"/>
      <w:ind w:firstLine="420"/>
      <w:jc w:val="left"/>
    </w:pPr>
    <w:rPr>
      <w:rFonts w:ascii="宋体"/>
      <w:kern w:val="0"/>
      <w:sz w:val="24"/>
    </w:rPr>
  </w:style>
  <w:style w:type="paragraph" w:styleId="12">
    <w:name w:val="annotation subject"/>
    <w:basedOn w:val="13"/>
    <w:next w:val="13"/>
    <w:qFormat/>
    <w:uiPriority w:val="0"/>
    <w:rPr>
      <w:b/>
      <w:bCs/>
    </w:rPr>
  </w:style>
  <w:style w:type="paragraph" w:styleId="13">
    <w:name w:val="annotation text"/>
    <w:basedOn w:val="1"/>
    <w:qFormat/>
    <w:uiPriority w:val="0"/>
    <w:pPr>
      <w:jc w:val="left"/>
    </w:pPr>
  </w:style>
  <w:style w:type="paragraph" w:styleId="14">
    <w:name w:val="toc 7"/>
    <w:basedOn w:val="1"/>
    <w:next w:val="1"/>
    <w:qFormat/>
    <w:uiPriority w:val="0"/>
    <w:pPr>
      <w:ind w:left="2520" w:leftChars="1200"/>
    </w:pPr>
    <w:rPr>
      <w:rFonts w:ascii="Calibri" w:hAnsi="Calibri"/>
    </w:rPr>
  </w:style>
  <w:style w:type="paragraph" w:styleId="15">
    <w:name w:val="Body Text First Indent"/>
    <w:basedOn w:val="16"/>
    <w:next w:val="16"/>
    <w:qFormat/>
    <w:uiPriority w:val="0"/>
    <w:pPr>
      <w:spacing w:after="120"/>
      <w:ind w:firstLine="560" w:firstLineChars="200"/>
    </w:pPr>
    <w:rPr>
      <w:rFonts w:hint="eastAsia" w:ascii="仿宋_GB2312" w:hAnsi="宋体" w:eastAsia="仿宋_GB2312" w:cs="Times New Roman"/>
      <w:sz w:val="28"/>
      <w:szCs w:val="20"/>
    </w:rPr>
  </w:style>
  <w:style w:type="paragraph" w:styleId="16">
    <w:name w:val="Body Text"/>
    <w:basedOn w:val="1"/>
    <w:next w:val="1"/>
    <w:qFormat/>
    <w:uiPriority w:val="0"/>
    <w:rPr>
      <w:color w:val="000000"/>
      <w:sz w:val="24"/>
    </w:rPr>
  </w:style>
  <w:style w:type="paragraph" w:styleId="17">
    <w:name w:val="caption"/>
    <w:basedOn w:val="1"/>
    <w:next w:val="1"/>
    <w:qFormat/>
    <w:uiPriority w:val="0"/>
    <w:rPr>
      <w:rFonts w:ascii="Cambria" w:hAnsi="Cambria" w:eastAsia="黑体"/>
      <w:sz w:val="20"/>
    </w:rPr>
  </w:style>
  <w:style w:type="paragraph" w:styleId="18">
    <w:name w:val="Document Map"/>
    <w:basedOn w:val="1"/>
    <w:qFormat/>
    <w:uiPriority w:val="0"/>
    <w:pPr>
      <w:shd w:val="clear" w:color="auto" w:fill="000080"/>
    </w:pPr>
  </w:style>
  <w:style w:type="paragraph" w:styleId="19">
    <w:name w:val="Salutation"/>
    <w:basedOn w:val="1"/>
    <w:next w:val="1"/>
    <w:link w:val="160"/>
    <w:qFormat/>
    <w:uiPriority w:val="0"/>
  </w:style>
  <w:style w:type="paragraph" w:styleId="20">
    <w:name w:val="Body Text Indent"/>
    <w:basedOn w:val="1"/>
    <w:qFormat/>
    <w:uiPriority w:val="0"/>
    <w:pPr>
      <w:spacing w:after="120"/>
      <w:ind w:left="420" w:leftChars="200"/>
    </w:pPr>
  </w:style>
  <w:style w:type="paragraph" w:styleId="21">
    <w:name w:val="List 2"/>
    <w:basedOn w:val="1"/>
    <w:unhideWhenUsed/>
    <w:qFormat/>
    <w:uiPriority w:val="99"/>
    <w:pPr>
      <w:ind w:left="100" w:leftChars="200" w:hanging="200" w:hangingChars="200"/>
      <w:contextualSpacing/>
    </w:pPr>
  </w:style>
  <w:style w:type="paragraph" w:styleId="22">
    <w:name w:val="toc 5"/>
    <w:basedOn w:val="1"/>
    <w:next w:val="1"/>
    <w:qFormat/>
    <w:uiPriority w:val="0"/>
    <w:pPr>
      <w:ind w:left="1680" w:leftChars="800"/>
    </w:pPr>
    <w:rPr>
      <w:rFonts w:ascii="Calibri" w:hAnsi="Calibri"/>
    </w:rPr>
  </w:style>
  <w:style w:type="paragraph" w:styleId="23">
    <w:name w:val="toc 3"/>
    <w:basedOn w:val="1"/>
    <w:next w:val="1"/>
    <w:qFormat/>
    <w:uiPriority w:val="0"/>
    <w:pPr>
      <w:ind w:left="840" w:leftChars="400"/>
    </w:pPr>
  </w:style>
  <w:style w:type="paragraph" w:styleId="24">
    <w:name w:val="Plain Text"/>
    <w:basedOn w:val="1"/>
    <w:next w:val="1"/>
    <w:link w:val="174"/>
    <w:qFormat/>
    <w:uiPriority w:val="0"/>
    <w:rPr>
      <w:rFonts w:ascii="宋体" w:hAnsi="Courier New"/>
    </w:rPr>
  </w:style>
  <w:style w:type="paragraph" w:styleId="25">
    <w:name w:val="toc 8"/>
    <w:basedOn w:val="1"/>
    <w:next w:val="1"/>
    <w:qFormat/>
    <w:uiPriority w:val="0"/>
    <w:pPr>
      <w:ind w:left="2940" w:leftChars="1400"/>
    </w:pPr>
    <w:rPr>
      <w:rFonts w:ascii="Calibri" w:hAnsi="Calibri"/>
    </w:rPr>
  </w:style>
  <w:style w:type="paragraph" w:styleId="26">
    <w:name w:val="Date"/>
    <w:basedOn w:val="1"/>
    <w:next w:val="27"/>
    <w:link w:val="184"/>
    <w:qFormat/>
    <w:uiPriority w:val="0"/>
    <w:pPr>
      <w:tabs>
        <w:tab w:val="left" w:pos="0"/>
      </w:tabs>
      <w:adjustRightInd w:val="0"/>
      <w:spacing w:after="120" w:line="360" w:lineRule="auto"/>
    </w:pPr>
    <w:rPr>
      <w:rFonts w:ascii="Arial" w:hAnsi="Arial"/>
      <w:sz w:val="24"/>
    </w:rPr>
  </w:style>
  <w:style w:type="paragraph" w:customStyle="1" w:styleId="27">
    <w:name w:val="正文 A"/>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paragraph" w:styleId="28">
    <w:name w:val="Body Text Indent 2"/>
    <w:basedOn w:val="1"/>
    <w:next w:val="1"/>
    <w:qFormat/>
    <w:uiPriority w:val="0"/>
    <w:pPr>
      <w:spacing w:after="120" w:line="480" w:lineRule="auto"/>
      <w:ind w:left="420" w:leftChars="200"/>
    </w:pPr>
  </w:style>
  <w:style w:type="paragraph" w:styleId="29">
    <w:name w:val="Balloon Text"/>
    <w:basedOn w:val="1"/>
    <w:qFormat/>
    <w:uiPriority w:val="0"/>
    <w:rPr>
      <w:sz w:val="18"/>
      <w:szCs w:val="18"/>
    </w:rPr>
  </w:style>
  <w:style w:type="paragraph" w:styleId="30">
    <w:name w:val="footer"/>
    <w:basedOn w:val="1"/>
    <w:link w:val="165"/>
    <w:qFormat/>
    <w:uiPriority w:val="99"/>
    <w:pPr>
      <w:tabs>
        <w:tab w:val="center" w:pos="4153"/>
        <w:tab w:val="right" w:pos="8306"/>
      </w:tabs>
      <w:adjustRightInd w:val="0"/>
      <w:spacing w:line="240" w:lineRule="atLeast"/>
      <w:jc w:val="left"/>
      <w:textAlignment w:val="baseline"/>
    </w:pPr>
    <w:rPr>
      <w:kern w:val="0"/>
      <w:sz w:val="18"/>
    </w:rPr>
  </w:style>
  <w:style w:type="paragraph" w:styleId="31">
    <w:name w:val="envelope return"/>
    <w:basedOn w:val="1"/>
    <w:unhideWhenUsed/>
    <w:qFormat/>
    <w:uiPriority w:val="99"/>
    <w:pPr>
      <w:snapToGrid w:val="0"/>
    </w:pPr>
    <w:rPr>
      <w:rFonts w:ascii="Arial" w:hAnsi="Arial"/>
    </w:rPr>
  </w:style>
  <w:style w:type="paragraph" w:styleId="32">
    <w:name w:val="Body Text First Indent 2"/>
    <w:basedOn w:val="20"/>
    <w:unhideWhenUsed/>
    <w:qFormat/>
    <w:uiPriority w:val="99"/>
    <w:pPr>
      <w:ind w:firstLine="420" w:firstLineChars="200"/>
    </w:pPr>
  </w:style>
  <w:style w:type="paragraph" w:styleId="33">
    <w:name w:val="header"/>
    <w:basedOn w:val="1"/>
    <w:qFormat/>
    <w:uiPriority w:val="0"/>
    <w:pPr>
      <w:pBdr>
        <w:bottom w:val="single" w:color="auto" w:sz="6" w:space="1"/>
      </w:pBdr>
      <w:tabs>
        <w:tab w:val="center" w:pos="4153"/>
        <w:tab w:val="right" w:pos="8306"/>
      </w:tabs>
      <w:adjustRightInd w:val="0"/>
      <w:spacing w:line="240" w:lineRule="atLeast"/>
      <w:jc w:val="center"/>
      <w:textAlignment w:val="baseline"/>
    </w:pPr>
    <w:rPr>
      <w:kern w:val="0"/>
      <w:sz w:val="18"/>
    </w:rPr>
  </w:style>
  <w:style w:type="paragraph" w:styleId="34">
    <w:name w:val="toc 1"/>
    <w:basedOn w:val="1"/>
    <w:next w:val="1"/>
    <w:qFormat/>
    <w:uiPriority w:val="39"/>
    <w:pPr>
      <w:tabs>
        <w:tab w:val="right" w:leader="dot" w:pos="9061"/>
      </w:tabs>
      <w:spacing w:line="360" w:lineRule="auto"/>
    </w:pPr>
  </w:style>
  <w:style w:type="paragraph" w:styleId="35">
    <w:name w:val="toc 4"/>
    <w:basedOn w:val="1"/>
    <w:next w:val="1"/>
    <w:qFormat/>
    <w:uiPriority w:val="0"/>
    <w:pPr>
      <w:ind w:left="1260" w:leftChars="600"/>
    </w:pPr>
    <w:rPr>
      <w:rFonts w:ascii="Calibri" w:hAnsi="Calibri"/>
    </w:rPr>
  </w:style>
  <w:style w:type="paragraph" w:styleId="36">
    <w:name w:val="Subtitle"/>
    <w:basedOn w:val="1"/>
    <w:next w:val="1"/>
    <w:link w:val="159"/>
    <w:qFormat/>
    <w:uiPriority w:val="0"/>
    <w:pPr>
      <w:spacing w:before="240" w:after="60" w:line="312" w:lineRule="auto"/>
      <w:ind w:firstLine="200" w:firstLineChars="200"/>
      <w:jc w:val="left"/>
      <w:outlineLvl w:val="1"/>
    </w:pPr>
    <w:rPr>
      <w:rFonts w:ascii="Cambria" w:hAnsi="Cambria"/>
      <w:b/>
      <w:kern w:val="28"/>
      <w:sz w:val="32"/>
    </w:rPr>
  </w:style>
  <w:style w:type="paragraph" w:styleId="37">
    <w:name w:val="footnote text"/>
    <w:basedOn w:val="1"/>
    <w:link w:val="183"/>
    <w:qFormat/>
    <w:uiPriority w:val="0"/>
    <w:pPr>
      <w:snapToGrid w:val="0"/>
      <w:jc w:val="left"/>
    </w:pPr>
    <w:rPr>
      <w:sz w:val="28"/>
    </w:rPr>
  </w:style>
  <w:style w:type="paragraph" w:styleId="38">
    <w:name w:val="toc 6"/>
    <w:basedOn w:val="1"/>
    <w:next w:val="1"/>
    <w:qFormat/>
    <w:uiPriority w:val="0"/>
    <w:pPr>
      <w:ind w:left="2100" w:leftChars="1000"/>
    </w:pPr>
    <w:rPr>
      <w:rFonts w:ascii="Calibri" w:hAnsi="Calibri"/>
    </w:rPr>
  </w:style>
  <w:style w:type="paragraph" w:styleId="39">
    <w:name w:val="Body Text Indent 3"/>
    <w:basedOn w:val="1"/>
    <w:qFormat/>
    <w:uiPriority w:val="0"/>
    <w:pPr>
      <w:spacing w:after="120"/>
      <w:ind w:left="420" w:leftChars="200"/>
    </w:pPr>
    <w:rPr>
      <w:sz w:val="16"/>
      <w:szCs w:val="16"/>
    </w:rPr>
  </w:style>
  <w:style w:type="paragraph" w:styleId="40">
    <w:name w:val="table of figures"/>
    <w:basedOn w:val="1"/>
    <w:next w:val="1"/>
    <w:qFormat/>
    <w:uiPriority w:val="0"/>
    <w:pPr>
      <w:ind w:left="420" w:hanging="420"/>
      <w:jc w:val="left"/>
    </w:pPr>
    <w:rPr>
      <w:rFonts w:ascii="Calibri" w:hAnsi="Calibri"/>
      <w:b/>
      <w:sz w:val="20"/>
    </w:rPr>
  </w:style>
  <w:style w:type="paragraph" w:styleId="41">
    <w:name w:val="toc 2"/>
    <w:basedOn w:val="1"/>
    <w:next w:val="1"/>
    <w:qFormat/>
    <w:uiPriority w:val="0"/>
    <w:pPr>
      <w:ind w:left="420" w:leftChars="200"/>
    </w:pPr>
  </w:style>
  <w:style w:type="paragraph" w:styleId="42">
    <w:name w:val="toc 9"/>
    <w:basedOn w:val="1"/>
    <w:next w:val="1"/>
    <w:qFormat/>
    <w:uiPriority w:val="0"/>
    <w:pPr>
      <w:ind w:left="3360" w:leftChars="1600"/>
    </w:pPr>
    <w:rPr>
      <w:rFonts w:ascii="Calibri" w:hAnsi="Calibri"/>
    </w:rPr>
  </w:style>
  <w:style w:type="paragraph" w:styleId="43">
    <w:name w:val="Body Text 2"/>
    <w:basedOn w:val="1"/>
    <w:link w:val="189"/>
    <w:qFormat/>
    <w:uiPriority w:val="0"/>
    <w:pPr>
      <w:spacing w:after="120" w:line="480" w:lineRule="auto"/>
    </w:pPr>
  </w:style>
  <w:style w:type="paragraph" w:styleId="44">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45">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46">
    <w:name w:val="Title"/>
    <w:basedOn w:val="47"/>
    <w:next w:val="1"/>
    <w:qFormat/>
    <w:uiPriority w:val="10"/>
    <w:pPr>
      <w:numPr>
        <w:ilvl w:val="1"/>
        <w:numId w:val="1"/>
      </w:numPr>
      <w:spacing w:line="560" w:lineRule="exact"/>
      <w:outlineLvl w:val="1"/>
    </w:pPr>
    <w:rPr>
      <w:rFonts w:ascii="楷体_GB2312" w:eastAsia="楷体_GB2312"/>
      <w:kern w:val="2"/>
      <w:sz w:val="32"/>
      <w:szCs w:val="32"/>
    </w:rPr>
  </w:style>
  <w:style w:type="paragraph" w:customStyle="1" w:styleId="47">
    <w:name w:val="正文样式小四号"/>
    <w:qFormat/>
    <w:uiPriority w:val="0"/>
    <w:pPr>
      <w:spacing w:line="360" w:lineRule="auto"/>
      <w:ind w:firstLine="200" w:firstLineChars="200"/>
    </w:pPr>
    <w:rPr>
      <w:rFonts w:ascii="Times New Roman" w:hAnsi="Times New Roman" w:eastAsia="宋体" w:cs="Times New Roman"/>
      <w:sz w:val="24"/>
      <w:szCs w:val="24"/>
      <w:lang w:val="en-US" w:eastAsia="zh-CN" w:bidi="ar-SA"/>
    </w:rPr>
  </w:style>
  <w:style w:type="character" w:styleId="49">
    <w:name w:val="Strong"/>
    <w:qFormat/>
    <w:uiPriority w:val="0"/>
    <w:rPr>
      <w:b/>
      <w:bCs/>
    </w:rPr>
  </w:style>
  <w:style w:type="character" w:styleId="50">
    <w:name w:val="page number"/>
    <w:basedOn w:val="48"/>
    <w:qFormat/>
    <w:uiPriority w:val="0"/>
  </w:style>
  <w:style w:type="character" w:styleId="51">
    <w:name w:val="FollowedHyperlink"/>
    <w:qFormat/>
    <w:uiPriority w:val="0"/>
    <w:rPr>
      <w:color w:val="800080"/>
      <w:u w:val="single"/>
    </w:rPr>
  </w:style>
  <w:style w:type="character" w:styleId="52">
    <w:name w:val="Emphasis"/>
    <w:qFormat/>
    <w:uiPriority w:val="0"/>
    <w:rPr>
      <w:i/>
    </w:rPr>
  </w:style>
  <w:style w:type="character" w:styleId="53">
    <w:name w:val="Hyperlink"/>
    <w:qFormat/>
    <w:uiPriority w:val="99"/>
    <w:rPr>
      <w:color w:val="0000FF"/>
      <w:u w:val="single"/>
    </w:rPr>
  </w:style>
  <w:style w:type="character" w:styleId="54">
    <w:name w:val="annotation reference"/>
    <w:qFormat/>
    <w:uiPriority w:val="0"/>
    <w:rPr>
      <w:sz w:val="21"/>
      <w:szCs w:val="21"/>
    </w:rPr>
  </w:style>
  <w:style w:type="character" w:styleId="55">
    <w:name w:val="footnote reference"/>
    <w:qFormat/>
    <w:uiPriority w:val="0"/>
    <w:rPr>
      <w:vertAlign w:val="superscript"/>
    </w:rPr>
  </w:style>
  <w:style w:type="table" w:styleId="57">
    <w:name w:val="Table Grid"/>
    <w:basedOn w:val="5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58">
    <w:name w:val="toc 11"/>
    <w:next w:val="1"/>
    <w:qFormat/>
    <w:uiPriority w:val="0"/>
    <w:pPr>
      <w:wordWrap w:val="0"/>
      <w:jc w:val="both"/>
    </w:pPr>
    <w:rPr>
      <w:rFonts w:ascii="Times New Roman" w:hAnsi="Times New Roman" w:eastAsia="宋体" w:cs="Times New Roman"/>
      <w:sz w:val="21"/>
      <w:szCs w:val="22"/>
      <w:lang w:val="en-US" w:eastAsia="zh-CN" w:bidi="ar-SA"/>
    </w:rPr>
  </w:style>
  <w:style w:type="paragraph" w:customStyle="1" w:styleId="59">
    <w:name w:val="样式 小四"/>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paragraph" w:customStyle="1" w:styleId="60">
    <w:name w:val="xl53"/>
    <w:basedOn w:val="1"/>
    <w:qFormat/>
    <w:uiPriority w:val="0"/>
    <w:pPr>
      <w:widowControl/>
      <w:pBdr>
        <w:top w:val="single" w:color="auto" w:sz="4" w:space="0"/>
        <w:left w:val="single" w:color="auto" w:sz="4" w:space="0"/>
        <w:bottom w:val="single" w:color="auto" w:sz="4" w:space="0"/>
        <w:right w:val="single" w:color="auto" w:sz="4" w:space="0"/>
      </w:pBdr>
      <w:spacing w:beforeLines="1" w:afterLines="1"/>
      <w:jc w:val="left"/>
    </w:pPr>
    <w:rPr>
      <w:rFonts w:ascii="Times" w:hAnsi="Times"/>
      <w:kern w:val="0"/>
      <w:sz w:val="20"/>
    </w:rPr>
  </w:style>
  <w:style w:type="paragraph" w:customStyle="1" w:styleId="61">
    <w:name w:val="正文文字缩进 3"/>
    <w:basedOn w:val="1"/>
    <w:qFormat/>
    <w:uiPriority w:val="0"/>
    <w:pPr>
      <w:widowControl/>
      <w:spacing w:before="119" w:line="272" w:lineRule="atLeast"/>
      <w:ind w:left="719" w:firstLine="481"/>
      <w:jc w:val="left"/>
      <w:textAlignment w:val="baseline"/>
    </w:pPr>
    <w:rPr>
      <w:rFonts w:ascii="宋体"/>
      <w:color w:val="000000"/>
      <w:kern w:val="0"/>
      <w:sz w:val="24"/>
      <w:u w:val="none" w:color="000000"/>
    </w:rPr>
  </w:style>
  <w:style w:type="paragraph" w:customStyle="1" w:styleId="62">
    <w:name w:val="Char Char2 Char"/>
    <w:basedOn w:val="1"/>
    <w:qFormat/>
    <w:uiPriority w:val="0"/>
    <w:rPr>
      <w:rFonts w:ascii="Tahoma" w:hAnsi="Tahoma"/>
      <w:sz w:val="24"/>
    </w:rPr>
  </w:style>
  <w:style w:type="paragraph" w:customStyle="1" w:styleId="63">
    <w:name w:val="Char3 Char Char Char"/>
    <w:basedOn w:val="1"/>
    <w:qFormat/>
    <w:uiPriority w:val="0"/>
    <w:rPr>
      <w:rFonts w:ascii="Tahoma" w:hAnsi="Tahoma"/>
      <w:sz w:val="24"/>
    </w:rPr>
  </w:style>
  <w:style w:type="paragraph" w:customStyle="1" w:styleId="64">
    <w:name w:val="样式 标题 1 + 四号 加粗 行距: 固定值 25 磅"/>
    <w:basedOn w:val="3"/>
    <w:qFormat/>
    <w:uiPriority w:val="0"/>
    <w:pPr>
      <w:keepLines w:val="0"/>
      <w:autoSpaceDE/>
      <w:autoSpaceDN/>
      <w:adjustRightInd/>
      <w:spacing w:before="0" w:after="0" w:line="500" w:lineRule="exact"/>
      <w:jc w:val="both"/>
    </w:pPr>
    <w:rPr>
      <w:rFonts w:ascii="Times New Roman"/>
      <w:bCs/>
      <w:kern w:val="2"/>
      <w:sz w:val="28"/>
    </w:rPr>
  </w:style>
  <w:style w:type="paragraph" w:customStyle="1" w:styleId="65">
    <w:name w:val="Char Char1 Char Char Char Char Char Char Char Char Char"/>
    <w:basedOn w:val="1"/>
    <w:qFormat/>
    <w:uiPriority w:val="0"/>
    <w:rPr>
      <w:rFonts w:ascii="宋体" w:hAnsi="宋体"/>
      <w:sz w:val="24"/>
      <w:szCs w:val="24"/>
    </w:rPr>
  </w:style>
  <w:style w:type="paragraph" w:customStyle="1" w:styleId="66">
    <w:name w:val="Char Char Char2"/>
    <w:basedOn w:val="1"/>
    <w:qFormat/>
    <w:uiPriority w:val="0"/>
    <w:rPr>
      <w:rFonts w:ascii="Tahoma" w:hAnsi="Tahoma"/>
      <w:sz w:val="24"/>
    </w:rPr>
  </w:style>
  <w:style w:type="paragraph" w:customStyle="1" w:styleId="67">
    <w:name w:val="正文符号2"/>
    <w:qFormat/>
    <w:uiPriority w:val="0"/>
    <w:pPr>
      <w:tabs>
        <w:tab w:val="left" w:pos="360"/>
        <w:tab w:val="left" w:pos="840"/>
      </w:tabs>
    </w:pPr>
    <w:rPr>
      <w:rFonts w:ascii="Times New Roman" w:hAnsi="Times New Roman" w:eastAsia="宋体" w:cs="Times New Roman"/>
      <w:lang w:val="en-US" w:eastAsia="zh-CN" w:bidi="ar-SA"/>
    </w:rPr>
  </w:style>
  <w:style w:type="paragraph" w:customStyle="1" w:styleId="68">
    <w:name w:val="Char Char Char2 Char"/>
    <w:basedOn w:val="1"/>
    <w:qFormat/>
    <w:uiPriority w:val="0"/>
    <w:rPr>
      <w:rFonts w:ascii="Tahoma" w:hAnsi="Tahoma"/>
      <w:sz w:val="24"/>
    </w:rPr>
  </w:style>
  <w:style w:type="paragraph" w:customStyle="1" w:styleId="69">
    <w:name w:val="Char Char1 Char Char Char Char Char Char Char Char Char Char"/>
    <w:basedOn w:val="1"/>
    <w:qFormat/>
    <w:uiPriority w:val="0"/>
    <w:rPr>
      <w:rFonts w:ascii="宋体" w:hAnsi="宋体"/>
      <w:sz w:val="24"/>
    </w:rPr>
  </w:style>
  <w:style w:type="paragraph" w:customStyle="1" w:styleId="70">
    <w:name w:val="Char Char Char Char Char Char Char Char Char Char1"/>
    <w:basedOn w:val="1"/>
    <w:qFormat/>
    <w:uiPriority w:val="0"/>
    <w:rPr>
      <w:rFonts w:ascii="Tahoma" w:hAnsi="Tahoma"/>
      <w:sz w:val="24"/>
    </w:rPr>
  </w:style>
  <w:style w:type="paragraph" w:customStyle="1" w:styleId="71">
    <w:name w:val="样式 样式 四号 首行缩进:  0.74 厘米 行距: 1.5 倍行距 + 宋体 四号 行距: 1.5 倍行距"/>
    <w:basedOn w:val="1"/>
    <w:qFormat/>
    <w:uiPriority w:val="0"/>
    <w:pPr>
      <w:spacing w:line="360" w:lineRule="auto"/>
      <w:ind w:firstLine="560" w:firstLineChars="200"/>
    </w:pPr>
    <w:rPr>
      <w:rFonts w:ascii="宋体" w:hAnsi="宋体"/>
      <w:sz w:val="28"/>
    </w:rPr>
  </w:style>
  <w:style w:type="paragraph" w:customStyle="1" w:styleId="72">
    <w:name w:val="彩色列表 - 强调文字颜色 11"/>
    <w:basedOn w:val="1"/>
    <w:qFormat/>
    <w:uiPriority w:val="0"/>
    <w:pPr>
      <w:ind w:firstLine="420" w:firstLineChars="200"/>
    </w:pPr>
  </w:style>
  <w:style w:type="paragraph" w:customStyle="1" w:styleId="73">
    <w:name w:val="Char Char Char1 Char Char Char Char Char Char Char"/>
    <w:basedOn w:val="1"/>
    <w:qFormat/>
    <w:uiPriority w:val="0"/>
    <w:rPr>
      <w:rFonts w:ascii="Tahoma" w:hAnsi="Tahoma"/>
      <w:sz w:val="24"/>
    </w:rPr>
  </w:style>
  <w:style w:type="paragraph" w:customStyle="1" w:styleId="74">
    <w:name w:val="正文首行缩进2字"/>
    <w:basedOn w:val="1"/>
    <w:qFormat/>
    <w:uiPriority w:val="0"/>
    <w:pPr>
      <w:ind w:firstLine="560" w:firstLineChars="200"/>
    </w:pPr>
    <w:rPr>
      <w:rFonts w:eastAsia="楷体_GB2312"/>
      <w:sz w:val="28"/>
    </w:rPr>
  </w:style>
  <w:style w:type="paragraph" w:customStyle="1" w:styleId="75">
    <w:name w:val="技术报告正文 Char Char"/>
    <w:basedOn w:val="1"/>
    <w:qFormat/>
    <w:uiPriority w:val="0"/>
    <w:pPr>
      <w:spacing w:beforeLines="50" w:line="440" w:lineRule="exact"/>
      <w:ind w:firstLine="200" w:firstLineChars="200"/>
    </w:pPr>
    <w:rPr>
      <w:sz w:val="28"/>
    </w:rPr>
  </w:style>
  <w:style w:type="paragraph" w:customStyle="1" w:styleId="76">
    <w:name w:val="样式 标题 2 + 宋体 五号 非加粗 黑色"/>
    <w:basedOn w:val="4"/>
    <w:qFormat/>
    <w:uiPriority w:val="0"/>
    <w:pPr>
      <w:adjustRightInd w:val="0"/>
      <w:spacing w:line="416" w:lineRule="atLeast"/>
      <w:jc w:val="left"/>
      <w:textAlignment w:val="baseline"/>
    </w:pPr>
    <w:rPr>
      <w:rFonts w:ascii="宋体" w:hAnsi="宋体" w:eastAsia="宋体"/>
      <w:b w:val="0"/>
      <w:color w:val="000000"/>
      <w:kern w:val="0"/>
      <w:sz w:val="21"/>
    </w:rPr>
  </w:style>
  <w:style w:type="paragraph" w:customStyle="1" w:styleId="77">
    <w:name w:val="Colorful List - Accent 11"/>
    <w:basedOn w:val="1"/>
    <w:qFormat/>
    <w:uiPriority w:val="0"/>
    <w:pPr>
      <w:ind w:firstLine="420" w:firstLineChars="200"/>
    </w:pPr>
  </w:style>
  <w:style w:type="paragraph" w:customStyle="1" w:styleId="78">
    <w:name w:val="列出段落"/>
    <w:basedOn w:val="1"/>
    <w:qFormat/>
    <w:uiPriority w:val="0"/>
    <w:pPr>
      <w:ind w:firstLine="420" w:firstLineChars="200"/>
    </w:pPr>
  </w:style>
  <w:style w:type="paragraph" w:customStyle="1" w:styleId="79">
    <w:name w:val="普通(Web)1"/>
    <w:basedOn w:val="1"/>
    <w:qFormat/>
    <w:uiPriority w:val="0"/>
    <w:pPr>
      <w:widowControl/>
      <w:jc w:val="left"/>
    </w:pPr>
    <w:rPr>
      <w:rFonts w:ascii="宋体" w:hAnsi="宋体" w:cs="宋体"/>
      <w:kern w:val="0"/>
      <w:sz w:val="24"/>
      <w:szCs w:val="24"/>
    </w:rPr>
  </w:style>
  <w:style w:type="paragraph" w:customStyle="1" w:styleId="80">
    <w:name w:val="_Style 73"/>
    <w:basedOn w:val="1"/>
    <w:next w:val="1"/>
    <w:qFormat/>
    <w:uiPriority w:val="0"/>
    <w:pPr>
      <w:widowControl/>
      <w:pBdr>
        <w:bottom w:val="single" w:color="auto" w:sz="6" w:space="1"/>
      </w:pBdr>
      <w:jc w:val="center"/>
    </w:pPr>
    <w:rPr>
      <w:rFonts w:ascii="Arial" w:hAnsi="Arial" w:cs="Arial"/>
      <w:vanish/>
      <w:kern w:val="0"/>
      <w:sz w:val="16"/>
      <w:szCs w:val="16"/>
    </w:rPr>
  </w:style>
  <w:style w:type="paragraph" w:customStyle="1" w:styleId="81">
    <w:name w:val="xl54"/>
    <w:basedOn w:val="1"/>
    <w:qFormat/>
    <w:uiPriority w:val="0"/>
    <w:pPr>
      <w:widowControl/>
      <w:pBdr>
        <w:top w:val="single" w:color="auto" w:sz="4" w:space="0"/>
        <w:left w:val="single" w:color="auto" w:sz="4" w:space="0"/>
        <w:bottom w:val="single" w:color="auto" w:sz="4" w:space="0"/>
        <w:right w:val="single" w:color="auto" w:sz="4" w:space="0"/>
      </w:pBdr>
      <w:spacing w:beforeLines="1" w:afterLines="1"/>
      <w:jc w:val="center"/>
    </w:pPr>
    <w:rPr>
      <w:rFonts w:ascii="Times" w:hAnsi="Times"/>
      <w:kern w:val="0"/>
      <w:sz w:val="20"/>
    </w:rPr>
  </w:style>
  <w:style w:type="paragraph" w:customStyle="1" w:styleId="82">
    <w:name w:val="样式 标题 2 + 宋体 五号 行距: 单倍行距"/>
    <w:basedOn w:val="4"/>
    <w:qFormat/>
    <w:uiPriority w:val="99"/>
    <w:pPr>
      <w:tabs>
        <w:tab w:val="left" w:pos="840"/>
      </w:tabs>
      <w:autoSpaceDE/>
      <w:autoSpaceDN/>
      <w:spacing w:before="260" w:after="260" w:line="240" w:lineRule="auto"/>
      <w:ind w:left="840" w:hanging="840"/>
      <w:jc w:val="left"/>
    </w:pPr>
    <w:rPr>
      <w:rFonts w:ascii="宋体" w:hAnsi="宋体" w:eastAsia="宋体" w:cs="黑体"/>
      <w:bCs/>
      <w:sz w:val="21"/>
    </w:rPr>
  </w:style>
  <w:style w:type="paragraph" w:customStyle="1" w:styleId="83">
    <w:name w:val="1 Char Char Char Char Char Char Char Char Char Char"/>
    <w:basedOn w:val="1"/>
    <w:qFormat/>
    <w:uiPriority w:val="0"/>
    <w:rPr>
      <w:rFonts w:ascii="Tahoma" w:hAnsi="Tahoma"/>
      <w:sz w:val="24"/>
    </w:rPr>
  </w:style>
  <w:style w:type="paragraph" w:customStyle="1" w:styleId="84">
    <w:name w:val="样式2"/>
    <w:basedOn w:val="35"/>
    <w:qFormat/>
    <w:uiPriority w:val="0"/>
    <w:pPr>
      <w:tabs>
        <w:tab w:val="left" w:pos="0"/>
        <w:tab w:val="left" w:pos="425"/>
      </w:tabs>
      <w:spacing w:line="360" w:lineRule="auto"/>
      <w:ind w:left="0" w:leftChars="0" w:hanging="425"/>
      <w:outlineLvl w:val="3"/>
    </w:pPr>
    <w:rPr>
      <w:rFonts w:ascii="宋体" w:hAnsi="宋体"/>
      <w:b/>
    </w:rPr>
  </w:style>
  <w:style w:type="paragraph" w:customStyle="1" w:styleId="85">
    <w:name w:val="Colorful List - Accent 12"/>
    <w:basedOn w:val="1"/>
    <w:qFormat/>
    <w:uiPriority w:val="0"/>
    <w:pPr>
      <w:ind w:firstLine="420" w:firstLineChars="200"/>
    </w:pPr>
  </w:style>
  <w:style w:type="paragraph" w:customStyle="1" w:styleId="86">
    <w:name w:val="样式 样式 样式 标题 2 + 宋体 五号 非加粗 黑色 + 段前: 6 磅 段后: 0 磅 行距: 单倍行距 + 段前: 12..."/>
    <w:basedOn w:val="87"/>
    <w:qFormat/>
    <w:uiPriority w:val="0"/>
    <w:pPr>
      <w:spacing w:before="240"/>
    </w:pPr>
  </w:style>
  <w:style w:type="paragraph" w:customStyle="1" w:styleId="87">
    <w:name w:val="样式 样式 标题 2 + 宋体 五号 非加粗 黑色 + 段前: 6 磅 段后: 0 磅 行距: 单倍行距"/>
    <w:basedOn w:val="76"/>
    <w:qFormat/>
    <w:uiPriority w:val="0"/>
    <w:pPr>
      <w:spacing w:before="120" w:beforeLines="0" w:after="0" w:afterLines="0" w:line="240" w:lineRule="auto"/>
    </w:pPr>
    <w:rPr>
      <w:rFonts w:cs="宋体"/>
      <w:szCs w:val="20"/>
    </w:rPr>
  </w:style>
  <w:style w:type="paragraph" w:customStyle="1" w:styleId="88">
    <w:name w:val="Char Char Char1 Char Char Char"/>
    <w:basedOn w:val="1"/>
    <w:qFormat/>
    <w:uiPriority w:val="0"/>
    <w:rPr>
      <w:rFonts w:ascii="Tahoma" w:hAnsi="Tahoma"/>
      <w:sz w:val="24"/>
    </w:rPr>
  </w:style>
  <w:style w:type="paragraph" w:customStyle="1" w:styleId="89">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90">
    <w:name w:val="Char Char Char Char Char Char"/>
    <w:basedOn w:val="1"/>
    <w:qFormat/>
    <w:uiPriority w:val="0"/>
    <w:rPr>
      <w:rFonts w:ascii="Tahoma" w:hAnsi="Tahoma"/>
      <w:sz w:val="24"/>
    </w:rPr>
  </w:style>
  <w:style w:type="paragraph" w:customStyle="1" w:styleId="91">
    <w:name w:val="Bullets 2"/>
    <w:basedOn w:val="92"/>
    <w:qFormat/>
    <w:uiPriority w:val="0"/>
    <w:pPr>
      <w:tabs>
        <w:tab w:val="left" w:pos="360"/>
        <w:tab w:val="left" w:pos="840"/>
        <w:tab w:val="left" w:pos="1078"/>
        <w:tab w:val="left" w:pos="1620"/>
      </w:tabs>
      <w:ind w:left="1620" w:hanging="720"/>
    </w:pPr>
    <w:rPr>
      <w:rFonts w:eastAsia="宋体"/>
    </w:rPr>
  </w:style>
  <w:style w:type="paragraph" w:customStyle="1" w:styleId="92">
    <w:name w:val="Bullets 1"/>
    <w:basedOn w:val="93"/>
    <w:qFormat/>
    <w:uiPriority w:val="0"/>
    <w:pPr>
      <w:tabs>
        <w:tab w:val="left" w:pos="360"/>
        <w:tab w:val="left" w:pos="1078"/>
      </w:tabs>
      <w:spacing w:before="0" w:after="0"/>
      <w:ind w:left="1078" w:hanging="360"/>
    </w:pPr>
  </w:style>
  <w:style w:type="paragraph" w:customStyle="1" w:styleId="93">
    <w:name w:val="Body Copy"/>
    <w:basedOn w:val="1"/>
    <w:qFormat/>
    <w:uiPriority w:val="0"/>
    <w:pPr>
      <w:widowControl/>
      <w:spacing w:before="40" w:after="40" w:line="200" w:lineRule="exact"/>
      <w:jc w:val="left"/>
    </w:pPr>
    <w:rPr>
      <w:rFonts w:ascii="Arial Narrow" w:hAnsi="Arial Narrow" w:eastAsia="Times New Roman"/>
      <w:spacing w:val="10"/>
      <w:kern w:val="0"/>
      <w:sz w:val="18"/>
      <w:lang w:eastAsia="en-US"/>
    </w:rPr>
  </w:style>
  <w:style w:type="paragraph" w:customStyle="1" w:styleId="94">
    <w:name w:val="列出段落1"/>
    <w:basedOn w:val="1"/>
    <w:qFormat/>
    <w:uiPriority w:val="0"/>
    <w:pPr>
      <w:ind w:firstLine="420" w:firstLineChars="200"/>
    </w:pPr>
    <w:rPr>
      <w:szCs w:val="24"/>
    </w:rPr>
  </w:style>
  <w:style w:type="paragraph" w:customStyle="1" w:styleId="95">
    <w:name w:val="Colorful List - Accent 1 Char"/>
    <w:basedOn w:val="1"/>
    <w:link w:val="186"/>
    <w:qFormat/>
    <w:uiPriority w:val="0"/>
    <w:pPr>
      <w:ind w:firstLine="420" w:firstLineChars="200"/>
    </w:pPr>
  </w:style>
  <w:style w:type="paragraph" w:customStyle="1" w:styleId="96">
    <w:name w:val="Char Char Char3 Char Char Char Char Char Char Char Char Char1"/>
    <w:basedOn w:val="1"/>
    <w:qFormat/>
    <w:uiPriority w:val="0"/>
    <w:rPr>
      <w:rFonts w:ascii="Tahoma" w:hAnsi="Tahoma"/>
      <w:sz w:val="24"/>
    </w:rPr>
  </w:style>
  <w:style w:type="paragraph" w:customStyle="1" w:styleId="97">
    <w:name w:val="Colorful List - Accent 1"/>
    <w:basedOn w:val="1"/>
    <w:qFormat/>
    <w:uiPriority w:val="0"/>
    <w:pPr>
      <w:ind w:firstLine="420" w:firstLineChars="200"/>
    </w:pPr>
  </w:style>
  <w:style w:type="paragraph" w:customStyle="1" w:styleId="98">
    <w:name w:val="样式1"/>
    <w:basedOn w:val="1"/>
    <w:qFormat/>
    <w:uiPriority w:val="0"/>
    <w:pPr>
      <w:numPr>
        <w:ilvl w:val="0"/>
        <w:numId w:val="2"/>
      </w:numPr>
      <w:adjustRightInd w:val="0"/>
    </w:pPr>
    <w:rPr>
      <w:rFonts w:ascii="宋体" w:hAnsi="宋体"/>
      <w:kern w:val="0"/>
      <w:szCs w:val="21"/>
    </w:rPr>
  </w:style>
  <w:style w:type="paragraph" w:customStyle="1" w:styleId="99">
    <w:name w:val="Char Char Char1 Char Char Char Char Char Char2"/>
    <w:basedOn w:val="1"/>
    <w:qFormat/>
    <w:uiPriority w:val="0"/>
    <w:rPr>
      <w:rFonts w:ascii="Tahoma" w:hAnsi="Tahoma"/>
      <w:sz w:val="24"/>
    </w:rPr>
  </w:style>
  <w:style w:type="paragraph" w:customStyle="1" w:styleId="100">
    <w:name w:val="Char Char Char1 Char Char Char Char Char Char Char Char Char Char"/>
    <w:basedOn w:val="1"/>
    <w:qFormat/>
    <w:uiPriority w:val="0"/>
    <w:rPr>
      <w:rFonts w:ascii="Tahoma" w:hAnsi="Tahoma"/>
      <w:sz w:val="24"/>
    </w:rPr>
  </w:style>
  <w:style w:type="paragraph" w:customStyle="1" w:styleId="101">
    <w:name w:val="方案设计正文"/>
    <w:basedOn w:val="1"/>
    <w:qFormat/>
    <w:uiPriority w:val="0"/>
    <w:pPr>
      <w:widowControl/>
      <w:overflowPunct w:val="0"/>
      <w:autoSpaceDE w:val="0"/>
      <w:autoSpaceDN w:val="0"/>
      <w:adjustRightInd w:val="0"/>
      <w:spacing w:line="300" w:lineRule="auto"/>
      <w:jc w:val="left"/>
      <w:textAlignment w:val="bottom"/>
    </w:pPr>
    <w:rPr>
      <w:rFonts w:eastAsia="楷体"/>
      <w:kern w:val="0"/>
      <w:sz w:val="24"/>
    </w:rPr>
  </w:style>
  <w:style w:type="paragraph" w:customStyle="1" w:styleId="102">
    <w:name w:val="标题 4 + 仿宋_GB2312"/>
    <w:basedOn w:val="5"/>
    <w:qFormat/>
    <w:uiPriority w:val="0"/>
    <w:pPr>
      <w:jc w:val="both"/>
    </w:pPr>
    <w:rPr>
      <w:rFonts w:ascii="仿宋_GB2312" w:hAnsi="仿宋_GB2312" w:eastAsia="仿宋_GB2312"/>
      <w:b w:val="0"/>
      <w:color w:val="000000"/>
      <w:u w:val="none"/>
    </w:rPr>
  </w:style>
  <w:style w:type="paragraph" w:customStyle="1" w:styleId="103">
    <w:name w:val="普通文字"/>
    <w:basedOn w:val="1"/>
    <w:qFormat/>
    <w:uiPriority w:val="0"/>
    <w:pPr>
      <w:widowControl/>
      <w:spacing w:line="351" w:lineRule="atLeast"/>
      <w:ind w:firstLine="419"/>
      <w:textAlignment w:val="baseline"/>
    </w:pPr>
    <w:rPr>
      <w:rFonts w:ascii="宋体"/>
      <w:color w:val="000000"/>
      <w:kern w:val="0"/>
      <w:u w:val="none" w:color="000000"/>
    </w:rPr>
  </w:style>
  <w:style w:type="paragraph" w:customStyle="1" w:styleId="104">
    <w:name w:val="正文加点1"/>
    <w:basedOn w:val="2"/>
    <w:qFormat/>
    <w:uiPriority w:val="0"/>
    <w:pPr>
      <w:tabs>
        <w:tab w:val="left" w:pos="425"/>
        <w:tab w:val="left" w:pos="900"/>
      </w:tabs>
      <w:autoSpaceDE/>
      <w:autoSpaceDN/>
      <w:adjustRightInd/>
      <w:spacing w:beforeLines="50" w:afterLines="50" w:line="360" w:lineRule="auto"/>
      <w:ind w:left="900" w:firstLine="0"/>
    </w:pPr>
    <w:rPr>
      <w:rFonts w:ascii="Arial" w:hAnsi="Arial"/>
      <w:b/>
      <w:kern w:val="2"/>
    </w:rPr>
  </w:style>
  <w:style w:type="paragraph" w:customStyle="1" w:styleId="105">
    <w:name w:val="样式 样式 样式 样式 标题 2 + 宋体 五号 非加粗 黑色 + 段前: 6 磅 段后: 0 磅 行距: 单倍行距 + 段前:..."/>
    <w:basedOn w:val="86"/>
    <w:qFormat/>
    <w:uiPriority w:val="0"/>
    <w:pPr>
      <w:keepNext/>
      <w:keepLines/>
      <w:adjustRightInd w:val="0"/>
      <w:spacing w:before="240" w:beforeLines="0"/>
      <w:jc w:val="left"/>
      <w:textAlignment w:val="baseline"/>
      <w:outlineLvl w:val="1"/>
    </w:pPr>
    <w:rPr>
      <w:rFonts w:ascii="宋体" w:hAnsi="宋体" w:cs="宋体"/>
      <w:b/>
      <w:bCs/>
      <w:color w:val="000000"/>
      <w:kern w:val="0"/>
    </w:rPr>
  </w:style>
  <w:style w:type="paragraph" w:customStyle="1" w:styleId="106">
    <w:name w:val="技术报告小节标题"/>
    <w:basedOn w:val="1"/>
    <w:next w:val="1"/>
    <w:qFormat/>
    <w:uiPriority w:val="0"/>
    <w:pPr>
      <w:spacing w:beforeLines="50" w:afterLines="50" w:line="360" w:lineRule="auto"/>
      <w:ind w:left="1156"/>
      <w:outlineLvl w:val="2"/>
    </w:pPr>
    <w:rPr>
      <w:rFonts w:ascii="宋体" w:hAnsi="宋体"/>
      <w:b/>
      <w:color w:val="000000"/>
      <w:sz w:val="28"/>
    </w:rPr>
  </w:style>
  <w:style w:type="paragraph" w:customStyle="1" w:styleId="107">
    <w:name w:val="1 Char Char Char Char"/>
    <w:basedOn w:val="1"/>
    <w:qFormat/>
    <w:uiPriority w:val="0"/>
    <w:rPr>
      <w:rFonts w:ascii="Tahoma" w:hAnsi="Tahoma"/>
      <w:sz w:val="24"/>
    </w:rPr>
  </w:style>
  <w:style w:type="paragraph" w:customStyle="1" w:styleId="108">
    <w:name w:val="1"/>
    <w:basedOn w:val="1"/>
    <w:qFormat/>
    <w:uiPriority w:val="0"/>
  </w:style>
  <w:style w:type="paragraph" w:customStyle="1" w:styleId="109">
    <w:name w:val="_Style 20"/>
    <w:basedOn w:val="1"/>
    <w:next w:val="16"/>
    <w:qFormat/>
    <w:uiPriority w:val="0"/>
    <w:pPr>
      <w:spacing w:before="120" w:after="120"/>
      <w:jc w:val="left"/>
    </w:pPr>
  </w:style>
  <w:style w:type="paragraph" w:customStyle="1" w:styleId="110">
    <w:name w:val="样式 标题 1 + 四号 居中 段前: 12 磅 段后: 12 磅 行距: 单倍行距"/>
    <w:basedOn w:val="3"/>
    <w:qFormat/>
    <w:uiPriority w:val="0"/>
    <w:pPr>
      <w:autoSpaceDE/>
      <w:autoSpaceDN/>
      <w:spacing w:after="240" w:line="240" w:lineRule="auto"/>
      <w:ind w:firstLine="288"/>
    </w:pPr>
    <w:rPr>
      <w:rFonts w:ascii="Times New Roman"/>
      <w:sz w:val="28"/>
    </w:rPr>
  </w:style>
  <w:style w:type="paragraph" w:customStyle="1" w:styleId="111">
    <w:name w:val="无间隔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2">
    <w:name w:val="xl49"/>
    <w:basedOn w:val="1"/>
    <w:qFormat/>
    <w:uiPriority w:val="0"/>
    <w:pPr>
      <w:widowControl/>
      <w:pBdr>
        <w:top w:val="single" w:color="auto" w:sz="4" w:space="0"/>
        <w:left w:val="single" w:color="auto" w:sz="4" w:space="0"/>
        <w:bottom w:val="single" w:color="auto" w:sz="4" w:space="0"/>
        <w:right w:val="single" w:color="auto" w:sz="4" w:space="0"/>
      </w:pBdr>
      <w:spacing w:beforeLines="1" w:afterLines="1"/>
      <w:jc w:val="left"/>
    </w:pPr>
    <w:rPr>
      <w:rFonts w:ascii="Times" w:hAnsi="Times"/>
      <w:color w:val="000000"/>
      <w:kern w:val="0"/>
      <w:sz w:val="20"/>
    </w:rPr>
  </w:style>
  <w:style w:type="paragraph" w:customStyle="1" w:styleId="113">
    <w:name w:val="xl47"/>
    <w:basedOn w:val="1"/>
    <w:qFormat/>
    <w:uiPriority w:val="0"/>
    <w:pPr>
      <w:widowControl/>
      <w:pBdr>
        <w:top w:val="single" w:color="auto" w:sz="4" w:space="0"/>
        <w:left w:val="single" w:color="auto" w:sz="4" w:space="0"/>
        <w:bottom w:val="single" w:color="auto" w:sz="4" w:space="0"/>
        <w:right w:val="single" w:color="auto" w:sz="4" w:space="0"/>
      </w:pBdr>
      <w:spacing w:beforeLines="1" w:afterLines="1"/>
      <w:jc w:val="left"/>
      <w:textAlignment w:val="top"/>
    </w:pPr>
    <w:rPr>
      <w:rFonts w:ascii="Times" w:hAnsi="Times"/>
      <w:kern w:val="0"/>
      <w:sz w:val="20"/>
    </w:rPr>
  </w:style>
  <w:style w:type="paragraph" w:customStyle="1" w:styleId="114">
    <w:name w:val="xl45"/>
    <w:basedOn w:val="1"/>
    <w:qFormat/>
    <w:uiPriority w:val="0"/>
    <w:pPr>
      <w:widowControl/>
      <w:pBdr>
        <w:top w:val="single" w:color="auto" w:sz="4" w:space="0"/>
        <w:left w:val="single" w:color="auto" w:sz="4" w:space="0"/>
        <w:bottom w:val="single" w:color="auto" w:sz="4" w:space="0"/>
        <w:right w:val="single" w:color="auto" w:sz="4" w:space="0"/>
      </w:pBdr>
      <w:spacing w:beforeLines="1" w:afterLines="1"/>
      <w:jc w:val="left"/>
    </w:pPr>
    <w:rPr>
      <w:rFonts w:ascii="Times" w:hAnsi="Times"/>
      <w:kern w:val="0"/>
      <w:sz w:val="20"/>
    </w:rPr>
  </w:style>
  <w:style w:type="paragraph" w:customStyle="1" w:styleId="115">
    <w:name w:val="xl48"/>
    <w:basedOn w:val="1"/>
    <w:qFormat/>
    <w:uiPriority w:val="0"/>
    <w:pPr>
      <w:widowControl/>
      <w:pBdr>
        <w:top w:val="single" w:color="auto" w:sz="4" w:space="0"/>
        <w:left w:val="single" w:color="auto" w:sz="4" w:space="0"/>
        <w:bottom w:val="single" w:color="auto" w:sz="4" w:space="0"/>
        <w:right w:val="single" w:color="auto" w:sz="4" w:space="0"/>
      </w:pBdr>
      <w:spacing w:beforeLines="1" w:afterLines="1"/>
      <w:jc w:val="center"/>
    </w:pPr>
    <w:rPr>
      <w:rFonts w:ascii="Times" w:hAnsi="Times"/>
      <w:color w:val="000000"/>
      <w:kern w:val="0"/>
      <w:sz w:val="20"/>
    </w:rPr>
  </w:style>
  <w:style w:type="paragraph" w:customStyle="1" w:styleId="116">
    <w:name w:val="标准正文"/>
    <w:basedOn w:val="1"/>
    <w:qFormat/>
    <w:uiPriority w:val="0"/>
    <w:pPr>
      <w:snapToGrid w:val="0"/>
      <w:spacing w:afterLines="50" w:line="360" w:lineRule="auto"/>
      <w:ind w:firstLine="480" w:firstLineChars="200"/>
    </w:pPr>
    <w:rPr>
      <w:sz w:val="24"/>
    </w:rPr>
  </w:style>
  <w:style w:type="paragraph" w:customStyle="1" w:styleId="117">
    <w:name w:val="xl46"/>
    <w:basedOn w:val="1"/>
    <w:qFormat/>
    <w:uiPriority w:val="0"/>
    <w:pPr>
      <w:widowControl/>
      <w:pBdr>
        <w:top w:val="single" w:color="auto" w:sz="4" w:space="0"/>
        <w:left w:val="single" w:color="auto" w:sz="4" w:space="0"/>
        <w:bottom w:val="single" w:color="auto" w:sz="4" w:space="0"/>
        <w:right w:val="single" w:color="auto" w:sz="4" w:space="0"/>
      </w:pBdr>
      <w:spacing w:beforeLines="1" w:afterLines="1"/>
      <w:jc w:val="left"/>
      <w:textAlignment w:val="center"/>
    </w:pPr>
    <w:rPr>
      <w:rFonts w:ascii="Times" w:hAnsi="Times"/>
      <w:kern w:val="0"/>
      <w:sz w:val="20"/>
    </w:rPr>
  </w:style>
  <w:style w:type="paragraph" w:customStyle="1" w:styleId="118">
    <w:name w:val="图注解"/>
    <w:basedOn w:val="1"/>
    <w:qFormat/>
    <w:uiPriority w:val="0"/>
    <w:pPr>
      <w:spacing w:line="480" w:lineRule="auto"/>
      <w:jc w:val="center"/>
    </w:pPr>
    <w:rPr>
      <w:sz w:val="24"/>
    </w:rPr>
  </w:style>
  <w:style w:type="paragraph" w:customStyle="1" w:styleId="119">
    <w:name w:val="c_"/>
    <w:qFormat/>
    <w:uiPriority w:val="0"/>
    <w:pPr>
      <w:widowControl w:val="0"/>
      <w:autoSpaceDE w:val="0"/>
      <w:autoSpaceDN w:val="0"/>
      <w:adjustRightInd w:val="0"/>
      <w:jc w:val="both"/>
    </w:pPr>
    <w:rPr>
      <w:rFonts w:ascii="五" w:hAnsi="Times New Roman" w:eastAsia="五" w:cs="Times New Roman"/>
      <w:lang w:val="en-US" w:eastAsia="zh-CN" w:bidi="ar-SA"/>
    </w:rPr>
  </w:style>
  <w:style w:type="paragraph" w:customStyle="1" w:styleId="120">
    <w:name w:val="Becom:中文段落"/>
    <w:basedOn w:val="1"/>
    <w:qFormat/>
    <w:uiPriority w:val="0"/>
    <w:pPr>
      <w:spacing w:line="300" w:lineRule="auto"/>
      <w:ind w:firstLine="420" w:firstLineChars="200"/>
      <w:jc w:val="left"/>
    </w:pPr>
  </w:style>
  <w:style w:type="paragraph" w:customStyle="1" w:styleId="121">
    <w:name w:val="Char Char Char1 Char"/>
    <w:basedOn w:val="1"/>
    <w:qFormat/>
    <w:uiPriority w:val="0"/>
    <w:rPr>
      <w:rFonts w:ascii="Tahoma" w:hAnsi="Tahoma"/>
      <w:sz w:val="24"/>
    </w:rPr>
  </w:style>
  <w:style w:type="paragraph" w:customStyle="1" w:styleId="122">
    <w:name w:val="Char Char Char3 Char Char Char Char Char Char"/>
    <w:basedOn w:val="1"/>
    <w:qFormat/>
    <w:uiPriority w:val="0"/>
    <w:rPr>
      <w:rFonts w:ascii="Tahoma" w:hAnsi="Tahoma"/>
      <w:sz w:val="24"/>
    </w:rPr>
  </w:style>
  <w:style w:type="paragraph" w:customStyle="1" w:styleId="123">
    <w:name w:val="xl51"/>
    <w:basedOn w:val="1"/>
    <w:qFormat/>
    <w:uiPriority w:val="0"/>
    <w:pPr>
      <w:widowControl/>
      <w:pBdr>
        <w:top w:val="single" w:color="auto" w:sz="4" w:space="0"/>
        <w:left w:val="single" w:color="auto" w:sz="4" w:space="0"/>
        <w:bottom w:val="single" w:color="auto" w:sz="4" w:space="0"/>
        <w:right w:val="single" w:color="auto" w:sz="4" w:space="0"/>
      </w:pBdr>
      <w:spacing w:beforeLines="1" w:afterLines="1"/>
      <w:jc w:val="center"/>
      <w:textAlignment w:val="center"/>
    </w:pPr>
    <w:rPr>
      <w:rFonts w:ascii="Times" w:hAnsi="Times"/>
      <w:color w:val="000000"/>
      <w:kern w:val="0"/>
      <w:sz w:val="20"/>
    </w:rPr>
  </w:style>
  <w:style w:type="paragraph" w:customStyle="1" w:styleId="124">
    <w:name w:val="正文文字缩进 2"/>
    <w:basedOn w:val="1"/>
    <w:qFormat/>
    <w:uiPriority w:val="0"/>
    <w:pPr>
      <w:widowControl/>
      <w:spacing w:line="351" w:lineRule="atLeast"/>
      <w:ind w:firstLine="481"/>
      <w:textAlignment w:val="baseline"/>
    </w:pPr>
    <w:rPr>
      <w:rFonts w:ascii="仿宋_GB2312" w:eastAsia="仿宋_GB2312"/>
      <w:color w:val="000000"/>
      <w:kern w:val="0"/>
      <w:sz w:val="24"/>
      <w:u w:val="none" w:color="000000"/>
    </w:rPr>
  </w:style>
  <w:style w:type="paragraph" w:customStyle="1" w:styleId="125">
    <w:name w:val="List Paragraph"/>
    <w:basedOn w:val="1"/>
    <w:qFormat/>
    <w:uiPriority w:val="0"/>
    <w:pPr>
      <w:ind w:firstLine="420" w:firstLineChars="200"/>
    </w:pPr>
    <w:rPr>
      <w:rFonts w:ascii="Calibri" w:hAnsi="Calibri"/>
      <w:szCs w:val="22"/>
    </w:rPr>
  </w:style>
  <w:style w:type="paragraph" w:customStyle="1" w:styleId="126">
    <w:name w:val="Char Char Char"/>
    <w:basedOn w:val="1"/>
    <w:qFormat/>
    <w:uiPriority w:val="0"/>
    <w:rPr>
      <w:rFonts w:ascii="Tahoma" w:hAnsi="Tahoma"/>
      <w:sz w:val="24"/>
    </w:rPr>
  </w:style>
  <w:style w:type="paragraph" w:customStyle="1" w:styleId="127">
    <w:name w:val="Char Char Char Char Char Char Char Char Char Char Char Char Char"/>
    <w:basedOn w:val="1"/>
    <w:qFormat/>
    <w:uiPriority w:val="0"/>
    <w:rPr>
      <w:rFonts w:ascii="Tahoma" w:hAnsi="Tahoma"/>
      <w:sz w:val="24"/>
    </w:rPr>
  </w:style>
  <w:style w:type="paragraph" w:customStyle="1" w:styleId="128">
    <w:name w:val="Default"/>
    <w:qFormat/>
    <w:uiPriority w:val="0"/>
    <w:pPr>
      <w:widowControl w:val="0"/>
      <w:autoSpaceDE w:val="0"/>
      <w:autoSpaceDN w:val="0"/>
      <w:adjustRightInd w:val="0"/>
    </w:pPr>
    <w:rPr>
      <w:rFonts w:ascii="Verdana" w:hAnsi="Verdana" w:eastAsia="宋体" w:cs="Times New Roman"/>
      <w:lang w:val="en-US" w:eastAsia="zh-CN" w:bidi="ar-SA"/>
    </w:rPr>
  </w:style>
  <w:style w:type="paragraph" w:customStyle="1" w:styleId="129">
    <w:name w:val="Char"/>
    <w:basedOn w:val="1"/>
    <w:qFormat/>
    <w:uiPriority w:val="0"/>
    <w:pPr>
      <w:widowControl/>
      <w:snapToGrid w:val="0"/>
      <w:spacing w:before="120" w:after="160" w:line="360" w:lineRule="auto"/>
      <w:ind w:right="-360"/>
      <w:jc w:val="left"/>
    </w:pPr>
    <w:rPr>
      <w:rFonts w:ascii="Arial" w:hAnsi="Arial"/>
      <w:kern w:val="0"/>
      <w:sz w:val="28"/>
      <w:lang w:eastAsia="en-US"/>
    </w:rPr>
  </w:style>
  <w:style w:type="paragraph" w:customStyle="1" w:styleId="130">
    <w:name w:val="Char Char Char Char Char Char Char Char Char Char"/>
    <w:basedOn w:val="1"/>
    <w:qFormat/>
    <w:uiPriority w:val="0"/>
    <w:rPr>
      <w:rFonts w:ascii="Tahoma" w:hAnsi="Tahoma"/>
      <w:sz w:val="24"/>
    </w:rPr>
  </w:style>
  <w:style w:type="paragraph" w:customStyle="1" w:styleId="131">
    <w:name w:val="_Style 16"/>
    <w:basedOn w:val="1"/>
    <w:next w:val="24"/>
    <w:qFormat/>
    <w:uiPriority w:val="0"/>
    <w:rPr>
      <w:rFonts w:hint="eastAsia" w:ascii="宋体" w:hAnsi="Courier New"/>
    </w:rPr>
  </w:style>
  <w:style w:type="paragraph" w:customStyle="1" w:styleId="132">
    <w:name w:val="样式 标题 3 + 非加粗 行距: 固定值 25 磅"/>
    <w:basedOn w:val="5"/>
    <w:qFormat/>
    <w:uiPriority w:val="0"/>
    <w:pPr>
      <w:keepNext w:val="0"/>
      <w:keepLines w:val="0"/>
      <w:autoSpaceDE/>
      <w:autoSpaceDN/>
      <w:adjustRightInd/>
      <w:spacing w:before="0" w:after="0" w:line="360" w:lineRule="auto"/>
      <w:jc w:val="both"/>
      <w:outlineLvl w:val="9"/>
    </w:pPr>
    <w:rPr>
      <w:rFonts w:ascii="Times New Roman"/>
      <w:b w:val="0"/>
      <w:kern w:val="2"/>
      <w:sz w:val="28"/>
      <w:u w:val="none"/>
    </w:rPr>
  </w:style>
  <w:style w:type="paragraph" w:customStyle="1" w:styleId="133">
    <w:name w:val="TOC 标题1"/>
    <w:basedOn w:val="3"/>
    <w:next w:val="1"/>
    <w:qFormat/>
    <w:uiPriority w:val="0"/>
    <w:pPr>
      <w:widowControl/>
      <w:autoSpaceDE/>
      <w:autoSpaceDN/>
      <w:adjustRightInd/>
      <w:spacing w:before="480" w:after="0" w:line="276" w:lineRule="auto"/>
      <w:jc w:val="left"/>
      <w:outlineLvl w:val="9"/>
    </w:pPr>
    <w:rPr>
      <w:rFonts w:ascii="Cambria" w:hAnsi="Cambria"/>
      <w:color w:val="365F91"/>
      <w:kern w:val="0"/>
      <w:sz w:val="28"/>
    </w:rPr>
  </w:style>
  <w:style w:type="paragraph" w:customStyle="1" w:styleId="134">
    <w:name w:val="样式 样式 四号 首行缩进:  0.74 厘米 行距: 1.5 倍行距 + 宋体 四号 行距: 1.5 倍行距 Char Char"/>
    <w:basedOn w:val="1"/>
    <w:link w:val="164"/>
    <w:qFormat/>
    <w:uiPriority w:val="0"/>
    <w:pPr>
      <w:spacing w:line="360" w:lineRule="auto"/>
      <w:ind w:firstLine="560" w:firstLineChars="200"/>
    </w:pPr>
    <w:rPr>
      <w:rFonts w:ascii="宋体" w:hAnsi="宋体"/>
      <w:sz w:val="28"/>
    </w:rPr>
  </w:style>
  <w:style w:type="paragraph" w:customStyle="1" w:styleId="135">
    <w:name w:val="font5"/>
    <w:basedOn w:val="1"/>
    <w:qFormat/>
    <w:uiPriority w:val="0"/>
    <w:pPr>
      <w:widowControl/>
      <w:spacing w:beforeLines="1" w:afterLines="1"/>
      <w:jc w:val="left"/>
    </w:pPr>
    <w:rPr>
      <w:rFonts w:ascii="宋体" w:hAnsi="宋体"/>
      <w:kern w:val="0"/>
      <w:sz w:val="18"/>
    </w:rPr>
  </w:style>
  <w:style w:type="paragraph" w:customStyle="1" w:styleId="136">
    <w:name w:val="Char1"/>
    <w:basedOn w:val="1"/>
    <w:qFormat/>
    <w:uiPriority w:val="0"/>
    <w:pPr>
      <w:tabs>
        <w:tab w:val="left" w:pos="420"/>
      </w:tabs>
      <w:ind w:left="420" w:hanging="420"/>
    </w:pPr>
    <w:rPr>
      <w:rFonts w:ascii="Tahoma" w:hAnsi="Tahoma"/>
      <w:sz w:val="28"/>
    </w:rPr>
  </w:style>
  <w:style w:type="paragraph" w:customStyle="1" w:styleId="137">
    <w:name w:val="font6"/>
    <w:basedOn w:val="1"/>
    <w:qFormat/>
    <w:uiPriority w:val="0"/>
    <w:pPr>
      <w:widowControl/>
      <w:spacing w:beforeLines="1" w:afterLines="1"/>
      <w:jc w:val="left"/>
    </w:pPr>
    <w:rPr>
      <w:rFonts w:ascii="宋体" w:hAnsi="宋体"/>
      <w:kern w:val="0"/>
      <w:sz w:val="16"/>
    </w:rPr>
  </w:style>
  <w:style w:type="paragraph" w:customStyle="1" w:styleId="138">
    <w:name w:val="xl43"/>
    <w:basedOn w:val="1"/>
    <w:qFormat/>
    <w:uiPriority w:val="0"/>
    <w:pPr>
      <w:widowControl/>
      <w:pBdr>
        <w:top w:val="single" w:color="auto" w:sz="4" w:space="0"/>
        <w:left w:val="single" w:color="auto" w:sz="4" w:space="0"/>
        <w:bottom w:val="single" w:color="auto" w:sz="4" w:space="0"/>
        <w:right w:val="single" w:color="auto" w:sz="4" w:space="0"/>
      </w:pBdr>
      <w:spacing w:beforeLines="1" w:afterLines="1"/>
      <w:jc w:val="left"/>
      <w:textAlignment w:val="center"/>
    </w:pPr>
    <w:rPr>
      <w:rFonts w:ascii="Times" w:hAnsi="Times"/>
      <w:color w:val="000000"/>
      <w:kern w:val="0"/>
      <w:sz w:val="20"/>
    </w:rPr>
  </w:style>
  <w:style w:type="paragraph" w:customStyle="1" w:styleId="139">
    <w:name w:val="xl44"/>
    <w:basedOn w:val="1"/>
    <w:qFormat/>
    <w:uiPriority w:val="0"/>
    <w:pPr>
      <w:widowControl/>
      <w:pBdr>
        <w:top w:val="single" w:color="auto" w:sz="4" w:space="0"/>
        <w:left w:val="single" w:color="auto" w:sz="4" w:space="0"/>
        <w:bottom w:val="single" w:color="auto" w:sz="4" w:space="0"/>
        <w:right w:val="single" w:color="auto" w:sz="4" w:space="0"/>
      </w:pBdr>
      <w:spacing w:beforeLines="1" w:afterLines="1"/>
      <w:jc w:val="left"/>
    </w:pPr>
    <w:rPr>
      <w:rFonts w:ascii="Times" w:hAnsi="Times"/>
      <w:kern w:val="0"/>
      <w:sz w:val="20"/>
    </w:rPr>
  </w:style>
  <w:style w:type="paragraph" w:customStyle="1" w:styleId="140">
    <w:name w:val="xl52"/>
    <w:basedOn w:val="1"/>
    <w:qFormat/>
    <w:uiPriority w:val="0"/>
    <w:pPr>
      <w:widowControl/>
      <w:pBdr>
        <w:top w:val="single" w:color="auto" w:sz="4" w:space="0"/>
        <w:left w:val="single" w:color="auto" w:sz="4" w:space="0"/>
        <w:bottom w:val="single" w:color="auto" w:sz="4" w:space="0"/>
        <w:right w:val="single" w:color="auto" w:sz="4" w:space="0"/>
      </w:pBdr>
      <w:spacing w:beforeLines="1" w:afterLines="1"/>
      <w:jc w:val="left"/>
      <w:textAlignment w:val="center"/>
    </w:pPr>
    <w:rPr>
      <w:rFonts w:ascii="Times" w:hAnsi="Times"/>
      <w:kern w:val="0"/>
      <w:sz w:val="20"/>
    </w:rPr>
  </w:style>
  <w:style w:type="paragraph" w:customStyle="1" w:styleId="141">
    <w:name w:val="Char Char1 Char"/>
    <w:basedOn w:val="1"/>
    <w:qFormat/>
    <w:uiPriority w:val="0"/>
    <w:pPr>
      <w:spacing w:after="160" w:line="240" w:lineRule="exact"/>
    </w:pPr>
    <w:rPr>
      <w:rFonts w:ascii="Verdana" w:hAnsi="Verdana"/>
      <w:sz w:val="20"/>
      <w:lang w:eastAsia="en-US"/>
    </w:rPr>
  </w:style>
  <w:style w:type="paragraph" w:customStyle="1" w:styleId="142">
    <w:name w:val="_Style 136"/>
    <w:basedOn w:val="1"/>
    <w:next w:val="1"/>
    <w:qFormat/>
    <w:uiPriority w:val="0"/>
    <w:pPr>
      <w:widowControl/>
      <w:pBdr>
        <w:top w:val="single" w:color="auto" w:sz="6" w:space="1"/>
      </w:pBdr>
      <w:jc w:val="center"/>
    </w:pPr>
    <w:rPr>
      <w:rFonts w:ascii="Arial" w:hAnsi="Arial" w:cs="Arial"/>
      <w:vanish/>
      <w:kern w:val="0"/>
      <w:sz w:val="16"/>
      <w:szCs w:val="16"/>
    </w:rPr>
  </w:style>
  <w:style w:type="paragraph" w:customStyle="1" w:styleId="143">
    <w:name w:val="正文符号1"/>
    <w:basedOn w:val="74"/>
    <w:qFormat/>
    <w:uiPriority w:val="0"/>
    <w:pPr>
      <w:tabs>
        <w:tab w:val="left" w:pos="360"/>
        <w:tab w:val="left" w:pos="987"/>
      </w:tabs>
      <w:spacing w:before="100" w:beforeAutospacing="1" w:after="100" w:afterAutospacing="1" w:line="360" w:lineRule="auto"/>
      <w:ind w:left="360" w:firstLine="0" w:firstLineChars="0"/>
    </w:pPr>
  </w:style>
  <w:style w:type="paragraph" w:customStyle="1" w:styleId="144">
    <w:name w:val="!正文"/>
    <w:basedOn w:val="1"/>
    <w:qFormat/>
    <w:uiPriority w:val="0"/>
    <w:pPr>
      <w:spacing w:after="120" w:line="360" w:lineRule="auto"/>
      <w:ind w:left="420" w:leftChars="200" w:firstLine="480" w:firstLineChars="200"/>
    </w:pPr>
    <w:rPr>
      <w:rFonts w:ascii="Calibri" w:hAnsi="Calibri"/>
      <w:sz w:val="24"/>
    </w:rPr>
  </w:style>
  <w:style w:type="paragraph" w:customStyle="1" w:styleId="145">
    <w:name w:val="xl50"/>
    <w:basedOn w:val="1"/>
    <w:qFormat/>
    <w:uiPriority w:val="0"/>
    <w:pPr>
      <w:widowControl/>
      <w:pBdr>
        <w:top w:val="single" w:color="auto" w:sz="4" w:space="0"/>
        <w:left w:val="single" w:color="auto" w:sz="4" w:space="0"/>
        <w:bottom w:val="single" w:color="auto" w:sz="4" w:space="0"/>
        <w:right w:val="single" w:color="auto" w:sz="4" w:space="0"/>
      </w:pBdr>
      <w:spacing w:beforeLines="1" w:afterLines="1"/>
      <w:jc w:val="center"/>
      <w:textAlignment w:val="center"/>
    </w:pPr>
    <w:rPr>
      <w:rFonts w:ascii="Times" w:hAnsi="Times"/>
      <w:color w:val="000000"/>
      <w:kern w:val="0"/>
      <w:sz w:val="20"/>
    </w:rPr>
  </w:style>
  <w:style w:type="paragraph" w:customStyle="1" w:styleId="146">
    <w:name w:val="段"/>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character" w:customStyle="1" w:styleId="147">
    <w:name w:val="apple-style-span"/>
    <w:basedOn w:val="48"/>
    <w:qFormat/>
    <w:uiPriority w:val="0"/>
  </w:style>
  <w:style w:type="character" w:customStyle="1" w:styleId="148">
    <w:name w:val="p9bk1"/>
    <w:qFormat/>
    <w:uiPriority w:val="0"/>
    <w:rPr>
      <w:rFonts w:ascii="Arial" w:hAnsi="Arial"/>
      <w:color w:val="000000"/>
      <w:spacing w:val="31680"/>
      <w:sz w:val="18"/>
      <w:u w:val="none"/>
    </w:rPr>
  </w:style>
  <w:style w:type="character" w:customStyle="1" w:styleId="149">
    <w:name w:val="black_12"/>
    <w:basedOn w:val="48"/>
    <w:qFormat/>
    <w:uiPriority w:val="0"/>
  </w:style>
  <w:style w:type="character" w:customStyle="1" w:styleId="150">
    <w:name w:val="td121"/>
    <w:qFormat/>
    <w:uiPriority w:val="0"/>
    <w:rPr>
      <w:spacing w:val="19"/>
      <w:sz w:val="22"/>
    </w:rPr>
  </w:style>
  <w:style w:type="character" w:customStyle="1" w:styleId="151">
    <w:name w:val="标题 1 Char Char Char Char"/>
    <w:qFormat/>
    <w:uiPriority w:val="0"/>
    <w:rPr>
      <w:rFonts w:eastAsia="宋体"/>
      <w:b/>
      <w:bCs/>
      <w:kern w:val="44"/>
      <w:sz w:val="44"/>
      <w:szCs w:val="44"/>
      <w:lang w:val="en-US" w:eastAsia="zh-CN" w:bidi="ar-SA"/>
    </w:rPr>
  </w:style>
  <w:style w:type="character" w:customStyle="1" w:styleId="152">
    <w:name w:val="dg2"/>
    <w:basedOn w:val="48"/>
    <w:qFormat/>
    <w:uiPriority w:val="0"/>
  </w:style>
  <w:style w:type="character" w:customStyle="1" w:styleId="153">
    <w:name w:val="Char Char14"/>
    <w:qFormat/>
    <w:locked/>
    <w:uiPriority w:val="0"/>
    <w:rPr>
      <w:rFonts w:ascii="Arial" w:hAnsi="Arial" w:eastAsia="黑体"/>
      <w:b/>
      <w:sz w:val="30"/>
      <w:lang w:bidi="ar-SA"/>
    </w:rPr>
  </w:style>
  <w:style w:type="character" w:customStyle="1" w:styleId="154">
    <w:name w:val="css"/>
    <w:basedOn w:val="48"/>
    <w:qFormat/>
    <w:uiPriority w:val="0"/>
  </w:style>
  <w:style w:type="character" w:customStyle="1" w:styleId="155">
    <w:name w:val="fl11"/>
    <w:qFormat/>
    <w:uiPriority w:val="0"/>
    <w:rPr>
      <w:rFonts w:hint="default" w:ascii="??" w:hAnsi="??"/>
      <w:sz w:val="24"/>
    </w:rPr>
  </w:style>
  <w:style w:type="character" w:customStyle="1" w:styleId="156">
    <w:name w:val="论文题目 Char Char"/>
    <w:link w:val="3"/>
    <w:qFormat/>
    <w:uiPriority w:val="0"/>
    <w:rPr>
      <w:rFonts w:ascii="宋体" w:cs="宋体"/>
      <w:b/>
      <w:kern w:val="44"/>
      <w:sz w:val="32"/>
    </w:rPr>
  </w:style>
  <w:style w:type="character" w:customStyle="1" w:styleId="157">
    <w:name w:val=" Char Char13"/>
    <w:link w:val="5"/>
    <w:qFormat/>
    <w:uiPriority w:val="0"/>
    <w:rPr>
      <w:rFonts w:ascii="宋体" w:cs="宋体"/>
      <w:b/>
      <w:sz w:val="24"/>
      <w:u w:val="single"/>
    </w:rPr>
  </w:style>
  <w:style w:type="character" w:customStyle="1" w:styleId="158">
    <w:name w:val=" Char Char19"/>
    <w:qFormat/>
    <w:uiPriority w:val="0"/>
    <w:rPr>
      <w:rFonts w:ascii="宋体" w:hAnsi="Times New Roman" w:eastAsia="宋体" w:cs="Times New Roman"/>
      <w:b/>
      <w:kern w:val="0"/>
      <w:sz w:val="24"/>
      <w:szCs w:val="20"/>
      <w:u w:val="single"/>
    </w:rPr>
  </w:style>
  <w:style w:type="character" w:customStyle="1" w:styleId="159">
    <w:name w:val=" Char Char3"/>
    <w:link w:val="36"/>
    <w:qFormat/>
    <w:uiPriority w:val="0"/>
    <w:rPr>
      <w:rFonts w:ascii="Cambria" w:hAnsi="Cambria"/>
      <w:b/>
      <w:kern w:val="28"/>
      <w:sz w:val="32"/>
    </w:rPr>
  </w:style>
  <w:style w:type="character" w:customStyle="1" w:styleId="160">
    <w:name w:val=" Char Char1"/>
    <w:link w:val="19"/>
    <w:qFormat/>
    <w:uiPriority w:val="0"/>
    <w:rPr>
      <w:kern w:val="2"/>
      <w:sz w:val="21"/>
    </w:rPr>
  </w:style>
  <w:style w:type="character" w:customStyle="1" w:styleId="161">
    <w:name w:val="cn1"/>
    <w:qFormat/>
    <w:uiPriority w:val="0"/>
    <w:rPr>
      <w:sz w:val="18"/>
      <w:szCs w:val="18"/>
    </w:rPr>
  </w:style>
  <w:style w:type="character" w:customStyle="1" w:styleId="162">
    <w:name w:val=" Char Char8"/>
    <w:link w:val="10"/>
    <w:qFormat/>
    <w:uiPriority w:val="0"/>
    <w:rPr>
      <w:kern w:val="2"/>
      <w:sz w:val="28"/>
    </w:rPr>
  </w:style>
  <w:style w:type="character" w:customStyle="1" w:styleId="163">
    <w:name w:val="product_detail_brief"/>
    <w:basedOn w:val="48"/>
    <w:qFormat/>
    <w:uiPriority w:val="0"/>
  </w:style>
  <w:style w:type="character" w:customStyle="1" w:styleId="164">
    <w:name w:val="样式 样式 四号 首行缩进:  0.74 厘米 行距: 1.5 倍行距 + 宋体 四号 行距: 1.5 倍行距 Char Char Char"/>
    <w:link w:val="134"/>
    <w:qFormat/>
    <w:uiPriority w:val="0"/>
    <w:rPr>
      <w:rFonts w:ascii="宋体" w:hAnsi="宋体"/>
      <w:kern w:val="2"/>
      <w:sz w:val="28"/>
    </w:rPr>
  </w:style>
  <w:style w:type="character" w:customStyle="1" w:styleId="165">
    <w:name w:val=" Char Char5"/>
    <w:link w:val="30"/>
    <w:qFormat/>
    <w:uiPriority w:val="99"/>
    <w:rPr>
      <w:sz w:val="18"/>
    </w:rPr>
  </w:style>
  <w:style w:type="character" w:customStyle="1" w:styleId="166">
    <w:name w:val="p11"/>
    <w:qFormat/>
    <w:uiPriority w:val="0"/>
    <w:rPr>
      <w:rFonts w:hint="default" w:ascii="Verdana" w:hAnsi="Verdana"/>
      <w:color w:val="666666"/>
      <w:sz w:val="18"/>
      <w:u w:val="none"/>
    </w:rPr>
  </w:style>
  <w:style w:type="character" w:customStyle="1" w:styleId="167">
    <w:name w:val=" Char Char21"/>
    <w:qFormat/>
    <w:uiPriority w:val="0"/>
    <w:rPr>
      <w:rFonts w:ascii="宋体" w:hAnsi="Times New Roman" w:eastAsia="宋体" w:cs="Times New Roman"/>
      <w:b/>
      <w:kern w:val="44"/>
      <w:sz w:val="32"/>
      <w:szCs w:val="20"/>
    </w:rPr>
  </w:style>
  <w:style w:type="character" w:customStyle="1" w:styleId="168">
    <w:name w:val="正文符号1 Char Char"/>
    <w:qFormat/>
    <w:uiPriority w:val="0"/>
    <w:rPr>
      <w:rFonts w:eastAsia="楷体_GB2312"/>
      <w:sz w:val="28"/>
    </w:rPr>
  </w:style>
  <w:style w:type="character" w:customStyle="1" w:styleId="169">
    <w:name w:val="Comment Subject Char1"/>
    <w:qFormat/>
    <w:uiPriority w:val="0"/>
    <w:rPr>
      <w:rFonts w:eastAsia="宋体"/>
      <w:b/>
      <w:kern w:val="2"/>
      <w:sz w:val="28"/>
      <w:lang w:val="en-US" w:eastAsia="zh-CN"/>
    </w:rPr>
  </w:style>
  <w:style w:type="character" w:customStyle="1" w:styleId="170">
    <w:name w:val="副标题 Char1"/>
    <w:qFormat/>
    <w:uiPriority w:val="11"/>
    <w:rPr>
      <w:rFonts w:ascii="Cambria" w:hAnsi="Cambria" w:cs="Times New Roman"/>
      <w:b/>
      <w:bCs/>
      <w:kern w:val="28"/>
      <w:sz w:val="32"/>
      <w:szCs w:val="32"/>
    </w:rPr>
  </w:style>
  <w:style w:type="character" w:customStyle="1" w:styleId="171">
    <w:name w:val=" Char Char14"/>
    <w:link w:val="4"/>
    <w:qFormat/>
    <w:uiPriority w:val="0"/>
    <w:rPr>
      <w:rFonts w:ascii="Arial" w:hAnsi="Arial" w:eastAsia="黑体"/>
      <w:b/>
      <w:sz w:val="30"/>
    </w:rPr>
  </w:style>
  <w:style w:type="character" w:customStyle="1" w:styleId="172">
    <w:name w:val="14normal1"/>
    <w:qFormat/>
    <w:uiPriority w:val="0"/>
    <w:rPr>
      <w:rFonts w:hint="default" w:ascii="ˎ̥" w:hAnsi="ˎ̥"/>
      <w:color w:val="000000"/>
      <w:sz w:val="21"/>
      <w:szCs w:val="21"/>
    </w:rPr>
  </w:style>
  <w:style w:type="character" w:customStyle="1" w:styleId="173">
    <w:name w:val="f14p1"/>
    <w:qFormat/>
    <w:uiPriority w:val="0"/>
    <w:rPr>
      <w:sz w:val="25"/>
    </w:rPr>
  </w:style>
  <w:style w:type="character" w:customStyle="1" w:styleId="174">
    <w:name w:val=" Char Char6"/>
    <w:link w:val="24"/>
    <w:qFormat/>
    <w:uiPriority w:val="0"/>
    <w:rPr>
      <w:rFonts w:ascii="宋体" w:hAnsi="Courier New" w:eastAsia="宋体"/>
      <w:kern w:val="2"/>
      <w:sz w:val="21"/>
      <w:lang w:val="en-US" w:eastAsia="zh-CN" w:bidi="ar-SA"/>
    </w:rPr>
  </w:style>
  <w:style w:type="character" w:customStyle="1" w:styleId="175">
    <w:name w:val="样式2 Char Char"/>
    <w:qFormat/>
    <w:uiPriority w:val="0"/>
    <w:rPr>
      <w:rFonts w:ascii="宋体" w:hAnsi="宋体" w:eastAsia="宋体"/>
      <w:b/>
      <w:kern w:val="2"/>
      <w:sz w:val="21"/>
      <w:lang w:val="en-US" w:eastAsia="zh-CN"/>
    </w:rPr>
  </w:style>
  <w:style w:type="character" w:customStyle="1" w:styleId="176">
    <w:name w:val=" Char Char9"/>
    <w:link w:val="9"/>
    <w:qFormat/>
    <w:uiPriority w:val="0"/>
    <w:rPr>
      <w:kern w:val="2"/>
      <w:sz w:val="28"/>
    </w:rPr>
  </w:style>
  <w:style w:type="character" w:customStyle="1" w:styleId="177">
    <w:name w:val=" Char Char12"/>
    <w:link w:val="6"/>
    <w:qFormat/>
    <w:uiPriority w:val="0"/>
    <w:rPr>
      <w:b/>
      <w:snapToGrid w:val="0"/>
      <w:color w:val="000000"/>
      <w:kern w:val="2"/>
      <w:sz w:val="28"/>
    </w:rPr>
  </w:style>
  <w:style w:type="character" w:customStyle="1" w:styleId="178">
    <w:name w:val="正文首行缩进2字 Char Char"/>
    <w:qFormat/>
    <w:uiPriority w:val="0"/>
    <w:rPr>
      <w:rFonts w:eastAsia="楷体_GB2312"/>
      <w:sz w:val="28"/>
      <w:lang w:val="en-US" w:eastAsia="zh-CN"/>
    </w:rPr>
  </w:style>
  <w:style w:type="character" w:customStyle="1" w:styleId="179">
    <w:name w:val=" Char Char20"/>
    <w:qFormat/>
    <w:uiPriority w:val="0"/>
    <w:rPr>
      <w:rFonts w:ascii="Arial" w:hAnsi="Arial" w:eastAsia="黑体" w:cs="Times New Roman"/>
      <w:b/>
      <w:kern w:val="0"/>
      <w:sz w:val="30"/>
      <w:szCs w:val="20"/>
    </w:rPr>
  </w:style>
  <w:style w:type="character" w:customStyle="1" w:styleId="180">
    <w:name w:val=" Char Char10"/>
    <w:link w:val="8"/>
    <w:qFormat/>
    <w:uiPriority w:val="0"/>
    <w:rPr>
      <w:rFonts w:ascii="Arial" w:hAnsi="Arial" w:eastAsia="黑体"/>
      <w:b/>
      <w:snapToGrid w:val="0"/>
      <w:color w:val="000000"/>
      <w:kern w:val="2"/>
      <w:sz w:val="24"/>
    </w:rPr>
  </w:style>
  <w:style w:type="character" w:customStyle="1" w:styleId="181">
    <w:name w:val="op-map-singlepoint-info-right"/>
    <w:basedOn w:val="48"/>
    <w:qFormat/>
    <w:uiPriority w:val="0"/>
  </w:style>
  <w:style w:type="character" w:customStyle="1" w:styleId="182">
    <w:name w:val=" Char Char7"/>
    <w:link w:val="11"/>
    <w:qFormat/>
    <w:uiPriority w:val="0"/>
    <w:rPr>
      <w:kern w:val="2"/>
      <w:sz w:val="28"/>
    </w:rPr>
  </w:style>
  <w:style w:type="character" w:customStyle="1" w:styleId="183">
    <w:name w:val=" Char Char2"/>
    <w:link w:val="37"/>
    <w:qFormat/>
    <w:uiPriority w:val="0"/>
    <w:rPr>
      <w:kern w:val="2"/>
      <w:sz w:val="28"/>
    </w:rPr>
  </w:style>
  <w:style w:type="character" w:customStyle="1" w:styleId="184">
    <w:name w:val=" Char Char4"/>
    <w:link w:val="26"/>
    <w:qFormat/>
    <w:uiPriority w:val="0"/>
    <w:rPr>
      <w:rFonts w:ascii="Arial" w:hAnsi="Arial"/>
      <w:kern w:val="2"/>
      <w:sz w:val="24"/>
    </w:rPr>
  </w:style>
  <w:style w:type="character" w:customStyle="1" w:styleId="185">
    <w:name w:val=" Char Char11"/>
    <w:link w:val="7"/>
    <w:qFormat/>
    <w:uiPriority w:val="0"/>
    <w:rPr>
      <w:b/>
      <w:snapToGrid w:val="0"/>
      <w:color w:val="000000"/>
      <w:kern w:val="2"/>
      <w:sz w:val="28"/>
    </w:rPr>
  </w:style>
  <w:style w:type="character" w:customStyle="1" w:styleId="186">
    <w:name w:val="Colorful List - Accent 1 Char Char"/>
    <w:link w:val="95"/>
    <w:qFormat/>
    <w:uiPriority w:val="0"/>
    <w:rPr>
      <w:kern w:val="2"/>
      <w:sz w:val="21"/>
    </w:rPr>
  </w:style>
  <w:style w:type="character" w:customStyle="1" w:styleId="187">
    <w:name w:val="Char Char6"/>
    <w:qFormat/>
    <w:locked/>
    <w:uiPriority w:val="0"/>
    <w:rPr>
      <w:rFonts w:ascii="宋体" w:hAnsi="Courier New" w:eastAsia="宋体"/>
      <w:kern w:val="2"/>
      <w:sz w:val="21"/>
      <w:lang w:val="en-US" w:eastAsia="zh-CN" w:bidi="ar-SA"/>
    </w:rPr>
  </w:style>
  <w:style w:type="character" w:customStyle="1" w:styleId="188">
    <w:name w:val="标题 3 Char"/>
    <w:qFormat/>
    <w:uiPriority w:val="0"/>
    <w:rPr>
      <w:rFonts w:ascii="宋体" w:hAnsi="宋体" w:cs="Arial"/>
    </w:rPr>
  </w:style>
  <w:style w:type="character" w:customStyle="1" w:styleId="189">
    <w:name w:val=" Char Char"/>
    <w:link w:val="43"/>
    <w:qFormat/>
    <w:uiPriority w:val="0"/>
    <w:rPr>
      <w:kern w:val="2"/>
      <w:sz w:val="21"/>
    </w:rPr>
  </w:style>
  <w:style w:type="paragraph" w:customStyle="1" w:styleId="190">
    <w:name w:val="列出段落21"/>
    <w:basedOn w:val="1"/>
    <w:qFormat/>
    <w:uiPriority w:val="34"/>
    <w:pPr>
      <w:spacing w:line="360" w:lineRule="auto"/>
      <w:ind w:firstLine="420" w:firstLineChars="200"/>
    </w:pPr>
    <w:rPr>
      <w:rFonts w:ascii="Times New Roman" w:hAnsi="Times New Roman" w:cs="Times New Roman"/>
      <w:sz w:val="24"/>
      <w:szCs w:val="20"/>
    </w:rPr>
  </w:style>
  <w:style w:type="paragraph" w:customStyle="1" w:styleId="191">
    <w:name w:val="图例"/>
    <w:basedOn w:val="1"/>
    <w:qFormat/>
    <w:uiPriority w:val="0"/>
    <w:pPr>
      <w:spacing w:before="120" w:after="120" w:line="360" w:lineRule="auto"/>
      <w:jc w:val="center"/>
    </w:pPr>
    <w:rPr>
      <w:rFonts w:eastAsia="仿宋_GB2312"/>
      <w:b/>
      <w:sz w:val="24"/>
      <w:szCs w:val="20"/>
    </w:rPr>
  </w:style>
  <w:style w:type="character" w:customStyle="1" w:styleId="192">
    <w:name w:val="font41"/>
    <w:basedOn w:val="48"/>
    <w:qFormat/>
    <w:uiPriority w:val="0"/>
    <w:rPr>
      <w:rFonts w:hint="eastAsia" w:ascii="宋体" w:hAnsi="宋体" w:eastAsia="宋体" w:cs="宋体"/>
      <w:color w:val="000000"/>
      <w:sz w:val="20"/>
      <w:szCs w:val="20"/>
      <w:u w:val="none"/>
    </w:rPr>
  </w:style>
  <w:style w:type="paragraph" w:customStyle="1" w:styleId="193">
    <w:name w:val="Table Paragraph"/>
    <w:basedOn w:val="1"/>
    <w:qFormat/>
    <w:uiPriority w:val="1"/>
    <w:pPr>
      <w:autoSpaceDE w:val="0"/>
      <w:autoSpaceDN w:val="0"/>
      <w:jc w:val="left"/>
    </w:pPr>
    <w:rPr>
      <w:rFonts w:ascii="宋体" w:hAnsi="宋体" w:eastAsia="宋体" w:cs="宋体"/>
      <w:kern w:val="0"/>
      <w:sz w:val="22"/>
      <w:lang w:eastAsia="en-US"/>
    </w:rPr>
  </w:style>
  <w:style w:type="table" w:customStyle="1" w:styleId="194">
    <w:name w:val="Table Normal"/>
    <w:qFormat/>
    <w:uiPriority w:val="0"/>
    <w:tblPr>
      <w:tblLayout w:type="fixed"/>
      <w:tblCellMar>
        <w:top w:w="0" w:type="dxa"/>
        <w:left w:w="0" w:type="dxa"/>
        <w:bottom w:w="0" w:type="dxa"/>
        <w:right w:w="0" w:type="dxa"/>
      </w:tblCellMar>
    </w:tblPr>
  </w:style>
  <w:style w:type="paragraph" w:customStyle="1" w:styleId="195">
    <w:name w:val="Table Text"/>
    <w:basedOn w:val="1"/>
    <w:qFormat/>
    <w:uiPriority w:val="0"/>
    <w:rPr>
      <w:rFonts w:ascii="仿宋" w:hAnsi="仿宋" w:eastAsia="仿宋" w:cs="仿宋"/>
      <w:sz w:val="21"/>
      <w:szCs w:val="21"/>
      <w:lang w:val="en-US" w:eastAsia="en-US" w:bidi="ar-SA"/>
    </w:rPr>
  </w:style>
  <w:style w:type="paragraph" w:customStyle="1" w:styleId="196">
    <w:name w:val="正文格式"/>
    <w:basedOn w:val="1"/>
    <w:qFormat/>
    <w:uiPriority w:val="0"/>
    <w:pPr>
      <w:adjustRightInd w:val="0"/>
      <w:snapToGrid w:val="0"/>
      <w:spacing w:line="360" w:lineRule="auto"/>
    </w:pPr>
    <w:rPr>
      <w:rFonts w:eastAsia="宋体" w:cs="Times New Roman"/>
      <w:sz w:val="24"/>
      <w:szCs w:val="20"/>
      <w:lang w:val="zh-CN"/>
    </w:rPr>
  </w:style>
  <w:style w:type="paragraph" w:customStyle="1" w:styleId="197">
    <w:name w:val="正文内容"/>
    <w:basedOn w:val="1"/>
    <w:qFormat/>
    <w:uiPriority w:val="0"/>
    <w:pPr>
      <w:spacing w:line="360" w:lineRule="auto"/>
      <w:ind w:firstLine="420"/>
    </w:pPr>
    <w:rPr>
      <w:rFonts w:eastAsia="等线" w:cs="Times New Roman"/>
      <w:sz w:val="24"/>
      <w:szCs w:val="20"/>
    </w:rPr>
  </w:style>
  <w:style w:type="paragraph" w:customStyle="1" w:styleId="198">
    <w:name w:val="_Style 18"/>
    <w:basedOn w:val="1"/>
    <w:next w:val="125"/>
    <w:qFormat/>
    <w:uiPriority w:val="34"/>
    <w:pPr>
      <w:spacing w:line="360" w:lineRule="auto"/>
      <w:ind w:firstLine="420" w:firstLineChars="200"/>
    </w:pPr>
    <w:rPr>
      <w:rFonts w:ascii="等线" w:hAnsi="等线" w:eastAsia="等线" w:cs="Times New Roman"/>
      <w:szCs w:val="22"/>
    </w:rPr>
  </w:style>
  <w:style w:type="paragraph" w:customStyle="1" w:styleId="199">
    <w:name w:val="No Spacing"/>
    <w:qFormat/>
    <w:uiPriority w:val="1"/>
    <w:rPr>
      <w:rFonts w:ascii="Calibri" w:hAnsi="Calibri" w:eastAsia="宋体" w:cs="Times New Roman"/>
      <w:sz w:val="22"/>
      <w:szCs w:val="22"/>
      <w:lang w:val="en-US" w:eastAsia="zh-CN" w:bidi="ar-SA"/>
    </w:rPr>
  </w:style>
  <w:style w:type="character" w:customStyle="1" w:styleId="200">
    <w:name w:val="font61"/>
    <w:basedOn w:val="48"/>
    <w:qFormat/>
    <w:uiPriority w:val="0"/>
    <w:rPr>
      <w:rFonts w:hint="eastAsia" w:ascii="宋体" w:hAnsi="宋体" w:eastAsia="宋体" w:cs="宋体"/>
      <w:color w:val="000000"/>
      <w:sz w:val="24"/>
      <w:szCs w:val="24"/>
      <w:u w:val="none"/>
    </w:rPr>
  </w:style>
  <w:style w:type="character" w:customStyle="1" w:styleId="201">
    <w:name w:val="font11"/>
    <w:basedOn w:val="48"/>
    <w:qFormat/>
    <w:uiPriority w:val="0"/>
    <w:rPr>
      <w:rFonts w:hint="eastAsia" w:ascii="宋体" w:hAnsi="宋体" w:eastAsia="宋体" w:cs="宋体"/>
      <w:color w:val="FF0000"/>
      <w:sz w:val="24"/>
      <w:szCs w:val="24"/>
      <w:u w:val="none"/>
    </w:rPr>
  </w:style>
  <w:style w:type="character" w:customStyle="1" w:styleId="202">
    <w:name w:val="font21"/>
    <w:basedOn w:val="48"/>
    <w:qFormat/>
    <w:uiPriority w:val="0"/>
    <w:rPr>
      <w:rFonts w:hint="eastAsia" w:ascii="宋体" w:hAnsi="宋体" w:eastAsia="宋体" w:cs="宋体"/>
      <w:color w:val="000000"/>
      <w:sz w:val="24"/>
      <w:szCs w:val="24"/>
      <w:u w:val="none"/>
    </w:rPr>
  </w:style>
  <w:style w:type="character" w:customStyle="1" w:styleId="203">
    <w:name w:val="页码1"/>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home\uos\C:\My%20Documents\&#19994;&#21153;&#19968;&#37096;\2000&#27169;&#29256;\0.8&#25307;&#26631;&#25991;&#20214;&#23553;&#38754;.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0.8招标文件封面</Template>
  <Company>北京机电设备招标公司</Company>
  <Pages>1</Pages>
  <Words>3199</Words>
  <Characters>18235</Characters>
  <Lines>1</Lines>
  <Paragraphs>1</Paragraphs>
  <ScaleCrop>false</ScaleCrop>
  <LinksUpToDate>false</LinksUpToDate>
  <CharactersWithSpaces>21392</CharactersWithSpaces>
  <Application>WPS Office_10.8.0.6253_F1E327BC-269C-435d-A152-05C5408002CA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2018-08-29T23:14:00Z</dcterms:created>
  <dc:creator>北京市政府采购中心</dc:creator>
  <cp:lastModifiedBy>stone</cp:lastModifiedBy>
  <cp:lastPrinted>2024-11-14T02:55:00Z</cp:lastPrinted>
  <dcterms:modified xsi:type="dcterms:W3CDTF">2024-12-05T07:26:20Z</dcterms:modified>
  <dc:title>招 标 文 件</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2052-10.8.0.6253</vt:lpwstr>
  </property>
  <property fmtid="{D5CDD505-2E9C-101B-9397-08002B2CF9AE}" pid="3" name="ICV">
    <vt:lpwstr>58D7B776B57048E69253944C77DEBC22_13</vt:lpwstr>
  </property>
</Properties>
</file>