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36BA1B">
      <w:pPr>
        <w:wordWrap w:val="0"/>
        <w:spacing w:after="0" w:line="360" w:lineRule="auto"/>
        <w:ind w:firstLine="300" w:firstLineChars="50"/>
        <w:rPr>
          <w:rFonts w:hint="eastAsia" w:ascii="宋体" w:hAnsi="宋体" w:cs="宋体"/>
          <w:sz w:val="60"/>
          <w:szCs w:val="60"/>
          <w:highlight w:val="none"/>
        </w:rPr>
      </w:pPr>
      <w:bookmarkStart w:id="1318" w:name="_GoBack"/>
      <w:bookmarkEnd w:id="1318"/>
    </w:p>
    <w:p w14:paraId="6404A8BB">
      <w:pPr>
        <w:wordWrap w:val="0"/>
        <w:spacing w:after="0" w:line="360" w:lineRule="auto"/>
        <w:ind w:left="-199" w:leftChars="-95" w:right="-735" w:rightChars="-350"/>
        <w:jc w:val="center"/>
        <w:rPr>
          <w:rFonts w:hint="eastAsia" w:ascii="宋体" w:hAnsi="宋体" w:cs="宋体"/>
          <w:b/>
          <w:sz w:val="48"/>
          <w:szCs w:val="48"/>
          <w:highlight w:val="none"/>
        </w:rPr>
      </w:pPr>
      <w:r>
        <w:rPr>
          <w:rFonts w:hint="eastAsia" w:ascii="宋体" w:hAnsi="宋体" w:cs="宋体"/>
          <w:b/>
          <w:sz w:val="48"/>
          <w:szCs w:val="48"/>
          <w:highlight w:val="none"/>
        </w:rPr>
        <w:t>北京市公安局海淀分局</w:t>
      </w:r>
    </w:p>
    <w:p w14:paraId="4D26CCAE">
      <w:pPr>
        <w:wordWrap w:val="0"/>
        <w:spacing w:after="0" w:line="360" w:lineRule="auto"/>
        <w:ind w:left="-199" w:leftChars="-95" w:right="-735" w:rightChars="-350"/>
        <w:jc w:val="center"/>
        <w:rPr>
          <w:rFonts w:hint="eastAsia" w:ascii="宋体" w:hAnsi="宋体" w:cs="宋体"/>
          <w:b/>
          <w:sz w:val="48"/>
          <w:szCs w:val="48"/>
          <w:highlight w:val="none"/>
        </w:rPr>
      </w:pPr>
      <w:r>
        <w:rPr>
          <w:rFonts w:hint="eastAsia" w:ascii="宋体" w:hAnsi="宋体" w:cs="宋体"/>
          <w:b/>
          <w:bCs/>
          <w:sz w:val="48"/>
          <w:szCs w:val="48"/>
          <w:highlight w:val="none"/>
        </w:rPr>
        <w:t>青龙桥派出所设备设施维修更新经费</w:t>
      </w:r>
    </w:p>
    <w:p w14:paraId="65CF0112">
      <w:pPr>
        <w:wordWrap w:val="0"/>
        <w:spacing w:after="0" w:line="360" w:lineRule="auto"/>
        <w:ind w:left="-199" w:leftChars="-95" w:right="-735" w:rightChars="-350"/>
        <w:jc w:val="center"/>
        <w:rPr>
          <w:rFonts w:hint="eastAsia" w:ascii="宋体" w:hAnsi="宋体" w:cs="宋体"/>
          <w:b/>
          <w:sz w:val="48"/>
          <w:szCs w:val="48"/>
          <w:highlight w:val="none"/>
        </w:rPr>
      </w:pPr>
    </w:p>
    <w:p w14:paraId="3B482462">
      <w:pPr>
        <w:pStyle w:val="19"/>
        <w:wordWrap w:val="0"/>
        <w:spacing w:after="0" w:line="360" w:lineRule="auto"/>
        <w:ind w:left="840" w:hanging="420"/>
        <w:jc w:val="center"/>
        <w:rPr>
          <w:rFonts w:hint="eastAsia" w:ascii="宋体" w:hAnsi="宋体" w:cs="宋体"/>
          <w:highlight w:val="none"/>
        </w:rPr>
      </w:pPr>
    </w:p>
    <w:p w14:paraId="4D350596">
      <w:pPr>
        <w:pStyle w:val="19"/>
        <w:wordWrap w:val="0"/>
        <w:spacing w:after="0" w:line="360" w:lineRule="auto"/>
        <w:ind w:left="840" w:hanging="420"/>
        <w:jc w:val="center"/>
        <w:rPr>
          <w:rFonts w:hint="eastAsia" w:ascii="宋体" w:hAnsi="宋体" w:cs="宋体"/>
          <w:highlight w:val="none"/>
        </w:rPr>
      </w:pPr>
    </w:p>
    <w:p w14:paraId="7BCA57B1">
      <w:pPr>
        <w:pStyle w:val="19"/>
        <w:wordWrap w:val="0"/>
        <w:spacing w:after="0" w:line="360" w:lineRule="auto"/>
        <w:ind w:left="840" w:hanging="420"/>
        <w:jc w:val="center"/>
        <w:rPr>
          <w:rFonts w:hint="eastAsia" w:ascii="宋体" w:hAnsi="宋体" w:cs="宋体"/>
          <w:highlight w:val="none"/>
        </w:rPr>
      </w:pPr>
    </w:p>
    <w:p w14:paraId="000989AF">
      <w:pPr>
        <w:wordWrap w:val="0"/>
        <w:spacing w:after="0" w:line="360" w:lineRule="auto"/>
        <w:jc w:val="center"/>
        <w:rPr>
          <w:rFonts w:hint="eastAsia" w:ascii="宋体" w:hAnsi="宋体" w:cs="宋体"/>
          <w:b/>
          <w:sz w:val="32"/>
          <w:szCs w:val="28"/>
          <w:highlight w:val="none"/>
        </w:rPr>
      </w:pPr>
      <w:r>
        <w:rPr>
          <w:rFonts w:hint="eastAsia" w:ascii="宋体" w:hAnsi="宋体" w:cs="宋体"/>
          <w:b/>
          <w:sz w:val="72"/>
          <w:szCs w:val="44"/>
          <w:highlight w:val="none"/>
        </w:rPr>
        <w:t>竞争性磋商文件</w:t>
      </w:r>
    </w:p>
    <w:p w14:paraId="6D211A7B">
      <w:pPr>
        <w:pStyle w:val="19"/>
        <w:wordWrap w:val="0"/>
        <w:spacing w:after="0" w:line="360" w:lineRule="auto"/>
        <w:ind w:left="1063" w:hanging="643"/>
        <w:jc w:val="center"/>
        <w:rPr>
          <w:rFonts w:hint="eastAsia" w:ascii="宋体" w:hAnsi="宋体" w:cs="宋体"/>
          <w:b/>
          <w:sz w:val="32"/>
          <w:szCs w:val="30"/>
          <w:highlight w:val="none"/>
        </w:rPr>
      </w:pPr>
    </w:p>
    <w:p w14:paraId="4929DB3E">
      <w:pPr>
        <w:pStyle w:val="19"/>
        <w:wordWrap w:val="0"/>
        <w:spacing w:after="0" w:line="360" w:lineRule="auto"/>
        <w:ind w:left="840" w:hanging="420"/>
        <w:jc w:val="center"/>
        <w:rPr>
          <w:rFonts w:hint="eastAsia" w:ascii="宋体" w:hAnsi="宋体" w:cs="宋体"/>
          <w:highlight w:val="none"/>
        </w:rPr>
      </w:pPr>
    </w:p>
    <w:p w14:paraId="3F2913DC">
      <w:pPr>
        <w:pStyle w:val="19"/>
        <w:wordWrap w:val="0"/>
        <w:spacing w:after="0" w:line="360" w:lineRule="auto"/>
        <w:ind w:left="840" w:hanging="420"/>
        <w:jc w:val="center"/>
        <w:rPr>
          <w:rFonts w:hint="eastAsia" w:ascii="宋体" w:hAnsi="宋体" w:cs="宋体"/>
          <w:highlight w:val="none"/>
        </w:rPr>
      </w:pPr>
    </w:p>
    <w:p w14:paraId="638C73D3">
      <w:pPr>
        <w:pStyle w:val="19"/>
        <w:wordWrap w:val="0"/>
        <w:spacing w:after="0" w:line="360" w:lineRule="auto"/>
        <w:ind w:left="840" w:hanging="420"/>
        <w:jc w:val="center"/>
        <w:rPr>
          <w:rFonts w:hint="eastAsia" w:ascii="宋体" w:hAnsi="宋体" w:cs="宋体"/>
          <w:highlight w:val="none"/>
        </w:rPr>
      </w:pPr>
    </w:p>
    <w:p w14:paraId="6695475B">
      <w:pPr>
        <w:wordWrap w:val="0"/>
        <w:adjustRightInd w:val="0"/>
        <w:snapToGrid w:val="0"/>
        <w:spacing w:after="0" w:line="360" w:lineRule="auto"/>
        <w:ind w:firstLine="643" w:firstLineChars="200"/>
        <w:rPr>
          <w:rFonts w:hint="eastAsia" w:ascii="宋体" w:hAnsi="宋体" w:cs="宋体"/>
          <w:b/>
          <w:sz w:val="32"/>
          <w:szCs w:val="30"/>
          <w:highlight w:val="none"/>
        </w:rPr>
      </w:pPr>
    </w:p>
    <w:p w14:paraId="527B39B4">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项目名称：</w:t>
      </w:r>
      <w:r>
        <w:rPr>
          <w:rFonts w:hint="eastAsia" w:ascii="宋体" w:hAnsi="宋体" w:cs="宋体"/>
          <w:b/>
          <w:bCs/>
          <w:sz w:val="32"/>
          <w:szCs w:val="30"/>
          <w:highlight w:val="none"/>
        </w:rPr>
        <w:t>青龙桥派出所设备设施维修更新经费</w:t>
      </w:r>
    </w:p>
    <w:p w14:paraId="3C24342C">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项目编号/包号：11010826210200057829-XM001/01</w:t>
      </w:r>
    </w:p>
    <w:p w14:paraId="7A32954B">
      <w:pPr>
        <w:pStyle w:val="19"/>
        <w:wordWrap w:val="0"/>
        <w:spacing w:after="0" w:line="360" w:lineRule="auto"/>
        <w:ind w:left="0" w:leftChars="0" w:firstLine="643" w:firstLineChars="200"/>
        <w:rPr>
          <w:rFonts w:hint="eastAsia" w:ascii="宋体" w:hAnsi="宋体" w:cs="宋体"/>
          <w:b/>
          <w:sz w:val="32"/>
          <w:szCs w:val="30"/>
          <w:highlight w:val="none"/>
        </w:rPr>
      </w:pPr>
      <w:r>
        <w:rPr>
          <w:rFonts w:hint="eastAsia" w:ascii="宋体" w:hAnsi="宋体" w:cs="宋体"/>
          <w:b/>
          <w:sz w:val="32"/>
          <w:szCs w:val="30"/>
          <w:highlight w:val="none"/>
        </w:rPr>
        <w:t>采 购 人：</w:t>
      </w:r>
      <w:bookmarkStart w:id="0" w:name="_Hlt101843627"/>
      <w:bookmarkEnd w:id="0"/>
      <w:bookmarkStart w:id="1" w:name="_Hlt101233737"/>
      <w:bookmarkEnd w:id="1"/>
      <w:r>
        <w:rPr>
          <w:rFonts w:hint="eastAsia" w:ascii="宋体" w:hAnsi="宋体" w:cs="宋体"/>
          <w:b/>
          <w:sz w:val="32"/>
          <w:szCs w:val="30"/>
          <w:highlight w:val="none"/>
        </w:rPr>
        <w:t>北京市公安局海淀分局</w:t>
      </w:r>
    </w:p>
    <w:p w14:paraId="57AB5EC1">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采购代理机构：北京德音工程咨询有限公司</w:t>
      </w:r>
    </w:p>
    <w:p w14:paraId="1F939EDD">
      <w:pPr>
        <w:wordWrap w:val="0"/>
        <w:snapToGrid w:val="0"/>
        <w:spacing w:after="0" w:line="360" w:lineRule="auto"/>
        <w:ind w:firstLine="420"/>
        <w:rPr>
          <w:rFonts w:hint="eastAsia" w:ascii="宋体" w:hAnsi="宋体" w:cs="宋体"/>
          <w:bCs/>
          <w:sz w:val="36"/>
          <w:szCs w:val="36"/>
          <w:highlight w:val="none"/>
        </w:rPr>
      </w:pPr>
    </w:p>
    <w:p w14:paraId="65203C3A">
      <w:pPr>
        <w:widowControl/>
        <w:wordWrap w:val="0"/>
        <w:spacing w:after="0" w:line="360" w:lineRule="auto"/>
        <w:jc w:val="left"/>
        <w:rPr>
          <w:rFonts w:hint="eastAsia" w:ascii="宋体" w:hAnsi="宋体" w:cs="宋体"/>
          <w:kern w:val="0"/>
          <w:sz w:val="24"/>
          <w:highlight w:val="none"/>
        </w:rPr>
      </w:pPr>
    </w:p>
    <w:p w14:paraId="431A23C0">
      <w:pPr>
        <w:pStyle w:val="180"/>
        <w:wordWrap w:val="0"/>
        <w:spacing w:after="0" w:line="360" w:lineRule="auto"/>
        <w:rPr>
          <w:rFonts w:hint="eastAsia" w:ascii="宋体" w:hAnsi="宋体" w:cs="宋体"/>
          <w:color w:val="auto"/>
          <w:highlight w:val="none"/>
        </w:rPr>
      </w:pPr>
    </w:p>
    <w:p w14:paraId="0BA49069">
      <w:pPr>
        <w:wordWrap w:val="0"/>
        <w:spacing w:after="0" w:line="360" w:lineRule="auto"/>
        <w:jc w:val="center"/>
        <w:rPr>
          <w:rFonts w:hint="eastAsia" w:ascii="宋体" w:hAnsi="宋体" w:cs="宋体"/>
          <w:b/>
          <w:bCs/>
          <w:sz w:val="36"/>
          <w:szCs w:val="44"/>
          <w:highlight w:val="none"/>
        </w:rPr>
        <w:sectPr>
          <w:footerReference r:id="rId5" w:type="first"/>
          <w:headerReference r:id="rId3" w:type="default"/>
          <w:footerReference r:id="rId4" w:type="default"/>
          <w:pgSz w:w="11905" w:h="16838"/>
          <w:pgMar w:top="1474" w:right="1474" w:bottom="1474" w:left="1474" w:header="850" w:footer="992" w:gutter="0"/>
          <w:pgNumType w:start="1"/>
          <w:cols w:space="720" w:num="1"/>
          <w:docGrid w:linePitch="462" w:charSpace="0"/>
        </w:sectPr>
      </w:pPr>
    </w:p>
    <w:p w14:paraId="1A21FE46">
      <w:pPr>
        <w:wordWrap w:val="0"/>
        <w:spacing w:after="0" w:line="360" w:lineRule="auto"/>
        <w:jc w:val="center"/>
        <w:rPr>
          <w:rFonts w:hint="eastAsia" w:ascii="宋体" w:hAnsi="宋体" w:cs="宋体"/>
          <w:b/>
          <w:bCs/>
          <w:sz w:val="36"/>
          <w:szCs w:val="44"/>
          <w:highlight w:val="none"/>
        </w:rPr>
      </w:pPr>
      <w:r>
        <w:rPr>
          <w:rFonts w:hint="eastAsia" w:ascii="宋体" w:hAnsi="宋体" w:cs="宋体"/>
          <w:b/>
          <w:bCs/>
          <w:sz w:val="36"/>
          <w:szCs w:val="44"/>
          <w:highlight w:val="none"/>
        </w:rPr>
        <w:t>目      录</w:t>
      </w:r>
    </w:p>
    <w:p w14:paraId="3C57D4EF">
      <w:pPr>
        <w:wordWrap w:val="0"/>
        <w:spacing w:after="0" w:line="360" w:lineRule="auto"/>
        <w:rPr>
          <w:rFonts w:hint="eastAsia" w:ascii="宋体" w:hAnsi="宋体" w:cs="宋体"/>
          <w:highlight w:val="none"/>
        </w:rPr>
      </w:pPr>
    </w:p>
    <w:p w14:paraId="41B71E96">
      <w:pPr>
        <w:wordWrap w:val="0"/>
        <w:spacing w:after="0" w:line="360" w:lineRule="auto"/>
        <w:rPr>
          <w:rFonts w:hint="eastAsia" w:ascii="宋体" w:hAnsi="宋体" w:cs="宋体"/>
          <w:highlight w:val="none"/>
        </w:rPr>
      </w:pPr>
    </w:p>
    <w:p w14:paraId="5420194E">
      <w:pPr>
        <w:pStyle w:val="30"/>
        <w:tabs>
          <w:tab w:val="right" w:leader="dot" w:pos="8957"/>
          <w:tab w:val="clear" w:pos="1050"/>
          <w:tab w:val="clear" w:pos="8937"/>
        </w:tabs>
        <w:wordWrap w:val="0"/>
        <w:spacing w:after="0" w:line="720" w:lineRule="auto"/>
        <w:rPr>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TOC \o "1-1" \h \z \u </w:instrText>
      </w:r>
      <w:r>
        <w:rPr>
          <w:rFonts w:hint="eastAsia" w:cs="宋体"/>
          <w:b w:val="0"/>
          <w:sz w:val="28"/>
          <w:szCs w:val="28"/>
          <w:highlight w:val="none"/>
        </w:rPr>
        <w:fldChar w:fldCharType="separate"/>
      </w:r>
      <w:r>
        <w:fldChar w:fldCharType="begin"/>
      </w:r>
      <w:r>
        <w:instrText xml:space="preserve"> HYPERLINK \l "_Toc29385" </w:instrText>
      </w:r>
      <w:r>
        <w:fldChar w:fldCharType="separate"/>
      </w:r>
      <w:r>
        <w:rPr>
          <w:rFonts w:hint="eastAsia" w:cs="宋体"/>
          <w:sz w:val="28"/>
          <w:szCs w:val="40"/>
          <w:highlight w:val="none"/>
        </w:rPr>
        <w:t>第一章   采购邀请</w:t>
      </w:r>
      <w:r>
        <w:rPr>
          <w:sz w:val="28"/>
          <w:szCs w:val="28"/>
          <w:highlight w:val="none"/>
        </w:rPr>
        <w:tab/>
      </w:r>
      <w:r>
        <w:rPr>
          <w:sz w:val="28"/>
          <w:szCs w:val="28"/>
          <w:highlight w:val="none"/>
        </w:rPr>
        <w:fldChar w:fldCharType="begin"/>
      </w:r>
      <w:r>
        <w:rPr>
          <w:sz w:val="28"/>
          <w:szCs w:val="28"/>
          <w:highlight w:val="none"/>
        </w:rPr>
        <w:instrText xml:space="preserve"> PAGEREF _Toc29385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14:paraId="6A33E282">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"_Toc27152" </w:instrText>
      </w:r>
      <w:r>
        <w:fldChar w:fldCharType="separate"/>
      </w:r>
      <w:r>
        <w:rPr>
          <w:rFonts w:hint="eastAsia" w:cs="宋体"/>
          <w:sz w:val="28"/>
          <w:szCs w:val="40"/>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_Toc27152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14:paraId="7688D8B1">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"_Toc27441" </w:instrText>
      </w:r>
      <w:r>
        <w:fldChar w:fldCharType="separate"/>
      </w:r>
      <w:r>
        <w:rPr>
          <w:rFonts w:hint="eastAsia" w:cs="宋体"/>
          <w:sz w:val="28"/>
          <w:szCs w:val="40"/>
          <w:highlight w:val="none"/>
        </w:rPr>
        <w:t>第三章   评审方法和评审标准</w:t>
      </w:r>
      <w:r>
        <w:rPr>
          <w:sz w:val="28"/>
          <w:szCs w:val="28"/>
          <w:highlight w:val="none"/>
        </w:rPr>
        <w:tab/>
      </w:r>
      <w:r>
        <w:rPr>
          <w:sz w:val="28"/>
          <w:szCs w:val="28"/>
          <w:highlight w:val="none"/>
        </w:rPr>
        <w:fldChar w:fldCharType="begin"/>
      </w:r>
      <w:r>
        <w:rPr>
          <w:sz w:val="28"/>
          <w:szCs w:val="28"/>
          <w:highlight w:val="none"/>
        </w:rPr>
        <w:instrText xml:space="preserve"> PAGEREF _Toc27441 \h </w:instrText>
      </w:r>
      <w:r>
        <w:rPr>
          <w:sz w:val="28"/>
          <w:szCs w:val="28"/>
          <w:highlight w:val="none"/>
        </w:rPr>
        <w:fldChar w:fldCharType="separate"/>
      </w:r>
      <w:r>
        <w:rPr>
          <w:sz w:val="28"/>
          <w:szCs w:val="28"/>
          <w:highlight w:val="none"/>
        </w:rPr>
        <w:t>17</w:t>
      </w:r>
      <w:r>
        <w:rPr>
          <w:sz w:val="28"/>
          <w:szCs w:val="28"/>
          <w:highlight w:val="none"/>
        </w:rPr>
        <w:fldChar w:fldCharType="end"/>
      </w:r>
      <w:r>
        <w:rPr>
          <w:sz w:val="28"/>
          <w:szCs w:val="28"/>
          <w:highlight w:val="none"/>
        </w:rPr>
        <w:fldChar w:fldCharType="end"/>
      </w:r>
    </w:p>
    <w:p w14:paraId="0BB1EF47">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"_Toc22177" </w:instrText>
      </w:r>
      <w:r>
        <w:fldChar w:fldCharType="separate"/>
      </w:r>
      <w:r>
        <w:rPr>
          <w:rFonts w:hint="eastAsia" w:cs="宋体"/>
          <w:sz w:val="28"/>
          <w:szCs w:val="40"/>
          <w:highlight w:val="none"/>
        </w:rPr>
        <w:t>第四章   采购需求</w:t>
      </w:r>
      <w:r>
        <w:rPr>
          <w:sz w:val="28"/>
          <w:szCs w:val="28"/>
          <w:highlight w:val="none"/>
        </w:rPr>
        <w:tab/>
      </w:r>
      <w:r>
        <w:rPr>
          <w:sz w:val="28"/>
          <w:szCs w:val="28"/>
          <w:highlight w:val="none"/>
        </w:rPr>
        <w:fldChar w:fldCharType="begin"/>
      </w:r>
      <w:r>
        <w:rPr>
          <w:sz w:val="28"/>
          <w:szCs w:val="28"/>
          <w:highlight w:val="none"/>
        </w:rPr>
        <w:instrText xml:space="preserve"> PAGEREF _Toc22177 \h </w:instrText>
      </w:r>
      <w:r>
        <w:rPr>
          <w:sz w:val="28"/>
          <w:szCs w:val="28"/>
          <w:highlight w:val="none"/>
        </w:rPr>
        <w:fldChar w:fldCharType="separate"/>
      </w:r>
      <w:r>
        <w:rPr>
          <w:sz w:val="28"/>
          <w:szCs w:val="28"/>
          <w:highlight w:val="none"/>
        </w:rPr>
        <w:t>33</w:t>
      </w:r>
      <w:r>
        <w:rPr>
          <w:sz w:val="28"/>
          <w:szCs w:val="28"/>
          <w:highlight w:val="none"/>
        </w:rPr>
        <w:fldChar w:fldCharType="end"/>
      </w:r>
      <w:r>
        <w:rPr>
          <w:sz w:val="28"/>
          <w:szCs w:val="28"/>
          <w:highlight w:val="none"/>
        </w:rPr>
        <w:fldChar w:fldCharType="end"/>
      </w:r>
    </w:p>
    <w:p w14:paraId="552408DB">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"_Toc7375" </w:instrText>
      </w:r>
      <w:r>
        <w:fldChar w:fldCharType="separate"/>
      </w:r>
      <w:r>
        <w:rPr>
          <w:rFonts w:hint="eastAsia" w:cs="宋体"/>
          <w:sz w:val="28"/>
          <w:szCs w:val="40"/>
          <w:highlight w:val="none"/>
        </w:rPr>
        <w:t>第五章   合同草案条款</w:t>
      </w:r>
      <w:r>
        <w:rPr>
          <w:sz w:val="28"/>
          <w:szCs w:val="28"/>
          <w:highlight w:val="none"/>
        </w:rPr>
        <w:tab/>
      </w:r>
      <w:r>
        <w:rPr>
          <w:sz w:val="28"/>
          <w:szCs w:val="28"/>
          <w:highlight w:val="none"/>
        </w:rPr>
        <w:fldChar w:fldCharType="begin"/>
      </w:r>
      <w:r>
        <w:rPr>
          <w:sz w:val="28"/>
          <w:szCs w:val="28"/>
          <w:highlight w:val="none"/>
        </w:rPr>
        <w:instrText xml:space="preserve"> PAGEREF _Toc7375 \h </w:instrText>
      </w:r>
      <w:r>
        <w:rPr>
          <w:sz w:val="28"/>
          <w:szCs w:val="28"/>
          <w:highlight w:val="none"/>
        </w:rPr>
        <w:fldChar w:fldCharType="separate"/>
      </w:r>
      <w:r>
        <w:rPr>
          <w:sz w:val="28"/>
          <w:szCs w:val="28"/>
          <w:highlight w:val="none"/>
        </w:rPr>
        <w:t>65</w:t>
      </w:r>
      <w:r>
        <w:rPr>
          <w:sz w:val="28"/>
          <w:szCs w:val="28"/>
          <w:highlight w:val="none"/>
        </w:rPr>
        <w:fldChar w:fldCharType="end"/>
      </w:r>
      <w:r>
        <w:rPr>
          <w:sz w:val="28"/>
          <w:szCs w:val="28"/>
          <w:highlight w:val="none"/>
        </w:rPr>
        <w:fldChar w:fldCharType="end"/>
      </w:r>
    </w:p>
    <w:p w14:paraId="13777CCA">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"_Toc29176" </w:instrText>
      </w:r>
      <w:r>
        <w:fldChar w:fldCharType="separate"/>
      </w:r>
      <w:r>
        <w:rPr>
          <w:rFonts w:hint="eastAsia" w:cs="宋体"/>
          <w:sz w:val="28"/>
          <w:szCs w:val="40"/>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_Toc29176 \h </w:instrText>
      </w:r>
      <w:r>
        <w:rPr>
          <w:sz w:val="28"/>
          <w:szCs w:val="28"/>
          <w:highlight w:val="none"/>
        </w:rPr>
        <w:fldChar w:fldCharType="separate"/>
      </w:r>
      <w:r>
        <w:rPr>
          <w:sz w:val="28"/>
          <w:szCs w:val="28"/>
          <w:highlight w:val="none"/>
        </w:rPr>
        <w:t>89</w:t>
      </w:r>
      <w:r>
        <w:rPr>
          <w:sz w:val="28"/>
          <w:szCs w:val="28"/>
          <w:highlight w:val="none"/>
        </w:rPr>
        <w:fldChar w:fldCharType="end"/>
      </w:r>
      <w:r>
        <w:rPr>
          <w:sz w:val="28"/>
          <w:szCs w:val="28"/>
          <w:highlight w:val="none"/>
        </w:rPr>
        <w:fldChar w:fldCharType="end"/>
      </w:r>
    </w:p>
    <w:p w14:paraId="17354E67">
      <w:pPr>
        <w:pStyle w:val="30"/>
        <w:wordWrap w:val="0"/>
        <w:spacing w:after="0" w:line="720" w:lineRule="auto"/>
        <w:rPr>
          <w:rFonts w:hint="eastAsia" w:cs="宋体"/>
          <w:b w:val="0"/>
          <w:highlight w:val="none"/>
        </w:rPr>
      </w:pPr>
      <w:r>
        <w:rPr>
          <w:rFonts w:hint="eastAsia" w:cs="宋体"/>
          <w:sz w:val="28"/>
          <w:szCs w:val="28"/>
          <w:highlight w:val="none"/>
        </w:rPr>
        <w:fldChar w:fldCharType="end"/>
      </w:r>
    </w:p>
    <w:p w14:paraId="2F159F3B">
      <w:pPr>
        <w:pStyle w:val="30"/>
        <w:wordWrap w:val="0"/>
        <w:spacing w:after="0" w:line="360" w:lineRule="auto"/>
        <w:rPr>
          <w:rFonts w:hint="eastAsia" w:cs="宋体"/>
          <w:b w:val="0"/>
          <w:sz w:val="36"/>
          <w:szCs w:val="36"/>
          <w:highlight w:val="none"/>
        </w:rPr>
      </w:pPr>
    </w:p>
    <w:p w14:paraId="3AB59298">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0" w:footer="992" w:gutter="0"/>
          <w:pgNumType w:start="1"/>
          <w:cols w:space="720" w:num="1"/>
          <w:docGrid w:linePitch="462" w:charSpace="0"/>
        </w:sectPr>
      </w:pPr>
    </w:p>
    <w:p w14:paraId="38126BDE">
      <w:pPr>
        <w:wordWrap w:val="0"/>
        <w:spacing w:after="0" w:line="360" w:lineRule="auto"/>
        <w:jc w:val="center"/>
        <w:outlineLvl w:val="0"/>
        <w:rPr>
          <w:rFonts w:hint="eastAsia" w:ascii="宋体" w:hAnsi="宋体" w:cs="宋体"/>
          <w:b/>
          <w:sz w:val="36"/>
          <w:szCs w:val="36"/>
          <w:highlight w:val="none"/>
        </w:rPr>
      </w:pPr>
      <w:bookmarkStart w:id="2" w:name="_Toc29385"/>
      <w:r>
        <w:rPr>
          <w:rFonts w:hint="eastAsia" w:ascii="宋体" w:hAnsi="宋体" w:cs="宋体"/>
          <w:b/>
          <w:sz w:val="36"/>
          <w:szCs w:val="36"/>
          <w:highlight w:val="none"/>
        </w:rPr>
        <w:t>第一章   采购邀请</w:t>
      </w:r>
      <w:bookmarkEnd w:id="2"/>
      <w:bookmarkStart w:id="3" w:name="_Toc35393621"/>
      <w:bookmarkStart w:id="4" w:name="_Toc28359079"/>
      <w:bookmarkStart w:id="5" w:name="_Toc28359002"/>
      <w:bookmarkStart w:id="6" w:name="_Toc35393790"/>
      <w:bookmarkStart w:id="7" w:name="_Hlk24379207"/>
    </w:p>
    <w:p w14:paraId="7AC43F43">
      <w:pPr>
        <w:pStyle w:val="3"/>
        <w:wordWrap w:val="0"/>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24FF8AD9">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1.项目编号：11010826210200057829-XM001</w:t>
      </w:r>
    </w:p>
    <w:p w14:paraId="17D13C47">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2.项目名称：青龙桥派出所设备设施维修更新经费</w:t>
      </w:r>
    </w:p>
    <w:p w14:paraId="147DD8A9">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3.采购方式：竞争性磋商</w:t>
      </w:r>
    </w:p>
    <w:bookmarkEnd w:id="7"/>
    <w:p w14:paraId="5C1FA6D0">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4.项目预算金额：184.430059万元、项目最高限价：</w:t>
      </w:r>
      <w:r>
        <w:rPr>
          <w:rFonts w:ascii="宋体" w:hAnsi="宋体" w:cs="宋体"/>
          <w:sz w:val="24"/>
          <w:highlight w:val="none"/>
        </w:rPr>
        <w:t>184.430059</w:t>
      </w:r>
      <w:r>
        <w:rPr>
          <w:rFonts w:hint="eastAsia" w:ascii="宋体" w:hAnsi="宋体" w:cs="宋体"/>
          <w:sz w:val="24"/>
          <w:highlight w:val="none"/>
        </w:rPr>
        <w:t>万元</w:t>
      </w:r>
    </w:p>
    <w:p w14:paraId="1C42E7A7">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680"/>
        <w:gridCol w:w="1540"/>
        <w:gridCol w:w="985"/>
        <w:gridCol w:w="4222"/>
      </w:tblGrid>
      <w:tr w14:paraId="1E70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56F3B63C">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包号</w:t>
            </w:r>
          </w:p>
        </w:tc>
        <w:tc>
          <w:tcPr>
            <w:tcW w:w="921" w:type="pct"/>
            <w:noWrap w:val="0"/>
            <w:vAlign w:val="center"/>
          </w:tcPr>
          <w:p w14:paraId="7D80E9FD">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标的名称</w:t>
            </w:r>
          </w:p>
        </w:tc>
        <w:tc>
          <w:tcPr>
            <w:tcW w:w="844" w:type="pct"/>
            <w:noWrap w:val="0"/>
            <w:vAlign w:val="center"/>
          </w:tcPr>
          <w:p w14:paraId="29959FA3">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采购包</w:t>
            </w:r>
          </w:p>
          <w:p w14:paraId="22746CB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预算金额</w:t>
            </w:r>
          </w:p>
          <w:p w14:paraId="4F2C7629">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（万元）</w:t>
            </w:r>
          </w:p>
        </w:tc>
        <w:tc>
          <w:tcPr>
            <w:tcW w:w="540" w:type="pct"/>
            <w:noWrap w:val="0"/>
            <w:vAlign w:val="center"/>
          </w:tcPr>
          <w:p w14:paraId="46ECA044">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数量</w:t>
            </w:r>
          </w:p>
        </w:tc>
        <w:tc>
          <w:tcPr>
            <w:tcW w:w="2314" w:type="pct"/>
            <w:noWrap w:val="0"/>
            <w:vAlign w:val="center"/>
          </w:tcPr>
          <w:p w14:paraId="16EC4381">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简要技术需求或服务要求</w:t>
            </w:r>
          </w:p>
        </w:tc>
      </w:tr>
      <w:tr w14:paraId="4B54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65D20A6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01</w:t>
            </w:r>
          </w:p>
        </w:tc>
        <w:tc>
          <w:tcPr>
            <w:tcW w:w="921" w:type="pct"/>
            <w:noWrap w:val="0"/>
            <w:vAlign w:val="center"/>
          </w:tcPr>
          <w:p w14:paraId="021030E4">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青龙桥派出所设备设施维修更新经费</w:t>
            </w:r>
          </w:p>
        </w:tc>
        <w:tc>
          <w:tcPr>
            <w:tcW w:w="844" w:type="pct"/>
            <w:noWrap w:val="0"/>
            <w:vAlign w:val="center"/>
          </w:tcPr>
          <w:p w14:paraId="2EEFF60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184.430059</w:t>
            </w:r>
          </w:p>
        </w:tc>
        <w:tc>
          <w:tcPr>
            <w:tcW w:w="540" w:type="pct"/>
            <w:noWrap w:val="0"/>
            <w:vAlign w:val="center"/>
          </w:tcPr>
          <w:p w14:paraId="6C53254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一批</w:t>
            </w:r>
          </w:p>
        </w:tc>
        <w:tc>
          <w:tcPr>
            <w:tcW w:w="2314" w:type="pct"/>
            <w:noWrap w:val="0"/>
            <w:vAlign w:val="center"/>
          </w:tcPr>
          <w:p w14:paraId="3881279A">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北京市公安局海淀分局青龙桥派出所设备设施维修更新经费工程工程量清单及图纸显示的全部工程内容。</w:t>
            </w:r>
          </w:p>
        </w:tc>
      </w:tr>
    </w:tbl>
    <w:p w14:paraId="003D76A0">
      <w:pPr>
        <w:wordWrap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6.合同履行期限：初步计划工期120日历天，具体开工日期及工期，以实际通知为准。</w:t>
      </w:r>
    </w:p>
    <w:p w14:paraId="2CF9BF6F">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7.本项目是否接受联合体：□是  </w:t>
      </w:r>
      <w:r>
        <w:rPr>
          <w:rFonts w:hint="eastAsia" w:ascii="宋体" w:hAnsi="宋体" w:cs="宋体"/>
          <w:b/>
          <w:sz w:val="24"/>
          <w:highlight w:val="none"/>
        </w:rPr>
        <w:t>■</w:t>
      </w:r>
      <w:r>
        <w:rPr>
          <w:rFonts w:hint="eastAsia" w:ascii="宋体" w:hAnsi="宋体" w:cs="宋体"/>
          <w:sz w:val="24"/>
          <w:highlight w:val="none"/>
        </w:rPr>
        <w:t>否。</w:t>
      </w:r>
    </w:p>
    <w:p w14:paraId="54867296">
      <w:pPr>
        <w:pStyle w:val="3"/>
        <w:wordWrap w:val="0"/>
        <w:spacing w:before="0" w:after="0" w:line="360" w:lineRule="auto"/>
        <w:jc w:val="left"/>
        <w:rPr>
          <w:rFonts w:hint="eastAsia" w:ascii="宋体" w:hAnsi="宋体" w:eastAsia="宋体" w:cs="宋体"/>
          <w:sz w:val="24"/>
          <w:szCs w:val="24"/>
          <w:highlight w:val="none"/>
        </w:rPr>
      </w:pPr>
      <w:bookmarkStart w:id="8" w:name="_Toc28359003"/>
      <w:bookmarkStart w:id="9" w:name="_Toc35393791"/>
      <w:bookmarkStart w:id="10" w:name="_Toc35393622"/>
      <w:bookmarkStart w:id="11" w:name="_Toc28359080"/>
      <w:r>
        <w:rPr>
          <w:rFonts w:hint="eastAsia" w:ascii="宋体" w:hAnsi="宋体" w:eastAsia="宋体" w:cs="宋体"/>
          <w:sz w:val="24"/>
          <w:szCs w:val="24"/>
          <w:highlight w:val="none"/>
        </w:rPr>
        <w:t>二、申请人的资格要求（须同时满足）</w:t>
      </w:r>
      <w:bookmarkEnd w:id="8"/>
      <w:bookmarkEnd w:id="9"/>
      <w:bookmarkEnd w:id="10"/>
      <w:bookmarkEnd w:id="11"/>
    </w:p>
    <w:p w14:paraId="6E99D63E">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054E3F29">
      <w:pPr>
        <w:wordWrap w:val="0"/>
        <w:spacing w:after="0" w:line="360" w:lineRule="auto"/>
        <w:ind w:firstLine="480" w:firstLineChars="200"/>
        <w:rPr>
          <w:rFonts w:hint="eastAsia" w:ascii="宋体" w:hAnsi="宋体" w:cs="宋体"/>
          <w:sz w:val="24"/>
          <w:highlight w:val="none"/>
        </w:rPr>
      </w:pPr>
      <w:bookmarkStart w:id="12" w:name="_Toc28359004"/>
      <w:bookmarkStart w:id="13" w:name="_Toc28359081"/>
      <w:r>
        <w:rPr>
          <w:rFonts w:hint="eastAsia" w:ascii="宋体" w:hAnsi="宋体" w:cs="宋体"/>
          <w:sz w:val="24"/>
          <w:highlight w:val="none"/>
        </w:rPr>
        <w:t>2.落实政府采购政策需满足的资格要求：</w:t>
      </w:r>
    </w:p>
    <w:p w14:paraId="47C2EDA8">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2.1 中小企业政策</w:t>
      </w:r>
    </w:p>
    <w:p w14:paraId="742EBE64">
      <w:pPr>
        <w:wordWrap w:val="0"/>
        <w:spacing w:after="0" w:line="360" w:lineRule="auto"/>
        <w:ind w:firstLine="420" w:firstLineChars="200"/>
        <w:rPr>
          <w:rFonts w:hint="eastAsia"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本项目不专门面向中小企业预留采购份额。</w:t>
      </w:r>
    </w:p>
    <w:p w14:paraId="5C72D58A">
      <w:pPr>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■本项目专门面向中小企业采购。即：提供的货物全部由符合政策要求的中小企业制造、服务全部由符合政策要求的中小企业承接。</w:t>
      </w:r>
    </w:p>
    <w:p w14:paraId="462011E5">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p>
    <w:p w14:paraId="73CD6E0A">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2.2 其它落实政府采购政策的资格要求（如有）：无。</w:t>
      </w:r>
    </w:p>
    <w:p w14:paraId="3614C16E">
      <w:pPr>
        <w:wordWrap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3.本项目的特定资格要求：</w:t>
      </w:r>
    </w:p>
    <w:p w14:paraId="4980D6B3">
      <w:pPr>
        <w:tabs>
          <w:tab w:val="left" w:pos="900"/>
          <w:tab w:val="left" w:pos="1134"/>
          <w:tab w:val="left" w:pos="1589"/>
          <w:tab w:val="left" w:pos="5521"/>
        </w:tabs>
        <w:wordWrap w:val="0"/>
        <w:snapToGrid w:val="0"/>
        <w:spacing w:after="0" w:line="360" w:lineRule="auto"/>
        <w:ind w:firstLine="420"/>
        <w:rPr>
          <w:rFonts w:hint="eastAsia" w:ascii="宋体" w:hAnsi="宋体" w:cs="宋体"/>
          <w:sz w:val="24"/>
          <w:highlight w:val="none"/>
        </w:rPr>
      </w:pPr>
      <w:r>
        <w:rPr>
          <w:rFonts w:hint="eastAsia" w:ascii="宋体" w:hAnsi="宋体" w:cs="宋体"/>
          <w:sz w:val="24"/>
          <w:highlight w:val="none"/>
        </w:rPr>
        <w:t>3.1本项目是否属于政府购买服务：</w:t>
      </w:r>
    </w:p>
    <w:p w14:paraId="135A1CB6">
      <w:pPr>
        <w:tabs>
          <w:tab w:val="left" w:pos="900"/>
          <w:tab w:val="left" w:pos="1134"/>
          <w:tab w:val="left" w:pos="1589"/>
          <w:tab w:val="left" w:pos="5521"/>
        </w:tabs>
        <w:wordWrap w:val="0"/>
        <w:snapToGrid w:val="0"/>
        <w:spacing w:after="0" w:line="360" w:lineRule="auto"/>
        <w:ind w:firstLine="420"/>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否</w:t>
      </w:r>
    </w:p>
    <w:p w14:paraId="372EB3C7">
      <w:pPr>
        <w:tabs>
          <w:tab w:val="left" w:pos="900"/>
          <w:tab w:val="left" w:pos="1134"/>
          <w:tab w:val="left" w:pos="1589"/>
          <w:tab w:val="left" w:pos="5521"/>
        </w:tabs>
        <w:wordWrap w:val="0"/>
        <w:snapToGrid w:val="0"/>
        <w:spacing w:after="0" w:line="360" w:lineRule="auto"/>
        <w:ind w:firstLine="420"/>
        <w:rPr>
          <w:rFonts w:hint="eastAsia"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14:paraId="2A149BF6">
      <w:pPr>
        <w:tabs>
          <w:tab w:val="left" w:pos="900"/>
          <w:tab w:val="left" w:pos="1134"/>
          <w:tab w:val="left" w:pos="1589"/>
          <w:tab w:val="left" w:pos="5521"/>
        </w:tabs>
        <w:wordWrap w:val="0"/>
        <w:snapToGrid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3.2其他特定资格要求：供应商需具备建筑施工总承包三级及以上资质并在人员、设备、资金等方面具备相应的施工能力，且具备有效的安全生产许可证。拟派的项目经理须具备建筑工程专业二级(含)以上注册建造师执业资格和有效的安全生产考核合格证书(B本)(供应商须提供有效的证书复印件，并加盖供应商单位公章)，且在确定为中标人时不得担任其他在施建设工程项目的项目经理。</w:t>
      </w:r>
    </w:p>
    <w:bookmarkEnd w:id="12"/>
    <w:bookmarkEnd w:id="13"/>
    <w:p w14:paraId="6272FCA5">
      <w:pPr>
        <w:pStyle w:val="3"/>
        <w:widowControl/>
        <w:wordWrap w:val="0"/>
        <w:spacing w:before="0" w:after="0" w:line="360" w:lineRule="auto"/>
        <w:jc w:val="left"/>
        <w:rPr>
          <w:rFonts w:hint="eastAsia" w:ascii="宋体" w:hAnsi="宋体" w:eastAsia="宋体" w:cs="宋体"/>
          <w:sz w:val="24"/>
          <w:szCs w:val="24"/>
          <w:highlight w:val="none"/>
        </w:rPr>
      </w:pPr>
      <w:bookmarkStart w:id="14" w:name="_Toc35393792"/>
      <w:bookmarkStart w:id="15" w:name="_Toc35393623"/>
      <w:r>
        <w:rPr>
          <w:rFonts w:hint="eastAsia" w:ascii="宋体" w:hAnsi="宋体" w:eastAsia="宋体" w:cs="宋体"/>
          <w:sz w:val="24"/>
          <w:szCs w:val="24"/>
          <w:highlight w:val="none"/>
        </w:rPr>
        <w:t>三、获取采购文件</w:t>
      </w:r>
      <w:bookmarkEnd w:id="14"/>
      <w:bookmarkEnd w:id="15"/>
    </w:p>
    <w:p w14:paraId="13988A97">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1.时间：2026年06月29日至2026年07月03日，每天上午09:30至12:00，下午12:00至16:00（北京时间，法定节假日除外）。</w:t>
      </w:r>
    </w:p>
    <w:p w14:paraId="5CF76E4A">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2.地点：北京市政府采购电子交易平台（http://zbcg-bjzc.zhongcy.com/bjczj-portal-site/index.html）</w:t>
      </w:r>
    </w:p>
    <w:p w14:paraId="64249E0C">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3.方式：供应商使用CA数字证书或电子营业执照登录北京市政府采购电子交易平台（http://zbcg-bjzc.zhongcy.com/bjczj-portal-site/index.html#/home）获取电子版竞争性磋商文件。</w:t>
      </w:r>
    </w:p>
    <w:p w14:paraId="6F056639">
      <w:pPr>
        <w:widowControl/>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4.售价：0元。</w:t>
      </w:r>
    </w:p>
    <w:p w14:paraId="058A4516">
      <w:pPr>
        <w:pStyle w:val="3"/>
        <w:widowControl/>
        <w:wordWrap w:val="0"/>
        <w:spacing w:before="0" w:after="0" w:line="360" w:lineRule="auto"/>
        <w:jc w:val="left"/>
        <w:rPr>
          <w:rFonts w:hint="eastAsia" w:ascii="宋体" w:hAnsi="宋体" w:eastAsia="宋体" w:cs="宋体"/>
          <w:sz w:val="24"/>
          <w:szCs w:val="24"/>
          <w:highlight w:val="none"/>
        </w:rPr>
      </w:pPr>
      <w:bookmarkStart w:id="16" w:name="_Toc28359082"/>
      <w:bookmarkStart w:id="17" w:name="_Toc35393624"/>
      <w:bookmarkStart w:id="18" w:name="_Toc35393793"/>
      <w:bookmarkStart w:id="19" w:name="_Toc28359005"/>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123D334E">
      <w:pPr>
        <w:wordWrap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截止时间：2026年07月09日14点00分（北京时间）。</w:t>
      </w:r>
    </w:p>
    <w:p w14:paraId="49008633">
      <w:pPr>
        <w:wordWrap w:val="0"/>
        <w:spacing w:after="0"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lang w:bidi="ar"/>
        </w:rPr>
        <w:t>地点：北京市政府采购电子交易平台</w:t>
      </w:r>
      <w:r>
        <w:rPr>
          <w:rFonts w:hint="eastAsia" w:ascii="宋体" w:hAnsi="宋体" w:cs="宋体"/>
          <w:sz w:val="24"/>
          <w:highlight w:val="none"/>
          <w:lang w:val="zh-TW" w:bidi="ar"/>
        </w:rPr>
        <w:t>。</w:t>
      </w:r>
    </w:p>
    <w:p w14:paraId="10D56B6A">
      <w:pPr>
        <w:pStyle w:val="3"/>
        <w:wordWrap w:val="0"/>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1111DAD4">
      <w:pPr>
        <w:wordWrap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时间：2026年07月09日14点00分（北京时间）。</w:t>
      </w:r>
    </w:p>
    <w:p w14:paraId="404BE95F">
      <w:pPr>
        <w:wordWrap w:val="0"/>
        <w:spacing w:after="0"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lang w:bidi="ar"/>
        </w:rPr>
        <w:t>地点：北京市政府采购电子交易平台</w:t>
      </w:r>
      <w:r>
        <w:rPr>
          <w:rFonts w:hint="eastAsia" w:ascii="宋体" w:hAnsi="宋体" w:cs="宋体"/>
          <w:sz w:val="24"/>
          <w:highlight w:val="none"/>
          <w:lang w:val="zh-TW" w:bidi="ar"/>
        </w:rPr>
        <w:t>。</w:t>
      </w:r>
    </w:p>
    <w:p w14:paraId="45BA68AC">
      <w:pPr>
        <w:pStyle w:val="3"/>
        <w:wordWrap w:val="0"/>
        <w:spacing w:before="0" w:after="0" w:line="360" w:lineRule="auto"/>
        <w:jc w:val="left"/>
        <w:rPr>
          <w:rFonts w:hint="eastAsia" w:ascii="宋体" w:hAnsi="宋体" w:eastAsia="宋体" w:cs="宋体"/>
          <w:sz w:val="24"/>
          <w:szCs w:val="24"/>
          <w:highlight w:val="none"/>
        </w:rPr>
      </w:pPr>
      <w:bookmarkStart w:id="20" w:name="_Toc35393625"/>
      <w:bookmarkStart w:id="21" w:name="_Toc28359007"/>
      <w:bookmarkStart w:id="22" w:name="_Toc28359084"/>
      <w:bookmarkStart w:id="23" w:name="_Toc35393794"/>
      <w:r>
        <w:rPr>
          <w:rFonts w:hint="eastAsia" w:ascii="宋体" w:hAnsi="宋体" w:eastAsia="宋体" w:cs="宋体"/>
          <w:sz w:val="24"/>
          <w:szCs w:val="24"/>
          <w:highlight w:val="none"/>
        </w:rPr>
        <w:t>六、公告期限</w:t>
      </w:r>
      <w:bookmarkEnd w:id="20"/>
      <w:bookmarkEnd w:id="21"/>
      <w:bookmarkEnd w:id="22"/>
      <w:bookmarkEnd w:id="23"/>
    </w:p>
    <w:p w14:paraId="5C3340B2">
      <w:pPr>
        <w:wordWrap w:val="0"/>
        <w:spacing w:after="0"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自本公告发布之日起3个工作日。</w:t>
      </w:r>
    </w:p>
    <w:p w14:paraId="74938D01">
      <w:pPr>
        <w:pStyle w:val="3"/>
        <w:wordWrap w:val="0"/>
        <w:spacing w:before="0" w:after="0" w:line="360" w:lineRule="auto"/>
        <w:jc w:val="left"/>
        <w:rPr>
          <w:rFonts w:hint="eastAsia" w:ascii="宋体" w:hAnsi="宋体" w:eastAsia="宋体" w:cs="宋体"/>
          <w:sz w:val="24"/>
          <w:szCs w:val="24"/>
          <w:highlight w:val="none"/>
        </w:rPr>
      </w:pPr>
      <w:bookmarkStart w:id="24" w:name="_Toc35393795"/>
      <w:bookmarkStart w:id="25" w:name="_Toc35393626"/>
      <w:r>
        <w:rPr>
          <w:rFonts w:hint="eastAsia" w:ascii="宋体" w:hAnsi="宋体" w:eastAsia="宋体" w:cs="宋体"/>
          <w:sz w:val="24"/>
          <w:szCs w:val="24"/>
          <w:highlight w:val="none"/>
        </w:rPr>
        <w:t>七、其他补充事宜</w:t>
      </w:r>
      <w:bookmarkEnd w:id="24"/>
      <w:bookmarkEnd w:id="25"/>
    </w:p>
    <w:p w14:paraId="2A8988F0">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政府采购促进中小企业发展管理办法》（财库[2020]46号）《关于推进政府采购合同线上融资有关工作的通知》（京财采购〔2023〕637号）《国务院办公厅关于在政府采购中实施本国产品标准及相关政策的通知》（国办发〔2025〕34号）财政部关于推动解决政府采购异常低价问题的通知》（财办库〔2026〕2号）及其他相关法律法规</w:t>
      </w:r>
      <w:r>
        <w:rPr>
          <w:rFonts w:hint="eastAsia" w:ascii="宋体" w:hAnsi="宋体" w:cs="宋体"/>
          <w:sz w:val="24"/>
          <w:highlight w:val="none"/>
          <w:lang w:bidi="ar"/>
        </w:rPr>
        <w:t>。</w:t>
      </w:r>
      <w:r>
        <w:rPr>
          <w:rFonts w:hint="eastAsia" w:ascii="宋体" w:hAnsi="宋体" w:cs="宋体"/>
          <w:sz w:val="24"/>
          <w:highlight w:val="none"/>
        </w:rPr>
        <w:t xml:space="preserve"> </w:t>
      </w:r>
    </w:p>
    <w:p w14:paraId="544A8CD3">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lang w:bidi="ar"/>
        </w:rPr>
        <w:t>2.本项目招标公告在《中国政府采购网》《北京市政府采购网》发布</w:t>
      </w:r>
      <w:r>
        <w:rPr>
          <w:rFonts w:hint="eastAsia" w:ascii="宋体" w:hAnsi="宋体" w:cs="宋体"/>
          <w:sz w:val="24"/>
          <w:highlight w:val="none"/>
          <w:lang w:eastAsia="zh-TW"/>
        </w:rPr>
        <w:t>。</w:t>
      </w:r>
    </w:p>
    <w:p w14:paraId="3FFE12CC">
      <w:pPr>
        <w:widowControl/>
        <w:adjustRightInd w:val="0"/>
        <w:snapToGrid w:val="0"/>
        <w:spacing w:after="0" w:line="360" w:lineRule="auto"/>
        <w:ind w:firstLine="480" w:firstLineChars="200"/>
        <w:jc w:val="left"/>
        <w:rPr>
          <w:bCs/>
          <w:sz w:val="24"/>
          <w:highlight w:val="none"/>
          <w:lang w:bidi="ar"/>
        </w:rPr>
      </w:pPr>
      <w:r>
        <w:rPr>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14:paraId="4CAC241C">
      <w:pPr>
        <w:adjustRightInd w:val="0"/>
        <w:snapToGrid w:val="0"/>
        <w:spacing w:after="0" w:line="360" w:lineRule="auto"/>
        <w:ind w:firstLine="480" w:firstLineChars="200"/>
        <w:rPr>
          <w:sz w:val="24"/>
          <w:highlight w:val="none"/>
        </w:rPr>
      </w:pPr>
      <w:r>
        <w:rPr>
          <w:sz w:val="24"/>
          <w:highlight w:val="none"/>
          <w:lang w:bidi="ar"/>
        </w:rPr>
        <w:t>CA数字证书服务热线 010-58511086</w:t>
      </w:r>
    </w:p>
    <w:p w14:paraId="10A5AC12">
      <w:pPr>
        <w:adjustRightInd w:val="0"/>
        <w:snapToGrid w:val="0"/>
        <w:spacing w:after="0" w:line="360" w:lineRule="auto"/>
        <w:ind w:firstLine="480" w:firstLineChars="200"/>
        <w:rPr>
          <w:sz w:val="24"/>
          <w:highlight w:val="none"/>
        </w:rPr>
      </w:pPr>
      <w:r>
        <w:rPr>
          <w:sz w:val="24"/>
          <w:highlight w:val="none"/>
          <w:lang w:bidi="ar"/>
        </w:rPr>
        <w:t>电子营业执照服务热线 400-699-7000</w:t>
      </w:r>
    </w:p>
    <w:p w14:paraId="413EBC9B">
      <w:pPr>
        <w:adjustRightInd w:val="0"/>
        <w:snapToGrid w:val="0"/>
        <w:spacing w:after="0" w:line="360" w:lineRule="auto"/>
        <w:ind w:firstLine="480" w:firstLineChars="200"/>
        <w:rPr>
          <w:sz w:val="24"/>
          <w:highlight w:val="none"/>
        </w:rPr>
      </w:pPr>
      <w:r>
        <w:rPr>
          <w:sz w:val="24"/>
          <w:highlight w:val="none"/>
          <w:lang w:bidi="ar"/>
        </w:rPr>
        <w:t xml:space="preserve">技术支持服务热线    010-86483801    </w:t>
      </w:r>
    </w:p>
    <w:p w14:paraId="36B65919">
      <w:pPr>
        <w:widowControl/>
        <w:adjustRightInd w:val="0"/>
        <w:snapToGrid w:val="0"/>
        <w:spacing w:after="0" w:line="360" w:lineRule="auto"/>
        <w:ind w:firstLine="480" w:firstLineChars="200"/>
        <w:jc w:val="left"/>
        <w:rPr>
          <w:sz w:val="24"/>
          <w:highlight w:val="none"/>
          <w:lang w:bidi="ar"/>
        </w:rPr>
      </w:pPr>
      <w:r>
        <w:rPr>
          <w:sz w:val="24"/>
          <w:highlight w:val="none"/>
          <w:lang w:bidi="ar"/>
        </w:rPr>
        <w:t>3.1办理CA数字证书或电子营业执照</w:t>
      </w:r>
    </w:p>
    <w:p w14:paraId="39612D99">
      <w:pPr>
        <w:widowControl/>
        <w:adjustRightInd w:val="0"/>
        <w:snapToGrid w:val="0"/>
        <w:spacing w:after="0"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 /“电子营业执照使用指南”，按照程序要求办理。</w:t>
      </w:r>
    </w:p>
    <w:p w14:paraId="655C6F6D">
      <w:pPr>
        <w:adjustRightInd w:val="0"/>
        <w:snapToGrid w:val="0"/>
        <w:spacing w:after="0" w:line="360" w:lineRule="auto"/>
        <w:ind w:firstLine="480" w:firstLineChars="200"/>
        <w:rPr>
          <w:sz w:val="24"/>
          <w:highlight w:val="none"/>
          <w:lang w:bidi="ar"/>
        </w:rPr>
      </w:pPr>
      <w:r>
        <w:rPr>
          <w:sz w:val="24"/>
          <w:highlight w:val="none"/>
          <w:lang w:bidi="ar"/>
        </w:rPr>
        <w:t>3.2注册</w:t>
      </w:r>
    </w:p>
    <w:p w14:paraId="10D9776F">
      <w:pPr>
        <w:adjustRightInd w:val="0"/>
        <w:snapToGrid w:val="0"/>
        <w:spacing w:after="0"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14:paraId="78B8C4DB">
      <w:pPr>
        <w:widowControl/>
        <w:adjustRightInd w:val="0"/>
        <w:snapToGrid w:val="0"/>
        <w:spacing w:after="0" w:line="360" w:lineRule="auto"/>
        <w:ind w:firstLine="480" w:firstLineChars="200"/>
        <w:jc w:val="left"/>
        <w:rPr>
          <w:sz w:val="24"/>
          <w:highlight w:val="none"/>
          <w:lang w:bidi="ar"/>
        </w:rPr>
      </w:pPr>
      <w:r>
        <w:rPr>
          <w:sz w:val="24"/>
          <w:highlight w:val="none"/>
          <w:lang w:bidi="ar"/>
        </w:rPr>
        <w:t>3.3驱动、客户端下载</w:t>
      </w:r>
    </w:p>
    <w:p w14:paraId="60E3B4CA">
      <w:pPr>
        <w:widowControl/>
        <w:adjustRightInd w:val="0"/>
        <w:snapToGrid w:val="0"/>
        <w:spacing w:after="0"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14:paraId="06347C41">
      <w:pPr>
        <w:adjustRightInd w:val="0"/>
        <w:snapToGrid w:val="0"/>
        <w:spacing w:after="0"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14:paraId="1B088D9E">
      <w:pPr>
        <w:adjustRightInd w:val="0"/>
        <w:snapToGrid w:val="0"/>
        <w:spacing w:after="0" w:line="360" w:lineRule="auto"/>
        <w:ind w:firstLine="480" w:firstLineChars="200"/>
        <w:rPr>
          <w:sz w:val="24"/>
          <w:highlight w:val="none"/>
          <w:lang w:bidi="ar"/>
        </w:rPr>
      </w:pPr>
      <w:r>
        <w:rPr>
          <w:sz w:val="24"/>
          <w:highlight w:val="none"/>
          <w:lang w:bidi="ar"/>
        </w:rPr>
        <w:t>3.4 获取电子竞争性磋商文件</w:t>
      </w:r>
    </w:p>
    <w:p w14:paraId="1459C75C">
      <w:pPr>
        <w:adjustRightInd w:val="0"/>
        <w:snapToGrid w:val="0"/>
        <w:spacing w:after="0"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供应商使用CA数字证书或电子营业执照登录北京市政府采购电子交易平台获取电子竞争性磋商文件。</w:t>
      </w:r>
    </w:p>
    <w:p w14:paraId="55801D32">
      <w:pPr>
        <w:adjustRightInd w:val="0"/>
        <w:snapToGrid w:val="0"/>
        <w:spacing w:after="0" w:line="360" w:lineRule="auto"/>
        <w:ind w:firstLine="480" w:firstLineChars="200"/>
        <w:rPr>
          <w:sz w:val="24"/>
          <w:highlight w:val="none"/>
          <w:lang w:bidi="ar"/>
        </w:rPr>
      </w:pPr>
      <w:r>
        <w:rPr>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526DA925">
      <w:pPr>
        <w:adjustRightInd w:val="0"/>
        <w:snapToGrid w:val="0"/>
        <w:spacing w:after="0" w:line="360" w:lineRule="auto"/>
        <w:ind w:firstLine="480" w:firstLineChars="200"/>
        <w:rPr>
          <w:sz w:val="24"/>
          <w:highlight w:val="none"/>
          <w:lang w:bidi="ar"/>
        </w:rPr>
      </w:pPr>
      <w:r>
        <w:rPr>
          <w:sz w:val="24"/>
          <w:highlight w:val="none"/>
          <w:lang w:bidi="ar"/>
        </w:rPr>
        <w:t>3.5编制电子响应文件</w:t>
      </w:r>
    </w:p>
    <w:p w14:paraId="73DD2902">
      <w:pPr>
        <w:adjustRightInd w:val="0"/>
        <w:snapToGrid w:val="0"/>
        <w:spacing w:after="0" w:line="360" w:lineRule="auto"/>
        <w:ind w:firstLine="480" w:firstLineChars="200"/>
        <w:rPr>
          <w:sz w:val="24"/>
          <w:highlight w:val="none"/>
          <w:lang w:bidi="ar"/>
        </w:rPr>
      </w:pPr>
      <w:r>
        <w:rPr>
          <w:sz w:val="24"/>
          <w:highlight w:val="none"/>
          <w:lang w:bidi="ar"/>
        </w:rPr>
        <w:t>供应商应使用电子投标客户端编制电子响应文件并进行线上响应，供应商电子响应文件需要加密并加盖电子签章</w:t>
      </w:r>
      <w:r>
        <w:rPr>
          <w:bCs/>
          <w:sz w:val="24"/>
          <w:highlight w:val="none"/>
          <w:lang w:bidi="ar"/>
        </w:rPr>
        <w:t>，如无法按照要求在电子响应文件中加盖电子签章和加密，请及时通过技术支持服务热线联系技术人员</w:t>
      </w:r>
      <w:r>
        <w:rPr>
          <w:sz w:val="24"/>
          <w:highlight w:val="none"/>
          <w:lang w:bidi="ar"/>
        </w:rPr>
        <w:t>。</w:t>
      </w:r>
    </w:p>
    <w:p w14:paraId="5597E7E0">
      <w:pPr>
        <w:widowControl/>
        <w:spacing w:after="0" w:line="360" w:lineRule="auto"/>
        <w:ind w:firstLine="480" w:firstLineChars="200"/>
        <w:jc w:val="left"/>
        <w:rPr>
          <w:sz w:val="24"/>
          <w:highlight w:val="none"/>
          <w:lang w:val="zh-TW" w:bidi="ar"/>
        </w:rPr>
      </w:pPr>
      <w:r>
        <w:rPr>
          <w:sz w:val="24"/>
          <w:highlight w:val="none"/>
          <w:lang w:val="zh-TW" w:eastAsia="zh-TW" w:bidi="ar"/>
        </w:rPr>
        <w:t>3.6</w:t>
      </w:r>
      <w:r>
        <w:rPr>
          <w:sz w:val="24"/>
          <w:highlight w:val="none"/>
          <w:lang w:val="zh-TW" w:bidi="ar"/>
        </w:rPr>
        <w:t>提交电子响应文件</w:t>
      </w:r>
    </w:p>
    <w:p w14:paraId="1167DAC2">
      <w:pPr>
        <w:widowControl/>
        <w:spacing w:after="0" w:line="360" w:lineRule="auto"/>
        <w:ind w:firstLine="480" w:firstLineChars="200"/>
        <w:jc w:val="left"/>
        <w:rPr>
          <w:sz w:val="24"/>
          <w:highlight w:val="none"/>
          <w:lang w:bidi="ar"/>
        </w:rPr>
      </w:pPr>
      <w:r>
        <w:rPr>
          <w:sz w:val="24"/>
          <w:highlight w:val="none"/>
          <w:lang w:bidi="ar"/>
        </w:rPr>
        <w:t>供应商应于</w:t>
      </w:r>
      <w:r>
        <w:rPr>
          <w:sz w:val="24"/>
          <w:highlight w:val="none"/>
        </w:rPr>
        <w:t>响应文件提交</w:t>
      </w:r>
      <w:r>
        <w:rPr>
          <w:sz w:val="24"/>
          <w:highlight w:val="none"/>
          <w:lang w:bidi="ar"/>
        </w:rPr>
        <w:t>截止时间前在北京市政府采购电子交易平台提交电子响应文件，上传电子响应文件过程中请保持与互联网的连接畅通。</w:t>
      </w:r>
    </w:p>
    <w:p w14:paraId="3717D3AA">
      <w:pPr>
        <w:spacing w:after="0" w:line="360" w:lineRule="auto"/>
        <w:ind w:firstLine="480" w:firstLineChars="200"/>
        <w:rPr>
          <w:sz w:val="24"/>
          <w:highlight w:val="none"/>
          <w:lang w:eastAsia="zh-TW"/>
        </w:rPr>
      </w:pPr>
      <w:r>
        <w:rPr>
          <w:sz w:val="24"/>
          <w:highlight w:val="none"/>
          <w:lang w:val="zh-TW" w:bidi="ar"/>
        </w:rPr>
        <w:t>3.</w:t>
      </w:r>
      <w:r>
        <w:rPr>
          <w:sz w:val="24"/>
          <w:highlight w:val="none"/>
          <w:lang w:val="zh-TW" w:eastAsia="zh-TW" w:bidi="ar"/>
        </w:rPr>
        <w:t>7</w:t>
      </w:r>
      <w:r>
        <w:rPr>
          <w:sz w:val="24"/>
          <w:highlight w:val="none"/>
          <w:lang w:val="zh-TW" w:bidi="ar"/>
        </w:rPr>
        <w:t>开启响应文件</w:t>
      </w:r>
    </w:p>
    <w:p w14:paraId="26CD5FD7">
      <w:pPr>
        <w:wordWrap w:val="0"/>
        <w:spacing w:after="0" w:line="360" w:lineRule="auto"/>
        <w:ind w:firstLine="480" w:firstLineChars="200"/>
        <w:rPr>
          <w:rFonts w:hint="eastAsia" w:ascii="宋体" w:hAnsi="宋体" w:cs="宋体"/>
          <w:sz w:val="24"/>
          <w:highlight w:val="none"/>
          <w:lang w:bidi="ar"/>
        </w:rPr>
      </w:pPr>
      <w:r>
        <w:rPr>
          <w:sz w:val="24"/>
          <w:highlight w:val="none"/>
        </w:rPr>
        <w:t>供应商于</w:t>
      </w:r>
      <w:r>
        <w:rPr>
          <w:sz w:val="24"/>
          <w:highlight w:val="none"/>
          <w:lang w:val="zh-TW" w:bidi="ar"/>
        </w:rPr>
        <w:t>磋商文件规定的开启时间、在开启地点使用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北京市政府采购电子交易平台解密并开启响应文件。如因供应商问题，解密不成功，则</w:t>
      </w:r>
      <w:r>
        <w:rPr>
          <w:b/>
          <w:sz w:val="24"/>
          <w:highlight w:val="none"/>
          <w:lang w:bidi="ar"/>
        </w:rPr>
        <w:t>响应无效</w:t>
      </w:r>
      <w:r>
        <w:rPr>
          <w:rFonts w:hint="eastAsia" w:ascii="宋体" w:hAnsi="宋体" w:cs="宋体"/>
          <w:sz w:val="24"/>
          <w:highlight w:val="none"/>
          <w:lang w:bidi="ar"/>
        </w:rPr>
        <w:t>。</w:t>
      </w:r>
    </w:p>
    <w:p w14:paraId="694F637B">
      <w:pPr>
        <w:wordWrap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4.采购人监督管理部门联系人和联系电话:陈警官010-82588239</w:t>
      </w:r>
    </w:p>
    <w:p w14:paraId="6EADE33D">
      <w:pPr>
        <w:pStyle w:val="3"/>
        <w:wordWrap w:val="0"/>
        <w:spacing w:before="0" w:after="0" w:line="360" w:lineRule="auto"/>
        <w:jc w:val="left"/>
        <w:rPr>
          <w:rFonts w:hint="eastAsia" w:ascii="宋体" w:hAnsi="宋体" w:eastAsia="宋体" w:cs="宋体"/>
          <w:sz w:val="24"/>
          <w:szCs w:val="24"/>
          <w:highlight w:val="none"/>
        </w:rPr>
      </w:pPr>
      <w:bookmarkStart w:id="26" w:name="_Toc28359008"/>
      <w:bookmarkStart w:id="27" w:name="_Toc35393627"/>
      <w:bookmarkStart w:id="28" w:name="_Toc35393796"/>
      <w:bookmarkStart w:id="29" w:name="_Toc28359085"/>
      <w:r>
        <w:rPr>
          <w:rFonts w:hint="eastAsia" w:ascii="宋体" w:hAnsi="宋体" w:eastAsia="宋体" w:cs="宋体"/>
          <w:sz w:val="24"/>
          <w:szCs w:val="24"/>
          <w:highlight w:val="none"/>
        </w:rPr>
        <w:t>八、对本项目提出询问，请按以下方式联系。</w:t>
      </w:r>
      <w:bookmarkEnd w:id="26"/>
      <w:bookmarkEnd w:id="27"/>
      <w:bookmarkEnd w:id="28"/>
      <w:bookmarkEnd w:id="29"/>
    </w:p>
    <w:p w14:paraId="65006536">
      <w:pPr>
        <w:widowControl/>
        <w:wordWrap w:val="0"/>
        <w:spacing w:after="0"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1E95E788">
      <w:pPr>
        <w:wordWrap w:val="0"/>
        <w:spacing w:after="0" w:line="360" w:lineRule="auto"/>
        <w:ind w:left="1079" w:leftChars="371" w:hanging="300" w:hangingChars="125"/>
        <w:jc w:val="left"/>
        <w:rPr>
          <w:rFonts w:hint="eastAsia" w:ascii="宋体" w:hAnsi="宋体" w:cs="宋体"/>
          <w:sz w:val="24"/>
          <w:highlight w:val="none"/>
        </w:rPr>
      </w:pPr>
      <w:bookmarkStart w:id="30" w:name="_Toc28359009"/>
      <w:bookmarkStart w:id="31" w:name="_Toc28359086"/>
      <w:r>
        <w:rPr>
          <w:rFonts w:hint="eastAsia" w:ascii="宋体" w:hAnsi="宋体" w:cs="宋体"/>
          <w:sz w:val="24"/>
          <w:highlight w:val="none"/>
        </w:rPr>
        <w:t>名    称：北京市公安局海淀分局</w:t>
      </w:r>
    </w:p>
    <w:p w14:paraId="55ADB731">
      <w:pPr>
        <w:wordWrap w:val="0"/>
        <w:spacing w:after="0"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址：北京市海淀区长春桥路15号</w:t>
      </w:r>
    </w:p>
    <w:p w14:paraId="020488A9">
      <w:pPr>
        <w:wordWrap w:val="0"/>
        <w:spacing w:after="0" w:line="360" w:lineRule="auto"/>
        <w:ind w:left="1079" w:leftChars="371" w:hanging="300" w:hangingChars="125"/>
        <w:jc w:val="left"/>
        <w:rPr>
          <w:rFonts w:hint="eastAsia" w:ascii="宋体" w:hAnsi="宋体" w:cs="宋体"/>
          <w:sz w:val="24"/>
          <w:highlight w:val="none"/>
          <w:u w:val="single"/>
        </w:rPr>
      </w:pPr>
      <w:r>
        <w:rPr>
          <w:rFonts w:hint="eastAsia" w:ascii="宋体" w:hAnsi="宋体" w:cs="宋体"/>
          <w:sz w:val="24"/>
          <w:highlight w:val="none"/>
        </w:rPr>
        <w:t>联系方式： 王警官010-</w:t>
      </w:r>
      <w:r>
        <w:rPr>
          <w:rFonts w:ascii="宋体" w:hAnsi="宋体" w:cs="宋体"/>
          <w:sz w:val="24"/>
          <w:highlight w:val="none"/>
        </w:rPr>
        <w:t>82519261</w:t>
      </w:r>
    </w:p>
    <w:bookmarkEnd w:id="30"/>
    <w:bookmarkEnd w:id="31"/>
    <w:p w14:paraId="5D988877">
      <w:pPr>
        <w:wordWrap w:val="0"/>
        <w:spacing w:after="0" w:line="360" w:lineRule="auto"/>
        <w:ind w:left="1080" w:leftChars="371" w:hanging="301" w:hangingChars="125"/>
        <w:jc w:val="left"/>
        <w:rPr>
          <w:rFonts w:hint="eastAsia" w:ascii="宋体" w:hAnsi="宋体" w:cs="宋体"/>
          <w:b/>
          <w:sz w:val="24"/>
          <w:highlight w:val="none"/>
        </w:rPr>
      </w:pPr>
      <w:r>
        <w:rPr>
          <w:rFonts w:hint="eastAsia" w:ascii="宋体" w:hAnsi="宋体" w:cs="宋体"/>
          <w:b/>
          <w:sz w:val="24"/>
          <w:highlight w:val="none"/>
        </w:rPr>
        <w:t>2.采购代理机构信息</w:t>
      </w:r>
    </w:p>
    <w:p w14:paraId="0126CCB4">
      <w:pPr>
        <w:wordWrap w:val="0"/>
        <w:spacing w:after="0" w:line="360" w:lineRule="auto"/>
        <w:ind w:left="1079" w:leftChars="371" w:hanging="300" w:hangingChars="125"/>
        <w:jc w:val="left"/>
        <w:rPr>
          <w:rFonts w:hint="eastAsia" w:ascii="宋体" w:hAnsi="宋体" w:cs="宋体"/>
          <w:sz w:val="24"/>
          <w:highlight w:val="none"/>
        </w:rPr>
      </w:pPr>
      <w:bookmarkStart w:id="32" w:name="_Toc28359010"/>
      <w:bookmarkStart w:id="33" w:name="_Toc28359087"/>
      <w:r>
        <w:rPr>
          <w:rFonts w:hint="eastAsia" w:ascii="宋体" w:hAnsi="宋体" w:cs="宋体"/>
          <w:sz w:val="24"/>
          <w:highlight w:val="none"/>
        </w:rPr>
        <w:t>名    称：北京德音工程咨询有限公司</w:t>
      </w:r>
    </w:p>
    <w:p w14:paraId="10A31683">
      <w:pPr>
        <w:wordWrap w:val="0"/>
        <w:spacing w:after="0"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kern w:val="0"/>
          <w:sz w:val="24"/>
          <w:highlight w:val="none"/>
        </w:rPr>
        <w:t>北京市丰台区科技园工商联大厦B座1401室</w:t>
      </w:r>
    </w:p>
    <w:p w14:paraId="6144A13E">
      <w:pPr>
        <w:wordWrap w:val="0"/>
        <w:spacing w:after="0" w:line="360" w:lineRule="auto"/>
        <w:ind w:left="1079" w:leftChars="371" w:hanging="300" w:hangingChars="125"/>
        <w:jc w:val="left"/>
        <w:rPr>
          <w:rFonts w:hint="eastAsia" w:ascii="宋体" w:hAnsi="宋体" w:cs="宋体"/>
          <w:sz w:val="24"/>
          <w:highlight w:val="none"/>
          <w:u w:val="single"/>
        </w:rPr>
      </w:pPr>
      <w:r>
        <w:rPr>
          <w:rFonts w:hint="eastAsia" w:ascii="宋体" w:hAnsi="宋体" w:cs="宋体"/>
          <w:sz w:val="24"/>
          <w:highlight w:val="none"/>
        </w:rPr>
        <w:t>联系方式：</w:t>
      </w:r>
      <w:r>
        <w:rPr>
          <w:rFonts w:hint="eastAsia" w:ascii="宋体" w:hAnsi="宋体" w:cs="宋体"/>
          <w:kern w:val="0"/>
          <w:sz w:val="24"/>
          <w:highlight w:val="none"/>
        </w:rPr>
        <w:t>010-53600601</w:t>
      </w:r>
    </w:p>
    <w:p w14:paraId="5BF5E22B">
      <w:pPr>
        <w:wordWrap w:val="0"/>
        <w:spacing w:after="0" w:line="360" w:lineRule="auto"/>
        <w:ind w:firstLine="723" w:firstLineChars="300"/>
        <w:rPr>
          <w:rFonts w:hint="eastAsia" w:ascii="宋体" w:hAnsi="宋体" w:cs="宋体"/>
          <w:b/>
          <w:sz w:val="24"/>
          <w:highlight w:val="none"/>
          <w:u w:val="single"/>
        </w:rPr>
      </w:pPr>
      <w:r>
        <w:rPr>
          <w:rFonts w:hint="eastAsia" w:ascii="宋体" w:hAnsi="宋体" w:cs="宋体"/>
          <w:b/>
          <w:sz w:val="24"/>
          <w:highlight w:val="none"/>
        </w:rPr>
        <w:t>3.项目联系方式</w:t>
      </w:r>
      <w:bookmarkEnd w:id="32"/>
      <w:bookmarkEnd w:id="33"/>
    </w:p>
    <w:p w14:paraId="1E351D26">
      <w:pPr>
        <w:pStyle w:val="23"/>
        <w:wordWrap w:val="0"/>
        <w:spacing w:after="0" w:line="360" w:lineRule="auto"/>
        <w:ind w:firstLine="720" w:firstLineChars="300"/>
        <w:rPr>
          <w:rFonts w:hAnsi="宋体" w:cs="宋体"/>
          <w:sz w:val="24"/>
          <w:szCs w:val="24"/>
          <w:highlight w:val="none"/>
        </w:rPr>
      </w:pPr>
      <w:r>
        <w:rPr>
          <w:rFonts w:hAnsi="宋体" w:cs="宋体"/>
          <w:sz w:val="24"/>
          <w:szCs w:val="24"/>
          <w:highlight w:val="none"/>
        </w:rPr>
        <w:t>项目联系人：武冠雄、丁鑫龙</w:t>
      </w:r>
    </w:p>
    <w:p w14:paraId="5042DC76">
      <w:pPr>
        <w:pStyle w:val="23"/>
        <w:wordWrap w:val="0"/>
        <w:spacing w:after="0" w:line="360" w:lineRule="auto"/>
        <w:ind w:left="1076" w:leftChars="371" w:hanging="297" w:hangingChars="124"/>
        <w:rPr>
          <w:rFonts w:hAnsi="宋体" w:cs="宋体"/>
          <w:sz w:val="24"/>
          <w:szCs w:val="24"/>
          <w:highlight w:val="none"/>
        </w:rPr>
      </w:pPr>
      <w:r>
        <w:rPr>
          <w:rFonts w:hAnsi="宋体" w:cs="宋体"/>
          <w:sz w:val="24"/>
          <w:highlight w:val="none"/>
        </w:rPr>
        <w:t>电      话：010-</w:t>
      </w:r>
      <w:r>
        <w:rPr>
          <w:rFonts w:hAnsi="宋体" w:cs="宋体"/>
          <w:kern w:val="0"/>
          <w:sz w:val="24"/>
          <w:highlight w:val="none"/>
        </w:rPr>
        <w:t>5360060</w:t>
      </w:r>
      <w:r>
        <w:rPr>
          <w:rFonts w:hAnsi="宋体" w:cs="宋体"/>
          <w:kern w:val="0"/>
          <w:sz w:val="24"/>
          <w:szCs w:val="24"/>
          <w:highlight w:val="none"/>
        </w:rPr>
        <w:t>1</w:t>
      </w:r>
      <w:r>
        <w:rPr>
          <w:rFonts w:hAnsi="宋体" w:cs="宋体"/>
          <w:sz w:val="24"/>
          <w:szCs w:val="24"/>
          <w:highlight w:val="none"/>
        </w:rPr>
        <w:t xml:space="preserve"> </w:t>
      </w:r>
    </w:p>
    <w:p w14:paraId="7B914330">
      <w:pPr>
        <w:wordWrap w:val="0"/>
        <w:spacing w:after="0" w:line="360" w:lineRule="auto"/>
        <w:ind w:firstLine="5880" w:firstLineChars="2450"/>
        <w:jc w:val="right"/>
        <w:rPr>
          <w:rFonts w:hint="eastAsia" w:ascii="宋体" w:hAnsi="宋体" w:cs="宋体"/>
          <w:sz w:val="24"/>
          <w:highlight w:val="none"/>
        </w:rPr>
      </w:pPr>
    </w:p>
    <w:p w14:paraId="706F5C7D">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0" w:footer="992" w:gutter="0"/>
          <w:pgNumType w:start="1"/>
          <w:cols w:space="720" w:num="1"/>
          <w:docGrid w:linePitch="462" w:charSpace="0"/>
        </w:sectPr>
      </w:pPr>
      <w:bookmarkStart w:id="34" w:name="_Toc264969275"/>
      <w:bookmarkStart w:id="35" w:name="_Toc305158928"/>
      <w:bookmarkStart w:id="36" w:name="_Toc226965856"/>
      <w:bookmarkStart w:id="37" w:name="_Toc353825548"/>
      <w:bookmarkStart w:id="38" w:name="_Toc353873938"/>
      <w:bookmarkStart w:id="39" w:name="_Toc195842950"/>
      <w:bookmarkStart w:id="40" w:name="_Toc305158854"/>
      <w:bookmarkStart w:id="41" w:name="_Toc127161488"/>
      <w:bookmarkStart w:id="42" w:name="_Toc265228423"/>
      <w:bookmarkStart w:id="43" w:name="_Toc150774783"/>
      <w:bookmarkStart w:id="44" w:name="_Toc127151777"/>
      <w:bookmarkStart w:id="45" w:name="_Toc512937850"/>
    </w:p>
    <w:p w14:paraId="178946C1">
      <w:pPr>
        <w:wordWrap w:val="0"/>
        <w:spacing w:after="0" w:line="360" w:lineRule="auto"/>
        <w:jc w:val="center"/>
        <w:outlineLvl w:val="0"/>
        <w:rPr>
          <w:rFonts w:hint="eastAsia" w:ascii="宋体" w:hAnsi="宋体" w:cs="宋体"/>
          <w:b/>
          <w:sz w:val="32"/>
          <w:szCs w:val="32"/>
          <w:highlight w:val="none"/>
        </w:rPr>
      </w:pPr>
      <w:bookmarkStart w:id="46" w:name="_Toc27152"/>
      <w:r>
        <w:rPr>
          <w:rFonts w:hint="eastAsia" w:ascii="宋体" w:hAnsi="宋体" w:cs="宋体"/>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104809E5">
      <w:pPr>
        <w:pStyle w:val="3"/>
        <w:tabs>
          <w:tab w:val="center" w:pos="4592"/>
          <w:tab w:val="left" w:pos="7860"/>
        </w:tabs>
        <w:wordWrap w:val="0"/>
        <w:spacing w:before="0" w:after="0" w:line="360" w:lineRule="auto"/>
        <w:rPr>
          <w:rFonts w:hint="eastAsia" w:ascii="宋体" w:hAnsi="宋体" w:eastAsia="宋体" w:cs="宋体"/>
          <w:b w:val="0"/>
          <w:sz w:val="28"/>
          <w:highlight w:val="none"/>
        </w:rPr>
      </w:pPr>
      <w:bookmarkStart w:id="47" w:name="_Toc151190146"/>
      <w:bookmarkStart w:id="48" w:name="_Toc195842884"/>
      <w:bookmarkStart w:id="49" w:name="_Toc226965709"/>
      <w:bookmarkStart w:id="50" w:name="_Toc226337215"/>
      <w:bookmarkStart w:id="51" w:name="_Toc151193833"/>
      <w:bookmarkStart w:id="52" w:name="_Toc151193761"/>
      <w:bookmarkStart w:id="53" w:name="_Toc226309763"/>
      <w:bookmarkStart w:id="54" w:name="_Toc164608788"/>
      <w:bookmarkStart w:id="55" w:name="_Toc127151519"/>
      <w:bookmarkStart w:id="56" w:name="_Toc164229360"/>
      <w:bookmarkStart w:id="57" w:name="_Toc150509270"/>
      <w:bookmarkStart w:id="58" w:name="_Toc150480757"/>
      <w:bookmarkStart w:id="59" w:name="_Toc151193689"/>
      <w:bookmarkStart w:id="60" w:name="_Toc164608633"/>
      <w:bookmarkStart w:id="61" w:name="_Toc127161433"/>
      <w:bookmarkStart w:id="62" w:name="_Toc164229214"/>
      <w:bookmarkStart w:id="63" w:name="_Toc151193617"/>
      <w:bookmarkStart w:id="64" w:name="_Toc226965792"/>
      <w:bookmarkStart w:id="65" w:name="_Toc149720812"/>
      <w:bookmarkStart w:id="66" w:name="_Toc164351613"/>
      <w:bookmarkStart w:id="67" w:name="_Toc127151720"/>
      <w:bookmarkStart w:id="68" w:name="_Toc142311021"/>
      <w:bookmarkStart w:id="69" w:name="_Toc151193907"/>
      <w:bookmarkStart w:id="70" w:name="_Toc150774724"/>
      <w:bookmarkStart w:id="71" w:name="_Toc150774619"/>
      <w:bookmarkStart w:id="72" w:name="_Toc520356144"/>
      <w:r>
        <w:rPr>
          <w:rFonts w:hint="eastAsia" w:ascii="宋体" w:hAnsi="宋体" w:eastAsia="宋体" w:cs="宋体"/>
          <w:sz w:val="28"/>
          <w:highlight w:val="none"/>
        </w:rPr>
        <w:t>供应商须知资料表</w:t>
      </w:r>
    </w:p>
    <w:p w14:paraId="36AFF3E1">
      <w:pPr>
        <w:wordWrap w:val="0"/>
        <w:spacing w:after="0" w:line="360" w:lineRule="auto"/>
        <w:ind w:firstLine="480"/>
        <w:rPr>
          <w:rFonts w:hint="eastAsia"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b/>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086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EAA7023">
            <w:pPr>
              <w:wordWrap w:val="0"/>
              <w:spacing w:after="0" w:line="360" w:lineRule="auto"/>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721F14A0">
            <w:pPr>
              <w:wordWrap w:val="0"/>
              <w:spacing w:after="0" w:line="360" w:lineRule="auto"/>
              <w:jc w:val="center"/>
              <w:rPr>
                <w:rFonts w:hint="eastAsia" w:ascii="宋体" w:hAnsi="宋体" w:cs="宋体"/>
                <w:b/>
                <w:bCs/>
                <w:sz w:val="24"/>
                <w:highlight w:val="none"/>
              </w:rPr>
            </w:pPr>
            <w:r>
              <w:rPr>
                <w:rFonts w:hint="eastAsia" w:ascii="宋体" w:hAnsi="宋体" w:cs="宋体"/>
                <w:b/>
                <w:bCs/>
                <w:sz w:val="24"/>
                <w:highlight w:val="none"/>
              </w:rPr>
              <w:t>条目</w:t>
            </w:r>
          </w:p>
        </w:tc>
        <w:tc>
          <w:tcPr>
            <w:tcW w:w="7253" w:type="dxa"/>
            <w:noWrap w:val="0"/>
            <w:vAlign w:val="center"/>
          </w:tcPr>
          <w:p w14:paraId="78198CD4">
            <w:pPr>
              <w:wordWrap w:val="0"/>
              <w:spacing w:after="0" w:line="360" w:lineRule="auto"/>
              <w:jc w:val="center"/>
              <w:rPr>
                <w:rFonts w:hint="eastAsia" w:ascii="宋体" w:hAnsi="宋体" w:cs="宋体"/>
                <w:b/>
                <w:bCs/>
                <w:sz w:val="24"/>
                <w:highlight w:val="none"/>
              </w:rPr>
            </w:pPr>
            <w:r>
              <w:rPr>
                <w:rFonts w:hint="eastAsia" w:ascii="宋体" w:hAnsi="宋体" w:cs="宋体"/>
                <w:b/>
                <w:bCs/>
                <w:sz w:val="24"/>
                <w:highlight w:val="none"/>
              </w:rPr>
              <w:t>内容</w:t>
            </w:r>
          </w:p>
        </w:tc>
      </w:tr>
      <w:tr w14:paraId="48027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88" w:type="dxa"/>
            <w:noWrap w:val="0"/>
            <w:vAlign w:val="center"/>
          </w:tcPr>
          <w:p w14:paraId="14964980">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2.2</w:t>
            </w:r>
          </w:p>
        </w:tc>
        <w:tc>
          <w:tcPr>
            <w:tcW w:w="1701" w:type="dxa"/>
            <w:noWrap w:val="0"/>
            <w:vAlign w:val="center"/>
          </w:tcPr>
          <w:p w14:paraId="13E73B7C">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项目属性</w:t>
            </w:r>
          </w:p>
        </w:tc>
        <w:tc>
          <w:tcPr>
            <w:tcW w:w="7253" w:type="dxa"/>
            <w:noWrap w:val="0"/>
            <w:vAlign w:val="center"/>
          </w:tcPr>
          <w:p w14:paraId="3FDDEFBD">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 xml:space="preserve">项目属性：□服务      □货物       </w:t>
            </w:r>
            <w:r>
              <w:rPr>
                <w:rFonts w:hint="eastAsia" w:ascii="宋体" w:hAnsi="宋体" w:cs="宋体"/>
                <w:b/>
                <w:sz w:val="24"/>
                <w:highlight w:val="none"/>
              </w:rPr>
              <w:t>■</w:t>
            </w:r>
            <w:r>
              <w:rPr>
                <w:rFonts w:hint="eastAsia" w:ascii="宋体" w:hAnsi="宋体" w:cs="宋体"/>
                <w:sz w:val="24"/>
                <w:highlight w:val="none"/>
              </w:rPr>
              <w:t>工程</w:t>
            </w:r>
          </w:p>
        </w:tc>
      </w:tr>
      <w:tr w14:paraId="4D9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2EDB491">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2.3</w:t>
            </w:r>
          </w:p>
        </w:tc>
        <w:tc>
          <w:tcPr>
            <w:tcW w:w="1701" w:type="dxa"/>
            <w:noWrap w:val="0"/>
            <w:vAlign w:val="center"/>
          </w:tcPr>
          <w:p w14:paraId="670D9DBD">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科研仪器设备</w:t>
            </w:r>
          </w:p>
        </w:tc>
        <w:tc>
          <w:tcPr>
            <w:tcW w:w="7253" w:type="dxa"/>
            <w:noWrap w:val="0"/>
            <w:vAlign w:val="center"/>
          </w:tcPr>
          <w:p w14:paraId="6EA1C5F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是否属于科研仪器设备采购项目：□是    </w:t>
            </w:r>
            <w:r>
              <w:rPr>
                <w:rFonts w:hint="eastAsia" w:ascii="宋体" w:hAnsi="宋体" w:cs="宋体"/>
                <w:b/>
                <w:sz w:val="24"/>
                <w:highlight w:val="none"/>
              </w:rPr>
              <w:t>■</w:t>
            </w:r>
            <w:r>
              <w:rPr>
                <w:rFonts w:hint="eastAsia" w:ascii="宋体" w:hAnsi="宋体" w:cs="宋体"/>
                <w:sz w:val="24"/>
                <w:highlight w:val="none"/>
              </w:rPr>
              <w:t>否</w:t>
            </w:r>
          </w:p>
        </w:tc>
      </w:tr>
      <w:tr w14:paraId="4C26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250896A">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3.1</w:t>
            </w:r>
          </w:p>
        </w:tc>
        <w:tc>
          <w:tcPr>
            <w:tcW w:w="1701" w:type="dxa"/>
            <w:noWrap w:val="0"/>
            <w:vAlign w:val="center"/>
          </w:tcPr>
          <w:p w14:paraId="1BBA3FE4">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现场考察</w:t>
            </w:r>
          </w:p>
        </w:tc>
        <w:tc>
          <w:tcPr>
            <w:tcW w:w="7253" w:type="dxa"/>
            <w:noWrap w:val="0"/>
            <w:vAlign w:val="center"/>
          </w:tcPr>
          <w:p w14:paraId="5141F212">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不组织</w:t>
            </w:r>
          </w:p>
          <w:p w14:paraId="206DFBDC">
            <w:pPr>
              <w:wordWrap w:val="0"/>
              <w:spacing w:after="0" w:line="360" w:lineRule="auto"/>
              <w:jc w:val="left"/>
              <w:rPr>
                <w:rFonts w:hint="eastAsia"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r>
              <w:rPr>
                <w:rFonts w:hint="eastAsia" w:ascii="宋体" w:hAnsi="宋体" w:cs="宋体"/>
                <w:sz w:val="24"/>
                <w:highlight w:val="none"/>
                <w:u w:val="single"/>
              </w:rPr>
              <w:t xml:space="preserve">    </w:t>
            </w:r>
            <w:r>
              <w:rPr>
                <w:rFonts w:hint="eastAsia" w:ascii="宋体" w:hAnsi="宋体" w:cs="宋体"/>
                <w:bCs/>
                <w:sz w:val="24"/>
                <w:highlight w:val="none"/>
              </w:rPr>
              <w:t>点</w:t>
            </w:r>
            <w:r>
              <w:rPr>
                <w:rFonts w:hint="eastAsia" w:ascii="宋体" w:hAnsi="宋体" w:cs="宋体"/>
                <w:sz w:val="24"/>
                <w:highlight w:val="none"/>
                <w:u w:val="single"/>
              </w:rPr>
              <w:t xml:space="preserve">    </w:t>
            </w:r>
            <w:r>
              <w:rPr>
                <w:rFonts w:hint="eastAsia" w:ascii="宋体" w:hAnsi="宋体" w:cs="宋体"/>
                <w:bCs/>
                <w:sz w:val="24"/>
                <w:highlight w:val="none"/>
              </w:rPr>
              <w:t>分</w:t>
            </w:r>
          </w:p>
          <w:p w14:paraId="06A3BA85">
            <w:pPr>
              <w:pStyle w:val="23"/>
              <w:wordWrap w:val="0"/>
              <w:adjustRightInd w:val="0"/>
              <w:snapToGrid w:val="0"/>
              <w:spacing w:after="0" w:line="360" w:lineRule="auto"/>
              <w:rPr>
                <w:rFonts w:hAnsi="宋体" w:cs="宋体"/>
                <w:sz w:val="24"/>
                <w:szCs w:val="24"/>
                <w:highlight w:val="none"/>
              </w:rPr>
            </w:pPr>
            <w:r>
              <w:rPr>
                <w:rFonts w:hAnsi="宋体" w:cs="宋体"/>
                <w:sz w:val="24"/>
                <w:highlight w:val="none"/>
              </w:rPr>
              <w:t>考察地点：</w:t>
            </w:r>
            <w:r>
              <w:rPr>
                <w:rFonts w:hAnsi="宋体" w:cs="宋体"/>
                <w:sz w:val="24"/>
                <w:highlight w:val="none"/>
                <w:u w:val="single"/>
              </w:rPr>
              <w:t xml:space="preserve">                </w:t>
            </w:r>
            <w:r>
              <w:rPr>
                <w:rFonts w:hAnsi="宋体" w:cs="宋体"/>
                <w:sz w:val="24"/>
                <w:highlight w:val="none"/>
              </w:rPr>
              <w:t>。</w:t>
            </w:r>
          </w:p>
        </w:tc>
      </w:tr>
      <w:tr w14:paraId="3C35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6C7D56BD">
            <w:pPr>
              <w:pStyle w:val="23"/>
              <w:wordWrap w:val="0"/>
              <w:adjustRightInd w:val="0"/>
              <w:snapToGrid w:val="0"/>
              <w:spacing w:after="0" w:line="360" w:lineRule="auto"/>
              <w:jc w:val="center"/>
              <w:rPr>
                <w:rFonts w:hAnsi="宋体" w:cs="宋体"/>
                <w:sz w:val="24"/>
                <w:szCs w:val="24"/>
                <w:highlight w:val="none"/>
              </w:rPr>
            </w:pPr>
          </w:p>
        </w:tc>
        <w:tc>
          <w:tcPr>
            <w:tcW w:w="1701" w:type="dxa"/>
            <w:noWrap w:val="0"/>
            <w:vAlign w:val="center"/>
          </w:tcPr>
          <w:p w14:paraId="6154ADC7">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磋商前答疑会</w:t>
            </w:r>
          </w:p>
        </w:tc>
        <w:tc>
          <w:tcPr>
            <w:tcW w:w="7253" w:type="dxa"/>
            <w:noWrap w:val="0"/>
            <w:vAlign w:val="center"/>
          </w:tcPr>
          <w:p w14:paraId="421DB188">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不召开</w:t>
            </w:r>
          </w:p>
          <w:p w14:paraId="0DC8F18D">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r>
              <w:rPr>
                <w:rFonts w:hint="eastAsia" w:ascii="宋体" w:hAnsi="宋体" w:cs="宋体"/>
                <w:sz w:val="24"/>
                <w:highlight w:val="none"/>
                <w:u w:val="single"/>
              </w:rPr>
              <w:t xml:space="preserve">    </w:t>
            </w:r>
            <w:r>
              <w:rPr>
                <w:rFonts w:hint="eastAsia" w:ascii="宋体" w:hAnsi="宋体" w:cs="宋体"/>
                <w:bCs/>
                <w:sz w:val="24"/>
                <w:highlight w:val="none"/>
              </w:rPr>
              <w:t>点</w:t>
            </w:r>
            <w:r>
              <w:rPr>
                <w:rFonts w:hint="eastAsia" w:ascii="宋体" w:hAnsi="宋体" w:cs="宋体"/>
                <w:sz w:val="24"/>
                <w:highlight w:val="none"/>
                <w:u w:val="single"/>
              </w:rPr>
              <w:t xml:space="preserve">    </w:t>
            </w:r>
            <w:r>
              <w:rPr>
                <w:rFonts w:hint="eastAsia" w:ascii="宋体" w:hAnsi="宋体" w:cs="宋体"/>
                <w:bCs/>
                <w:sz w:val="24"/>
                <w:highlight w:val="none"/>
              </w:rPr>
              <w:t>分</w:t>
            </w:r>
          </w:p>
          <w:p w14:paraId="4104F9B2">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1037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15832A5">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4.3.5</w:t>
            </w:r>
          </w:p>
        </w:tc>
        <w:tc>
          <w:tcPr>
            <w:tcW w:w="1701" w:type="dxa"/>
            <w:noWrap w:val="0"/>
            <w:vAlign w:val="center"/>
          </w:tcPr>
          <w:p w14:paraId="6D0B30DA">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标的所属行业</w:t>
            </w:r>
          </w:p>
        </w:tc>
        <w:tc>
          <w:tcPr>
            <w:tcW w:w="7253" w:type="dxa"/>
            <w:noWrap w:val="0"/>
            <w:vAlign w:val="center"/>
          </w:tcPr>
          <w:p w14:paraId="36E315A5">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2"/>
              <w:tblW w:w="6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644"/>
              <w:gridCol w:w="3355"/>
            </w:tblGrid>
            <w:tr w14:paraId="1861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62" w:type="pct"/>
                  <w:tcBorders>
                    <w:top w:val="single" w:color="auto" w:sz="4" w:space="0"/>
                    <w:left w:val="single" w:color="auto" w:sz="4" w:space="0"/>
                    <w:bottom w:val="single" w:color="auto" w:sz="4" w:space="0"/>
                    <w:right w:val="single" w:color="auto" w:sz="4" w:space="0"/>
                  </w:tcBorders>
                  <w:noWrap w:val="0"/>
                  <w:vAlign w:val="center"/>
                </w:tcPr>
                <w:p w14:paraId="5F41F243">
                  <w:pPr>
                    <w:wordWrap w:val="0"/>
                    <w:spacing w:line="360" w:lineRule="auto"/>
                    <w:jc w:val="center"/>
                    <w:rPr>
                      <w:rFonts w:hint="eastAsia" w:ascii="宋体" w:hAnsi="宋体" w:cs="宋体"/>
                      <w:bCs/>
                      <w:sz w:val="24"/>
                      <w:highlight w:val="none"/>
                    </w:rPr>
                  </w:pPr>
                  <w:r>
                    <w:rPr>
                      <w:rFonts w:hint="eastAsia" w:ascii="宋体" w:hAnsi="宋体" w:cs="宋体"/>
                      <w:bCs/>
                      <w:sz w:val="24"/>
                      <w:highlight w:val="none"/>
                    </w:rPr>
                    <w:t>包号</w:t>
                  </w:r>
                </w:p>
              </w:tc>
              <w:tc>
                <w:tcPr>
                  <w:tcW w:w="1955" w:type="pct"/>
                  <w:tcBorders>
                    <w:top w:val="single" w:color="auto" w:sz="4" w:space="0"/>
                    <w:left w:val="single" w:color="auto" w:sz="4" w:space="0"/>
                    <w:bottom w:val="single" w:color="auto" w:sz="4" w:space="0"/>
                    <w:right w:val="single" w:color="auto" w:sz="4" w:space="0"/>
                  </w:tcBorders>
                  <w:noWrap w:val="0"/>
                  <w:vAlign w:val="center"/>
                </w:tcPr>
                <w:p w14:paraId="565A0EB5">
                  <w:pPr>
                    <w:wordWrap w:val="0"/>
                    <w:spacing w:line="360" w:lineRule="auto"/>
                    <w:jc w:val="center"/>
                    <w:rPr>
                      <w:rFonts w:hint="eastAsia" w:ascii="宋体" w:hAnsi="宋体" w:cs="宋体"/>
                      <w:sz w:val="24"/>
                      <w:highlight w:val="none"/>
                    </w:rPr>
                  </w:pPr>
                  <w:r>
                    <w:rPr>
                      <w:rFonts w:hint="eastAsia" w:ascii="宋体" w:hAnsi="宋体" w:cs="宋体"/>
                      <w:bCs/>
                      <w:sz w:val="24"/>
                      <w:highlight w:val="none"/>
                    </w:rPr>
                    <w:t>标的名称</w:t>
                  </w:r>
                </w:p>
              </w:tc>
              <w:tc>
                <w:tcPr>
                  <w:tcW w:w="2481" w:type="pct"/>
                  <w:tcBorders>
                    <w:top w:val="single" w:color="auto" w:sz="4" w:space="0"/>
                    <w:left w:val="single" w:color="auto" w:sz="4" w:space="0"/>
                    <w:bottom w:val="single" w:color="auto" w:sz="4" w:space="0"/>
                    <w:right w:val="single" w:color="auto" w:sz="4" w:space="0"/>
                  </w:tcBorders>
                  <w:noWrap w:val="0"/>
                  <w:vAlign w:val="center"/>
                </w:tcPr>
                <w:p w14:paraId="3B7149DB">
                  <w:pPr>
                    <w:wordWrap w:val="0"/>
                    <w:spacing w:line="360" w:lineRule="auto"/>
                    <w:jc w:val="center"/>
                    <w:rPr>
                      <w:rFonts w:hint="eastAsia" w:ascii="宋体" w:hAnsi="宋体" w:cs="宋体"/>
                      <w:sz w:val="24"/>
                      <w:highlight w:val="none"/>
                    </w:rPr>
                  </w:pPr>
                  <w:r>
                    <w:rPr>
                      <w:rFonts w:hint="eastAsia" w:ascii="宋体" w:hAnsi="宋体" w:cs="宋体"/>
                      <w:sz w:val="24"/>
                      <w:highlight w:val="none"/>
                    </w:rPr>
                    <w:t>中小企业划分标准所属行业</w:t>
                  </w:r>
                </w:p>
              </w:tc>
            </w:tr>
            <w:tr w14:paraId="71C5B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2" w:type="pct"/>
                  <w:tcBorders>
                    <w:top w:val="single" w:color="auto" w:sz="4" w:space="0"/>
                    <w:left w:val="single" w:color="auto" w:sz="4" w:space="0"/>
                    <w:bottom w:val="single" w:color="auto" w:sz="4" w:space="0"/>
                    <w:right w:val="single" w:color="auto" w:sz="4" w:space="0"/>
                  </w:tcBorders>
                  <w:noWrap w:val="0"/>
                  <w:vAlign w:val="center"/>
                </w:tcPr>
                <w:p w14:paraId="7781395A">
                  <w:pPr>
                    <w:wordWrap w:val="0"/>
                    <w:spacing w:line="360" w:lineRule="auto"/>
                    <w:jc w:val="center"/>
                    <w:rPr>
                      <w:rFonts w:ascii="宋体" w:hAnsi="宋体" w:cs="宋体"/>
                      <w:bCs/>
                      <w:sz w:val="24"/>
                      <w:highlight w:val="none"/>
                    </w:rPr>
                  </w:pPr>
                  <w:r>
                    <w:rPr>
                      <w:rFonts w:hint="eastAsia" w:ascii="宋体" w:hAnsi="宋体" w:cs="宋体"/>
                      <w:bCs/>
                      <w:sz w:val="24"/>
                      <w:highlight w:val="none"/>
                    </w:rPr>
                    <w:t>01</w:t>
                  </w:r>
                </w:p>
              </w:tc>
              <w:tc>
                <w:tcPr>
                  <w:tcW w:w="1955" w:type="pct"/>
                  <w:tcBorders>
                    <w:top w:val="single" w:color="auto" w:sz="4" w:space="0"/>
                    <w:left w:val="single" w:color="auto" w:sz="4" w:space="0"/>
                    <w:bottom w:val="single" w:color="auto" w:sz="4" w:space="0"/>
                    <w:right w:val="single" w:color="auto" w:sz="4" w:space="0"/>
                  </w:tcBorders>
                  <w:noWrap w:val="0"/>
                  <w:vAlign w:val="center"/>
                </w:tcPr>
                <w:p w14:paraId="7C5BF0DD">
                  <w:pPr>
                    <w:wordWrap w:val="0"/>
                    <w:spacing w:line="360" w:lineRule="auto"/>
                    <w:jc w:val="center"/>
                    <w:rPr>
                      <w:rFonts w:hint="eastAsia" w:ascii="宋体" w:hAnsi="宋体" w:cs="宋体"/>
                      <w:kern w:val="0"/>
                      <w:sz w:val="24"/>
                      <w:highlight w:val="none"/>
                    </w:rPr>
                  </w:pPr>
                  <w:r>
                    <w:rPr>
                      <w:rFonts w:hint="eastAsia" w:ascii="宋体" w:hAnsi="宋体" w:cs="宋体"/>
                      <w:sz w:val="24"/>
                      <w:highlight w:val="none"/>
                    </w:rPr>
                    <w:t>青龙桥派出所设备设施维修更新经费</w:t>
                  </w:r>
                </w:p>
              </w:tc>
              <w:tc>
                <w:tcPr>
                  <w:tcW w:w="2481" w:type="pct"/>
                  <w:tcBorders>
                    <w:top w:val="single" w:color="auto" w:sz="4" w:space="0"/>
                    <w:left w:val="single" w:color="auto" w:sz="4" w:space="0"/>
                    <w:bottom w:val="single" w:color="auto" w:sz="4" w:space="0"/>
                    <w:right w:val="single" w:color="auto" w:sz="4" w:space="0"/>
                  </w:tcBorders>
                  <w:noWrap w:val="0"/>
                  <w:vAlign w:val="center"/>
                </w:tcPr>
                <w:p w14:paraId="58247721">
                  <w:pPr>
                    <w:wordWrap w:val="0"/>
                    <w:spacing w:line="360" w:lineRule="auto"/>
                    <w:jc w:val="center"/>
                    <w:rPr>
                      <w:rFonts w:hint="eastAsia" w:ascii="宋体" w:hAnsi="宋体" w:cs="宋体"/>
                      <w:kern w:val="0"/>
                      <w:sz w:val="24"/>
                      <w:highlight w:val="none"/>
                    </w:rPr>
                  </w:pPr>
                  <w:r>
                    <w:rPr>
                      <w:rFonts w:hint="eastAsia" w:ascii="宋体" w:hAnsi="宋体" w:cs="宋体"/>
                      <w:sz w:val="24"/>
                      <w:highlight w:val="none"/>
                    </w:rPr>
                    <w:t>建筑业</w:t>
                  </w:r>
                </w:p>
              </w:tc>
            </w:tr>
          </w:tbl>
          <w:p w14:paraId="247F7F55">
            <w:pPr>
              <w:wordWrap w:val="0"/>
              <w:spacing w:after="0" w:line="360" w:lineRule="auto"/>
              <w:jc w:val="left"/>
              <w:rPr>
                <w:rFonts w:hint="eastAsia" w:ascii="宋体" w:hAnsi="宋体" w:cs="宋体"/>
                <w:sz w:val="24"/>
                <w:highlight w:val="none"/>
              </w:rPr>
            </w:pPr>
          </w:p>
        </w:tc>
      </w:tr>
      <w:tr w14:paraId="0CC0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584E9D52">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10.2</w:t>
            </w:r>
          </w:p>
        </w:tc>
        <w:tc>
          <w:tcPr>
            <w:tcW w:w="1701" w:type="dxa"/>
            <w:noWrap w:val="0"/>
            <w:vAlign w:val="center"/>
          </w:tcPr>
          <w:p w14:paraId="1BBE4845">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报价</w:t>
            </w:r>
          </w:p>
        </w:tc>
        <w:tc>
          <w:tcPr>
            <w:tcW w:w="7253" w:type="dxa"/>
            <w:noWrap w:val="0"/>
            <w:vAlign w:val="center"/>
          </w:tcPr>
          <w:p w14:paraId="6A1280C6">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报价的特殊规定：</w:t>
            </w:r>
          </w:p>
          <w:p w14:paraId="724BA28C">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无</w:t>
            </w:r>
          </w:p>
          <w:p w14:paraId="2441257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□有，具体情形：</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78C4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9B1765">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11.1</w:t>
            </w:r>
          </w:p>
        </w:tc>
        <w:tc>
          <w:tcPr>
            <w:tcW w:w="1701" w:type="dxa"/>
            <w:vMerge w:val="restart"/>
            <w:noWrap w:val="0"/>
            <w:vAlign w:val="center"/>
          </w:tcPr>
          <w:p w14:paraId="4561DF5C">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磋商保证金</w:t>
            </w:r>
          </w:p>
        </w:tc>
        <w:tc>
          <w:tcPr>
            <w:tcW w:w="7253" w:type="dxa"/>
            <w:noWrap w:val="0"/>
            <w:vAlign w:val="center"/>
          </w:tcPr>
          <w:p w14:paraId="4D586F74">
            <w:pPr>
              <w:pStyle w:val="23"/>
              <w:wordWrap w:val="0"/>
              <w:adjustRightInd w:val="0"/>
              <w:snapToGrid w:val="0"/>
              <w:spacing w:after="0" w:line="360" w:lineRule="auto"/>
              <w:rPr>
                <w:rFonts w:hAnsi="宋体" w:cs="宋体"/>
                <w:sz w:val="24"/>
                <w:szCs w:val="24"/>
                <w:highlight w:val="none"/>
              </w:rPr>
            </w:pPr>
            <w:r>
              <w:rPr>
                <w:rFonts w:hAnsi="宋体" w:cs="宋体"/>
                <w:sz w:val="24"/>
                <w:szCs w:val="24"/>
                <w:highlight w:val="none"/>
              </w:rPr>
              <w:t>磋商保证金金额：</w:t>
            </w:r>
          </w:p>
          <w:p w14:paraId="25BF446E">
            <w:pPr>
              <w:pStyle w:val="23"/>
              <w:wordWrap w:val="0"/>
              <w:adjustRightInd w:val="0"/>
              <w:snapToGrid w:val="0"/>
              <w:spacing w:after="0" w:line="360" w:lineRule="auto"/>
              <w:rPr>
                <w:rFonts w:hAnsi="宋体" w:cs="宋体"/>
                <w:sz w:val="24"/>
                <w:szCs w:val="24"/>
                <w:highlight w:val="none"/>
              </w:rPr>
            </w:pPr>
            <w:r>
              <w:rPr>
                <w:rFonts w:hAnsi="宋体" w:cs="宋体"/>
                <w:sz w:val="24"/>
                <w:szCs w:val="24"/>
                <w:highlight w:val="none"/>
              </w:rPr>
              <w:t>01包：叁万元整；</w:t>
            </w:r>
          </w:p>
          <w:p w14:paraId="084998EA">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磋商保证金收受人信息：</w:t>
            </w:r>
          </w:p>
          <w:p w14:paraId="214B2F3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磋商保证金的形式：政府采购法律法规接受的支票、汇票、本票、网上银行支付或者金融机构、担保机构出具的保函等非现金形式</w:t>
            </w:r>
          </w:p>
          <w:p w14:paraId="090AE8A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接收磋商保证金的银行及账号：</w:t>
            </w:r>
          </w:p>
          <w:p w14:paraId="5480B944">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户    名：北京德音工程咨询有限公司</w:t>
            </w:r>
          </w:p>
          <w:p w14:paraId="2A0CFDC4">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开 户 行：中国建设银行股份有限公司北京大兴狼垡支行</w:t>
            </w:r>
          </w:p>
          <w:p w14:paraId="3C25B6E6">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帐    号：1105 0110 0701 0000 0064</w:t>
            </w:r>
          </w:p>
          <w:p w14:paraId="3B1BB70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磋商保证金以银行转账、电汇的形式提交的，在附注中注明项目编号或项目名称，可简写。</w:t>
            </w:r>
          </w:p>
        </w:tc>
      </w:tr>
      <w:tr w14:paraId="63CD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AE65EF">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11.8.5</w:t>
            </w:r>
          </w:p>
        </w:tc>
        <w:tc>
          <w:tcPr>
            <w:tcW w:w="1701" w:type="dxa"/>
            <w:vMerge w:val="continue"/>
            <w:noWrap w:val="0"/>
            <w:vAlign w:val="center"/>
          </w:tcPr>
          <w:p w14:paraId="761261E9">
            <w:pPr>
              <w:wordWrap w:val="0"/>
              <w:spacing w:after="0" w:line="360" w:lineRule="auto"/>
              <w:jc w:val="center"/>
              <w:rPr>
                <w:rFonts w:hint="eastAsia" w:ascii="宋体" w:hAnsi="宋体" w:cs="宋体"/>
                <w:sz w:val="24"/>
                <w:highlight w:val="none"/>
              </w:rPr>
            </w:pPr>
          </w:p>
        </w:tc>
        <w:tc>
          <w:tcPr>
            <w:tcW w:w="7253" w:type="dxa"/>
            <w:noWrap w:val="0"/>
            <w:vAlign w:val="center"/>
          </w:tcPr>
          <w:p w14:paraId="3AC6C2C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磋商保证金不予退还的其他情形：</w:t>
            </w:r>
          </w:p>
          <w:p w14:paraId="08AD58D8">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无</w:t>
            </w:r>
          </w:p>
          <w:p w14:paraId="416342AD">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□有，具体情形：___________。</w:t>
            </w:r>
          </w:p>
        </w:tc>
      </w:tr>
      <w:tr w14:paraId="1908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D7A60BE">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12.1</w:t>
            </w:r>
          </w:p>
        </w:tc>
        <w:tc>
          <w:tcPr>
            <w:tcW w:w="1701" w:type="dxa"/>
            <w:noWrap w:val="0"/>
            <w:vAlign w:val="center"/>
          </w:tcPr>
          <w:p w14:paraId="5F7EEB02">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noWrap w:val="0"/>
            <w:vAlign w:val="center"/>
          </w:tcPr>
          <w:p w14:paraId="303A9CF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自提交响应文件的截止之日起算90日历天。</w:t>
            </w:r>
          </w:p>
        </w:tc>
      </w:tr>
      <w:tr w14:paraId="0A0F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680B85F">
            <w:pPr>
              <w:pStyle w:val="23"/>
              <w:wordWrap w:val="0"/>
              <w:adjustRightInd w:val="0"/>
              <w:snapToGrid w:val="0"/>
              <w:spacing w:after="0" w:line="360" w:lineRule="auto"/>
              <w:jc w:val="center"/>
              <w:rPr>
                <w:rFonts w:hint="default" w:hAnsi="宋体" w:cs="宋体"/>
                <w:sz w:val="24"/>
                <w:szCs w:val="24"/>
                <w:highlight w:val="none"/>
              </w:rPr>
            </w:pPr>
            <w:r>
              <w:rPr>
                <w:rFonts w:hAnsi="宋体" w:cs="宋体"/>
                <w:sz w:val="24"/>
                <w:szCs w:val="24"/>
                <w:highlight w:val="none"/>
              </w:rPr>
              <w:t>17.2</w:t>
            </w:r>
          </w:p>
        </w:tc>
        <w:tc>
          <w:tcPr>
            <w:tcW w:w="1701" w:type="dxa"/>
            <w:noWrap w:val="0"/>
            <w:vAlign w:val="top"/>
          </w:tcPr>
          <w:p w14:paraId="2C6CDA6A">
            <w:pPr>
              <w:pStyle w:val="23"/>
              <w:wordWrap w:val="0"/>
              <w:adjustRightInd w:val="0"/>
              <w:snapToGrid w:val="0"/>
              <w:spacing w:after="0" w:line="360" w:lineRule="auto"/>
              <w:jc w:val="center"/>
              <w:rPr>
                <w:rFonts w:hAnsi="宋体" w:cs="宋体"/>
                <w:sz w:val="24"/>
                <w:highlight w:val="none"/>
              </w:rPr>
            </w:pPr>
            <w:r>
              <w:rPr>
                <w:rFonts w:hAnsi="宋体" w:cs="宋体"/>
                <w:sz w:val="24"/>
                <w:szCs w:val="24"/>
                <w:highlight w:val="none"/>
              </w:rPr>
              <w:t>解密时间</w:t>
            </w:r>
          </w:p>
        </w:tc>
        <w:tc>
          <w:tcPr>
            <w:tcW w:w="7253" w:type="dxa"/>
            <w:noWrap w:val="0"/>
            <w:vAlign w:val="top"/>
          </w:tcPr>
          <w:p w14:paraId="0F6A286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解密时间：15分钟</w:t>
            </w:r>
          </w:p>
        </w:tc>
      </w:tr>
      <w:tr w14:paraId="62ED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8EDDD8E">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20.1</w:t>
            </w:r>
          </w:p>
        </w:tc>
        <w:tc>
          <w:tcPr>
            <w:tcW w:w="1701" w:type="dxa"/>
            <w:noWrap w:val="0"/>
            <w:vAlign w:val="center"/>
          </w:tcPr>
          <w:p w14:paraId="073FC1E8">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确定</w:t>
            </w:r>
          </w:p>
          <w:p w14:paraId="293E850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成交供应商</w:t>
            </w:r>
          </w:p>
        </w:tc>
        <w:tc>
          <w:tcPr>
            <w:tcW w:w="7253" w:type="dxa"/>
            <w:noWrap w:val="0"/>
            <w:vAlign w:val="center"/>
          </w:tcPr>
          <w:p w14:paraId="7B7DA753">
            <w:pPr>
              <w:pStyle w:val="23"/>
              <w:wordWrap w:val="0"/>
              <w:adjustRightInd w:val="0"/>
              <w:snapToGrid w:val="0"/>
              <w:spacing w:after="0" w:line="360" w:lineRule="auto"/>
              <w:rPr>
                <w:rFonts w:hAnsi="宋体" w:cs="宋体"/>
                <w:sz w:val="24"/>
                <w:szCs w:val="24"/>
                <w:highlight w:val="none"/>
              </w:rPr>
            </w:pPr>
            <w:r>
              <w:rPr>
                <w:rFonts w:hAnsi="宋体" w:cs="宋体"/>
                <w:sz w:val="24"/>
                <w:szCs w:val="24"/>
                <w:highlight w:val="none"/>
              </w:rPr>
              <w:t>采购人是否授权磋商小组直接确定成交供应商：</w:t>
            </w:r>
          </w:p>
          <w:p w14:paraId="43378E6F">
            <w:pPr>
              <w:wordWrap w:val="0"/>
              <w:spacing w:after="0" w:line="360" w:lineRule="auto"/>
              <w:jc w:val="left"/>
              <w:rPr>
                <w:rFonts w:hint="eastAsia" w:ascii="宋体" w:hAnsi="宋体" w:cs="宋体"/>
                <w:bCs/>
                <w:sz w:val="24"/>
                <w:highlight w:val="none"/>
              </w:rPr>
            </w:pPr>
            <w:r>
              <w:rPr>
                <w:rFonts w:hint="eastAsia" w:ascii="宋体" w:hAnsi="宋体" w:cs="宋体"/>
                <w:bCs/>
                <w:sz w:val="24"/>
                <w:highlight w:val="none"/>
              </w:rPr>
              <w:t>■否</w:t>
            </w:r>
          </w:p>
          <w:p w14:paraId="4244196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□是</w:t>
            </w:r>
          </w:p>
          <w:p w14:paraId="68DB9797">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成交候选人并列的，按照以下方式确定成交供应商：</w:t>
            </w:r>
            <w:r>
              <w:rPr>
                <w:rFonts w:hint="eastAsia" w:ascii="宋体" w:hAnsi="宋体" w:cs="宋体"/>
                <w:sz w:val="24"/>
                <w:highlight w:val="none"/>
                <w:u w:val="single"/>
              </w:rPr>
              <w:t>评审得分且最后报价相同的，按照技术方案得分高低排序推荐</w:t>
            </w:r>
            <w:r>
              <w:rPr>
                <w:rFonts w:hint="eastAsia" w:ascii="宋体" w:hAnsi="宋体" w:cs="宋体"/>
                <w:sz w:val="24"/>
                <w:highlight w:val="none"/>
              </w:rPr>
              <w:t>。</w:t>
            </w:r>
          </w:p>
        </w:tc>
      </w:tr>
      <w:tr w14:paraId="3941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65A1FB7">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23.5</w:t>
            </w:r>
          </w:p>
        </w:tc>
        <w:tc>
          <w:tcPr>
            <w:tcW w:w="1701" w:type="dxa"/>
            <w:noWrap w:val="0"/>
            <w:vAlign w:val="center"/>
          </w:tcPr>
          <w:p w14:paraId="2B42B2D4">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分包</w:t>
            </w:r>
          </w:p>
        </w:tc>
        <w:tc>
          <w:tcPr>
            <w:tcW w:w="7253" w:type="dxa"/>
            <w:noWrap w:val="0"/>
            <w:vAlign w:val="center"/>
          </w:tcPr>
          <w:p w14:paraId="5BA947A6">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 xml:space="preserve">本项目是否允许分包： </w:t>
            </w:r>
          </w:p>
          <w:p w14:paraId="7B4DF15D">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不允许</w:t>
            </w:r>
          </w:p>
          <w:p w14:paraId="4C26CB4D">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□允许，具体要求：</w:t>
            </w:r>
            <w:r>
              <w:rPr>
                <w:rFonts w:hint="eastAsia" w:ascii="宋体" w:hAnsi="宋体" w:cs="宋体"/>
                <w:sz w:val="24"/>
                <w:highlight w:val="none"/>
                <w:u w:val="single"/>
              </w:rPr>
              <w:t xml:space="preserve">       </w:t>
            </w:r>
            <w:r>
              <w:rPr>
                <w:rFonts w:hint="eastAsia" w:ascii="宋体" w:hAnsi="宋体" w:cs="宋体"/>
                <w:sz w:val="24"/>
                <w:highlight w:val="none"/>
              </w:rPr>
              <w:t>。</w:t>
            </w:r>
          </w:p>
          <w:p w14:paraId="2DEA7C7A">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rPr>
              <w:t xml:space="preserve">       </w:t>
            </w:r>
            <w:r>
              <w:rPr>
                <w:rFonts w:hint="eastAsia" w:ascii="宋体" w:hAnsi="宋体" w:cs="宋体"/>
                <w:sz w:val="24"/>
                <w:highlight w:val="none"/>
              </w:rPr>
              <w:t>；</w:t>
            </w:r>
          </w:p>
          <w:p w14:paraId="2D661866">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rPr>
              <w:t xml:space="preserve">       </w:t>
            </w:r>
            <w:r>
              <w:rPr>
                <w:rFonts w:hint="eastAsia" w:ascii="宋体" w:hAnsi="宋体" w:cs="宋体"/>
                <w:sz w:val="24"/>
                <w:highlight w:val="none"/>
              </w:rPr>
              <w:t>；</w:t>
            </w:r>
          </w:p>
          <w:p w14:paraId="1EF48AF3">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5671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83B719">
            <w:pPr>
              <w:pStyle w:val="23"/>
              <w:wordWrap w:val="0"/>
              <w:adjustRightInd w:val="0"/>
              <w:snapToGrid w:val="0"/>
              <w:spacing w:after="0" w:line="360" w:lineRule="auto"/>
              <w:jc w:val="center"/>
              <w:rPr>
                <w:rFonts w:hint="default" w:hAnsi="宋体" w:cs="宋体"/>
                <w:sz w:val="24"/>
                <w:szCs w:val="24"/>
                <w:highlight w:val="none"/>
              </w:rPr>
            </w:pPr>
            <w:r>
              <w:rPr>
                <w:rFonts w:hAnsi="宋体" w:cs="宋体"/>
                <w:sz w:val="24"/>
                <w:szCs w:val="24"/>
                <w:highlight w:val="none"/>
              </w:rPr>
              <w:t>23.6</w:t>
            </w:r>
          </w:p>
        </w:tc>
        <w:tc>
          <w:tcPr>
            <w:tcW w:w="1701" w:type="dxa"/>
            <w:noWrap w:val="0"/>
            <w:vAlign w:val="center"/>
          </w:tcPr>
          <w:p w14:paraId="1699B651">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政采贷</w:t>
            </w:r>
          </w:p>
        </w:tc>
        <w:tc>
          <w:tcPr>
            <w:tcW w:w="7253" w:type="dxa"/>
            <w:noWrap w:val="0"/>
            <w:vAlign w:val="center"/>
          </w:tcPr>
          <w:p w14:paraId="66377B9F">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A95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2084F7D">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24.1.1</w:t>
            </w:r>
          </w:p>
        </w:tc>
        <w:tc>
          <w:tcPr>
            <w:tcW w:w="1701" w:type="dxa"/>
            <w:noWrap w:val="0"/>
            <w:vAlign w:val="center"/>
          </w:tcPr>
          <w:p w14:paraId="2955E71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询问</w:t>
            </w:r>
          </w:p>
        </w:tc>
        <w:tc>
          <w:tcPr>
            <w:tcW w:w="7253" w:type="dxa"/>
            <w:noWrap w:val="0"/>
            <w:vAlign w:val="center"/>
          </w:tcPr>
          <w:p w14:paraId="344938B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询问送达形式：书面形式。</w:t>
            </w:r>
          </w:p>
        </w:tc>
      </w:tr>
      <w:tr w14:paraId="12E4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988" w:type="dxa"/>
            <w:noWrap w:val="0"/>
            <w:vAlign w:val="center"/>
          </w:tcPr>
          <w:p w14:paraId="19F3F99E">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24.3</w:t>
            </w:r>
          </w:p>
        </w:tc>
        <w:tc>
          <w:tcPr>
            <w:tcW w:w="1701" w:type="dxa"/>
            <w:noWrap w:val="0"/>
            <w:vAlign w:val="center"/>
          </w:tcPr>
          <w:p w14:paraId="1A0E27A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联系方式</w:t>
            </w:r>
          </w:p>
        </w:tc>
        <w:tc>
          <w:tcPr>
            <w:tcW w:w="7253" w:type="dxa"/>
            <w:noWrap w:val="0"/>
            <w:vAlign w:val="center"/>
          </w:tcPr>
          <w:p w14:paraId="454ACED5">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接收询问和质疑的联系方式</w:t>
            </w:r>
          </w:p>
          <w:p w14:paraId="474BB43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联系部门：北京德音工程咨询有限公司项目部；</w:t>
            </w:r>
          </w:p>
          <w:p w14:paraId="7801A36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联系电话：010-53600601；</w:t>
            </w:r>
          </w:p>
          <w:p w14:paraId="4A03DEE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通讯地址：北京市丰台区科技园工商联大厦B座1401室。</w:t>
            </w:r>
          </w:p>
        </w:tc>
      </w:tr>
      <w:tr w14:paraId="094E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1BCD84">
            <w:pPr>
              <w:pStyle w:val="23"/>
              <w:wordWrap w:val="0"/>
              <w:adjustRightInd w:val="0"/>
              <w:snapToGrid w:val="0"/>
              <w:spacing w:after="0" w:line="360" w:lineRule="auto"/>
              <w:jc w:val="center"/>
              <w:rPr>
                <w:rFonts w:hAnsi="宋体" w:cs="宋体"/>
                <w:sz w:val="24"/>
                <w:szCs w:val="24"/>
                <w:highlight w:val="none"/>
              </w:rPr>
            </w:pPr>
            <w:r>
              <w:rPr>
                <w:rFonts w:hAnsi="宋体" w:cs="宋体"/>
                <w:sz w:val="24"/>
                <w:szCs w:val="24"/>
                <w:highlight w:val="none"/>
              </w:rPr>
              <w:t>25</w:t>
            </w:r>
          </w:p>
        </w:tc>
        <w:tc>
          <w:tcPr>
            <w:tcW w:w="1701" w:type="dxa"/>
            <w:noWrap w:val="0"/>
            <w:vAlign w:val="center"/>
          </w:tcPr>
          <w:p w14:paraId="1A18789D">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代理费</w:t>
            </w:r>
          </w:p>
        </w:tc>
        <w:tc>
          <w:tcPr>
            <w:tcW w:w="7253" w:type="dxa"/>
            <w:noWrap w:val="0"/>
            <w:vAlign w:val="center"/>
          </w:tcPr>
          <w:p w14:paraId="5C7D50E4">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收费对象：</w:t>
            </w:r>
          </w:p>
          <w:p w14:paraId="5D61AC4E">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□采购人</w:t>
            </w:r>
          </w:p>
          <w:p w14:paraId="00156AE5">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成交供应商</w:t>
            </w:r>
          </w:p>
          <w:p w14:paraId="6EE381B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收费标准：《关于降低部分建设项目收费标准规范收费行为等有关问题的通知》[2011]534号和《招标代理服务收费管理暂行办法》（计价格[2002]1980号）以及《关于招标代理服务收费有关问题的通知》（发改办价格[2003]857号）计取；不足3000元的按照3000收取。</w:t>
            </w:r>
          </w:p>
          <w:p w14:paraId="05EA75F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缴纳时间：成交供应商在领取成交通知书时一次性向采购代理机构交纳所有服务费。</w:t>
            </w:r>
          </w:p>
        </w:tc>
      </w:tr>
    </w:tbl>
    <w:p w14:paraId="55A7590E">
      <w:pPr>
        <w:tabs>
          <w:tab w:val="left" w:pos="5580"/>
        </w:tabs>
        <w:wordWrap w:val="0"/>
        <w:adjustRightInd w:val="0"/>
        <w:spacing w:after="0" w:line="360" w:lineRule="auto"/>
        <w:jc w:val="distribute"/>
        <w:rPr>
          <w:rFonts w:hint="eastAsia" w:ascii="宋体" w:hAnsi="宋体" w:cs="宋体"/>
          <w:sz w:val="24"/>
          <w:highlight w:val="none"/>
        </w:rPr>
        <w:sectPr>
          <w:pgSz w:w="11905" w:h="16838"/>
          <w:pgMar w:top="1474" w:right="1474" w:bottom="1474" w:left="1474" w:header="850" w:footer="992" w:gutter="0"/>
          <w:pgNumType w:start="1"/>
          <w:cols w:space="720" w:num="1"/>
          <w:docGrid w:linePitch="462" w:charSpace="0"/>
        </w:sectPr>
      </w:pPr>
    </w:p>
    <w:p w14:paraId="1D2B34E6">
      <w:pPr>
        <w:wordWrap w:val="0"/>
        <w:spacing w:before="240" w:beforeLines="100"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供应商须知</w:t>
      </w:r>
    </w:p>
    <w:p w14:paraId="4C9772CA">
      <w:pPr>
        <w:pStyle w:val="3"/>
        <w:tabs>
          <w:tab w:val="center" w:pos="4592"/>
          <w:tab w:val="left" w:pos="7860"/>
        </w:tabs>
        <w:wordWrap w:val="0"/>
        <w:spacing w:before="0" w:after="0" w:line="360" w:lineRule="auto"/>
        <w:jc w:val="left"/>
        <w:rPr>
          <w:rFonts w:hint="eastAsia" w:ascii="宋体" w:hAnsi="宋体" w:eastAsia="宋体" w:cs="宋体"/>
          <w:sz w:val="28"/>
          <w:highlight w:val="none"/>
        </w:rPr>
      </w:pPr>
      <w:bookmarkStart w:id="73" w:name="_Toc127151518"/>
      <w:bookmarkStart w:id="74" w:name="_Toc520356143"/>
      <w:r>
        <w:rPr>
          <w:rFonts w:hint="eastAsia" w:ascii="宋体" w:hAnsi="宋体" w:eastAsia="宋体" w:cs="宋体"/>
          <w:sz w:val="28"/>
          <w:highlight w:val="none"/>
        </w:rPr>
        <w:tab/>
      </w:r>
      <w:bookmarkStart w:id="75" w:name="_Toc142311020"/>
      <w:bookmarkStart w:id="76" w:name="_Toc226965708"/>
      <w:bookmarkStart w:id="77" w:name="_Toc150774618"/>
      <w:bookmarkStart w:id="78" w:name="_Toc151190145"/>
      <w:bookmarkStart w:id="79" w:name="_Toc151193688"/>
      <w:bookmarkStart w:id="80" w:name="_Toc195842883"/>
      <w:bookmarkStart w:id="81" w:name="_Toc226309762"/>
      <w:bookmarkStart w:id="82" w:name="_Toc150480756"/>
      <w:bookmarkStart w:id="83" w:name="_Toc151193760"/>
      <w:bookmarkStart w:id="84" w:name="_Toc150509269"/>
      <w:bookmarkStart w:id="85" w:name="_Toc226965791"/>
      <w:bookmarkStart w:id="86" w:name="_Toc150774723"/>
      <w:bookmarkStart w:id="87" w:name="_Toc151193906"/>
      <w:bookmarkStart w:id="88" w:name="_Toc305158786"/>
      <w:bookmarkStart w:id="89" w:name="_Toc151193832"/>
      <w:bookmarkStart w:id="90" w:name="_Toc265228356"/>
      <w:bookmarkStart w:id="91" w:name="_Toc264969208"/>
      <w:bookmarkStart w:id="92" w:name="_Toc226337214"/>
      <w:bookmarkStart w:id="93" w:name="_Toc305158860"/>
      <w:bookmarkStart w:id="94" w:name="_Toc151193616"/>
      <w:r>
        <w:rPr>
          <w:rFonts w:hint="eastAsia" w:ascii="宋体" w:hAnsi="宋体" w:eastAsia="宋体" w:cs="宋体"/>
          <w:sz w:val="28"/>
          <w:highlight w:val="none"/>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sz w:val="28"/>
          <w:highlight w:val="none"/>
        </w:rPr>
        <w:tab/>
      </w:r>
    </w:p>
    <w:p w14:paraId="0118A96C">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bookmarkStart w:id="95" w:name="_Toc305158787"/>
      <w:bookmarkStart w:id="96" w:name="_Toc305158861"/>
      <w:bookmarkStart w:id="97" w:name="_Toc265228357"/>
      <w:bookmarkStart w:id="98" w:name="_Toc264969209"/>
      <w:r>
        <w:rPr>
          <w:rFonts w:hint="eastAsia" w:ascii="宋体" w:hAnsi="宋体" w:cs="宋体"/>
          <w:sz w:val="24"/>
          <w:highlight w:val="none"/>
        </w:rPr>
        <w:t>采购人、采购代理机构、供应商</w:t>
      </w:r>
      <w:bookmarkEnd w:id="95"/>
      <w:bookmarkEnd w:id="96"/>
      <w:bookmarkEnd w:id="97"/>
      <w:bookmarkEnd w:id="98"/>
      <w:r>
        <w:rPr>
          <w:rFonts w:hint="eastAsia" w:ascii="宋体" w:hAnsi="宋体" w:cs="宋体"/>
          <w:sz w:val="24"/>
          <w:highlight w:val="none"/>
        </w:rPr>
        <w:t>、联合体</w:t>
      </w:r>
    </w:p>
    <w:p w14:paraId="2CD41357">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1071A0B4">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7629162B">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5987838C">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bookmarkStart w:id="99" w:name="_Toc127151520"/>
      <w:bookmarkStart w:id="100" w:name="_Toc127161434"/>
      <w:bookmarkStart w:id="101" w:name="_Toc264969210"/>
      <w:bookmarkStart w:id="102" w:name="_Toc265228358"/>
      <w:bookmarkStart w:id="103" w:name="_Toc151193834"/>
      <w:bookmarkStart w:id="104" w:name="_Toc151193618"/>
      <w:bookmarkStart w:id="105" w:name="_Toc150774620"/>
      <w:bookmarkStart w:id="106" w:name="_Toc151193762"/>
      <w:bookmarkStart w:id="107" w:name="_Toc151193690"/>
      <w:bookmarkStart w:id="108" w:name="_Toc151193908"/>
      <w:bookmarkStart w:id="109" w:name="_Toc127151721"/>
      <w:bookmarkStart w:id="110" w:name="_Toc305158788"/>
      <w:bookmarkStart w:id="111" w:name="_Toc150509271"/>
      <w:bookmarkStart w:id="112" w:name="_Toc149720813"/>
      <w:bookmarkStart w:id="113" w:name="_Toc226965793"/>
      <w:bookmarkStart w:id="114" w:name="_Toc226965710"/>
      <w:bookmarkStart w:id="115" w:name="_Toc305158862"/>
      <w:bookmarkStart w:id="116" w:name="_Toc151190147"/>
      <w:bookmarkStart w:id="117" w:name="_Toc164229215"/>
      <w:bookmarkStart w:id="118" w:name="_Toc226309764"/>
      <w:bookmarkStart w:id="119" w:name="_Toc150480758"/>
      <w:bookmarkStart w:id="120" w:name="_Toc164351614"/>
      <w:bookmarkStart w:id="121" w:name="_Toc142311022"/>
      <w:bookmarkStart w:id="122" w:name="_Toc164229361"/>
      <w:bookmarkStart w:id="123" w:name="_Toc150774725"/>
      <w:bookmarkStart w:id="124" w:name="_Toc164608634"/>
      <w:bookmarkStart w:id="125" w:name="_Toc164608789"/>
      <w:bookmarkStart w:id="126" w:name="_Toc226337216"/>
      <w:bookmarkStart w:id="127" w:name="_Toc195842885"/>
      <w:r>
        <w:rPr>
          <w:rFonts w:hint="eastAsia" w:ascii="宋体" w:hAnsi="宋体" w:cs="宋体"/>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sz w:val="24"/>
          <w:highlight w:val="none"/>
        </w:rPr>
        <w:t>、项目属性、科研仪器设备采购</w:t>
      </w:r>
    </w:p>
    <w:p w14:paraId="60EE4DB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75FACA3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项目属性见《供应商须知资料表》。</w:t>
      </w:r>
    </w:p>
    <w:p w14:paraId="0F8F7F5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39FADED5">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现场考察、磋商前答疑会</w:t>
      </w:r>
    </w:p>
    <w:p w14:paraId="44CC634A">
      <w:pPr>
        <w:numPr>
          <w:ilvl w:val="1"/>
          <w:numId w:val="8"/>
        </w:numPr>
        <w:tabs>
          <w:tab w:val="left" w:pos="1080"/>
          <w:tab w:val="left" w:pos="2014"/>
        </w:tabs>
        <w:wordWrap w:val="0"/>
        <w:snapToGrid w:val="0"/>
        <w:spacing w:after="0" w:line="360" w:lineRule="auto"/>
        <w:ind w:left="1080" w:hanging="720"/>
        <w:rPr>
          <w:rFonts w:hint="eastAsia"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8" w:name="_Toc305158790"/>
      <w:bookmarkStart w:id="129" w:name="_Toc305158864"/>
      <w:bookmarkStart w:id="130" w:name="_Toc150774727"/>
      <w:bookmarkStart w:id="131" w:name="_Toc151193692"/>
      <w:bookmarkStart w:id="132" w:name="_Toc151193764"/>
      <w:bookmarkStart w:id="133" w:name="_Toc151193910"/>
      <w:bookmarkStart w:id="134" w:name="_Toc150480760"/>
      <w:bookmarkStart w:id="135" w:name="_Toc195842887"/>
      <w:bookmarkStart w:id="136" w:name="_Toc226309766"/>
      <w:bookmarkStart w:id="137" w:name="_Toc150774622"/>
      <w:bookmarkStart w:id="138" w:name="_Toc226965712"/>
      <w:bookmarkStart w:id="139" w:name="_Toc151190149"/>
      <w:bookmarkStart w:id="140" w:name="_Toc265228360"/>
      <w:bookmarkStart w:id="141" w:name="_Toc226965795"/>
      <w:bookmarkStart w:id="142" w:name="_Toc151193836"/>
      <w:bookmarkStart w:id="143" w:name="_Toc127151522"/>
      <w:bookmarkStart w:id="144" w:name="_Toc520356146"/>
      <w:bookmarkStart w:id="145" w:name="_Toc264969212"/>
      <w:bookmarkStart w:id="146" w:name="_Toc226337218"/>
      <w:bookmarkStart w:id="147" w:name="_Toc151193620"/>
      <w:bookmarkStart w:id="148" w:name="_Toc142311024"/>
      <w:bookmarkStart w:id="149" w:name="_Toc150509273"/>
    </w:p>
    <w:p w14:paraId="52EBC578">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5A03BB63">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626DFCE3">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采购本国货物、工程和服务</w:t>
      </w:r>
    </w:p>
    <w:p w14:paraId="2AC2EF6E">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14:paraId="0EC72F95">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本项目如接受非本国货物、工程、服务参与投标（响应），则具体要求见第四章《采购需求》。</w:t>
      </w:r>
    </w:p>
    <w:p w14:paraId="171D8256">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3D028B">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本国产品</w:t>
      </w:r>
    </w:p>
    <w:p w14:paraId="158A7BA6">
      <w:pPr>
        <w:tabs>
          <w:tab w:val="left" w:pos="1080"/>
          <w:tab w:val="left" w:pos="2014"/>
        </w:tabs>
        <w:wordWrap w:val="0"/>
        <w:snapToGrid w:val="0"/>
        <w:spacing w:after="0" w:line="360" w:lineRule="auto"/>
        <w:ind w:left="360"/>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657B8ED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3B80E1B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中小企业定义：</w:t>
      </w:r>
    </w:p>
    <w:p w14:paraId="67A09E65">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金融业企业划型标准规定》（〔2015〕309号）等国务院批准的中小企业划分标准执行。</w:t>
      </w:r>
    </w:p>
    <w:p w14:paraId="0F3E7577">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供应商提供的货物、工程或者服务符合下列情形的，享受中小企业扶持政策：</w:t>
      </w:r>
    </w:p>
    <w:p w14:paraId="00FCAC22">
      <w:pPr>
        <w:tabs>
          <w:tab w:val="left" w:pos="1980"/>
        </w:tabs>
        <w:wordWrap w:val="0"/>
        <w:snapToGrid w:val="0"/>
        <w:spacing w:after="0" w:line="360" w:lineRule="auto"/>
        <w:ind w:left="2835" w:leftChars="1350"/>
        <w:rPr>
          <w:rFonts w:hint="eastAsia"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4A179670">
      <w:pPr>
        <w:tabs>
          <w:tab w:val="left" w:pos="1980"/>
        </w:tabs>
        <w:wordWrap w:val="0"/>
        <w:snapToGrid w:val="0"/>
        <w:spacing w:after="0" w:line="360" w:lineRule="auto"/>
        <w:ind w:left="2835" w:leftChars="1350"/>
        <w:rPr>
          <w:rFonts w:hint="eastAsia"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62B09710">
      <w:pPr>
        <w:tabs>
          <w:tab w:val="left" w:pos="1980"/>
        </w:tabs>
        <w:wordWrap w:val="0"/>
        <w:snapToGrid w:val="0"/>
        <w:spacing w:after="0" w:line="360" w:lineRule="auto"/>
        <w:ind w:left="2835" w:leftChars="1350"/>
        <w:rPr>
          <w:rFonts w:hint="eastAsia"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2D79BA9F">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300FB3DE">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646FD84E">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E8C63E">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96E831D">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安置的残疾人占本单位在职职工人数的比例不低于25%（含25%），并且安置的残疾人人数不少于10 人（含10 人）；</w:t>
      </w:r>
    </w:p>
    <w:p w14:paraId="4F95E7B5">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依法与安置的每位残疾人签订了一年以上（含一年）的劳动合同或服务协议；</w:t>
      </w:r>
    </w:p>
    <w:p w14:paraId="50210598">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14:paraId="753DED49">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68B3EF29">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057B243F">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CAC9CFD">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6E62A20F">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28CD9B54">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6937D736">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w:t>
      </w:r>
    </w:p>
    <w:p w14:paraId="1F9E4575">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44AD9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5DA6721">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17505AF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14:paraId="53EC1C9B">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正版软件</w:t>
      </w:r>
    </w:p>
    <w:p w14:paraId="285A0261">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1DE331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网络安全专用产品</w:t>
      </w:r>
    </w:p>
    <w:p w14:paraId="7726D85A">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33BFB52">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推广使用低挥发性有机化合物（VOCs）</w:t>
      </w:r>
    </w:p>
    <w:p w14:paraId="15C2713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14:paraId="3A98F817">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采购需求标准</w:t>
      </w:r>
    </w:p>
    <w:p w14:paraId="062F213E">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商品包装、快递包装政府采购需求标准（试行）</w:t>
      </w:r>
    </w:p>
    <w:p w14:paraId="77CB6299">
      <w:pPr>
        <w:tabs>
          <w:tab w:val="left" w:pos="2014"/>
        </w:tabs>
        <w:wordWrap w:val="0"/>
        <w:snapToGrid w:val="0"/>
        <w:spacing w:after="0" w:line="360" w:lineRule="auto"/>
        <w:ind w:left="1900"/>
        <w:rPr>
          <w:rFonts w:hint="eastAsia"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4292F583">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其他政府采购需求标准</w:t>
      </w:r>
    </w:p>
    <w:p w14:paraId="59681097">
      <w:pPr>
        <w:tabs>
          <w:tab w:val="left" w:pos="2014"/>
        </w:tabs>
        <w:wordWrap w:val="0"/>
        <w:snapToGrid w:val="0"/>
        <w:spacing w:after="0" w:line="360" w:lineRule="auto"/>
        <w:ind w:left="1900"/>
        <w:rPr>
          <w:rFonts w:hint="eastAsia" w:ascii="宋体" w:hAnsi="宋体" w:cs="宋体"/>
          <w:sz w:val="24"/>
          <w:highlight w:val="none"/>
        </w:rPr>
      </w:pPr>
      <w:r>
        <w:rPr>
          <w:rFonts w:hint="eastAsia" w:ascii="宋体" w:hAnsi="宋体" w:cs="宋体"/>
          <w:sz w:val="24"/>
          <w:highlight w:val="none"/>
        </w:rPr>
        <w:t>为贯彻落实《深化政府采购制度改革方案》有关要求，推动政府采购需求标准建设，财政部门会同有关部门制定发布的其他政府采购需求标准，本项目如涉及，则具体要求见第四章《采购需求》。</w:t>
      </w:r>
    </w:p>
    <w:p w14:paraId="379430D2">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响应费用</w:t>
      </w:r>
    </w:p>
    <w:p w14:paraId="16D9EFE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1AADAF81">
      <w:pPr>
        <w:tabs>
          <w:tab w:val="left" w:pos="1080"/>
        </w:tabs>
        <w:wordWrap w:val="0"/>
        <w:snapToGrid w:val="0"/>
        <w:spacing w:after="0" w:line="360" w:lineRule="auto"/>
        <w:ind w:left="1080"/>
        <w:rPr>
          <w:rFonts w:hint="eastAsia" w:ascii="宋体" w:hAnsi="宋体" w:cs="宋体"/>
          <w:sz w:val="28"/>
          <w:highlight w:val="none"/>
        </w:rPr>
      </w:pPr>
      <w:bookmarkStart w:id="150" w:name="_1.8_计量单位"/>
      <w:bookmarkEnd w:id="150"/>
    </w:p>
    <w:p w14:paraId="14566FCC">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7A005287">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151" w:name="_Toc127151523"/>
      <w:bookmarkStart w:id="152" w:name="_Toc226337219"/>
      <w:bookmarkStart w:id="153" w:name="_Toc151190150"/>
      <w:bookmarkStart w:id="154" w:name="_Toc226309767"/>
      <w:bookmarkStart w:id="155" w:name="_Toc151193911"/>
      <w:bookmarkStart w:id="156" w:name="_Toc226965796"/>
      <w:bookmarkStart w:id="157" w:name="_Toc305158865"/>
      <w:bookmarkStart w:id="158" w:name="_Toc127161437"/>
      <w:bookmarkStart w:id="159" w:name="_Toc264969213"/>
      <w:bookmarkStart w:id="160" w:name="_Toc151193765"/>
      <w:bookmarkStart w:id="161" w:name="_Toc305158791"/>
      <w:bookmarkStart w:id="162" w:name="_Toc164229218"/>
      <w:bookmarkStart w:id="163" w:name="_Toc164351617"/>
      <w:bookmarkStart w:id="164" w:name="_Toc151193693"/>
      <w:bookmarkStart w:id="165" w:name="_Toc150480761"/>
      <w:bookmarkStart w:id="166" w:name="_Toc127151724"/>
      <w:bookmarkStart w:id="167" w:name="_Toc226965713"/>
      <w:bookmarkStart w:id="168" w:name="_Toc149720816"/>
      <w:bookmarkStart w:id="169" w:name="_Toc164229364"/>
      <w:bookmarkStart w:id="170" w:name="_Toc195842888"/>
      <w:bookmarkStart w:id="171" w:name="_Toc164608792"/>
      <w:bookmarkStart w:id="172" w:name="_Toc520356147"/>
      <w:bookmarkStart w:id="173" w:name="_Toc151193621"/>
      <w:bookmarkStart w:id="174" w:name="_Toc150774728"/>
      <w:bookmarkStart w:id="175" w:name="_Toc164608637"/>
      <w:bookmarkStart w:id="176" w:name="_Toc150509274"/>
      <w:bookmarkStart w:id="177" w:name="_Toc151193837"/>
      <w:bookmarkStart w:id="178" w:name="_Toc150774623"/>
      <w:bookmarkStart w:id="179" w:name="_Toc142311025"/>
      <w:bookmarkStart w:id="180" w:name="_Toc265228361"/>
      <w:r>
        <w:rPr>
          <w:rFonts w:hint="eastAsia" w:ascii="宋体" w:hAnsi="宋体" w:cs="宋体"/>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sz w:val="24"/>
          <w:highlight w:val="none"/>
        </w:rPr>
        <w:t>成</w:t>
      </w:r>
    </w:p>
    <w:p w14:paraId="2A6CE17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竞争性磋商文件包括以下部分：</w:t>
      </w:r>
    </w:p>
    <w:p w14:paraId="14CF4D35">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采购邀请</w:t>
      </w:r>
    </w:p>
    <w:p w14:paraId="03EEA3EC">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供应商须知</w:t>
      </w:r>
    </w:p>
    <w:p w14:paraId="4260E3C7">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评审方法和评审标准</w:t>
      </w:r>
    </w:p>
    <w:p w14:paraId="1BC93780">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40F64C68">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合同草案条款</w:t>
      </w:r>
    </w:p>
    <w:p w14:paraId="6E316A90">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响应文件格式</w:t>
      </w:r>
    </w:p>
    <w:p w14:paraId="508389A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319DEA07">
      <w:pPr>
        <w:numPr>
          <w:ilvl w:val="0"/>
          <w:numId w:val="8"/>
        </w:numPr>
        <w:tabs>
          <w:tab w:val="left" w:pos="1080"/>
          <w:tab w:val="left" w:pos="2014"/>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对竞争性磋商文件的澄清或修改</w:t>
      </w:r>
    </w:p>
    <w:p w14:paraId="6E239D00">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9FCC3AC">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上述书面通知，按照获取竞争性磋商文件的潜在供应商提供的联系方式发出，因提供的信息有误导致通知延迟或无法通知的，采购人或采购代理机构不承担责任。</w:t>
      </w:r>
    </w:p>
    <w:p w14:paraId="24A33196">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首次响应文件截止时间。</w:t>
      </w:r>
    </w:p>
    <w:p w14:paraId="65A3BB50">
      <w:pPr>
        <w:tabs>
          <w:tab w:val="left" w:pos="1080"/>
          <w:tab w:val="left" w:pos="1561"/>
        </w:tabs>
        <w:wordWrap w:val="0"/>
        <w:snapToGrid w:val="0"/>
        <w:spacing w:after="0" w:line="360" w:lineRule="auto"/>
        <w:ind w:left="1080"/>
        <w:rPr>
          <w:rFonts w:hint="eastAsia" w:ascii="宋体" w:hAnsi="宋体" w:cs="宋体"/>
          <w:sz w:val="28"/>
          <w:highlight w:val="none"/>
        </w:rPr>
      </w:pPr>
      <w:bookmarkStart w:id="181" w:name="_Toc516367020"/>
      <w:bookmarkStart w:id="182" w:name="_Toc150509277"/>
      <w:bookmarkStart w:id="183" w:name="_Toc195842891"/>
      <w:bookmarkStart w:id="184" w:name="_Toc151193624"/>
      <w:bookmarkStart w:id="185" w:name="_Toc151190153"/>
      <w:bookmarkStart w:id="186" w:name="_Toc150774731"/>
      <w:bookmarkStart w:id="187" w:name="_Toc150774626"/>
      <w:bookmarkStart w:id="188" w:name="_Toc142311028"/>
      <w:bookmarkStart w:id="189" w:name="_Toc226965716"/>
      <w:bookmarkStart w:id="190" w:name="_Toc265228364"/>
      <w:bookmarkStart w:id="191" w:name="_Toc151193696"/>
      <w:bookmarkStart w:id="192" w:name="_Toc520356150"/>
      <w:bookmarkStart w:id="193" w:name="_Toc226309770"/>
      <w:bookmarkStart w:id="194" w:name="_Toc150480764"/>
      <w:bookmarkStart w:id="195" w:name="_Toc127151526"/>
      <w:bookmarkStart w:id="196" w:name="_Toc151193914"/>
      <w:bookmarkStart w:id="197" w:name="_Toc305158868"/>
      <w:bookmarkStart w:id="198" w:name="_Toc151193840"/>
      <w:bookmarkStart w:id="199" w:name="_Toc264969216"/>
      <w:bookmarkStart w:id="200" w:name="_Toc151193768"/>
      <w:bookmarkStart w:id="201" w:name="_Toc305158794"/>
      <w:bookmarkStart w:id="202" w:name="_Toc226965799"/>
      <w:bookmarkStart w:id="203" w:name="_Toc226337222"/>
    </w:p>
    <w:p w14:paraId="63823A86">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三   响应文件</w:t>
      </w:r>
      <w:bookmarkEnd w:id="181"/>
      <w:r>
        <w:rPr>
          <w:rFonts w:hint="eastAsia" w:ascii="宋体" w:hAnsi="宋体" w:eastAsia="宋体" w:cs="宋体"/>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71CEFBDC">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04" w:name="_Toc516367021"/>
      <w:bookmarkStart w:id="205" w:name="_Toc226309771"/>
      <w:bookmarkStart w:id="206" w:name="_Toc265228365"/>
      <w:bookmarkStart w:id="207" w:name="_Toc195842892"/>
      <w:bookmarkStart w:id="208" w:name="_Toc150774732"/>
      <w:bookmarkStart w:id="209" w:name="_Toc164229222"/>
      <w:bookmarkStart w:id="210" w:name="_Toc150774627"/>
      <w:bookmarkStart w:id="211" w:name="_Toc151193697"/>
      <w:bookmarkStart w:id="212" w:name="_Toc164229368"/>
      <w:bookmarkStart w:id="213" w:name="_Toc226965800"/>
      <w:bookmarkStart w:id="214" w:name="_Toc305158869"/>
      <w:bookmarkStart w:id="215" w:name="_Toc149720820"/>
      <w:bookmarkStart w:id="216" w:name="_Toc164351621"/>
      <w:bookmarkStart w:id="217" w:name="_Toc151193841"/>
      <w:bookmarkStart w:id="218" w:name="_Toc305158795"/>
      <w:bookmarkStart w:id="219" w:name="_Toc226337223"/>
      <w:bookmarkStart w:id="220" w:name="_Toc164608796"/>
      <w:bookmarkStart w:id="221" w:name="_Toc226965717"/>
      <w:bookmarkStart w:id="222" w:name="_Toc127161441"/>
      <w:bookmarkStart w:id="223" w:name="_Toc150509278"/>
      <w:bookmarkStart w:id="224" w:name="_Toc264969217"/>
      <w:bookmarkStart w:id="225" w:name="_Toc151193625"/>
      <w:bookmarkStart w:id="226" w:name="_Toc151190154"/>
      <w:bookmarkStart w:id="227" w:name="_Toc520356151"/>
      <w:bookmarkStart w:id="228" w:name="_Toc164608641"/>
      <w:bookmarkStart w:id="229" w:name="_Toc142311029"/>
      <w:bookmarkStart w:id="230" w:name="_Toc151193915"/>
      <w:bookmarkStart w:id="231" w:name="_Toc127151728"/>
      <w:bookmarkStart w:id="232" w:name="_Toc127151527"/>
      <w:bookmarkStart w:id="233" w:name="_Toc150480765"/>
      <w:bookmarkStart w:id="234" w:name="_Toc151193769"/>
      <w:r>
        <w:rPr>
          <w:rFonts w:hint="eastAsia" w:ascii="宋体" w:hAnsi="宋体" w:cs="宋体"/>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ascii="宋体" w:hAnsi="宋体" w:cs="宋体"/>
          <w:sz w:val="24"/>
          <w:highlight w:val="none"/>
        </w:rPr>
        <w:t>及磋商语言</w:t>
      </w:r>
    </w:p>
    <w:p w14:paraId="1D029FC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42D1BBA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446FF45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EECF73B">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35" w:name="_Ref467306195"/>
      <w:bookmarkStart w:id="236" w:name="_Toc516367022"/>
      <w:bookmarkStart w:id="237" w:name="_Ref467306676"/>
      <w:bookmarkStart w:id="238" w:name="_Toc264969218"/>
      <w:bookmarkStart w:id="239" w:name="_Toc127151729"/>
      <w:bookmarkStart w:id="240" w:name="_Toc226965718"/>
      <w:bookmarkStart w:id="241" w:name="_Toc305158796"/>
      <w:bookmarkStart w:id="242" w:name="_Toc151193916"/>
      <w:bookmarkStart w:id="243" w:name="_Toc150774733"/>
      <w:bookmarkStart w:id="244" w:name="_Toc265228366"/>
      <w:bookmarkStart w:id="245" w:name="_Toc151193770"/>
      <w:bookmarkStart w:id="246" w:name="_Toc150480766"/>
      <w:bookmarkStart w:id="247" w:name="_Toc151193698"/>
      <w:bookmarkStart w:id="248" w:name="_Toc226965801"/>
      <w:bookmarkStart w:id="249" w:name="_Toc151190155"/>
      <w:bookmarkStart w:id="250" w:name="_Toc195842893"/>
      <w:bookmarkStart w:id="251" w:name="_Toc150509279"/>
      <w:bookmarkStart w:id="252" w:name="_Toc151193842"/>
      <w:bookmarkStart w:id="253" w:name="_Toc150774628"/>
      <w:bookmarkStart w:id="254" w:name="_Toc151193626"/>
      <w:bookmarkStart w:id="255" w:name="_Toc164351622"/>
      <w:bookmarkStart w:id="256" w:name="_Toc164229369"/>
      <w:bookmarkStart w:id="257" w:name="_Toc164229223"/>
      <w:bookmarkStart w:id="258" w:name="_Toc164608642"/>
      <w:bookmarkStart w:id="259" w:name="_Toc520356152"/>
      <w:bookmarkStart w:id="260" w:name="_Toc149720821"/>
      <w:bookmarkStart w:id="261" w:name="_Toc305158870"/>
      <w:bookmarkStart w:id="262" w:name="_Toc127151528"/>
      <w:bookmarkStart w:id="263" w:name="_Toc142311030"/>
      <w:bookmarkStart w:id="264" w:name="_Toc164608797"/>
      <w:bookmarkStart w:id="265" w:name="_Toc226337224"/>
      <w:bookmarkStart w:id="266" w:name="_Toc127161442"/>
      <w:bookmarkStart w:id="267" w:name="_Toc226309772"/>
      <w:r>
        <w:rPr>
          <w:rFonts w:hint="eastAsia" w:ascii="宋体" w:hAnsi="宋体" w:cs="宋体"/>
          <w:sz w:val="24"/>
          <w:highlight w:val="none"/>
        </w:rPr>
        <w:t>响应文件</w:t>
      </w:r>
      <w:bookmarkEnd w:id="235"/>
      <w:bookmarkEnd w:id="236"/>
      <w:bookmarkEnd w:id="237"/>
      <w:r>
        <w:rPr>
          <w:rFonts w:hint="eastAsia" w:ascii="宋体" w:hAnsi="宋体" w:cs="宋体"/>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274900D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268"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1173E13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37ECD88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0103462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14C0F5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供应商认为应附的其他材料。</w:t>
      </w:r>
      <w:bookmarkEnd w:id="268"/>
    </w:p>
    <w:p w14:paraId="4679461F">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69" w:name="_Toc150509281"/>
      <w:bookmarkStart w:id="270" w:name="_Toc164351624"/>
      <w:bookmarkStart w:id="271" w:name="_Toc151193844"/>
      <w:bookmarkStart w:id="272" w:name="_Toc151190157"/>
      <w:bookmarkStart w:id="273" w:name="_Toc151193628"/>
      <w:bookmarkStart w:id="274" w:name="_Toc164608799"/>
      <w:bookmarkStart w:id="275" w:name="_Toc127151530"/>
      <w:bookmarkStart w:id="276" w:name="_Toc195842895"/>
      <w:bookmarkStart w:id="277" w:name="_Toc127161444"/>
      <w:bookmarkStart w:id="278" w:name="_Toc151193918"/>
      <w:bookmarkStart w:id="279" w:name="_Toc164229371"/>
      <w:bookmarkStart w:id="280" w:name="_Toc150480768"/>
      <w:bookmarkStart w:id="281" w:name="_Toc150774630"/>
      <w:bookmarkStart w:id="282" w:name="_Toc164229225"/>
      <w:bookmarkStart w:id="283" w:name="_Toc164608644"/>
      <w:bookmarkStart w:id="284" w:name="_Toc151193772"/>
      <w:bookmarkStart w:id="285" w:name="_Toc127151731"/>
      <w:bookmarkStart w:id="286" w:name="_Toc150774735"/>
      <w:bookmarkStart w:id="287" w:name="_Toc520356155"/>
      <w:bookmarkStart w:id="288" w:name="_Toc149720823"/>
      <w:bookmarkStart w:id="289" w:name="_Toc151193700"/>
      <w:bookmarkStart w:id="290" w:name="_Toc142311032"/>
      <w:r>
        <w:rPr>
          <w:rFonts w:hint="eastAsia" w:ascii="宋体" w:hAnsi="宋体" w:cs="宋体"/>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918362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所有响应均以人民币为计价货币。</w:t>
      </w:r>
    </w:p>
    <w:p w14:paraId="3A37D38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549A02C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78535273">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按照竞争性磋商文件要求完成本项目的全部相关费用。</w:t>
      </w:r>
    </w:p>
    <w:p w14:paraId="5CD96A4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05586DA9">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42D48813">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磋商保证金</w:t>
      </w:r>
    </w:p>
    <w:p w14:paraId="1BBA7468">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供应商应按《供应商须知资料表》中规定的金额及要求交纳磋商保证金。供应商自愿超额缴纳磋商保证金的，响应文件不做无效处理。</w:t>
      </w:r>
    </w:p>
    <w:p w14:paraId="2EF34668">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交纳磋商保证金可采用的形式：政府采购法律法规接受的支票、汇票、本票、网上银行支付或者金融机构、担保机构出具的保函等非现金形式。</w:t>
      </w:r>
    </w:p>
    <w:p w14:paraId="3573BF6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5513512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供应商除需在响应文件中提供“磋商保证金凭证/交款单据电子件”，还需在首次响应文件提交截止时间前，通过电子交易平台上传“磋商保证金凭证/交款单据电子件”。</w:t>
      </w:r>
    </w:p>
    <w:p w14:paraId="600B594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磋商保证金有效期同响应有效期。</w:t>
      </w:r>
    </w:p>
    <w:p w14:paraId="0A045B7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14:paraId="6892106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DE293DB">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14:paraId="2B89D529">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14:paraId="0077574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14:paraId="671CC39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有下列情形之一的，采购人或采购代理机构不予退还磋商保证金：</w:t>
      </w:r>
    </w:p>
    <w:p w14:paraId="2FDE95C8">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供应商在提交响应文件截止时间后撤回响应文件的；</w:t>
      </w:r>
    </w:p>
    <w:p w14:paraId="0E75237D">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供应商在响应文件中提供虚假材料的；</w:t>
      </w:r>
    </w:p>
    <w:p w14:paraId="2EC3DB1D">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14:paraId="205C8437">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供应商与采购人、其他供应商或者采购代理机构恶意串通的；</w:t>
      </w:r>
    </w:p>
    <w:p w14:paraId="05B80776">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《供应商须知资料表》规定的其他情形。</w:t>
      </w:r>
    </w:p>
    <w:p w14:paraId="5050F01B">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响应有效期</w:t>
      </w:r>
    </w:p>
    <w:p w14:paraId="59D84FB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0287100A">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91" w:name="_Toc150774633"/>
      <w:bookmarkStart w:id="292" w:name="_Toc151193775"/>
      <w:bookmarkStart w:id="293" w:name="_Toc127151734"/>
      <w:bookmarkStart w:id="294" w:name="_Toc150480771"/>
      <w:bookmarkStart w:id="295" w:name="_Toc142311035"/>
      <w:bookmarkStart w:id="296" w:name="_Toc226337229"/>
      <w:bookmarkStart w:id="297" w:name="_Toc151193921"/>
      <w:bookmarkStart w:id="298" w:name="_Toc127151533"/>
      <w:bookmarkStart w:id="299" w:name="_Toc164608802"/>
      <w:bookmarkStart w:id="300" w:name="_Toc127161447"/>
      <w:bookmarkStart w:id="301" w:name="_Toc151193847"/>
      <w:bookmarkStart w:id="302" w:name="_Toc195842898"/>
      <w:bookmarkStart w:id="303" w:name="_Toc520356158"/>
      <w:bookmarkStart w:id="304" w:name="_Toc226309777"/>
      <w:bookmarkStart w:id="305" w:name="_Toc151193703"/>
      <w:bookmarkStart w:id="306" w:name="_Toc164229374"/>
      <w:bookmarkStart w:id="307" w:name="_Toc150509284"/>
      <w:bookmarkStart w:id="308" w:name="_Toc226965806"/>
      <w:bookmarkStart w:id="309" w:name="_Toc150774738"/>
      <w:bookmarkStart w:id="310" w:name="_Toc164229228"/>
      <w:bookmarkStart w:id="311" w:name="_Toc265228371"/>
      <w:bookmarkStart w:id="312" w:name="_Toc149720826"/>
      <w:bookmarkStart w:id="313" w:name="_Toc305158875"/>
      <w:bookmarkStart w:id="314" w:name="_Toc226965723"/>
      <w:bookmarkStart w:id="315" w:name="_Toc151193631"/>
      <w:bookmarkStart w:id="316" w:name="_Toc151190160"/>
      <w:bookmarkStart w:id="317" w:name="_Toc305158801"/>
      <w:bookmarkStart w:id="318" w:name="_Toc164351627"/>
      <w:bookmarkStart w:id="319" w:name="_Toc264969223"/>
      <w:bookmarkStart w:id="320" w:name="_Toc164608647"/>
      <w:r>
        <w:rPr>
          <w:rFonts w:hint="eastAsia" w:ascii="宋体" w:hAnsi="宋体" w:cs="宋体"/>
          <w:sz w:val="24"/>
          <w:highlight w:val="none"/>
        </w:rPr>
        <w:t>各包响应文件的签署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w:t>
      </w:r>
    </w:p>
    <w:p w14:paraId="0ECF791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321" w:name="_Toc150774634"/>
      <w:bookmarkStart w:id="322" w:name="_Toc127151534"/>
      <w:bookmarkStart w:id="323" w:name="_Toc305158876"/>
      <w:bookmarkStart w:id="324" w:name="_Toc151190161"/>
      <w:bookmarkStart w:id="325" w:name="_Toc264969224"/>
      <w:bookmarkStart w:id="326" w:name="_Toc151193848"/>
      <w:bookmarkStart w:id="327" w:name="_Toc226309778"/>
      <w:bookmarkStart w:id="328" w:name="_Toc226965807"/>
      <w:bookmarkStart w:id="329" w:name="_Toc142311036"/>
      <w:bookmarkStart w:id="330" w:name="_Toc226965724"/>
      <w:bookmarkStart w:id="331" w:name="_Toc226337230"/>
      <w:bookmarkStart w:id="332" w:name="_Toc151193776"/>
      <w:bookmarkStart w:id="333" w:name="_Toc265228372"/>
      <w:bookmarkStart w:id="334" w:name="_Toc150509285"/>
      <w:bookmarkStart w:id="335" w:name="_Toc520356159"/>
      <w:bookmarkStart w:id="336" w:name="_Toc150774739"/>
      <w:bookmarkStart w:id="337" w:name="_Toc151193632"/>
      <w:bookmarkStart w:id="338" w:name="_Toc195842899"/>
      <w:bookmarkStart w:id="339" w:name="_Toc305158802"/>
      <w:bookmarkStart w:id="340" w:name="_Toc151193922"/>
      <w:bookmarkStart w:id="341" w:name="_Toc150480772"/>
      <w:bookmarkStart w:id="342" w:name="_Toc151193704"/>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734325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竞争性磋商文件要求盖章的内容，一般通过投标文件编制工具加盖电子签章。</w:t>
      </w:r>
    </w:p>
    <w:p w14:paraId="6615AF30">
      <w:pPr>
        <w:tabs>
          <w:tab w:val="left" w:pos="900"/>
          <w:tab w:val="left" w:pos="1080"/>
        </w:tabs>
        <w:wordWrap w:val="0"/>
        <w:snapToGrid w:val="0"/>
        <w:spacing w:after="0" w:line="360" w:lineRule="auto"/>
        <w:ind w:left="357"/>
        <w:rPr>
          <w:rFonts w:hint="eastAsia" w:ascii="宋体" w:hAnsi="宋体" w:cs="宋体"/>
          <w:highlight w:val="none"/>
        </w:rPr>
      </w:pPr>
    </w:p>
    <w:p w14:paraId="42BB266D">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61FF3D9">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343" w:name="_Toc195842900"/>
      <w:bookmarkStart w:id="344" w:name="_Toc164229376"/>
      <w:bookmarkStart w:id="345" w:name="_Toc164351629"/>
      <w:bookmarkStart w:id="346" w:name="_Toc226337231"/>
      <w:bookmarkStart w:id="347" w:name="_Toc164229230"/>
      <w:bookmarkStart w:id="348" w:name="_Toc150480773"/>
      <w:bookmarkStart w:id="349" w:name="_Toc151193923"/>
      <w:bookmarkStart w:id="350" w:name="_Toc127151535"/>
      <w:bookmarkStart w:id="351" w:name="_Toc226965725"/>
      <w:bookmarkStart w:id="352" w:name="_Toc150774635"/>
      <w:bookmarkStart w:id="353" w:name="_Toc142311037"/>
      <w:bookmarkStart w:id="354" w:name="_Toc150774740"/>
      <w:bookmarkStart w:id="355" w:name="_Toc149720828"/>
      <w:bookmarkStart w:id="356" w:name="_Toc305158803"/>
      <w:bookmarkStart w:id="357" w:name="_Toc264969225"/>
      <w:bookmarkStart w:id="358" w:name="_Toc151193705"/>
      <w:bookmarkStart w:id="359" w:name="_Toc127161449"/>
      <w:bookmarkStart w:id="360" w:name="_Toc305158877"/>
      <w:bookmarkStart w:id="361" w:name="_Toc151193849"/>
      <w:bookmarkStart w:id="362" w:name="_Toc151190162"/>
      <w:bookmarkStart w:id="363" w:name="_Toc151193777"/>
      <w:bookmarkStart w:id="364" w:name="_Toc127151736"/>
      <w:bookmarkStart w:id="365" w:name="_Toc151193633"/>
      <w:bookmarkStart w:id="366" w:name="_Toc226309779"/>
      <w:bookmarkStart w:id="367" w:name="_Toc164608649"/>
      <w:bookmarkStart w:id="368" w:name="_Toc520356160"/>
      <w:bookmarkStart w:id="369" w:name="_Toc265228373"/>
      <w:bookmarkStart w:id="370" w:name="_Toc164608804"/>
      <w:bookmarkStart w:id="371" w:name="_Toc226965808"/>
      <w:bookmarkStart w:id="372" w:name="_Toc150509286"/>
      <w:r>
        <w:rPr>
          <w:rFonts w:hint="eastAsia" w:ascii="宋体" w:hAnsi="宋体" w:cs="宋体"/>
          <w:sz w:val="24"/>
          <w:highlight w:val="none"/>
        </w:rPr>
        <w:t>各包响应文件的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提交</w:t>
      </w:r>
    </w:p>
    <w:p w14:paraId="22597CA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本项目使用北京市政府采购电子交易平台。供应商根据竞争性磋商文件及电子交易平台供应商操作手册要求编制、生成并提交电子响应文件。</w:t>
      </w:r>
    </w:p>
    <w:p w14:paraId="6C4903C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采购人及采购代理机构拒绝接受通过电子交易平台以外任何形式提交的首次响应文件，磋商保证金除外。</w:t>
      </w:r>
    </w:p>
    <w:p w14:paraId="65DC8CF6">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373" w:name="_Toc226965809"/>
      <w:bookmarkStart w:id="374" w:name="_Toc164229377"/>
      <w:bookmarkStart w:id="375" w:name="_Toc127161450"/>
      <w:bookmarkStart w:id="376" w:name="_Toc226965726"/>
      <w:bookmarkStart w:id="377" w:name="_Toc151193924"/>
      <w:bookmarkStart w:id="378" w:name="_Toc265228374"/>
      <w:bookmarkStart w:id="379" w:name="_Toc226309780"/>
      <w:bookmarkStart w:id="380" w:name="_Toc195842901"/>
      <w:bookmarkStart w:id="381" w:name="_Toc127151536"/>
      <w:bookmarkStart w:id="382" w:name="_Toc151193850"/>
      <w:bookmarkStart w:id="383" w:name="_Toc142311038"/>
      <w:bookmarkStart w:id="384" w:name="_Toc164608805"/>
      <w:bookmarkStart w:id="385" w:name="_Toc226337232"/>
      <w:bookmarkStart w:id="386" w:name="_Toc164608650"/>
      <w:bookmarkStart w:id="387" w:name="_Toc305158804"/>
      <w:bookmarkStart w:id="388" w:name="_Toc151193634"/>
      <w:bookmarkStart w:id="389" w:name="_Toc127151737"/>
      <w:bookmarkStart w:id="390" w:name="_Toc151193706"/>
      <w:bookmarkStart w:id="391" w:name="_Toc264969226"/>
      <w:bookmarkStart w:id="392" w:name="_Toc149720829"/>
      <w:bookmarkStart w:id="393" w:name="_Toc520356161"/>
      <w:bookmarkStart w:id="394" w:name="_Toc164229231"/>
      <w:bookmarkStart w:id="395" w:name="_Toc150480774"/>
      <w:bookmarkStart w:id="396" w:name="_Toc150774636"/>
      <w:bookmarkStart w:id="397" w:name="_Toc151193778"/>
      <w:bookmarkStart w:id="398" w:name="_Toc305158878"/>
      <w:bookmarkStart w:id="399" w:name="_Toc150509287"/>
      <w:bookmarkStart w:id="400" w:name="_Toc151190163"/>
      <w:bookmarkStart w:id="401" w:name="_Toc164351630"/>
      <w:bookmarkStart w:id="402" w:name="_Toc150774741"/>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14:paraId="22D54F8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403" w:name="_Toc151193925"/>
      <w:bookmarkStart w:id="404" w:name="_Toc264969227"/>
      <w:bookmarkStart w:id="405" w:name="_Toc164229232"/>
      <w:bookmarkStart w:id="406" w:name="_Toc195842902"/>
      <w:bookmarkStart w:id="407" w:name="_Toc226965810"/>
      <w:bookmarkStart w:id="408" w:name="_Toc151193635"/>
      <w:bookmarkStart w:id="409" w:name="_Toc305158879"/>
      <w:bookmarkStart w:id="410" w:name="_Toc226309781"/>
      <w:bookmarkStart w:id="411" w:name="_Toc150774637"/>
      <w:bookmarkStart w:id="412" w:name="_Toc150774742"/>
      <w:bookmarkStart w:id="413" w:name="_Toc226965727"/>
      <w:bookmarkStart w:id="414" w:name="_Toc142311039"/>
      <w:bookmarkStart w:id="415" w:name="_Toc150509288"/>
      <w:bookmarkStart w:id="416" w:name="_Toc151193779"/>
      <w:bookmarkStart w:id="417" w:name="_Toc151193851"/>
      <w:bookmarkStart w:id="418" w:name="_Toc164608651"/>
      <w:bookmarkStart w:id="419" w:name="_Toc164608806"/>
      <w:bookmarkStart w:id="420" w:name="_Toc151193707"/>
      <w:bookmarkStart w:id="421" w:name="_Toc127151537"/>
      <w:bookmarkStart w:id="422" w:name="_Toc265228375"/>
      <w:bookmarkStart w:id="423" w:name="_Toc127161451"/>
      <w:bookmarkStart w:id="424" w:name="_Toc164229378"/>
      <w:bookmarkStart w:id="425" w:name="_Toc149720830"/>
      <w:bookmarkStart w:id="426" w:name="_Toc226337233"/>
      <w:bookmarkStart w:id="427" w:name="_Toc150480775"/>
      <w:bookmarkStart w:id="428" w:name="_Toc164351631"/>
      <w:bookmarkStart w:id="429" w:name="_Toc520356162"/>
      <w:bookmarkStart w:id="430" w:name="_Toc151190164"/>
      <w:bookmarkStart w:id="431" w:name="_Toc127151738"/>
      <w:bookmarkStart w:id="432" w:name="_Toc305158805"/>
      <w:r>
        <w:rPr>
          <w:rFonts w:hint="eastAsia" w:ascii="宋体" w:hAnsi="宋体" w:cs="宋体"/>
          <w:sz w:val="24"/>
          <w:highlight w:val="none"/>
        </w:rPr>
        <w:t>供应商应在竞争性磋商文件要求响应文件提交截止时间前，将电子响应文件 提交至电子交易平台。</w:t>
      </w:r>
    </w:p>
    <w:p w14:paraId="525535E3">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0AB9C2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5B392AB8">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供应商对响应文件的补充、修改的内容应当按照竞争性磋商文件要求签署、盖章，作为响应文件的组成部分。补充、修改的内容与响应文件不一致的，以补充、修改的内容为准</w:t>
      </w:r>
      <w:r>
        <w:rPr>
          <w:rFonts w:hint="eastAsia" w:ascii="宋体" w:hAnsi="宋体" w:cs="宋体"/>
          <w:kern w:val="0"/>
          <w:sz w:val="24"/>
          <w:highlight w:val="none"/>
        </w:rPr>
        <w:t>。</w:t>
      </w:r>
    </w:p>
    <w:p w14:paraId="36320AD7">
      <w:pPr>
        <w:tabs>
          <w:tab w:val="left" w:pos="900"/>
          <w:tab w:val="left" w:pos="1080"/>
          <w:tab w:val="left" w:pos="1589"/>
        </w:tabs>
        <w:wordWrap w:val="0"/>
        <w:snapToGrid w:val="0"/>
        <w:spacing w:after="0" w:line="360" w:lineRule="auto"/>
        <w:ind w:left="357"/>
        <w:rPr>
          <w:rFonts w:hint="eastAsia" w:ascii="宋体" w:hAnsi="宋体" w:cs="宋体"/>
          <w:sz w:val="24"/>
          <w:highlight w:val="none"/>
        </w:rPr>
      </w:pPr>
    </w:p>
    <w:p w14:paraId="5D246FE8">
      <w:pPr>
        <w:pStyle w:val="3"/>
        <w:wordWrap w:val="0"/>
        <w:spacing w:before="0" w:after="0" w:line="360" w:lineRule="auto"/>
        <w:rPr>
          <w:rFonts w:hint="eastAsia" w:ascii="宋体" w:hAnsi="宋体" w:eastAsia="宋体" w:cs="宋体"/>
          <w:sz w:val="28"/>
          <w:highlight w:val="none"/>
        </w:rPr>
      </w:pPr>
      <w:bookmarkStart w:id="433" w:name="_Toc150774743"/>
      <w:bookmarkStart w:id="434" w:name="_Toc305158806"/>
      <w:bookmarkStart w:id="435" w:name="_Toc226309782"/>
      <w:bookmarkStart w:id="436" w:name="_Toc150774638"/>
      <w:bookmarkStart w:id="437" w:name="_Toc264969228"/>
      <w:bookmarkStart w:id="438" w:name="_Toc151193708"/>
      <w:bookmarkStart w:id="439" w:name="_Toc151193852"/>
      <w:bookmarkStart w:id="440" w:name="_Toc142311040"/>
      <w:bookmarkStart w:id="441" w:name="_Toc520356163"/>
      <w:bookmarkStart w:id="442" w:name="_Toc195842903"/>
      <w:bookmarkStart w:id="443" w:name="_Toc150480776"/>
      <w:bookmarkStart w:id="444" w:name="_Toc151193780"/>
      <w:bookmarkStart w:id="445" w:name="_Toc151193636"/>
      <w:bookmarkStart w:id="446" w:name="_Toc305158880"/>
      <w:bookmarkStart w:id="447" w:name="_Toc151193926"/>
      <w:bookmarkStart w:id="448" w:name="_Toc150509289"/>
      <w:bookmarkStart w:id="449" w:name="_Toc226965728"/>
      <w:bookmarkStart w:id="450" w:name="_Toc226965811"/>
      <w:bookmarkStart w:id="451" w:name="_Toc127151538"/>
      <w:bookmarkStart w:id="452" w:name="_Toc151190165"/>
      <w:bookmarkStart w:id="453" w:name="_Toc226337234"/>
      <w:bookmarkStart w:id="454" w:name="_Toc265228376"/>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14:paraId="30FD2FF3">
      <w:pPr>
        <w:numPr>
          <w:ilvl w:val="0"/>
          <w:numId w:val="8"/>
        </w:numPr>
        <w:tabs>
          <w:tab w:val="left" w:pos="360"/>
        </w:tabs>
        <w:snapToGrid w:val="0"/>
        <w:spacing w:after="0" w:line="360" w:lineRule="auto"/>
        <w:ind w:left="357" w:hanging="357"/>
        <w:outlineLvl w:val="1"/>
        <w:rPr>
          <w:sz w:val="24"/>
          <w:highlight w:val="none"/>
        </w:rPr>
      </w:pPr>
      <w:bookmarkStart w:id="455" w:name="_Toc520356166"/>
      <w:r>
        <w:rPr>
          <w:sz w:val="24"/>
          <w:highlight w:val="none"/>
        </w:rPr>
        <w:t>响应文件的解密与开启</w:t>
      </w:r>
    </w:p>
    <w:p w14:paraId="192BEF70">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150C2009">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本项目解密使用北京市政府采购电子交易平台。供应商应在《供应商须知资料表》规定的时间内对响应文件进行解密，因非系统原因导致的解密失败，视为</w:t>
      </w:r>
      <w:r>
        <w:rPr>
          <w:b/>
          <w:sz w:val="24"/>
          <w:highlight w:val="none"/>
        </w:rPr>
        <w:t>无效响应</w:t>
      </w:r>
      <w:r>
        <w:rPr>
          <w:sz w:val="24"/>
          <w:highlight w:val="none"/>
        </w:rPr>
        <w:t>。</w:t>
      </w:r>
    </w:p>
    <w:p w14:paraId="23DD47B5">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7566A65">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供应商不足3家的，不予解密。</w:t>
      </w:r>
    </w:p>
    <w:p w14:paraId="7B88EA31">
      <w:pPr>
        <w:numPr>
          <w:ilvl w:val="1"/>
          <w:numId w:val="8"/>
        </w:numPr>
        <w:tabs>
          <w:tab w:val="left" w:pos="1080"/>
          <w:tab w:val="left" w:pos="2014"/>
        </w:tabs>
        <w:snapToGrid w:val="0"/>
        <w:spacing w:after="0" w:line="360" w:lineRule="auto"/>
        <w:ind w:left="1077" w:hanging="720"/>
        <w:rPr>
          <w:sz w:val="24"/>
          <w:highlight w:val="none"/>
        </w:rPr>
      </w:pPr>
      <w:bookmarkStart w:id="456" w:name="_Toc520356165"/>
      <w:r>
        <w:rPr>
          <w:sz w:val="24"/>
          <w:highlight w:val="none"/>
        </w:rPr>
        <w:t>本项目不公开报价。</w:t>
      </w:r>
    </w:p>
    <w:bookmarkEnd w:id="456"/>
    <w:p w14:paraId="6F01AD12">
      <w:pPr>
        <w:numPr>
          <w:ilvl w:val="0"/>
          <w:numId w:val="8"/>
        </w:numPr>
        <w:tabs>
          <w:tab w:val="left" w:pos="360"/>
        </w:tabs>
        <w:snapToGrid w:val="0"/>
        <w:spacing w:after="0" w:line="360" w:lineRule="auto"/>
        <w:ind w:left="357" w:hanging="357"/>
        <w:outlineLvl w:val="1"/>
        <w:rPr>
          <w:sz w:val="24"/>
          <w:highlight w:val="none"/>
        </w:rPr>
      </w:pPr>
      <w:r>
        <w:rPr>
          <w:sz w:val="24"/>
          <w:highlight w:val="none"/>
        </w:rPr>
        <w:t>磋商小组</w:t>
      </w:r>
    </w:p>
    <w:p w14:paraId="320529C1">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磋商小组根据政府采购有关规定和本次采购项目的特点进行组建，并负责具体评审</w:t>
      </w:r>
      <w:r>
        <w:rPr>
          <w:rFonts w:hint="eastAsia"/>
          <w:sz w:val="24"/>
          <w:highlight w:val="none"/>
        </w:rPr>
        <w:t>与磋商</w:t>
      </w:r>
      <w:r>
        <w:rPr>
          <w:sz w:val="24"/>
          <w:highlight w:val="none"/>
        </w:rPr>
        <w:t>事务，独立履行职责。</w:t>
      </w:r>
    </w:p>
    <w:p w14:paraId="1C9813B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cs="宋体"/>
          <w:sz w:val="24"/>
          <w:highlight w:val="none"/>
        </w:rPr>
        <w:t>。</w:t>
      </w:r>
      <w:bookmarkEnd w:id="455"/>
      <w:bookmarkStart w:id="457" w:name="_Toc520356169"/>
    </w:p>
    <w:p w14:paraId="0301383D">
      <w:pPr>
        <w:numPr>
          <w:ilvl w:val="0"/>
          <w:numId w:val="8"/>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评审方法和评审标准</w:t>
      </w:r>
    </w:p>
    <w:p w14:paraId="2734A28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见第三章《评审方法和评审标准》。</w:t>
      </w:r>
    </w:p>
    <w:p w14:paraId="0D7D621A">
      <w:pPr>
        <w:tabs>
          <w:tab w:val="left" w:pos="360"/>
          <w:tab w:val="left" w:pos="1080"/>
        </w:tabs>
        <w:wordWrap w:val="0"/>
        <w:snapToGrid w:val="0"/>
        <w:spacing w:after="0" w:line="360" w:lineRule="auto"/>
        <w:ind w:left="1080"/>
        <w:rPr>
          <w:rFonts w:hint="eastAsia" w:ascii="宋体" w:hAnsi="宋体" w:cs="宋体"/>
          <w:sz w:val="24"/>
          <w:highlight w:val="none"/>
        </w:rPr>
      </w:pPr>
    </w:p>
    <w:p w14:paraId="658A3401">
      <w:pPr>
        <w:pStyle w:val="3"/>
        <w:wordWrap w:val="0"/>
        <w:spacing w:before="0" w:after="0" w:line="360" w:lineRule="auto"/>
        <w:rPr>
          <w:rFonts w:hint="eastAsia" w:ascii="宋体" w:hAnsi="宋体" w:eastAsia="宋体" w:cs="宋体"/>
          <w:sz w:val="28"/>
          <w:highlight w:val="none"/>
        </w:rPr>
      </w:pPr>
      <w:bookmarkStart w:id="458" w:name="_Toc142311047"/>
      <w:bookmarkStart w:id="459" w:name="_Toc226309789"/>
      <w:bookmarkStart w:id="460" w:name="_Toc151193933"/>
      <w:bookmarkStart w:id="461" w:name="_Toc150480783"/>
      <w:bookmarkStart w:id="462" w:name="_Toc151190172"/>
      <w:bookmarkStart w:id="463" w:name="_Toc151193643"/>
      <w:bookmarkStart w:id="464" w:name="_Toc226965735"/>
      <w:bookmarkStart w:id="465" w:name="_Toc264969235"/>
      <w:bookmarkStart w:id="466" w:name="_Toc150509296"/>
      <w:bookmarkStart w:id="467" w:name="_Toc127151545"/>
      <w:bookmarkStart w:id="468" w:name="_Toc195842910"/>
      <w:bookmarkStart w:id="469" w:name="_Toc305158887"/>
      <w:bookmarkStart w:id="470" w:name="_Toc226965818"/>
      <w:bookmarkStart w:id="471" w:name="_Toc151193715"/>
      <w:bookmarkStart w:id="472" w:name="_Toc150774750"/>
      <w:bookmarkStart w:id="473" w:name="_Toc151193787"/>
      <w:bookmarkStart w:id="474" w:name="_Toc150774645"/>
      <w:bookmarkStart w:id="475" w:name="_Toc265228383"/>
      <w:bookmarkStart w:id="476" w:name="_Toc226337241"/>
      <w:bookmarkStart w:id="477" w:name="_Toc305158813"/>
      <w:bookmarkStart w:id="478" w:name="_Toc151193859"/>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14:paraId="20BD0504">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479" w:name="_Toc164608816"/>
      <w:bookmarkStart w:id="480" w:name="_Toc151193861"/>
      <w:bookmarkStart w:id="481" w:name="_Toc151193645"/>
      <w:bookmarkStart w:id="482" w:name="_Toc150774752"/>
      <w:bookmarkStart w:id="483" w:name="_Toc150480785"/>
      <w:bookmarkStart w:id="484" w:name="_Toc150774647"/>
      <w:bookmarkStart w:id="485" w:name="_Toc226965737"/>
      <w:bookmarkStart w:id="486" w:name="_Toc305158889"/>
      <w:bookmarkStart w:id="487" w:name="_Toc305158815"/>
      <w:bookmarkStart w:id="488" w:name="_Toc127151547"/>
      <w:bookmarkStart w:id="489" w:name="_Toc226309791"/>
      <w:bookmarkStart w:id="490" w:name="_Toc142311049"/>
      <w:bookmarkStart w:id="491" w:name="_Toc264969237"/>
      <w:bookmarkStart w:id="492" w:name="_Toc226965820"/>
      <w:bookmarkStart w:id="493" w:name="_Toc164351641"/>
      <w:bookmarkStart w:id="494" w:name="_Toc164229388"/>
      <w:bookmarkStart w:id="495" w:name="_Toc164229242"/>
      <w:bookmarkStart w:id="496" w:name="_Toc195842912"/>
      <w:bookmarkStart w:id="497" w:name="_Toc150509298"/>
      <w:bookmarkStart w:id="498" w:name="_Toc127161461"/>
      <w:bookmarkStart w:id="499" w:name="_Toc151193935"/>
      <w:bookmarkStart w:id="500" w:name="_Toc127151748"/>
      <w:bookmarkStart w:id="501" w:name="_Toc151193717"/>
      <w:bookmarkStart w:id="502" w:name="_Toc164608661"/>
      <w:bookmarkStart w:id="503" w:name="_Toc151190174"/>
      <w:bookmarkStart w:id="504" w:name="_Toc151193789"/>
      <w:bookmarkStart w:id="505" w:name="_Toc149720840"/>
      <w:bookmarkStart w:id="506" w:name="_Toc265228385"/>
      <w:bookmarkStart w:id="507" w:name="_Toc226337243"/>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CA9BD9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441974C">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508" w:name="_Toc305158817"/>
      <w:bookmarkStart w:id="509" w:name="_Toc305158891"/>
      <w:bookmarkStart w:id="510" w:name="_Toc164608663"/>
      <w:bookmarkStart w:id="511" w:name="_Toc151190176"/>
      <w:bookmarkStart w:id="512" w:name="_Toc164229390"/>
      <w:bookmarkStart w:id="513" w:name="_Toc264969239"/>
      <w:bookmarkStart w:id="514" w:name="_Toc164229244"/>
      <w:bookmarkStart w:id="515" w:name="_Toc195842914"/>
      <w:bookmarkStart w:id="516" w:name="_Toc149720842"/>
      <w:bookmarkStart w:id="517" w:name="_Toc151193719"/>
      <w:bookmarkStart w:id="518" w:name="_Toc127151750"/>
      <w:bookmarkStart w:id="519" w:name="_Toc226965822"/>
      <w:bookmarkStart w:id="520" w:name="_Toc226337245"/>
      <w:bookmarkStart w:id="521" w:name="_Toc226309793"/>
      <w:bookmarkStart w:id="522" w:name="_Toc150774754"/>
      <w:bookmarkStart w:id="523" w:name="_Toc164608818"/>
      <w:bookmarkStart w:id="524" w:name="_Toc226965739"/>
      <w:bookmarkStart w:id="525" w:name="_Toc151193863"/>
      <w:bookmarkStart w:id="526" w:name="_Toc127151549"/>
      <w:bookmarkStart w:id="527" w:name="_Toc265228387"/>
      <w:bookmarkStart w:id="528" w:name="_Toc151193937"/>
      <w:bookmarkStart w:id="529" w:name="_Toc150509300"/>
      <w:bookmarkStart w:id="530" w:name="_Toc151193647"/>
      <w:bookmarkStart w:id="531" w:name="_Toc150774649"/>
      <w:bookmarkStart w:id="532" w:name="_Toc127161463"/>
      <w:bookmarkStart w:id="533" w:name="_Toc142311051"/>
      <w:bookmarkStart w:id="534" w:name="_Toc151193791"/>
      <w:bookmarkStart w:id="535" w:name="_Toc164351643"/>
      <w:bookmarkStart w:id="536" w:name="_Toc150480787"/>
      <w:bookmarkStart w:id="537" w:name="_Ref467307090"/>
      <w:bookmarkStart w:id="538" w:name="_Toc520356176"/>
      <w:bookmarkStart w:id="539" w:name="_Ref467306425"/>
      <w:r>
        <w:rPr>
          <w:rFonts w:hint="eastAsia" w:ascii="宋体" w:hAnsi="宋体" w:cs="宋体"/>
          <w:sz w:val="24"/>
          <w:highlight w:val="none"/>
        </w:rPr>
        <w:t>成交公告与成交通知书</w:t>
      </w:r>
      <w:bookmarkEnd w:id="508"/>
      <w:bookmarkEnd w:id="509"/>
    </w:p>
    <w:p w14:paraId="39ABE19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北京市政府采购网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69B5B67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14:paraId="5412242C">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终止</w:t>
      </w:r>
    </w:p>
    <w:p w14:paraId="0AE82BA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14:paraId="76D33835">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7AE56CAB">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671D181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74DB1BC2">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540" w:name="_Toc150774755"/>
      <w:bookmarkStart w:id="541" w:name="_Toc265228388"/>
      <w:bookmarkStart w:id="542" w:name="_Toc226965740"/>
      <w:bookmarkStart w:id="543" w:name="_Toc226309794"/>
      <w:bookmarkStart w:id="544" w:name="_Toc151193648"/>
      <w:bookmarkStart w:id="545" w:name="_Toc151193720"/>
      <w:bookmarkStart w:id="546" w:name="_Toc150509301"/>
      <w:bookmarkStart w:id="547" w:name="_Toc164351644"/>
      <w:bookmarkStart w:id="548" w:name="_Toc520356175"/>
      <w:bookmarkStart w:id="549" w:name="_Toc149720843"/>
      <w:bookmarkStart w:id="550" w:name="_Toc127151751"/>
      <w:bookmarkStart w:id="551" w:name="_Toc151193938"/>
      <w:bookmarkStart w:id="552" w:name="_Toc127151550"/>
      <w:bookmarkStart w:id="553" w:name="_Toc150480788"/>
      <w:bookmarkStart w:id="554" w:name="_Toc164608819"/>
      <w:bookmarkStart w:id="555" w:name="_Toc164608664"/>
      <w:bookmarkStart w:id="556" w:name="_Toc142311052"/>
      <w:bookmarkStart w:id="557" w:name="_Toc164229245"/>
      <w:bookmarkStart w:id="558" w:name="_Toc151190177"/>
      <w:bookmarkStart w:id="559" w:name="_Toc195842915"/>
      <w:bookmarkStart w:id="560" w:name="_Toc226337246"/>
      <w:bookmarkStart w:id="561" w:name="_Toc305158818"/>
      <w:bookmarkStart w:id="562" w:name="_Toc226965823"/>
      <w:bookmarkStart w:id="563" w:name="_Ref467307062"/>
      <w:bookmarkStart w:id="564" w:name="_Ref467307204"/>
      <w:bookmarkStart w:id="565" w:name="_Toc127161464"/>
      <w:bookmarkStart w:id="566" w:name="_Toc151193864"/>
      <w:bookmarkStart w:id="567" w:name="_Toc264969240"/>
      <w:bookmarkStart w:id="568" w:name="_Ref467306978"/>
      <w:bookmarkStart w:id="569" w:name="_Toc151193792"/>
      <w:bookmarkStart w:id="570" w:name="_Toc305158892"/>
      <w:bookmarkStart w:id="571" w:name="_Toc150774650"/>
      <w:bookmarkStart w:id="572" w:name="_Toc164229391"/>
      <w:bookmarkStart w:id="573" w:name="_Ref467306377"/>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680AEDF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49C7BD6E">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B6966F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14:paraId="5D737FA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7FE6052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p w14:paraId="7415B0E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“政采贷 ”融资指引：详见《供应商须知资料表》。</w:t>
      </w:r>
    </w:p>
    <w:bookmarkEnd w:id="537"/>
    <w:bookmarkEnd w:id="538"/>
    <w:bookmarkEnd w:id="539"/>
    <w:p w14:paraId="62FFD93D">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询问与质疑</w:t>
      </w:r>
    </w:p>
    <w:p w14:paraId="520886A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117BAB46">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供应商对政府采购活动事项有疑问的，可依法向采购人或采购代理机构提出询问，提出形式见《供应商须知资料表》。</w:t>
      </w:r>
    </w:p>
    <w:p w14:paraId="40CAF4B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131D44C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17772AF1">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1F50F8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0143EF6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7E25A29">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18FD557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32202119">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代理费</w:t>
      </w:r>
    </w:p>
    <w:p w14:paraId="234B565E">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14:paraId="6F3C82FD">
      <w:pPr>
        <w:tabs>
          <w:tab w:val="left" w:pos="360"/>
          <w:tab w:val="left" w:pos="1080"/>
        </w:tabs>
        <w:wordWrap w:val="0"/>
        <w:snapToGrid w:val="0"/>
        <w:spacing w:after="0" w:line="360" w:lineRule="auto"/>
        <w:ind w:left="360"/>
        <w:rPr>
          <w:rFonts w:hint="eastAsia" w:ascii="宋体" w:hAnsi="宋体" w:cs="宋体"/>
          <w:sz w:val="24"/>
          <w:highlight w:val="none"/>
        </w:rPr>
      </w:pPr>
    </w:p>
    <w:p w14:paraId="5CD89D8F">
      <w:pPr>
        <w:wordWrap w:val="0"/>
        <w:spacing w:after="0" w:line="360" w:lineRule="auto"/>
        <w:jc w:val="center"/>
        <w:outlineLvl w:val="0"/>
        <w:rPr>
          <w:rFonts w:hint="eastAsia" w:ascii="宋体" w:hAnsi="宋体" w:cs="宋体"/>
          <w:b/>
          <w:sz w:val="36"/>
          <w:szCs w:val="36"/>
          <w:highlight w:val="none"/>
        </w:rPr>
      </w:pPr>
      <w:bookmarkStart w:id="574" w:name="_Toc226337250"/>
      <w:bookmarkStart w:id="575" w:name="_Toc150480792"/>
      <w:bookmarkStart w:id="576" w:name="_Toc305158896"/>
      <w:bookmarkStart w:id="577" w:name="_Toc353873664"/>
      <w:bookmarkStart w:id="578" w:name="_Toc305158822"/>
      <w:bookmarkStart w:id="579" w:name="_Toc264969244"/>
      <w:bookmarkStart w:id="580" w:name="_Toc150774759"/>
      <w:bookmarkStart w:id="581" w:name="_Toc353825544"/>
      <w:bookmarkStart w:id="582" w:name="_Toc265228392"/>
      <w:bookmarkStart w:id="583" w:name="_Toc353873934"/>
      <w:bookmarkStart w:id="584" w:name="_Toc142311056"/>
      <w:bookmarkStart w:id="585" w:name="_Toc226965827"/>
      <w:bookmarkStart w:id="586" w:name="_Toc127151554"/>
      <w:r>
        <w:rPr>
          <w:rFonts w:hint="eastAsia" w:ascii="宋体" w:hAnsi="宋体" w:cs="宋体"/>
          <w:sz w:val="24"/>
          <w:highlight w:val="none"/>
        </w:rPr>
        <w:br w:type="page"/>
      </w:r>
      <w:bookmarkStart w:id="587" w:name="_Toc27441"/>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p w14:paraId="2717112E">
      <w:pPr>
        <w:pStyle w:val="3"/>
        <w:wordWrap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p w14:paraId="7C0B0E2F">
      <w:pPr>
        <w:numPr>
          <w:ilvl w:val="0"/>
          <w:numId w:val="10"/>
        </w:numPr>
        <w:tabs>
          <w:tab w:val="left" w:pos="360"/>
        </w:tabs>
        <w:wordWrap w:val="0"/>
        <w:snapToGrid w:val="0"/>
        <w:spacing w:after="0" w:line="360" w:lineRule="auto"/>
        <w:outlineLvl w:val="2"/>
        <w:rPr>
          <w:rFonts w:hint="eastAsia" w:ascii="宋体" w:hAnsi="宋体" w:cs="宋体"/>
          <w:sz w:val="24"/>
          <w:highlight w:val="none"/>
        </w:rPr>
      </w:pPr>
      <w:bookmarkStart w:id="589" w:name="_Toc226965814"/>
      <w:bookmarkStart w:id="590" w:name="_Toc226337237"/>
      <w:bookmarkStart w:id="591" w:name="_Toc151193855"/>
      <w:bookmarkStart w:id="592" w:name="_Toc150774641"/>
      <w:bookmarkStart w:id="593" w:name="_Toc150774746"/>
      <w:bookmarkStart w:id="594" w:name="_Toc195842906"/>
      <w:bookmarkStart w:id="595" w:name="_Toc150480779"/>
      <w:bookmarkStart w:id="596" w:name="_Toc151193711"/>
      <w:bookmarkStart w:id="597" w:name="_Toc142311043"/>
      <w:bookmarkStart w:id="598" w:name="_Toc151193639"/>
      <w:bookmarkStart w:id="599" w:name="_Toc264969231"/>
      <w:bookmarkStart w:id="600" w:name="_Toc226309785"/>
      <w:bookmarkStart w:id="601" w:name="_Toc127151541"/>
      <w:bookmarkStart w:id="602" w:name="_Toc305158809"/>
      <w:bookmarkStart w:id="603" w:name="_Toc149720834"/>
      <w:bookmarkStart w:id="604" w:name="_Toc164608810"/>
      <w:bookmarkStart w:id="605" w:name="_Toc151193929"/>
      <w:bookmarkStart w:id="606" w:name="_Toc164229382"/>
      <w:bookmarkStart w:id="607" w:name="_Toc127151742"/>
      <w:bookmarkStart w:id="608" w:name="_Toc164608655"/>
      <w:bookmarkStart w:id="609" w:name="_Toc151193783"/>
      <w:bookmarkStart w:id="610" w:name="_Toc151190168"/>
      <w:bookmarkStart w:id="611" w:name="_Toc305158883"/>
      <w:bookmarkStart w:id="612" w:name="_Toc226965731"/>
      <w:bookmarkStart w:id="613" w:name="_Toc164351635"/>
      <w:bookmarkStart w:id="614" w:name="_Toc127161455"/>
      <w:bookmarkStart w:id="615" w:name="_Toc164229236"/>
      <w:bookmarkStart w:id="616" w:name="_Toc150509292"/>
      <w:bookmarkStart w:id="617" w:name="_Toc265228379"/>
      <w:bookmarkStart w:id="618" w:name="_Toc353825551"/>
      <w:bookmarkStart w:id="619" w:name="_Toc353873941"/>
      <w:bookmarkStart w:id="620" w:name="_Toc127151555"/>
      <w:bookmarkStart w:id="621" w:name="_Toc226965828"/>
      <w:bookmarkStart w:id="622" w:name="_Toc142311057"/>
      <w:bookmarkStart w:id="623" w:name="_Toc353873665"/>
      <w:bookmarkStart w:id="624" w:name="_Toc195842920"/>
      <w:bookmarkStart w:id="625" w:name="_Toc305158823"/>
      <w:bookmarkStart w:id="626" w:name="_Toc264969245"/>
      <w:bookmarkStart w:id="627" w:name="_Toc265228393"/>
      <w:bookmarkStart w:id="628" w:name="_Toc353873935"/>
      <w:bookmarkStart w:id="629" w:name="_Toc226337251"/>
      <w:bookmarkStart w:id="630" w:name="_Toc305158897"/>
      <w:bookmarkStart w:id="631" w:name="_Toc150480793"/>
      <w:bookmarkStart w:id="632" w:name="_Toc150774760"/>
      <w:bookmarkStart w:id="633" w:name="_Toc353825545"/>
      <w:r>
        <w:rPr>
          <w:rFonts w:hint="eastAsia" w:ascii="宋体" w:hAnsi="宋体" w:cs="宋体"/>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hint="eastAsia" w:ascii="宋体" w:hAnsi="宋体" w:cs="宋体"/>
          <w:sz w:val="24"/>
          <w:highlight w:val="none"/>
        </w:rPr>
        <w:t>资格检查和符合性审查</w:t>
      </w:r>
    </w:p>
    <w:p w14:paraId="3A4BCD93">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将根据《资格检查要求》和《符合性审查要求》中规定的内容，对供应商进行检查，并形成检查结果。供应商《响应文件》有任何一项不符合《资格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1CD18506">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《资格检查要求》中对格式有要求的，除竞争性磋商文件另有规定外，均为“实质性格式”文件。</w:t>
      </w:r>
    </w:p>
    <w:p w14:paraId="65DBC38E">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《资格检查要求》见下表：</w:t>
      </w:r>
    </w:p>
    <w:p w14:paraId="0ED3576A">
      <w:pPr>
        <w:tabs>
          <w:tab w:val="left" w:pos="900"/>
          <w:tab w:val="left" w:pos="1080"/>
        </w:tabs>
        <w:wordWrap w:val="0"/>
        <w:snapToGrid w:val="0"/>
        <w:spacing w:after="0" w:line="360" w:lineRule="auto"/>
        <w:ind w:left="1077" w:firstLine="2650" w:firstLineChars="1100"/>
        <w:rPr>
          <w:rFonts w:hint="eastAsia" w:ascii="宋体" w:hAnsi="宋体" w:cs="宋体"/>
          <w:b/>
          <w:sz w:val="24"/>
          <w:highlight w:val="none"/>
        </w:rPr>
      </w:pPr>
      <w:r>
        <w:rPr>
          <w:rFonts w:hint="eastAsia" w:ascii="宋体" w:hAnsi="宋体" w:cs="宋体"/>
          <w:b/>
          <w:sz w:val="24"/>
          <w:highlight w:val="none"/>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720"/>
        <w:gridCol w:w="4733"/>
        <w:gridCol w:w="1885"/>
      </w:tblGrid>
      <w:tr w14:paraId="10743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0DB2B94D">
            <w:pPr>
              <w:tabs>
                <w:tab w:val="left" w:pos="1080"/>
              </w:tabs>
              <w:wordWrap w:val="0"/>
              <w:snapToGrid w:val="0"/>
              <w:spacing w:after="0" w:line="360" w:lineRule="auto"/>
              <w:jc w:val="center"/>
              <w:rPr>
                <w:rFonts w:hint="eastAsia" w:ascii="宋体" w:hAnsi="宋体" w:cs="宋体"/>
                <w:b/>
                <w:sz w:val="24"/>
                <w:highlight w:val="none"/>
              </w:rPr>
            </w:pPr>
            <w:bookmarkStart w:id="634" w:name="_Hlt487972895"/>
            <w:bookmarkEnd w:id="634"/>
            <w:r>
              <w:rPr>
                <w:rFonts w:hint="eastAsia" w:ascii="宋体" w:hAnsi="宋体" w:cs="宋体"/>
                <w:b/>
                <w:sz w:val="24"/>
                <w:highlight w:val="none"/>
              </w:rPr>
              <w:t>序号</w:t>
            </w:r>
          </w:p>
        </w:tc>
        <w:tc>
          <w:tcPr>
            <w:tcW w:w="937" w:type="pct"/>
            <w:noWrap w:val="0"/>
            <w:vAlign w:val="center"/>
          </w:tcPr>
          <w:p w14:paraId="2A56AFAB">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检查因素</w:t>
            </w:r>
          </w:p>
        </w:tc>
        <w:tc>
          <w:tcPr>
            <w:tcW w:w="2579" w:type="pct"/>
            <w:noWrap w:val="0"/>
            <w:vAlign w:val="center"/>
          </w:tcPr>
          <w:p w14:paraId="60B65570">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检查内容</w:t>
            </w:r>
          </w:p>
        </w:tc>
        <w:tc>
          <w:tcPr>
            <w:tcW w:w="1027" w:type="pct"/>
            <w:noWrap w:val="0"/>
            <w:vAlign w:val="center"/>
          </w:tcPr>
          <w:p w14:paraId="4F53E3B2">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格式要求</w:t>
            </w:r>
          </w:p>
        </w:tc>
      </w:tr>
      <w:tr w14:paraId="67746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4B927768">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w:t>
            </w:r>
          </w:p>
        </w:tc>
        <w:tc>
          <w:tcPr>
            <w:tcW w:w="937" w:type="pct"/>
            <w:noWrap w:val="0"/>
            <w:vAlign w:val="center"/>
          </w:tcPr>
          <w:p w14:paraId="3301838D">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满足《中华人民共和国政府采购法》第二十二条规定</w:t>
            </w:r>
          </w:p>
        </w:tc>
        <w:tc>
          <w:tcPr>
            <w:tcW w:w="2579" w:type="pct"/>
            <w:noWrap w:val="0"/>
            <w:vAlign w:val="center"/>
          </w:tcPr>
          <w:p w14:paraId="214AA51C">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具体规定见第一章《采购邀请》。</w:t>
            </w:r>
          </w:p>
        </w:tc>
        <w:tc>
          <w:tcPr>
            <w:tcW w:w="1027" w:type="pct"/>
            <w:noWrap w:val="0"/>
            <w:vAlign w:val="center"/>
          </w:tcPr>
          <w:p w14:paraId="4259BC4A">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w:t>
            </w:r>
          </w:p>
        </w:tc>
      </w:tr>
      <w:tr w14:paraId="1F04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4B7D0810">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1-1</w:t>
            </w:r>
          </w:p>
        </w:tc>
        <w:tc>
          <w:tcPr>
            <w:tcW w:w="937" w:type="pct"/>
            <w:noWrap w:val="0"/>
            <w:vAlign w:val="center"/>
          </w:tcPr>
          <w:p w14:paraId="7EB76B58">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营业执照等证明文件</w:t>
            </w:r>
          </w:p>
        </w:tc>
        <w:tc>
          <w:tcPr>
            <w:tcW w:w="2579" w:type="pct"/>
            <w:noWrap w:val="0"/>
            <w:vAlign w:val="center"/>
          </w:tcPr>
          <w:p w14:paraId="193502A2">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供应商为企业（包括合伙企业）的，应提供有效的“营业执照”；</w:t>
            </w:r>
          </w:p>
          <w:p w14:paraId="14BEAE33">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供应商为事业单位的，应提供有效的“事业单位法人证书”；</w:t>
            </w:r>
          </w:p>
          <w:p w14:paraId="2D10EDF3">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14:paraId="5E8BAD68">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供应商是个体工商户的，应提供有效的“个体工商户营业执照”；</w:t>
            </w:r>
          </w:p>
          <w:p w14:paraId="5EFA5FC6">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供应商是自然人的，应提供有效的自然人身份证明。</w:t>
            </w:r>
          </w:p>
          <w:p w14:paraId="2296399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分支机构参加响应的，应提供该分支机构或</w:t>
            </w:r>
          </w:p>
          <w:p w14:paraId="7127D432">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7" w:type="pct"/>
            <w:noWrap w:val="0"/>
            <w:vAlign w:val="center"/>
          </w:tcPr>
          <w:p w14:paraId="3A54F9BF">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0AA73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1DEAB645">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1-2</w:t>
            </w:r>
          </w:p>
        </w:tc>
        <w:tc>
          <w:tcPr>
            <w:tcW w:w="937" w:type="pct"/>
            <w:noWrap w:val="0"/>
            <w:vAlign w:val="center"/>
          </w:tcPr>
          <w:p w14:paraId="4A731B42">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供应商资格声明书</w:t>
            </w:r>
          </w:p>
        </w:tc>
        <w:tc>
          <w:tcPr>
            <w:tcW w:w="2579" w:type="pct"/>
            <w:noWrap w:val="0"/>
            <w:vAlign w:val="center"/>
          </w:tcPr>
          <w:p w14:paraId="7A7DECB0">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提供了符合竞争性磋商文件要求的《供应商资格声明书》。</w:t>
            </w:r>
          </w:p>
        </w:tc>
        <w:tc>
          <w:tcPr>
            <w:tcW w:w="1027" w:type="pct"/>
            <w:noWrap w:val="0"/>
            <w:vAlign w:val="center"/>
          </w:tcPr>
          <w:p w14:paraId="1E90728C">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33799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5D227EBA">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1-3</w:t>
            </w:r>
          </w:p>
        </w:tc>
        <w:tc>
          <w:tcPr>
            <w:tcW w:w="937" w:type="pct"/>
            <w:noWrap w:val="0"/>
            <w:vAlign w:val="center"/>
          </w:tcPr>
          <w:p w14:paraId="0016992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供应商信用记录</w:t>
            </w:r>
          </w:p>
        </w:tc>
        <w:tc>
          <w:tcPr>
            <w:tcW w:w="2579" w:type="pct"/>
            <w:noWrap w:val="0"/>
            <w:vAlign w:val="center"/>
          </w:tcPr>
          <w:p w14:paraId="561ADF94">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查询渠道：信用中国网站和中国政府采购网（www.creditchina.gov.cn、www.ccgp.gov</w:t>
            </w:r>
          </w:p>
          <w:p w14:paraId="6E78936A">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.cn）；</w:t>
            </w:r>
          </w:p>
          <w:p w14:paraId="1CD5BA23">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截止时点：首次响应文件提交截止时间以后、资格审查阶段采购人或采购代理机构的实际查询时间；</w:t>
            </w:r>
          </w:p>
          <w:p w14:paraId="63D85952">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信用信息查询记录和证据留存具体方式：查询结果网页打印页作为查询记录和证据，与其他竞争性磋商文件一并保存；</w:t>
            </w:r>
          </w:p>
          <w:p w14:paraId="27F767F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1027" w:type="pct"/>
            <w:noWrap w:val="0"/>
            <w:vAlign w:val="center"/>
          </w:tcPr>
          <w:p w14:paraId="2AD675D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无须供应商提供，由采购人或采购代理机构查询。</w:t>
            </w:r>
          </w:p>
        </w:tc>
      </w:tr>
      <w:tr w14:paraId="5F427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03755E6">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1-4</w:t>
            </w:r>
          </w:p>
        </w:tc>
        <w:tc>
          <w:tcPr>
            <w:tcW w:w="937" w:type="pct"/>
            <w:noWrap w:val="0"/>
            <w:vAlign w:val="center"/>
          </w:tcPr>
          <w:p w14:paraId="3B428C0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法律、行政法</w:t>
            </w:r>
          </w:p>
          <w:p w14:paraId="2E06BCE8">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规规定的其他条件</w:t>
            </w:r>
          </w:p>
        </w:tc>
        <w:tc>
          <w:tcPr>
            <w:tcW w:w="2579" w:type="pct"/>
            <w:noWrap w:val="0"/>
            <w:vAlign w:val="center"/>
          </w:tcPr>
          <w:p w14:paraId="0C69CC5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法律、行政法规规定的其他条件。</w:t>
            </w:r>
          </w:p>
        </w:tc>
        <w:tc>
          <w:tcPr>
            <w:tcW w:w="1027" w:type="pct"/>
            <w:noWrap w:val="0"/>
            <w:vAlign w:val="center"/>
          </w:tcPr>
          <w:p w14:paraId="14C063D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62EFA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D273B49">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w:t>
            </w:r>
          </w:p>
        </w:tc>
        <w:tc>
          <w:tcPr>
            <w:tcW w:w="937" w:type="pct"/>
            <w:noWrap w:val="0"/>
            <w:vAlign w:val="center"/>
          </w:tcPr>
          <w:p w14:paraId="772A661D">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2579" w:type="pct"/>
            <w:noWrap w:val="0"/>
            <w:vAlign w:val="center"/>
          </w:tcPr>
          <w:p w14:paraId="20D15013">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具体要求见第一章《采购邀请》。</w:t>
            </w:r>
          </w:p>
        </w:tc>
        <w:tc>
          <w:tcPr>
            <w:tcW w:w="1027" w:type="pct"/>
            <w:noWrap w:val="0"/>
            <w:vAlign w:val="center"/>
          </w:tcPr>
          <w:p w14:paraId="107BEA3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35D3E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72E670A">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w:t>
            </w:r>
          </w:p>
        </w:tc>
        <w:tc>
          <w:tcPr>
            <w:tcW w:w="937" w:type="pct"/>
            <w:noWrap w:val="0"/>
            <w:vAlign w:val="center"/>
          </w:tcPr>
          <w:p w14:paraId="20C24FA7">
            <w:pPr>
              <w:tabs>
                <w:tab w:val="left" w:pos="1080"/>
              </w:tabs>
              <w:wordWrap w:val="0"/>
              <w:snapToGrid w:val="0"/>
              <w:spacing w:after="0" w:line="360" w:lineRule="auto"/>
              <w:rPr>
                <w:rFonts w:ascii="宋体" w:hAnsi="宋体" w:cs="宋体"/>
                <w:sz w:val="24"/>
                <w:highlight w:val="none"/>
              </w:rPr>
            </w:pPr>
            <w:r>
              <w:rPr>
                <w:rFonts w:hint="eastAsia" w:ascii="宋体" w:hAnsi="宋体" w:cs="宋体"/>
                <w:sz w:val="24"/>
                <w:highlight w:val="none"/>
              </w:rPr>
              <w:t>中小企业政策证明文件</w:t>
            </w:r>
          </w:p>
        </w:tc>
        <w:tc>
          <w:tcPr>
            <w:tcW w:w="2579" w:type="pct"/>
            <w:noWrap w:val="0"/>
            <w:vAlign w:val="center"/>
          </w:tcPr>
          <w:p w14:paraId="757B1389">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具体要求见第一章《采购邀请》。</w:t>
            </w:r>
          </w:p>
        </w:tc>
        <w:tc>
          <w:tcPr>
            <w:tcW w:w="1027" w:type="pct"/>
            <w:noWrap w:val="0"/>
            <w:vAlign w:val="center"/>
          </w:tcPr>
          <w:p w14:paraId="17E74B1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1FC03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36B8F60C">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2-1-1</w:t>
            </w:r>
          </w:p>
        </w:tc>
        <w:tc>
          <w:tcPr>
            <w:tcW w:w="937" w:type="pct"/>
            <w:noWrap w:val="0"/>
            <w:vAlign w:val="center"/>
          </w:tcPr>
          <w:p w14:paraId="6C116E4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中小企业证明文件</w:t>
            </w:r>
          </w:p>
        </w:tc>
        <w:tc>
          <w:tcPr>
            <w:tcW w:w="2579" w:type="pct"/>
            <w:noWrap w:val="0"/>
            <w:vAlign w:val="center"/>
          </w:tcPr>
          <w:p w14:paraId="07D6C16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当本项目（包）涉及预留份额专门面向中小企业采购，提供如下资料：</w:t>
            </w:r>
          </w:p>
          <w:p w14:paraId="2EF1002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14:paraId="6B9439C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noWrap w:val="0"/>
            <w:vAlign w:val="center"/>
          </w:tcPr>
          <w:p w14:paraId="1B53C24B">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6A545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6D5F9954">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2-1-2</w:t>
            </w:r>
          </w:p>
        </w:tc>
        <w:tc>
          <w:tcPr>
            <w:tcW w:w="937" w:type="pct"/>
            <w:noWrap w:val="0"/>
            <w:vAlign w:val="center"/>
          </w:tcPr>
          <w:p w14:paraId="47B221C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拟分包情况说明及分包意向协议</w:t>
            </w:r>
          </w:p>
        </w:tc>
        <w:tc>
          <w:tcPr>
            <w:tcW w:w="2579" w:type="pct"/>
            <w:noWrap w:val="0"/>
            <w:vAlign w:val="center"/>
          </w:tcPr>
          <w:p w14:paraId="368213FF">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14:paraId="4C2B8965">
            <w:pPr>
              <w:tabs>
                <w:tab w:val="left" w:pos="1080"/>
              </w:tabs>
              <w:wordWrap w:val="0"/>
              <w:snapToGrid w:val="0"/>
              <w:spacing w:after="0" w:line="360" w:lineRule="auto"/>
              <w:rPr>
                <w:rFonts w:hint="eastAsia"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1027" w:type="pct"/>
            <w:noWrap w:val="0"/>
            <w:vAlign w:val="center"/>
          </w:tcPr>
          <w:p w14:paraId="62DE769C">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4E7C4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66A778C7">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2-2</w:t>
            </w:r>
          </w:p>
        </w:tc>
        <w:tc>
          <w:tcPr>
            <w:tcW w:w="937" w:type="pct"/>
            <w:noWrap w:val="0"/>
            <w:vAlign w:val="center"/>
          </w:tcPr>
          <w:p w14:paraId="522D0843">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其它落实政府采购政策的资格要求</w:t>
            </w:r>
          </w:p>
        </w:tc>
        <w:tc>
          <w:tcPr>
            <w:tcW w:w="2579" w:type="pct"/>
            <w:noWrap w:val="0"/>
            <w:vAlign w:val="center"/>
          </w:tcPr>
          <w:p w14:paraId="11DA7E2D">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如有，见第一章《采购邀请》</w:t>
            </w:r>
          </w:p>
        </w:tc>
        <w:tc>
          <w:tcPr>
            <w:tcW w:w="1027" w:type="pct"/>
            <w:noWrap w:val="0"/>
            <w:vAlign w:val="center"/>
          </w:tcPr>
          <w:p w14:paraId="31224FBC">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0BBBC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455" w:type="pct"/>
            <w:noWrap w:val="0"/>
            <w:vAlign w:val="center"/>
          </w:tcPr>
          <w:p w14:paraId="124248E8">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w:t>
            </w:r>
          </w:p>
        </w:tc>
        <w:tc>
          <w:tcPr>
            <w:tcW w:w="937" w:type="pct"/>
            <w:noWrap w:val="0"/>
            <w:vAlign w:val="center"/>
          </w:tcPr>
          <w:p w14:paraId="4C25C5EB">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本项目的特定资格要求</w:t>
            </w:r>
          </w:p>
        </w:tc>
        <w:tc>
          <w:tcPr>
            <w:tcW w:w="2579" w:type="pct"/>
            <w:noWrap w:val="0"/>
            <w:vAlign w:val="center"/>
          </w:tcPr>
          <w:p w14:paraId="11DB1E86">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如有，见第一章《采购邀请》。</w:t>
            </w:r>
          </w:p>
        </w:tc>
        <w:tc>
          <w:tcPr>
            <w:tcW w:w="1027" w:type="pct"/>
            <w:noWrap w:val="0"/>
            <w:vAlign w:val="center"/>
          </w:tcPr>
          <w:p w14:paraId="4E454E27">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w:t>
            </w:r>
          </w:p>
        </w:tc>
      </w:tr>
      <w:tr w14:paraId="13A4C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5" w:hRule="atLeast"/>
        </w:trPr>
        <w:tc>
          <w:tcPr>
            <w:tcW w:w="455" w:type="pct"/>
            <w:noWrap w:val="0"/>
            <w:vAlign w:val="center"/>
          </w:tcPr>
          <w:p w14:paraId="608CB8CC">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3-1</w:t>
            </w:r>
          </w:p>
        </w:tc>
        <w:tc>
          <w:tcPr>
            <w:tcW w:w="937" w:type="pct"/>
            <w:noWrap w:val="0"/>
            <w:vAlign w:val="center"/>
          </w:tcPr>
          <w:p w14:paraId="4794029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本项目对于联合体的要求</w:t>
            </w:r>
          </w:p>
        </w:tc>
        <w:tc>
          <w:tcPr>
            <w:tcW w:w="2579" w:type="pct"/>
            <w:noWrap w:val="0"/>
            <w:vAlign w:val="center"/>
          </w:tcPr>
          <w:p w14:paraId="159A7E7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1、如本项目接受联合体投标（响应），且供应商为联合体时必须提供《联合协议》，明确各方拟承担的工作和责任，并指定联合体牵头人，授权其代表所有联合体成员负责本项目投标（响应）和合同实施阶段的牵头、协调工作。该联合协议应当作为</w:t>
            </w:r>
            <w:r>
              <w:rPr>
                <w:rFonts w:hint="eastAsia" w:ascii="宋体" w:hAnsi="宋体" w:cs="宋体"/>
                <w:kern w:val="0"/>
                <w:sz w:val="24"/>
                <w:highlight w:val="none"/>
              </w:rPr>
              <w:t>响应</w:t>
            </w:r>
            <w:r>
              <w:rPr>
                <w:rFonts w:hint="eastAsia" w:ascii="宋体" w:hAnsi="宋体" w:cs="宋体"/>
                <w:sz w:val="24"/>
                <w:highlight w:val="none"/>
              </w:rPr>
              <w:t>文件的组成部分，与响应文件其他内容同时递交。</w:t>
            </w:r>
          </w:p>
          <w:p w14:paraId="3F78B9B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14:paraId="5E2D215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14:paraId="2BABAE6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14:paraId="21717CB8">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14:paraId="60F30F6F">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14:paraId="78C4FAA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7、本项目不接受联合体投标（响应）时，供应商不得为联合体。</w:t>
            </w:r>
          </w:p>
        </w:tc>
        <w:tc>
          <w:tcPr>
            <w:tcW w:w="1027" w:type="pct"/>
            <w:noWrap w:val="0"/>
            <w:vAlign w:val="center"/>
          </w:tcPr>
          <w:p w14:paraId="452C405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提供《联合协议》原件的电子件</w:t>
            </w:r>
          </w:p>
          <w:p w14:paraId="0E45233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格式见《响应文件格式》</w:t>
            </w:r>
          </w:p>
        </w:tc>
      </w:tr>
      <w:tr w14:paraId="4573E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5634FDA3">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3-2</w:t>
            </w:r>
          </w:p>
        </w:tc>
        <w:tc>
          <w:tcPr>
            <w:tcW w:w="937" w:type="pct"/>
            <w:noWrap w:val="0"/>
            <w:vAlign w:val="center"/>
          </w:tcPr>
          <w:p w14:paraId="0A8F9642">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政府购买服务承接主体的要求</w:t>
            </w:r>
          </w:p>
        </w:tc>
        <w:tc>
          <w:tcPr>
            <w:tcW w:w="2579" w:type="pct"/>
            <w:noWrap w:val="0"/>
            <w:vAlign w:val="center"/>
          </w:tcPr>
          <w:p w14:paraId="55379ACA">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1027" w:type="pct"/>
            <w:noWrap w:val="0"/>
            <w:vAlign w:val="center"/>
          </w:tcPr>
          <w:p w14:paraId="6CB528BD">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格式见《响应文件格式》“1-2 供应商资格声明书”</w:t>
            </w:r>
          </w:p>
        </w:tc>
      </w:tr>
      <w:tr w14:paraId="5FD1D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5CFEBB9">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3-3</w:t>
            </w:r>
          </w:p>
        </w:tc>
        <w:tc>
          <w:tcPr>
            <w:tcW w:w="937" w:type="pct"/>
            <w:noWrap w:val="0"/>
            <w:vAlign w:val="center"/>
          </w:tcPr>
          <w:p w14:paraId="0A75136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其他特定资格要求</w:t>
            </w:r>
          </w:p>
        </w:tc>
        <w:tc>
          <w:tcPr>
            <w:tcW w:w="2579" w:type="pct"/>
            <w:noWrap w:val="0"/>
            <w:vAlign w:val="center"/>
          </w:tcPr>
          <w:p w14:paraId="1517B2E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如有，见第一章《采购邀请》</w:t>
            </w:r>
          </w:p>
          <w:p w14:paraId="41C6C6F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注：如联合体中有同类资质的供应商按照联合体分工承担相同工作的，均应当提供资质证书电子件或电子证照。</w:t>
            </w:r>
          </w:p>
        </w:tc>
        <w:tc>
          <w:tcPr>
            <w:tcW w:w="1027" w:type="pct"/>
            <w:noWrap w:val="0"/>
            <w:vAlign w:val="center"/>
          </w:tcPr>
          <w:p w14:paraId="61A730F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1E998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455FD932">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4</w:t>
            </w:r>
          </w:p>
        </w:tc>
        <w:tc>
          <w:tcPr>
            <w:tcW w:w="937" w:type="pct"/>
            <w:noWrap w:val="0"/>
            <w:vAlign w:val="center"/>
          </w:tcPr>
          <w:p w14:paraId="539A942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kern w:val="0"/>
                <w:sz w:val="24"/>
                <w:highlight w:val="none"/>
              </w:rPr>
              <w:t>磋商保证金</w:t>
            </w:r>
          </w:p>
        </w:tc>
        <w:tc>
          <w:tcPr>
            <w:tcW w:w="2579" w:type="pct"/>
            <w:noWrap w:val="0"/>
            <w:vAlign w:val="center"/>
          </w:tcPr>
          <w:p w14:paraId="3C59FDA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kern w:val="0"/>
                <w:sz w:val="24"/>
                <w:highlight w:val="none"/>
              </w:rPr>
              <w:t>按照竞争性磋商文件的要求提交磋商保证金。</w:t>
            </w:r>
          </w:p>
        </w:tc>
        <w:tc>
          <w:tcPr>
            <w:tcW w:w="1027" w:type="pct"/>
            <w:noWrap w:val="0"/>
            <w:vAlign w:val="center"/>
          </w:tcPr>
          <w:p w14:paraId="6B95DE5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7DFB8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1EE9661">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5</w:t>
            </w:r>
          </w:p>
        </w:tc>
        <w:tc>
          <w:tcPr>
            <w:tcW w:w="937" w:type="pct"/>
            <w:noWrap w:val="0"/>
            <w:vAlign w:val="center"/>
          </w:tcPr>
          <w:p w14:paraId="13360D96">
            <w:pPr>
              <w:tabs>
                <w:tab w:val="left" w:pos="1080"/>
              </w:tabs>
              <w:wordWrap w:val="0"/>
              <w:snapToGrid w:val="0"/>
              <w:spacing w:after="0" w:line="360" w:lineRule="auto"/>
              <w:rPr>
                <w:rFonts w:hint="eastAsia" w:ascii="宋体" w:hAnsi="宋体" w:cs="宋体"/>
                <w:kern w:val="0"/>
                <w:sz w:val="24"/>
                <w:highlight w:val="none"/>
              </w:rPr>
            </w:pPr>
            <w:r>
              <w:rPr>
                <w:rFonts w:hint="eastAsia" w:ascii="宋体" w:hAnsi="宋体" w:cs="宋体"/>
                <w:kern w:val="0"/>
                <w:sz w:val="24"/>
                <w:highlight w:val="none"/>
              </w:rPr>
              <w:t>获取磋商文件</w:t>
            </w:r>
          </w:p>
        </w:tc>
        <w:tc>
          <w:tcPr>
            <w:tcW w:w="2579" w:type="pct"/>
            <w:noWrap w:val="0"/>
            <w:vAlign w:val="center"/>
          </w:tcPr>
          <w:p w14:paraId="7ED28F55">
            <w:pPr>
              <w:tabs>
                <w:tab w:val="left" w:pos="1080"/>
              </w:tabs>
              <w:wordWrap w:val="0"/>
              <w:snapToGrid w:val="0"/>
              <w:spacing w:after="0" w:line="360" w:lineRule="auto"/>
              <w:rPr>
                <w:rFonts w:hint="eastAsia" w:ascii="宋体" w:hAnsi="宋体" w:cs="宋体"/>
                <w:kern w:val="0"/>
                <w:sz w:val="24"/>
                <w:highlight w:val="none"/>
              </w:rPr>
            </w:pPr>
            <w:r>
              <w:rPr>
                <w:rFonts w:hint="eastAsia" w:ascii="宋体" w:hAnsi="宋体" w:cs="宋体"/>
                <w:kern w:val="0"/>
                <w:sz w:val="24"/>
                <w:highlight w:val="none"/>
              </w:rPr>
              <w:t>在规定期限内通过北京市政府采购电子交易平台获取所参与包的磋商文件。</w:t>
            </w:r>
          </w:p>
          <w:p w14:paraId="62EA6A02">
            <w:pPr>
              <w:tabs>
                <w:tab w:val="left" w:pos="1080"/>
              </w:tabs>
              <w:wordWrap w:val="0"/>
              <w:snapToGrid w:val="0"/>
              <w:spacing w:after="0" w:line="360" w:lineRule="auto"/>
              <w:rPr>
                <w:rFonts w:hint="eastAsia" w:ascii="宋体" w:hAnsi="宋体" w:cs="宋体"/>
                <w:kern w:val="0"/>
                <w:sz w:val="24"/>
                <w:highlight w:val="none"/>
              </w:rPr>
            </w:pPr>
            <w:r>
              <w:rPr>
                <w:rFonts w:hint="eastAsia" w:ascii="宋体" w:hAnsi="宋体" w:cs="宋体"/>
                <w:kern w:val="0"/>
                <w:sz w:val="24"/>
                <w:highlight w:val="none"/>
              </w:rPr>
              <w:t>注：如本项目接受联合体，且供应商为联合体时，联合体中任一成员获取文件即视为满足要求。</w:t>
            </w:r>
          </w:p>
        </w:tc>
        <w:tc>
          <w:tcPr>
            <w:tcW w:w="1027" w:type="pct"/>
            <w:noWrap w:val="0"/>
            <w:vAlign w:val="center"/>
          </w:tcPr>
          <w:p w14:paraId="1D2586DD">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bl>
    <w:p w14:paraId="7868ED6A">
      <w:pPr>
        <w:widowControl/>
        <w:wordWrap w:val="0"/>
        <w:spacing w:after="0" w:line="360" w:lineRule="auto"/>
        <w:jc w:val="left"/>
        <w:rPr>
          <w:rFonts w:hint="eastAsia" w:ascii="宋体" w:hAnsi="宋体" w:cs="宋体"/>
          <w:sz w:val="24"/>
          <w:highlight w:val="none"/>
        </w:rPr>
      </w:pPr>
    </w:p>
    <w:p w14:paraId="535995BA">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《符合性审查要求》见下表：</w:t>
      </w:r>
    </w:p>
    <w:p w14:paraId="1431C381">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kern w:val="0"/>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690"/>
        <w:gridCol w:w="4597"/>
        <w:gridCol w:w="1886"/>
      </w:tblGrid>
      <w:tr w14:paraId="7DF3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BCDA25E">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noWrap w:val="0"/>
            <w:vAlign w:val="center"/>
          </w:tcPr>
          <w:p w14:paraId="3444737C">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505" w:type="pct"/>
            <w:shd w:val="clear" w:color="000000" w:fill="FFFFFF"/>
            <w:noWrap w:val="0"/>
            <w:vAlign w:val="center"/>
          </w:tcPr>
          <w:p w14:paraId="5CEE8DE2">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28" w:type="pct"/>
            <w:shd w:val="clear" w:color="000000" w:fill="FFFFFF"/>
            <w:noWrap w:val="0"/>
            <w:vAlign w:val="center"/>
          </w:tcPr>
          <w:p w14:paraId="4A656A23">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kern w:val="0"/>
                <w:sz w:val="24"/>
                <w:highlight w:val="none"/>
              </w:rPr>
              <w:t>是否允许澄清、</w:t>
            </w:r>
          </w:p>
          <w:p w14:paraId="23A1D92F">
            <w:pPr>
              <w:widowControl/>
              <w:wordWrap w:val="0"/>
              <w:spacing w:after="0" w:line="360" w:lineRule="auto"/>
              <w:jc w:val="center"/>
              <w:rPr>
                <w:rFonts w:hint="eastAsia" w:ascii="宋体" w:hAnsi="宋体" w:cs="宋体"/>
                <w:b/>
                <w:kern w:val="0"/>
                <w:sz w:val="24"/>
                <w:highlight w:val="none"/>
              </w:rPr>
            </w:pPr>
            <w:r>
              <w:rPr>
                <w:rFonts w:hint="eastAsia" w:ascii="宋体" w:hAnsi="宋体" w:cs="宋体"/>
                <w:b/>
                <w:kern w:val="0"/>
                <w:sz w:val="24"/>
                <w:highlight w:val="none"/>
              </w:rPr>
              <w:t>说明或者更正</w:t>
            </w:r>
          </w:p>
        </w:tc>
      </w:tr>
      <w:tr w14:paraId="1C88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383C337">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noWrap w:val="0"/>
            <w:vAlign w:val="center"/>
          </w:tcPr>
          <w:p w14:paraId="042DC4CC">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授权委托书</w:t>
            </w:r>
          </w:p>
        </w:tc>
        <w:tc>
          <w:tcPr>
            <w:tcW w:w="2505" w:type="pct"/>
            <w:shd w:val="clear" w:color="000000" w:fill="FFFFFF"/>
            <w:noWrap w:val="0"/>
            <w:vAlign w:val="center"/>
          </w:tcPr>
          <w:p w14:paraId="2A2F4E27">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按</w:t>
            </w:r>
            <w:r>
              <w:rPr>
                <w:rFonts w:hint="eastAsia" w:ascii="宋体" w:hAnsi="宋体" w:cs="宋体"/>
                <w:sz w:val="24"/>
                <w:highlight w:val="none"/>
              </w:rPr>
              <w:t>磋商</w:t>
            </w:r>
            <w:r>
              <w:rPr>
                <w:rFonts w:hint="eastAsia" w:ascii="宋体" w:hAnsi="宋体" w:cs="宋体"/>
                <w:kern w:val="0"/>
                <w:sz w:val="24"/>
                <w:highlight w:val="none"/>
              </w:rPr>
              <w:t>文件要求提供授权委托书；</w:t>
            </w:r>
          </w:p>
        </w:tc>
        <w:tc>
          <w:tcPr>
            <w:tcW w:w="1028" w:type="pct"/>
            <w:shd w:val="clear" w:color="000000" w:fill="FFFFFF"/>
            <w:noWrap w:val="0"/>
            <w:vAlign w:val="center"/>
          </w:tcPr>
          <w:p w14:paraId="5BA6612A">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0921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464AE0D">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noWrap w:val="0"/>
            <w:vAlign w:val="center"/>
          </w:tcPr>
          <w:p w14:paraId="02D65A91">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响应完整性</w:t>
            </w:r>
          </w:p>
        </w:tc>
        <w:tc>
          <w:tcPr>
            <w:tcW w:w="2505" w:type="pct"/>
            <w:shd w:val="clear" w:color="000000" w:fill="FFFFFF"/>
            <w:noWrap w:val="0"/>
            <w:vAlign w:val="center"/>
          </w:tcPr>
          <w:p w14:paraId="34567AFD">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未将一个采购包中的内容拆开响应；</w:t>
            </w:r>
          </w:p>
        </w:tc>
        <w:tc>
          <w:tcPr>
            <w:tcW w:w="1028" w:type="pct"/>
            <w:shd w:val="clear" w:color="000000" w:fill="FFFFFF"/>
            <w:noWrap w:val="0"/>
            <w:vAlign w:val="center"/>
          </w:tcPr>
          <w:p w14:paraId="205C5A74">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1D94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E79D0FD">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noWrap w:val="0"/>
            <w:vAlign w:val="center"/>
          </w:tcPr>
          <w:p w14:paraId="2AD15FD0">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响应报价</w:t>
            </w:r>
          </w:p>
        </w:tc>
        <w:tc>
          <w:tcPr>
            <w:tcW w:w="2505" w:type="pct"/>
            <w:shd w:val="clear" w:color="000000" w:fill="FFFFFF"/>
            <w:noWrap w:val="0"/>
            <w:vAlign w:val="center"/>
          </w:tcPr>
          <w:p w14:paraId="6609488E">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响应报价未</w:t>
            </w:r>
            <w:r>
              <w:rPr>
                <w:rFonts w:hint="eastAsia" w:ascii="宋体" w:hAnsi="宋体" w:cs="宋体"/>
                <w:sz w:val="24"/>
                <w:highlight w:val="none"/>
              </w:rPr>
              <w:t>超过磋商文件中规定的项目/采购包预算金额或者项目/采购包最高限价</w:t>
            </w:r>
            <w:r>
              <w:rPr>
                <w:rFonts w:hint="eastAsia" w:ascii="宋体" w:hAnsi="宋体" w:cs="宋体"/>
                <w:kern w:val="0"/>
                <w:sz w:val="24"/>
                <w:highlight w:val="none"/>
              </w:rPr>
              <w:t>；</w:t>
            </w:r>
          </w:p>
        </w:tc>
        <w:tc>
          <w:tcPr>
            <w:tcW w:w="1028" w:type="pct"/>
            <w:shd w:val="clear" w:color="000000" w:fill="FFFFFF"/>
            <w:noWrap w:val="0"/>
            <w:vAlign w:val="center"/>
          </w:tcPr>
          <w:p w14:paraId="3B09981D">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7B0FC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DC2D2A9">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noWrap w:val="0"/>
            <w:vAlign w:val="center"/>
          </w:tcPr>
          <w:p w14:paraId="0591BF05">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报价唯一性</w:t>
            </w:r>
          </w:p>
        </w:tc>
        <w:tc>
          <w:tcPr>
            <w:tcW w:w="2505" w:type="pct"/>
            <w:shd w:val="clear" w:color="000000" w:fill="FFFFFF"/>
            <w:noWrap w:val="0"/>
            <w:vAlign w:val="center"/>
          </w:tcPr>
          <w:p w14:paraId="4311BF10">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响应文件未</w:t>
            </w:r>
            <w:r>
              <w:rPr>
                <w:rFonts w:hint="eastAsia" w:ascii="宋体" w:hAnsi="宋体" w:cs="宋体"/>
                <w:sz w:val="24"/>
                <w:highlight w:val="none"/>
              </w:rPr>
              <w:t>出现可选择性或可调整的报价（磋商文件另有规定的除外）</w:t>
            </w:r>
            <w:r>
              <w:rPr>
                <w:rFonts w:hint="eastAsia" w:ascii="宋体" w:hAnsi="宋体" w:cs="宋体"/>
                <w:kern w:val="0"/>
                <w:sz w:val="24"/>
                <w:highlight w:val="none"/>
              </w:rPr>
              <w:t>；</w:t>
            </w:r>
          </w:p>
        </w:tc>
        <w:tc>
          <w:tcPr>
            <w:tcW w:w="1028" w:type="pct"/>
            <w:shd w:val="clear" w:color="000000" w:fill="FFFFFF"/>
            <w:noWrap w:val="0"/>
            <w:vAlign w:val="center"/>
          </w:tcPr>
          <w:p w14:paraId="32357A5A">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39BC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8B6E6A3">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noWrap w:val="0"/>
            <w:vAlign w:val="center"/>
          </w:tcPr>
          <w:p w14:paraId="7BD0896A">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响应有效期</w:t>
            </w:r>
          </w:p>
        </w:tc>
        <w:tc>
          <w:tcPr>
            <w:tcW w:w="2505" w:type="pct"/>
            <w:shd w:val="clear" w:color="000000" w:fill="FFFFFF"/>
            <w:noWrap w:val="0"/>
            <w:vAlign w:val="center"/>
          </w:tcPr>
          <w:p w14:paraId="5CA11F65">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响应文件中承诺的响应有效期满足</w:t>
            </w:r>
            <w:r>
              <w:rPr>
                <w:rFonts w:hint="eastAsia" w:ascii="宋体" w:hAnsi="宋体" w:cs="宋体"/>
                <w:sz w:val="24"/>
                <w:highlight w:val="none"/>
              </w:rPr>
              <w:t>磋商</w:t>
            </w:r>
            <w:r>
              <w:rPr>
                <w:rFonts w:hint="eastAsia" w:ascii="宋体" w:hAnsi="宋体" w:cs="宋体"/>
                <w:kern w:val="0"/>
                <w:sz w:val="24"/>
                <w:highlight w:val="none"/>
              </w:rPr>
              <w:t>文件中载明的响应有效期的；</w:t>
            </w:r>
          </w:p>
        </w:tc>
        <w:tc>
          <w:tcPr>
            <w:tcW w:w="1028" w:type="pct"/>
            <w:shd w:val="clear" w:color="000000" w:fill="FFFFFF"/>
            <w:noWrap w:val="0"/>
            <w:vAlign w:val="center"/>
          </w:tcPr>
          <w:p w14:paraId="7B33510C">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2A3AE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45" w:type="pct"/>
            <w:shd w:val="clear" w:color="000000" w:fill="FFFFFF"/>
            <w:noWrap w:val="0"/>
            <w:vAlign w:val="center"/>
          </w:tcPr>
          <w:p w14:paraId="33EEE18E">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noWrap w:val="0"/>
            <w:vAlign w:val="center"/>
          </w:tcPr>
          <w:p w14:paraId="68DB03C2">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实质性格式</w:t>
            </w:r>
          </w:p>
        </w:tc>
        <w:tc>
          <w:tcPr>
            <w:tcW w:w="2505" w:type="pct"/>
            <w:shd w:val="clear" w:color="000000" w:fill="FFFFFF"/>
            <w:noWrap w:val="0"/>
            <w:vAlign w:val="center"/>
          </w:tcPr>
          <w:p w14:paraId="458EF4FE">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标记为“实质性格式”的文件均按</w:t>
            </w:r>
            <w:r>
              <w:rPr>
                <w:rFonts w:hint="eastAsia" w:ascii="宋体" w:hAnsi="宋体" w:cs="宋体"/>
                <w:sz w:val="24"/>
                <w:highlight w:val="none"/>
              </w:rPr>
              <w:t>磋商</w:t>
            </w:r>
            <w:r>
              <w:rPr>
                <w:rFonts w:hint="eastAsia" w:ascii="宋体" w:hAnsi="宋体" w:cs="宋体"/>
                <w:kern w:val="0"/>
                <w:sz w:val="24"/>
                <w:highlight w:val="none"/>
              </w:rPr>
              <w:t>文件要求提供且签署、盖章的；</w:t>
            </w:r>
          </w:p>
        </w:tc>
        <w:tc>
          <w:tcPr>
            <w:tcW w:w="1028" w:type="pct"/>
            <w:shd w:val="clear" w:color="000000" w:fill="FFFFFF"/>
            <w:noWrap w:val="0"/>
            <w:vAlign w:val="center"/>
          </w:tcPr>
          <w:p w14:paraId="3306B780">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1AA7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50411C2">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noWrap w:val="0"/>
            <w:vAlign w:val="center"/>
          </w:tcPr>
          <w:p w14:paraId="6CB11E77">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★号条款响应</w:t>
            </w:r>
          </w:p>
        </w:tc>
        <w:tc>
          <w:tcPr>
            <w:tcW w:w="2505" w:type="pct"/>
            <w:shd w:val="clear" w:color="000000" w:fill="FFFFFF"/>
            <w:noWrap w:val="0"/>
            <w:vAlign w:val="center"/>
          </w:tcPr>
          <w:p w14:paraId="790C45A7">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响应文件满足</w:t>
            </w:r>
            <w:r>
              <w:rPr>
                <w:rFonts w:hint="eastAsia" w:ascii="宋体" w:hAnsi="宋体" w:cs="宋体"/>
                <w:sz w:val="24"/>
                <w:highlight w:val="none"/>
              </w:rPr>
              <w:t>磋商</w:t>
            </w:r>
            <w:r>
              <w:rPr>
                <w:rFonts w:hint="eastAsia" w:ascii="宋体" w:hAnsi="宋体" w:cs="宋体"/>
                <w:kern w:val="0"/>
                <w:sz w:val="24"/>
                <w:highlight w:val="none"/>
              </w:rPr>
              <w:t>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28" w:type="pct"/>
            <w:shd w:val="clear" w:color="000000" w:fill="FFFFFF"/>
            <w:noWrap w:val="0"/>
            <w:vAlign w:val="center"/>
          </w:tcPr>
          <w:p w14:paraId="1153B4C8">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36F4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D8DDA7C">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noWrap w:val="0"/>
            <w:vAlign w:val="center"/>
          </w:tcPr>
          <w:p w14:paraId="3A1B8532">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拟分包情况说明（如有）</w:t>
            </w:r>
          </w:p>
        </w:tc>
        <w:tc>
          <w:tcPr>
            <w:tcW w:w="2505" w:type="pct"/>
            <w:shd w:val="clear" w:color="000000" w:fill="FFFFFF"/>
            <w:noWrap w:val="0"/>
            <w:vAlign w:val="center"/>
          </w:tcPr>
          <w:p w14:paraId="7FA2C356">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如本项目（包）非因“落实政府采购政策”亦允许分包，且供应商拟进行分包时，必须提供；否则无需提供；</w:t>
            </w:r>
          </w:p>
        </w:tc>
        <w:tc>
          <w:tcPr>
            <w:tcW w:w="1028" w:type="pct"/>
            <w:shd w:val="clear" w:color="000000" w:fill="FFFFFF"/>
            <w:noWrap w:val="0"/>
            <w:vAlign w:val="center"/>
          </w:tcPr>
          <w:p w14:paraId="00006526">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52DB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C4AAFA0">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noWrap w:val="0"/>
            <w:vAlign w:val="center"/>
          </w:tcPr>
          <w:p w14:paraId="322F8695">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分包其他要求（如有）</w:t>
            </w:r>
          </w:p>
        </w:tc>
        <w:tc>
          <w:tcPr>
            <w:tcW w:w="2505" w:type="pct"/>
            <w:shd w:val="clear" w:color="000000" w:fill="FFFFFF"/>
            <w:noWrap w:val="0"/>
            <w:vAlign w:val="center"/>
          </w:tcPr>
          <w:p w14:paraId="31535453">
            <w:pPr>
              <w:widowControl/>
              <w:wordWrap w:val="0"/>
              <w:spacing w:after="0" w:line="360" w:lineRule="auto"/>
              <w:jc w:val="left"/>
              <w:rPr>
                <w:rFonts w:hint="eastAsia" w:ascii="宋体" w:hAnsi="宋体" w:cs="宋体"/>
                <w:sz w:val="24"/>
                <w:highlight w:val="none"/>
              </w:rPr>
            </w:pPr>
            <w:r>
              <w:rPr>
                <w:rFonts w:hint="eastAsia" w:ascii="宋体" w:hAnsi="宋体" w:cs="宋体"/>
                <w:sz w:val="24"/>
                <w:highlight w:val="none"/>
              </w:rPr>
              <w:t>分包履行的内容、金额或者比例未超出《供应商须知资料表》中的规定；</w:t>
            </w:r>
          </w:p>
          <w:p w14:paraId="28207C2E">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分包承担主体具备《供应商须知资料表》载明的资质条件且提供了资质证书电子件（如有）；</w:t>
            </w:r>
          </w:p>
        </w:tc>
        <w:tc>
          <w:tcPr>
            <w:tcW w:w="1028" w:type="pct"/>
            <w:shd w:val="clear" w:color="000000" w:fill="FFFFFF"/>
            <w:noWrap w:val="0"/>
            <w:vAlign w:val="center"/>
          </w:tcPr>
          <w:p w14:paraId="38B0ABC9">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7963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D46D0E8">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noWrap w:val="0"/>
            <w:vAlign w:val="center"/>
          </w:tcPr>
          <w:p w14:paraId="002518A1">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报价的修正（如有）</w:t>
            </w:r>
          </w:p>
        </w:tc>
        <w:tc>
          <w:tcPr>
            <w:tcW w:w="2505" w:type="pct"/>
            <w:shd w:val="clear" w:color="000000" w:fill="FFFFFF"/>
            <w:noWrap w:val="0"/>
            <w:vAlign w:val="center"/>
          </w:tcPr>
          <w:p w14:paraId="6901916F">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不涉及报价修正，或响应文件报价出现前后不一致时，供应商对修正后的报价予以确认；（如有）</w:t>
            </w:r>
          </w:p>
        </w:tc>
        <w:tc>
          <w:tcPr>
            <w:tcW w:w="1028" w:type="pct"/>
            <w:shd w:val="clear" w:color="000000" w:fill="FFFFFF"/>
            <w:noWrap w:val="0"/>
            <w:vAlign w:val="center"/>
          </w:tcPr>
          <w:p w14:paraId="4ED2EE37">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是</w:t>
            </w:r>
          </w:p>
        </w:tc>
      </w:tr>
      <w:tr w14:paraId="145A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CABBC82">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noWrap w:val="0"/>
            <w:vAlign w:val="center"/>
          </w:tcPr>
          <w:p w14:paraId="152005C9">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进口产品</w:t>
            </w:r>
          </w:p>
          <w:p w14:paraId="024492B3">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（如有）</w:t>
            </w:r>
          </w:p>
        </w:tc>
        <w:tc>
          <w:tcPr>
            <w:tcW w:w="2505" w:type="pct"/>
            <w:shd w:val="clear" w:color="000000" w:fill="FFFFFF"/>
            <w:noWrap w:val="0"/>
            <w:vAlign w:val="center"/>
          </w:tcPr>
          <w:p w14:paraId="59D33A15">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磋商文件不接受进口产品响应的内容时，供应商所投产品非进口产品的；</w:t>
            </w:r>
          </w:p>
        </w:tc>
        <w:tc>
          <w:tcPr>
            <w:tcW w:w="1028" w:type="pct"/>
            <w:shd w:val="clear" w:color="000000" w:fill="FFFFFF"/>
            <w:noWrap w:val="0"/>
            <w:vAlign w:val="center"/>
          </w:tcPr>
          <w:p w14:paraId="14E665B6">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158F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9711BBD">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noWrap w:val="0"/>
            <w:vAlign w:val="center"/>
          </w:tcPr>
          <w:p w14:paraId="078FD968">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国家有关部门对供应商的响应产品有强制性规定或要求的</w:t>
            </w:r>
          </w:p>
        </w:tc>
        <w:tc>
          <w:tcPr>
            <w:tcW w:w="2505" w:type="pct"/>
            <w:shd w:val="clear" w:color="000000" w:fill="FFFFFF"/>
            <w:noWrap w:val="0"/>
            <w:vAlign w:val="center"/>
          </w:tcPr>
          <w:p w14:paraId="0D6E444B">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国家有关部门对供应商的响应产品有强制性规定或要求的（如相应技术、安全、节能和环保等），供应商的响应产品应符合相应规定或要求，并提供证明文件电子件：</w:t>
            </w:r>
          </w:p>
          <w:p w14:paraId="29ED7BBB">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14:paraId="494E9D92">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E440A9D">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3）项目中涉及涂料、胶黏剂、油墨、清洗剂等挥发性有机物产品，且属于强制性标准的，供应商应执行符合本市和国家的VOCs含量限制标准</w:t>
            </w:r>
            <w:r>
              <w:rPr>
                <w:rFonts w:hint="eastAsia" w:ascii="宋体" w:hAnsi="宋体" w:cs="宋体"/>
                <w:sz w:val="24"/>
                <w:highlight w:val="none"/>
              </w:rPr>
              <w:t>。</w:t>
            </w:r>
          </w:p>
        </w:tc>
        <w:tc>
          <w:tcPr>
            <w:tcW w:w="1028" w:type="pct"/>
            <w:shd w:val="clear" w:color="000000" w:fill="FFFFFF"/>
            <w:noWrap w:val="0"/>
            <w:vAlign w:val="center"/>
          </w:tcPr>
          <w:p w14:paraId="03AD6791">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2871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BE0B131">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13</w:t>
            </w:r>
          </w:p>
        </w:tc>
        <w:tc>
          <w:tcPr>
            <w:tcW w:w="921" w:type="pct"/>
            <w:shd w:val="clear" w:color="000000" w:fill="FFFFFF"/>
            <w:noWrap w:val="0"/>
            <w:vAlign w:val="center"/>
          </w:tcPr>
          <w:p w14:paraId="11F023A1">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公平竞争</w:t>
            </w:r>
          </w:p>
        </w:tc>
        <w:tc>
          <w:tcPr>
            <w:tcW w:w="2505" w:type="pct"/>
            <w:shd w:val="clear" w:color="000000" w:fill="FFFFFF"/>
            <w:noWrap w:val="0"/>
            <w:vAlign w:val="center"/>
          </w:tcPr>
          <w:p w14:paraId="2EA6185D">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供应商遵循公平竞争的原则，不存在恶意串通，妨碍其他供应商的竞争行为，不存在损害采购人或者其他供应商的合法权益情形的；</w:t>
            </w:r>
          </w:p>
        </w:tc>
        <w:tc>
          <w:tcPr>
            <w:tcW w:w="1028" w:type="pct"/>
            <w:shd w:val="clear" w:color="000000" w:fill="FFFFFF"/>
            <w:noWrap w:val="0"/>
            <w:vAlign w:val="center"/>
          </w:tcPr>
          <w:p w14:paraId="036FFBAB">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123C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9AEDB8A">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14</w:t>
            </w:r>
          </w:p>
        </w:tc>
        <w:tc>
          <w:tcPr>
            <w:tcW w:w="921" w:type="pct"/>
            <w:shd w:val="clear" w:color="000000" w:fill="FFFFFF"/>
            <w:noWrap w:val="0"/>
            <w:vAlign w:val="center"/>
          </w:tcPr>
          <w:p w14:paraId="550B8D97">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串通投标</w:t>
            </w:r>
          </w:p>
        </w:tc>
        <w:tc>
          <w:tcPr>
            <w:tcW w:w="2505" w:type="pct"/>
            <w:shd w:val="clear" w:color="000000" w:fill="FFFFFF"/>
            <w:noWrap w:val="0"/>
            <w:vAlign w:val="center"/>
          </w:tcPr>
          <w:p w14:paraId="3B330FE4">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不存在《政府采购货物和服务招标投标管理办法》视为供应商串通投标的情形：（一）不同供应商的投标文件由同一单位或者个人编制；（二）不同供应商委托同一单位或者个人办理投标事宜；（三）不同供应商的投标文件载明的项目管理成员或者联系人员为同一人；（四）不同供应商的投标文件异常一致或者响应报价呈规律性差异；（五）不同供应商的投标文件相互混装；（六）不同供应商的投标保证金从同一单位或者个人的账户转出；</w:t>
            </w:r>
          </w:p>
        </w:tc>
        <w:tc>
          <w:tcPr>
            <w:tcW w:w="1028" w:type="pct"/>
            <w:shd w:val="clear" w:color="000000" w:fill="FFFFFF"/>
            <w:noWrap w:val="0"/>
            <w:vAlign w:val="center"/>
          </w:tcPr>
          <w:p w14:paraId="5BAD726A">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42E7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32347AE">
            <w:pPr>
              <w:widowControl/>
              <w:wordWrap w:val="0"/>
              <w:spacing w:after="0" w:line="360" w:lineRule="auto"/>
              <w:jc w:val="center"/>
              <w:rPr>
                <w:rFonts w:ascii="宋体" w:hAnsi="宋体" w:cs="宋体"/>
                <w:kern w:val="0"/>
                <w:sz w:val="24"/>
                <w:highlight w:val="none"/>
              </w:rPr>
            </w:pPr>
            <w:r>
              <w:rPr>
                <w:rFonts w:hint="eastAsia" w:ascii="宋体" w:hAnsi="宋体" w:cs="宋体"/>
                <w:kern w:val="0"/>
                <w:sz w:val="24"/>
                <w:highlight w:val="none"/>
              </w:rPr>
              <w:t>15</w:t>
            </w:r>
          </w:p>
        </w:tc>
        <w:tc>
          <w:tcPr>
            <w:tcW w:w="921" w:type="pct"/>
            <w:shd w:val="clear" w:color="000000" w:fill="FFFFFF"/>
            <w:noWrap w:val="0"/>
            <w:vAlign w:val="center"/>
          </w:tcPr>
          <w:p w14:paraId="78B75A88">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附加条件</w:t>
            </w:r>
          </w:p>
        </w:tc>
        <w:tc>
          <w:tcPr>
            <w:tcW w:w="2505" w:type="pct"/>
            <w:shd w:val="clear" w:color="000000" w:fill="FFFFFF"/>
            <w:noWrap w:val="0"/>
            <w:vAlign w:val="center"/>
          </w:tcPr>
          <w:p w14:paraId="28CE6FDB">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响应</w:t>
            </w:r>
            <w:r>
              <w:rPr>
                <w:rFonts w:hint="eastAsia" w:ascii="宋体" w:hAnsi="宋体" w:cs="宋体"/>
                <w:kern w:val="0"/>
                <w:sz w:val="24"/>
                <w:highlight w:val="none"/>
              </w:rPr>
              <w:t>文件未含有采购人不能接受的附加条件的；</w:t>
            </w:r>
          </w:p>
        </w:tc>
        <w:tc>
          <w:tcPr>
            <w:tcW w:w="1028" w:type="pct"/>
            <w:shd w:val="clear" w:color="000000" w:fill="FFFFFF"/>
            <w:noWrap w:val="0"/>
            <w:vAlign w:val="center"/>
          </w:tcPr>
          <w:p w14:paraId="2914663C">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13CA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19A35B0">
            <w:pPr>
              <w:widowControl/>
              <w:wordWrap w:val="0"/>
              <w:spacing w:after="0" w:line="360" w:lineRule="auto"/>
              <w:jc w:val="center"/>
              <w:rPr>
                <w:rFonts w:ascii="宋体" w:hAnsi="宋体" w:cs="宋体"/>
                <w:kern w:val="0"/>
                <w:sz w:val="24"/>
                <w:highlight w:val="none"/>
              </w:rPr>
            </w:pPr>
            <w:r>
              <w:rPr>
                <w:rFonts w:hint="eastAsia" w:ascii="宋体" w:hAnsi="宋体" w:cs="宋体"/>
                <w:kern w:val="0"/>
                <w:sz w:val="24"/>
                <w:highlight w:val="none"/>
              </w:rPr>
              <w:t>16</w:t>
            </w:r>
          </w:p>
        </w:tc>
        <w:tc>
          <w:tcPr>
            <w:tcW w:w="921" w:type="pct"/>
            <w:shd w:val="clear" w:color="000000" w:fill="FFFFFF"/>
            <w:noWrap w:val="0"/>
            <w:vAlign w:val="center"/>
          </w:tcPr>
          <w:p w14:paraId="66F8DB46">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其他无效情形</w:t>
            </w:r>
          </w:p>
        </w:tc>
        <w:tc>
          <w:tcPr>
            <w:tcW w:w="2505" w:type="pct"/>
            <w:shd w:val="clear" w:color="000000" w:fill="FFFFFF"/>
            <w:noWrap w:val="0"/>
            <w:vAlign w:val="center"/>
          </w:tcPr>
          <w:p w14:paraId="5A2EE36A">
            <w:pPr>
              <w:widowControl/>
              <w:wordWrap w:val="0"/>
              <w:spacing w:after="0" w:line="360" w:lineRule="auto"/>
              <w:jc w:val="left"/>
              <w:rPr>
                <w:rFonts w:hint="eastAsia"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28" w:type="pct"/>
            <w:shd w:val="clear" w:color="000000" w:fill="FFFFFF"/>
            <w:noWrap w:val="0"/>
            <w:vAlign w:val="center"/>
          </w:tcPr>
          <w:p w14:paraId="6486F969">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否</w:t>
            </w:r>
          </w:p>
        </w:tc>
      </w:tr>
      <w:tr w14:paraId="5296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066DA17">
            <w:pPr>
              <w:widowControl/>
              <w:wordWrap w:val="0"/>
              <w:spacing w:after="0" w:line="360" w:lineRule="auto"/>
              <w:jc w:val="center"/>
              <w:rPr>
                <w:rFonts w:ascii="宋体" w:hAnsi="宋体" w:cs="宋体"/>
                <w:kern w:val="0"/>
                <w:sz w:val="24"/>
                <w:highlight w:val="none"/>
              </w:rPr>
            </w:pPr>
            <w:r>
              <w:rPr>
                <w:rFonts w:hint="eastAsia" w:ascii="宋体" w:hAnsi="宋体" w:cs="宋体"/>
                <w:kern w:val="0"/>
                <w:sz w:val="24"/>
                <w:highlight w:val="none"/>
              </w:rPr>
              <w:t>17</w:t>
            </w:r>
          </w:p>
        </w:tc>
        <w:tc>
          <w:tcPr>
            <w:tcW w:w="921" w:type="pct"/>
            <w:shd w:val="clear" w:color="000000" w:fill="FFFFFF"/>
            <w:noWrap w:val="0"/>
            <w:vAlign w:val="center"/>
          </w:tcPr>
          <w:p w14:paraId="1A36DEF5">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含义不明确</w:t>
            </w:r>
          </w:p>
        </w:tc>
        <w:tc>
          <w:tcPr>
            <w:tcW w:w="2505" w:type="pct"/>
            <w:shd w:val="clear" w:color="000000" w:fill="FFFFFF"/>
            <w:noWrap w:val="0"/>
            <w:vAlign w:val="center"/>
          </w:tcPr>
          <w:p w14:paraId="37CC7D36">
            <w:pPr>
              <w:widowControl/>
              <w:wordWrap w:val="0"/>
              <w:spacing w:after="0" w:line="360" w:lineRule="auto"/>
              <w:jc w:val="left"/>
              <w:rPr>
                <w:rFonts w:hint="eastAsia" w:ascii="宋体" w:hAnsi="宋体" w:cs="宋体"/>
                <w:sz w:val="24"/>
                <w:highlight w:val="none"/>
              </w:rPr>
            </w:pPr>
            <w:r>
              <w:rPr>
                <w:rFonts w:hint="eastAsia" w:ascii="宋体" w:hAnsi="宋体" w:cs="宋体"/>
                <w:sz w:val="24"/>
                <w:highlight w:val="none"/>
              </w:rPr>
              <w:t>响应文件存在</w:t>
            </w:r>
            <w:r>
              <w:rPr>
                <w:rFonts w:hint="eastAsia" w:ascii="宋体" w:hAnsi="宋体" w:cs="宋体"/>
                <w:kern w:val="0"/>
                <w:sz w:val="24"/>
                <w:highlight w:val="none"/>
              </w:rPr>
              <w:t>含义不明确的情形。</w:t>
            </w:r>
          </w:p>
        </w:tc>
        <w:tc>
          <w:tcPr>
            <w:tcW w:w="1028" w:type="pct"/>
            <w:shd w:val="clear" w:color="000000" w:fill="FFFFFF"/>
            <w:noWrap w:val="0"/>
            <w:vAlign w:val="center"/>
          </w:tcPr>
          <w:p w14:paraId="36ADC158">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是（但不得超出或改变磋商文件及响应文件的范围及实质性内容）</w:t>
            </w:r>
          </w:p>
        </w:tc>
      </w:tr>
      <w:tr w14:paraId="794D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C8252C0">
            <w:pPr>
              <w:widowControl/>
              <w:wordWrap w:val="0"/>
              <w:spacing w:after="0" w:line="360" w:lineRule="auto"/>
              <w:jc w:val="center"/>
              <w:rPr>
                <w:rFonts w:ascii="宋体" w:hAnsi="宋体" w:cs="宋体"/>
                <w:kern w:val="0"/>
                <w:sz w:val="24"/>
                <w:highlight w:val="none"/>
              </w:rPr>
            </w:pPr>
            <w:r>
              <w:rPr>
                <w:rFonts w:hint="eastAsia" w:ascii="宋体" w:hAnsi="宋体" w:cs="宋体"/>
                <w:kern w:val="0"/>
                <w:sz w:val="24"/>
                <w:highlight w:val="none"/>
              </w:rPr>
              <w:t>18</w:t>
            </w:r>
          </w:p>
        </w:tc>
        <w:tc>
          <w:tcPr>
            <w:tcW w:w="921" w:type="pct"/>
            <w:shd w:val="clear" w:color="000000" w:fill="FFFFFF"/>
            <w:noWrap w:val="0"/>
            <w:vAlign w:val="center"/>
          </w:tcPr>
          <w:p w14:paraId="4F4CCD3A">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同类问题表述不一致</w:t>
            </w:r>
          </w:p>
        </w:tc>
        <w:tc>
          <w:tcPr>
            <w:tcW w:w="2505" w:type="pct"/>
            <w:shd w:val="clear" w:color="000000" w:fill="FFFFFF"/>
            <w:noWrap w:val="0"/>
            <w:vAlign w:val="center"/>
          </w:tcPr>
          <w:p w14:paraId="14518DD4">
            <w:pPr>
              <w:widowControl/>
              <w:wordWrap w:val="0"/>
              <w:spacing w:after="0" w:line="360" w:lineRule="auto"/>
              <w:jc w:val="left"/>
              <w:rPr>
                <w:rFonts w:hint="eastAsia" w:ascii="宋体" w:hAnsi="宋体" w:cs="宋体"/>
                <w:sz w:val="24"/>
                <w:highlight w:val="none"/>
              </w:rPr>
            </w:pPr>
            <w:r>
              <w:rPr>
                <w:rFonts w:hint="eastAsia" w:ascii="宋体" w:hAnsi="宋体" w:cs="宋体"/>
                <w:sz w:val="24"/>
                <w:highlight w:val="none"/>
              </w:rPr>
              <w:t>响应文件存在</w:t>
            </w:r>
            <w:r>
              <w:rPr>
                <w:rFonts w:hint="eastAsia" w:ascii="宋体" w:hAnsi="宋体" w:cs="宋体"/>
                <w:kern w:val="0"/>
                <w:sz w:val="24"/>
                <w:highlight w:val="none"/>
              </w:rPr>
              <w:t>同类问题表述不一致的情形。</w:t>
            </w:r>
          </w:p>
        </w:tc>
        <w:tc>
          <w:tcPr>
            <w:tcW w:w="1028" w:type="pct"/>
            <w:shd w:val="clear" w:color="000000" w:fill="FFFFFF"/>
            <w:noWrap w:val="0"/>
            <w:vAlign w:val="center"/>
          </w:tcPr>
          <w:p w14:paraId="51CFC501">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是（但不得超出或改变磋商文件及响应文件的范围及实质性内容）</w:t>
            </w:r>
          </w:p>
        </w:tc>
      </w:tr>
      <w:tr w14:paraId="1DA5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D414034">
            <w:pPr>
              <w:widowControl/>
              <w:wordWrap w:val="0"/>
              <w:spacing w:after="0" w:line="360" w:lineRule="auto"/>
              <w:jc w:val="center"/>
              <w:rPr>
                <w:rFonts w:ascii="宋体" w:hAnsi="宋体" w:cs="宋体"/>
                <w:kern w:val="0"/>
                <w:sz w:val="24"/>
                <w:highlight w:val="none"/>
              </w:rPr>
            </w:pPr>
            <w:r>
              <w:rPr>
                <w:rFonts w:hint="eastAsia" w:ascii="宋体" w:hAnsi="宋体" w:cs="宋体"/>
                <w:kern w:val="0"/>
                <w:sz w:val="24"/>
                <w:highlight w:val="none"/>
              </w:rPr>
              <w:t>19</w:t>
            </w:r>
          </w:p>
        </w:tc>
        <w:tc>
          <w:tcPr>
            <w:tcW w:w="921" w:type="pct"/>
            <w:shd w:val="clear" w:color="000000" w:fill="FFFFFF"/>
            <w:noWrap w:val="0"/>
            <w:vAlign w:val="center"/>
          </w:tcPr>
          <w:p w14:paraId="3315CCA2">
            <w:pPr>
              <w:widowControl/>
              <w:wordWrap w:val="0"/>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有明显文字和计算错误的内容</w:t>
            </w:r>
          </w:p>
        </w:tc>
        <w:tc>
          <w:tcPr>
            <w:tcW w:w="2505" w:type="pct"/>
            <w:shd w:val="clear" w:color="000000" w:fill="FFFFFF"/>
            <w:noWrap w:val="0"/>
            <w:vAlign w:val="center"/>
          </w:tcPr>
          <w:p w14:paraId="29E1028F">
            <w:pPr>
              <w:widowControl/>
              <w:wordWrap w:val="0"/>
              <w:spacing w:after="0" w:line="360" w:lineRule="auto"/>
              <w:jc w:val="left"/>
              <w:rPr>
                <w:rFonts w:hint="eastAsia" w:ascii="宋体" w:hAnsi="宋体" w:cs="宋体"/>
                <w:sz w:val="24"/>
                <w:highlight w:val="none"/>
              </w:rPr>
            </w:pPr>
            <w:r>
              <w:rPr>
                <w:rFonts w:hint="eastAsia" w:ascii="宋体" w:hAnsi="宋体" w:cs="宋体"/>
                <w:sz w:val="24"/>
                <w:highlight w:val="none"/>
              </w:rPr>
              <w:t>响应文件存在</w:t>
            </w:r>
            <w:r>
              <w:rPr>
                <w:rFonts w:hint="eastAsia" w:ascii="宋体" w:hAnsi="宋体" w:cs="宋体"/>
                <w:kern w:val="0"/>
                <w:sz w:val="24"/>
                <w:highlight w:val="none"/>
              </w:rPr>
              <w:t>有明显文字和计算错误的内容的情形。</w:t>
            </w:r>
          </w:p>
        </w:tc>
        <w:tc>
          <w:tcPr>
            <w:tcW w:w="1028" w:type="pct"/>
            <w:shd w:val="clear" w:color="000000" w:fill="FFFFFF"/>
            <w:noWrap w:val="0"/>
            <w:vAlign w:val="center"/>
          </w:tcPr>
          <w:p w14:paraId="424BD308">
            <w:pPr>
              <w:widowControl/>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是（但不得超出或改变磋商文件及响应文件的范围及实质性内容）</w:t>
            </w:r>
          </w:p>
        </w:tc>
      </w:tr>
    </w:tbl>
    <w:p w14:paraId="2D32A527">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磋商、响应文件有关事项的澄清、说明或者更正和最后报价</w:t>
      </w:r>
    </w:p>
    <w:p w14:paraId="4D2D302A">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磋商小组所有成员应当集中与单一供应商分别进行磋商，并给予所有参加磋商的供应商平等的磋商机会。</w:t>
      </w:r>
    </w:p>
    <w:p w14:paraId="4E2D0F99">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70AE03A">
      <w:pPr>
        <w:numPr>
          <w:ilvl w:val="1"/>
          <w:numId w:val="10"/>
        </w:numPr>
        <w:tabs>
          <w:tab w:val="left" w:pos="1080"/>
          <w:tab w:val="left" w:pos="1872"/>
        </w:tabs>
        <w:wordWrap w:val="0"/>
        <w:snapToGrid w:val="0"/>
        <w:spacing w:after="0" w:line="360" w:lineRule="auto"/>
        <w:ind w:left="1077" w:hanging="720"/>
        <w:rPr>
          <w:rFonts w:hint="eastAsia"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14:paraId="442746ED">
      <w:pPr>
        <w:numPr>
          <w:ilvl w:val="1"/>
          <w:numId w:val="10"/>
        </w:numPr>
        <w:tabs>
          <w:tab w:val="left" w:pos="1080"/>
          <w:tab w:val="left" w:pos="1872"/>
        </w:tabs>
        <w:wordWrap w:val="0"/>
        <w:snapToGrid w:val="0"/>
        <w:spacing w:after="0" w:line="360" w:lineRule="auto"/>
        <w:ind w:left="1077" w:hanging="720"/>
        <w:rPr>
          <w:rFonts w:hint="eastAsia"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6C50708B">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响应文件的澄清、说明或者更正：</w:t>
      </w:r>
    </w:p>
    <w:p w14:paraId="6A40291E">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304EC51B">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highlight w:val="none"/>
        </w:rPr>
        <w:t>无效处理</w:t>
      </w:r>
      <w:r>
        <w:rPr>
          <w:rFonts w:hint="eastAsia" w:ascii="宋体" w:hAnsi="宋体" w:cs="宋体"/>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highlight w:val="none"/>
        </w:rPr>
        <w:t>无效处理</w:t>
      </w:r>
      <w:r>
        <w:rPr>
          <w:rFonts w:hint="eastAsia" w:ascii="宋体" w:hAnsi="宋体" w:cs="宋体"/>
          <w:sz w:val="24"/>
          <w:highlight w:val="none"/>
        </w:rPr>
        <w:t>。</w:t>
      </w:r>
    </w:p>
    <w:p w14:paraId="4BD0EA67">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2CEBD9B">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14:paraId="0E04C43B">
      <w:pPr>
        <w:numPr>
          <w:ilvl w:val="1"/>
          <w:numId w:val="10"/>
        </w:numPr>
        <w:tabs>
          <w:tab w:val="left" w:pos="1080"/>
          <w:tab w:val="left" w:pos="1872"/>
        </w:tabs>
        <w:snapToGrid w:val="0"/>
        <w:spacing w:after="0" w:line="360" w:lineRule="auto"/>
        <w:ind w:left="1077" w:hanging="720"/>
        <w:rPr>
          <w:snapToGrid w:val="0"/>
          <w:sz w:val="24"/>
          <w:highlight w:val="none"/>
        </w:rPr>
      </w:pPr>
      <w:r>
        <w:rPr>
          <w:rFonts w:hint="eastAsia"/>
          <w:snapToGrid w:val="0"/>
          <w:sz w:val="24"/>
          <w:highlight w:val="none"/>
        </w:rPr>
        <w:t>异常低价处理</w:t>
      </w:r>
    </w:p>
    <w:p w14:paraId="5EBEE476">
      <w:pPr>
        <w:numPr>
          <w:ilvl w:val="2"/>
          <w:numId w:val="10"/>
        </w:numPr>
        <w:snapToGrid w:val="0"/>
        <w:spacing w:after="0" w:line="360" w:lineRule="auto"/>
        <w:rPr>
          <w:sz w:val="24"/>
          <w:highlight w:val="none"/>
        </w:rPr>
      </w:pPr>
      <w:r>
        <w:rPr>
          <w:rFonts w:hint="eastAsia"/>
          <w:sz w:val="24"/>
          <w:highlight w:val="none"/>
        </w:rPr>
        <w:t>政府采购评审中出现下列情形之一的，评审委员会应当启动异常低价投标（响应）审查程序：</w:t>
      </w:r>
    </w:p>
    <w:p w14:paraId="0BFA4DD0">
      <w:pPr>
        <w:snapToGrid w:val="0"/>
        <w:spacing w:after="0" w:line="360" w:lineRule="auto"/>
        <w:ind w:left="1980"/>
        <w:rPr>
          <w:sz w:val="24"/>
          <w:highlight w:val="none"/>
        </w:rPr>
      </w:pPr>
      <w:r>
        <w:rPr>
          <w:rFonts w:hint="eastAsia"/>
          <w:sz w:val="24"/>
          <w:highlight w:val="none"/>
        </w:rPr>
        <w:t>（</w:t>
      </w:r>
      <w:r>
        <w:rPr>
          <w:sz w:val="24"/>
          <w:highlight w:val="none"/>
        </w:rPr>
        <w:t>1</w:t>
      </w:r>
      <w:r>
        <w:rPr>
          <w:rFonts w:hint="eastAsia"/>
          <w:sz w:val="24"/>
          <w:highlight w:val="none"/>
        </w:rPr>
        <w:t>）投标（响应）报价低于全部通过符合性审查供应商投标（响应）报价平均值</w:t>
      </w:r>
      <w:r>
        <w:rPr>
          <w:rFonts w:hint="eastAsia"/>
          <w:sz w:val="24"/>
          <w:highlight w:val="none"/>
          <w:u w:val="single"/>
        </w:rPr>
        <w:t>50</w:t>
      </w:r>
      <w:r>
        <w:rPr>
          <w:sz w:val="24"/>
          <w:highlight w:val="none"/>
        </w:rPr>
        <w:t>%</w:t>
      </w:r>
      <w:r>
        <w:rPr>
          <w:rFonts w:hint="eastAsia"/>
          <w:sz w:val="24"/>
          <w:highlight w:val="none"/>
        </w:rPr>
        <w:t>的，即投标（响应）报价</w:t>
      </w:r>
      <w:r>
        <w:rPr>
          <w:sz w:val="24"/>
          <w:highlight w:val="none"/>
        </w:rPr>
        <w:t>&lt;</w:t>
      </w:r>
      <w:r>
        <w:rPr>
          <w:rFonts w:hint="eastAsia"/>
          <w:sz w:val="24"/>
          <w:highlight w:val="none"/>
        </w:rPr>
        <w:t>全部通过符合性审查供应商投标（响应）报价平均值×</w:t>
      </w:r>
      <w:r>
        <w:rPr>
          <w:rFonts w:hint="eastAsia"/>
          <w:sz w:val="24"/>
          <w:highlight w:val="none"/>
          <w:u w:val="single"/>
        </w:rPr>
        <w:t>50</w:t>
      </w:r>
      <w:r>
        <w:rPr>
          <w:sz w:val="24"/>
          <w:highlight w:val="none"/>
        </w:rPr>
        <w:t>%</w:t>
      </w:r>
      <w:r>
        <w:rPr>
          <w:rFonts w:hint="eastAsia"/>
          <w:sz w:val="24"/>
          <w:highlight w:val="none"/>
        </w:rPr>
        <w:t>；</w:t>
      </w:r>
    </w:p>
    <w:p w14:paraId="5C8D0322">
      <w:pPr>
        <w:snapToGrid w:val="0"/>
        <w:spacing w:after="0" w:line="360" w:lineRule="auto"/>
        <w:ind w:left="1980"/>
        <w:rPr>
          <w:sz w:val="24"/>
          <w:highlight w:val="none"/>
        </w:rPr>
      </w:pPr>
      <w:r>
        <w:rPr>
          <w:rFonts w:hint="eastAsia"/>
          <w:sz w:val="24"/>
          <w:highlight w:val="none"/>
        </w:rPr>
        <w:t>（</w:t>
      </w:r>
      <w:r>
        <w:rPr>
          <w:sz w:val="24"/>
          <w:highlight w:val="none"/>
        </w:rPr>
        <w:t>2</w:t>
      </w:r>
      <w:r>
        <w:rPr>
          <w:rFonts w:hint="eastAsia"/>
          <w:sz w:val="24"/>
          <w:highlight w:val="none"/>
        </w:rPr>
        <w:t>）投标（响应）报价低于通过符合性审查的次低报价供应商投标（响应）报价</w:t>
      </w:r>
      <w:r>
        <w:rPr>
          <w:rFonts w:hint="eastAsia"/>
          <w:sz w:val="24"/>
          <w:highlight w:val="none"/>
          <w:u w:val="single"/>
        </w:rPr>
        <w:t>50</w:t>
      </w:r>
      <w:r>
        <w:rPr>
          <w:sz w:val="24"/>
          <w:highlight w:val="none"/>
        </w:rPr>
        <w:t>%</w:t>
      </w:r>
      <w:r>
        <w:rPr>
          <w:rFonts w:hint="eastAsia"/>
          <w:sz w:val="24"/>
          <w:highlight w:val="none"/>
        </w:rPr>
        <w:t>的，即投标（响应）报价</w:t>
      </w:r>
      <w:r>
        <w:rPr>
          <w:sz w:val="24"/>
          <w:highlight w:val="none"/>
        </w:rPr>
        <w:t>&lt;</w:t>
      </w:r>
      <w:r>
        <w:rPr>
          <w:rFonts w:hint="eastAsia"/>
          <w:sz w:val="24"/>
          <w:highlight w:val="none"/>
        </w:rPr>
        <w:t>通过符合性审查的次低报价供应商投标（响应）报价×</w:t>
      </w:r>
      <w:r>
        <w:rPr>
          <w:rFonts w:hint="eastAsia"/>
          <w:sz w:val="24"/>
          <w:highlight w:val="none"/>
          <w:u w:val="single"/>
        </w:rPr>
        <w:t>50</w:t>
      </w:r>
      <w:r>
        <w:rPr>
          <w:sz w:val="24"/>
          <w:highlight w:val="none"/>
        </w:rPr>
        <w:t>%</w:t>
      </w:r>
      <w:r>
        <w:rPr>
          <w:rFonts w:hint="eastAsia"/>
          <w:sz w:val="24"/>
          <w:highlight w:val="none"/>
        </w:rPr>
        <w:t>；</w:t>
      </w:r>
    </w:p>
    <w:p w14:paraId="7EEFB6E2">
      <w:pPr>
        <w:snapToGrid w:val="0"/>
        <w:spacing w:after="0" w:line="360" w:lineRule="auto"/>
        <w:ind w:left="1980"/>
        <w:rPr>
          <w:sz w:val="24"/>
          <w:highlight w:val="none"/>
        </w:rPr>
      </w:pPr>
      <w:r>
        <w:rPr>
          <w:rFonts w:hint="eastAsia"/>
          <w:sz w:val="24"/>
          <w:highlight w:val="none"/>
        </w:rPr>
        <w:t>（</w:t>
      </w:r>
      <w:r>
        <w:rPr>
          <w:sz w:val="24"/>
          <w:highlight w:val="none"/>
        </w:rPr>
        <w:t>3</w:t>
      </w:r>
      <w:r>
        <w:rPr>
          <w:rFonts w:hint="eastAsia"/>
          <w:sz w:val="24"/>
          <w:highlight w:val="none"/>
        </w:rPr>
        <w:t>）投标（响应）报价低于采购项目最高限价</w:t>
      </w:r>
      <w:r>
        <w:rPr>
          <w:rFonts w:hint="eastAsia"/>
          <w:sz w:val="24"/>
          <w:highlight w:val="none"/>
          <w:u w:val="single"/>
        </w:rPr>
        <w:t>45</w:t>
      </w:r>
      <w:r>
        <w:rPr>
          <w:sz w:val="24"/>
          <w:highlight w:val="none"/>
        </w:rPr>
        <w:t>%</w:t>
      </w:r>
      <w:r>
        <w:rPr>
          <w:rFonts w:hint="eastAsia"/>
          <w:sz w:val="24"/>
          <w:highlight w:val="none"/>
        </w:rPr>
        <w:t>的，即投标（响应）报价</w:t>
      </w:r>
      <w:r>
        <w:rPr>
          <w:sz w:val="24"/>
          <w:highlight w:val="none"/>
        </w:rPr>
        <w:t>&lt;</w:t>
      </w:r>
      <w:r>
        <w:rPr>
          <w:rFonts w:hint="eastAsia"/>
          <w:sz w:val="24"/>
          <w:highlight w:val="none"/>
        </w:rPr>
        <w:t>采购项目最高限价×</w:t>
      </w:r>
      <w:r>
        <w:rPr>
          <w:rFonts w:hint="eastAsia"/>
          <w:sz w:val="24"/>
          <w:highlight w:val="none"/>
          <w:u w:val="single"/>
        </w:rPr>
        <w:t>45</w:t>
      </w:r>
      <w:r>
        <w:rPr>
          <w:sz w:val="24"/>
          <w:highlight w:val="none"/>
        </w:rPr>
        <w:t>%</w:t>
      </w:r>
      <w:r>
        <w:rPr>
          <w:rFonts w:hint="eastAsia"/>
          <w:sz w:val="24"/>
          <w:highlight w:val="none"/>
        </w:rPr>
        <w:t>；未设定最高限价的采购项目，以采购项目预算金额作为最高限价；</w:t>
      </w:r>
    </w:p>
    <w:p w14:paraId="31207265">
      <w:pPr>
        <w:snapToGrid w:val="0"/>
        <w:spacing w:after="0" w:line="360" w:lineRule="auto"/>
        <w:ind w:left="1980"/>
        <w:rPr>
          <w:sz w:val="24"/>
          <w:highlight w:val="none"/>
        </w:rPr>
      </w:pPr>
      <w:r>
        <w:rPr>
          <w:rFonts w:hint="eastAsia"/>
          <w:sz w:val="24"/>
          <w:highlight w:val="none"/>
        </w:rPr>
        <w:t>（</w:t>
      </w:r>
      <w:r>
        <w:rPr>
          <w:sz w:val="24"/>
          <w:highlight w:val="none"/>
        </w:rPr>
        <w:t>4</w:t>
      </w:r>
      <w:r>
        <w:rPr>
          <w:rFonts w:hint="eastAsia"/>
          <w:sz w:val="24"/>
          <w:highlight w:val="none"/>
        </w:rPr>
        <w:t>）评审委员会基于专业判断，认为供应商报价过低，有可能影响产品质量或者不能诚信履约的其他情形。</w:t>
      </w:r>
    </w:p>
    <w:p w14:paraId="031CDC2E">
      <w:pPr>
        <w:numPr>
          <w:ilvl w:val="2"/>
          <w:numId w:val="10"/>
        </w:numPr>
        <w:snapToGrid w:val="0"/>
        <w:spacing w:after="0" w:line="360" w:lineRule="auto"/>
        <w:rPr>
          <w:sz w:val="24"/>
          <w:highlight w:val="none"/>
        </w:rPr>
      </w:pPr>
      <w:r>
        <w:rPr>
          <w:rFonts w:hint="eastAsia"/>
          <w:sz w:val="24"/>
          <w:highlight w:val="none"/>
        </w:rPr>
        <w:t>评审委员会启动异常低价投标（响应）审查后，属于前述第（</w:t>
      </w:r>
      <w:r>
        <w:rPr>
          <w:sz w:val="24"/>
          <w:highlight w:val="none"/>
        </w:rPr>
        <w:t>1</w:t>
      </w:r>
      <w:r>
        <w:rPr>
          <w:rFonts w:hint="eastAsia"/>
          <w:sz w:val="24"/>
          <w:highlight w:val="none"/>
        </w:rPr>
        <w:t>）项至第（</w:t>
      </w:r>
      <w:r>
        <w:rPr>
          <w:sz w:val="24"/>
          <w:highlight w:val="none"/>
        </w:rPr>
        <w:t>4</w:t>
      </w:r>
      <w:r>
        <w:rPr>
          <w:rFonts w:hint="eastAsia"/>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highlight w:val="none"/>
        </w:rPr>
        <w:t>30</w:t>
      </w:r>
      <w:r>
        <w:rPr>
          <w:rFonts w:hint="eastAsia"/>
          <w:sz w:val="24"/>
          <w:highlight w:val="none"/>
        </w:rPr>
        <w:t>分钟。其中，属于第（</w:t>
      </w:r>
      <w:r>
        <w:rPr>
          <w:sz w:val="24"/>
          <w:highlight w:val="none"/>
        </w:rPr>
        <w:t>3</w:t>
      </w:r>
      <w:r>
        <w:rPr>
          <w:rFonts w:hint="eastAsia"/>
          <w:sz w:val="24"/>
          <w:highlight w:val="none"/>
        </w:rPr>
        <w:t>）项情形，供应商已随投标（响应）文件一并提交相关书面说明及必要的证明材料的，在评审现场可不再重复提交。</w:t>
      </w:r>
    </w:p>
    <w:p w14:paraId="1049F047">
      <w:pPr>
        <w:numPr>
          <w:ilvl w:val="2"/>
          <w:numId w:val="10"/>
        </w:numPr>
        <w:snapToGrid w:val="0"/>
        <w:spacing w:after="0" w:line="360" w:lineRule="auto"/>
        <w:rPr>
          <w:rFonts w:hint="eastAsia" w:ascii="宋体" w:hAnsi="宋体" w:cs="宋体"/>
          <w:sz w:val="24"/>
          <w:highlight w:val="none"/>
        </w:rPr>
      </w:pPr>
      <w:r>
        <w:rPr>
          <w:rFonts w:hint="eastAsia"/>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响应（响应）处理。</w:t>
      </w:r>
      <w:bookmarkStart w:id="635" w:name="_Hlk190337965"/>
    </w:p>
    <w:p w14:paraId="1042075C">
      <w:pPr>
        <w:numPr>
          <w:ilvl w:val="2"/>
          <w:numId w:val="10"/>
        </w:numPr>
        <w:snapToGrid w:val="0"/>
        <w:spacing w:after="0" w:line="360" w:lineRule="auto"/>
        <w:rPr>
          <w:rFonts w:hint="eastAsia" w:ascii="宋体" w:hAnsi="宋体" w:cs="宋体"/>
          <w:sz w:val="24"/>
          <w:highlight w:val="none"/>
        </w:rPr>
      </w:pPr>
      <w:r>
        <w:rPr>
          <w:rFonts w:hint="eastAsia"/>
          <w:sz w:val="24"/>
          <w:highlight w:val="none"/>
        </w:rPr>
        <w:t>上述投标（响应）报价指按照本章</w:t>
      </w:r>
      <w:r>
        <w:rPr>
          <w:sz w:val="24"/>
          <w:highlight w:val="none"/>
        </w:rPr>
        <w:t>3.2</w:t>
      </w:r>
      <w:r>
        <w:rPr>
          <w:rFonts w:hint="eastAsia"/>
          <w:sz w:val="24"/>
          <w:highlight w:val="none"/>
        </w:rPr>
        <w:t>修正后的报价</w:t>
      </w:r>
      <w:bookmarkEnd w:id="635"/>
      <w:r>
        <w:rPr>
          <w:rFonts w:hint="eastAsia"/>
          <w:sz w:val="24"/>
          <w:highlight w:val="none"/>
        </w:rPr>
        <w:t>。</w:t>
      </w:r>
    </w:p>
    <w:p w14:paraId="3CB48438">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F2603A8">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最后报价是供应商响应文件的有效组成部分。</w:t>
      </w:r>
    </w:p>
    <w:p w14:paraId="79C4536D">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14:paraId="21044531">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最后报价的算术修正及政策调整</w:t>
      </w:r>
    </w:p>
    <w:p w14:paraId="0A99B5DD">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2551E164">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最后报价出现前后不一致的，按照下列规定修正：</w:t>
      </w:r>
    </w:p>
    <w:p w14:paraId="02C3A20D">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竞争性磋商文件对于报价修正是否另有规定：</w:t>
      </w:r>
    </w:p>
    <w:p w14:paraId="29950B31">
      <w:p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u w:val="single"/>
        </w:rPr>
      </w:pPr>
      <w:r>
        <w:rPr>
          <w:rFonts w:hint="eastAsia" w:ascii="宋体" w:hAnsi="宋体" w:cs="宋体"/>
          <w:sz w:val="24"/>
          <w:highlight w:val="none"/>
        </w:rPr>
        <w:t>□有，具体规定为：___________</w:t>
      </w:r>
    </w:p>
    <w:p w14:paraId="2F02F913">
      <w:p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■无，按下述3.2.2-3.2.6项规定修正。</w:t>
      </w:r>
    </w:p>
    <w:p w14:paraId="7F9734FC">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大写金额和小写金额不一致的，以大写金额为准；</w:t>
      </w:r>
    </w:p>
    <w:p w14:paraId="53C09567">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单价金额小数点或者百分比有明显错位的，以总价为准，并修改单价；</w:t>
      </w:r>
    </w:p>
    <w:p w14:paraId="5E6BA4E3">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总价金额与按单价汇总金额不一致的，以单价金额计算结果为准。</w:t>
      </w:r>
    </w:p>
    <w:p w14:paraId="589339E5">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w:t>
      </w:r>
    </w:p>
    <w:p w14:paraId="22E0D639">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4EAAF84D">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14:paraId="5991FD7E">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对于未预留份额专门面向中小企业采购的采购项目，以及预留份额项目中的非预留部分采购包，对小微企业报价给予10%的扣除，用扣除后的价格参加评审。</w:t>
      </w:r>
    </w:p>
    <w:p w14:paraId="0B329CB6">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14:paraId="7E1A9841">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14:paraId="5D8C550B">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价格扣除比例对小型企业和微型企业同等对待，不作区分。</w:t>
      </w:r>
    </w:p>
    <w:p w14:paraId="25368C45">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中小企业参加政府采购活动，应当按照竞争性磋商文件给定的格式出具《中小企业声明函》，否则不得享受相关中小企业扶持政策。</w:t>
      </w:r>
    </w:p>
    <w:p w14:paraId="1552B611">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14:paraId="01FCE874">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残疾人福利性单位按竞争性磋商文件要求提供了《残疾人福利性单位声明函》的，视同小微企业。</w:t>
      </w:r>
    </w:p>
    <w:p w14:paraId="15E62CB2">
      <w:pPr>
        <w:numPr>
          <w:ilvl w:val="2"/>
          <w:numId w:val="10"/>
        </w:numPr>
        <w:tabs>
          <w:tab w:val="left" w:pos="1080"/>
          <w:tab w:val="left" w:pos="1589"/>
          <w:tab w:val="left" w:pos="20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14:paraId="405DC95E">
      <w:pPr>
        <w:numPr>
          <w:ilvl w:val="1"/>
          <w:numId w:val="10"/>
        </w:numPr>
        <w:tabs>
          <w:tab w:val="left" w:pos="1080"/>
        </w:tabs>
        <w:snapToGrid w:val="0"/>
        <w:spacing w:after="0" w:line="360" w:lineRule="auto"/>
        <w:ind w:left="1077" w:hanging="720"/>
        <w:rPr>
          <w:sz w:val="24"/>
          <w:highlight w:val="none"/>
        </w:rPr>
      </w:pPr>
      <w:r>
        <w:rPr>
          <w:rFonts w:hint="eastAsia"/>
          <w:sz w:val="24"/>
          <w:highlight w:val="none"/>
        </w:rPr>
        <w:t>支持本国产品政府采购</w:t>
      </w:r>
      <w:r>
        <w:rPr>
          <w:sz w:val="24"/>
          <w:highlight w:val="none"/>
        </w:rPr>
        <w:t>的价格调整：只有符合第二章《</w:t>
      </w:r>
      <w:r>
        <w:rPr>
          <w:rFonts w:hint="eastAsia"/>
          <w:sz w:val="24"/>
          <w:highlight w:val="none"/>
        </w:rPr>
        <w:t>供应商</w:t>
      </w:r>
      <w:r>
        <w:rPr>
          <w:sz w:val="24"/>
          <w:highlight w:val="none"/>
        </w:rPr>
        <w:t>须知》4.2条规定情形的，可以享受</w:t>
      </w:r>
      <w:r>
        <w:rPr>
          <w:rFonts w:hint="eastAsia"/>
          <w:sz w:val="24"/>
          <w:highlight w:val="none"/>
        </w:rPr>
        <w:t>本国产品支持</w:t>
      </w:r>
      <w:r>
        <w:rPr>
          <w:sz w:val="24"/>
          <w:highlight w:val="none"/>
        </w:rPr>
        <w:t>政策，用扣除后的价格参加评审；否则，评</w:t>
      </w:r>
      <w:r>
        <w:rPr>
          <w:rFonts w:hint="eastAsia"/>
          <w:sz w:val="24"/>
          <w:highlight w:val="none"/>
        </w:rPr>
        <w:t>审</w:t>
      </w:r>
      <w:r>
        <w:rPr>
          <w:sz w:val="24"/>
          <w:highlight w:val="none"/>
        </w:rPr>
        <w:t>时价格不予扣除。</w:t>
      </w:r>
    </w:p>
    <w:p w14:paraId="1249E6B3">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本项目既有本国产品又有非本国产品参与竞争的，依法对本国产品给予价格评审优惠，对本国产品的报价给予20%的价格扣除，用扣除后的价格参与评审。</w:t>
      </w:r>
    </w:p>
    <w:p w14:paraId="750E8AB1">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8E12E5F">
      <w:pPr>
        <w:numPr>
          <w:ilvl w:val="2"/>
          <w:numId w:val="10"/>
        </w:numPr>
        <w:tabs>
          <w:tab w:val="left" w:pos="1080"/>
          <w:tab w:val="left" w:pos="2100"/>
          <w:tab w:val="clear" w:pos="1980"/>
        </w:tabs>
        <w:snapToGrid w:val="0"/>
        <w:spacing w:after="0" w:line="360" w:lineRule="auto"/>
        <w:ind w:left="2088" w:leftChars="502" w:hanging="1034" w:hangingChars="431"/>
        <w:rPr>
          <w:rFonts w:hint="eastAsia" w:ascii="宋体" w:hAnsi="宋体" w:cs="宋体"/>
          <w:sz w:val="24"/>
          <w:highlight w:val="none"/>
        </w:rPr>
      </w:pPr>
      <w:r>
        <w:rPr>
          <w:rFonts w:hint="eastAsia"/>
          <w:sz w:val="24"/>
          <w:highlight w:val="none"/>
        </w:rPr>
        <w:t>供应商提供本国产品参加政府采购活动的，</w:t>
      </w:r>
      <w:r>
        <w:rPr>
          <w:sz w:val="24"/>
          <w:highlight w:val="none"/>
        </w:rPr>
        <w:t>应当按照</w:t>
      </w:r>
      <w:r>
        <w:rPr>
          <w:rFonts w:hint="eastAsia"/>
          <w:sz w:val="24"/>
          <w:highlight w:val="none"/>
        </w:rPr>
        <w:t>采购</w:t>
      </w:r>
      <w:r>
        <w:rPr>
          <w:sz w:val="24"/>
          <w:highlight w:val="none"/>
        </w:rPr>
        <w:t>文件给定的格式出具《</w:t>
      </w:r>
      <w:r>
        <w:rPr>
          <w:rFonts w:hint="eastAsia"/>
          <w:sz w:val="24"/>
          <w:highlight w:val="none"/>
        </w:rPr>
        <w:t>关于符合本国产品标准的声明函》或提供财政部会同有关部门规定的有关证明文件，否则视为非本国产品。</w:t>
      </w:r>
    </w:p>
    <w:p w14:paraId="7B0A00D5">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14:paraId="1801D719">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供应商对实质性变动不予确认的；</w:t>
      </w:r>
    </w:p>
    <w:p w14:paraId="2F297422">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14:paraId="29F141D8">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未按照磋商小组规定的时间、逾期提交最后报价的；</w:t>
      </w:r>
    </w:p>
    <w:p w14:paraId="697C97FD">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如供应商的最后报价超过竞争性磋商文件中规定的项目/采购包预算金额或者项目/采购包最高限价的；</w:t>
      </w:r>
    </w:p>
    <w:p w14:paraId="648E8814">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响应文件中出现可选择性或可调整的报价的（竞争性磋商文件另有规定的除外）；</w:t>
      </w:r>
    </w:p>
    <w:p w14:paraId="40472556">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最后报价出现前后不一致，供应商对修正后的报价不予确认的；</w:t>
      </w:r>
    </w:p>
    <w:p w14:paraId="0ADCFB9D">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其他：供应商、响应文件不存在不符合法律、法规和磋商文件规定的其他无效情形。</w:t>
      </w:r>
    </w:p>
    <w:bookmarkEnd w:id="618"/>
    <w:bookmarkEnd w:id="619"/>
    <w:p w14:paraId="13171C68">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评审方法和评审标准</w:t>
      </w:r>
    </w:p>
    <w:p w14:paraId="2D0A532C">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9F76473">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竞争性磋商文件中没有规定的评审标准不得作为评审依据。</w:t>
      </w:r>
    </w:p>
    <w:p w14:paraId="47BF9575">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w:t>
      </w:r>
      <w:r>
        <w:rPr>
          <w:rFonts w:hint="eastAsia" w:ascii="宋体" w:hAnsi="宋体" w:cs="宋体"/>
          <w:sz w:val="24"/>
          <w:highlight w:val="none"/>
          <w:u w:val="single"/>
        </w:rPr>
        <w:t>无</w:t>
      </w:r>
      <w:r>
        <w:rPr>
          <w:rFonts w:hint="eastAsia" w:ascii="宋体" w:hAnsi="宋体" w:cs="宋体"/>
          <w:sz w:val="24"/>
          <w:highlight w:val="none"/>
        </w:rPr>
        <w:t>。</w:t>
      </w:r>
    </w:p>
    <w:p w14:paraId="775768C7">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确定</w:t>
      </w:r>
      <w:bookmarkStart w:id="636" w:name="_Toc150509297"/>
      <w:bookmarkStart w:id="637" w:name="_Toc164229387"/>
      <w:bookmarkStart w:id="638" w:name="_Toc150480784"/>
      <w:bookmarkStart w:id="639" w:name="_Toc226965736"/>
      <w:bookmarkStart w:id="640" w:name="_Toc305158888"/>
      <w:bookmarkStart w:id="641" w:name="_Toc151193788"/>
      <w:bookmarkStart w:id="642" w:name="_Toc150774751"/>
      <w:bookmarkStart w:id="643" w:name="_Toc151193860"/>
      <w:bookmarkStart w:id="644" w:name="_Toc151193934"/>
      <w:bookmarkStart w:id="645" w:name="_Toc150774646"/>
      <w:bookmarkStart w:id="646" w:name="_Toc226337242"/>
      <w:bookmarkStart w:id="647" w:name="_Toc164229241"/>
      <w:bookmarkStart w:id="648" w:name="_Toc164608815"/>
      <w:bookmarkStart w:id="649" w:name="_Toc127161460"/>
      <w:bookmarkStart w:id="650" w:name="_Toc127151546"/>
      <w:bookmarkStart w:id="651" w:name="_Toc149720839"/>
      <w:bookmarkStart w:id="652" w:name="_Toc164608660"/>
      <w:bookmarkStart w:id="653" w:name="_Toc265228384"/>
      <w:bookmarkStart w:id="654" w:name="_Toc127151747"/>
      <w:bookmarkStart w:id="655" w:name="_Toc164351640"/>
      <w:bookmarkStart w:id="656" w:name="_Toc520356170"/>
      <w:bookmarkStart w:id="657" w:name="_Toc195842911"/>
      <w:bookmarkStart w:id="658" w:name="_Toc305158814"/>
      <w:bookmarkStart w:id="659" w:name="_Toc142311048"/>
      <w:bookmarkStart w:id="660" w:name="_Toc151190173"/>
      <w:bookmarkStart w:id="661" w:name="_Toc264969236"/>
      <w:bookmarkStart w:id="662" w:name="_Ref467307010"/>
      <w:bookmarkStart w:id="663" w:name="_Toc151193716"/>
      <w:bookmarkStart w:id="664" w:name="_Toc226965819"/>
      <w:bookmarkStart w:id="665" w:name="_Toc151193644"/>
      <w:bookmarkStart w:id="666" w:name="_Toc226309790"/>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605A02B5">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43C935E">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（若在磋商文件允许的情形下提交最后报价的供应商为二家，则依次推荐二名供应商为成交候选供应商），并编写评审报告。</w:t>
      </w:r>
    </w:p>
    <w:p w14:paraId="485CA7E7">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p>
    <w:p w14:paraId="1BC358EA">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报告违法行为</w:t>
      </w:r>
    </w:p>
    <w:p w14:paraId="2380FC4E">
      <w:pPr>
        <w:widowControl/>
        <w:numPr>
          <w:ilvl w:val="1"/>
          <w:numId w:val="10"/>
        </w:numPr>
        <w:tabs>
          <w:tab w:val="left" w:pos="1080"/>
          <w:tab w:val="left" w:pos="1872"/>
        </w:tabs>
        <w:wordWrap w:val="0"/>
        <w:snapToGrid w:val="0"/>
        <w:spacing w:after="0" w:line="360" w:lineRule="auto"/>
        <w:ind w:left="1077" w:hanging="720"/>
        <w:jc w:val="left"/>
        <w:rPr>
          <w:rFonts w:hint="eastAsia"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磋商小组在评审过程中发现供应商有行贿、提供虚假材料或者串通等违法行为时，应当及时向财政部门报告。</w:t>
      </w:r>
    </w:p>
    <w:p w14:paraId="3316D8C0">
      <w:pPr>
        <w:pStyle w:val="3"/>
        <w:wordWrap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4839F6F5">
      <w:pPr>
        <w:rPr>
          <w:rFonts w:ascii="等线" w:hAnsi="等线" w:eastAsia="等线"/>
          <w:szCs w:val="22"/>
        </w:rPr>
      </w:pPr>
      <w:r>
        <w:rPr>
          <w:rFonts w:hint="eastAsia"/>
        </w:rPr>
        <w:fldChar w:fldCharType="begin"/>
      </w:r>
      <w:r>
        <w:rPr>
          <w:rFonts w:hint="eastAsia"/>
        </w:rPr>
        <w:instrText xml:space="preserve"> DOCVARIABLE var评审项目 \* MERGEFORMAT </w:instrText>
      </w:r>
      <w:r>
        <w:rPr>
          <w:rFonts w:hint="eastAsia"/>
        </w:rPr>
        <w:fldChar w:fldCharType="separate"/>
      </w:r>
      <w:r>
        <w:rPr>
          <w:rFonts w:hint="eastAsia"/>
        </w:rPr>
        <w:fldChar w:fldCharType="end"/>
      </w:r>
      <w:bookmarkStart w:id="667" w:name="评审项目同步文档"/>
    </w:p>
    <w:tbl>
      <w:tblPr>
        <w:tblStyle w:val="2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70E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AAAA711">
            <w:pPr>
              <w:spacing w:line="360" w:lineRule="auto"/>
              <w:jc w:val="center"/>
              <w:rPr>
                <w:rFonts w:ascii="微软雅黑" w:hAnsi="微软雅黑" w:eastAsia="微软雅黑"/>
                <w:sz w:val="24"/>
              </w:rPr>
            </w:pPr>
            <w:bookmarkStart w:id="668" w:name="定性评审1" w:colFirst="0" w:colLast="0"/>
            <w:r>
              <w:rPr>
                <w:rFonts w:ascii="宋体" w:hAnsi="宋体" w:cs="宋体"/>
                <w:szCs w:val="22"/>
              </w:rPr>
              <w:t>资格评审</w:t>
            </w:r>
          </w:p>
        </w:tc>
      </w:tr>
      <w:bookmarkEnd w:id="668"/>
      <w:tr w14:paraId="30A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877D806">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8A7448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3FCF40B">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0A2B0D49">
            <w:pPr>
              <w:spacing w:line="360" w:lineRule="auto"/>
              <w:jc w:val="center"/>
              <w:rPr>
                <w:szCs w:val="22"/>
              </w:rPr>
            </w:pPr>
            <w:r>
              <w:rPr>
                <w:rFonts w:hint="eastAsia" w:ascii="微软雅黑" w:hAnsi="微软雅黑" w:eastAsia="微软雅黑" w:cs="宋体"/>
                <w:szCs w:val="21"/>
              </w:rPr>
              <w:t>评审类型</w:t>
            </w:r>
          </w:p>
        </w:tc>
        <w:tc>
          <w:tcPr>
            <w:tcW w:w="1497" w:type="dxa"/>
          </w:tcPr>
          <w:p w14:paraId="6E2E8257">
            <w:pPr>
              <w:spacing w:line="360" w:lineRule="auto"/>
              <w:jc w:val="center"/>
              <w:rPr>
                <w:szCs w:val="22"/>
              </w:rPr>
            </w:pPr>
            <w:r>
              <w:rPr>
                <w:rFonts w:hint="eastAsia" w:ascii="微软雅黑" w:hAnsi="微软雅黑" w:eastAsia="微软雅黑" w:cs="宋体"/>
                <w:szCs w:val="21"/>
              </w:rPr>
              <w:t>备注</w:t>
            </w:r>
          </w:p>
        </w:tc>
      </w:tr>
      <w:tr w14:paraId="6F25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38C37E">
            <w:pPr>
              <w:spacing w:line="360" w:lineRule="auto"/>
              <w:jc w:val="center"/>
              <w:rPr>
                <w:rFonts w:ascii="宋体" w:hAnsi="宋体"/>
                <w:szCs w:val="22"/>
              </w:rPr>
            </w:pPr>
            <w:r>
              <w:rPr>
                <w:rFonts w:ascii="宋体" w:hAnsi="宋体" w:cs="宋体"/>
                <w:szCs w:val="22"/>
              </w:rPr>
              <w:t>1</w:t>
            </w:r>
          </w:p>
        </w:tc>
        <w:tc>
          <w:tcPr>
            <w:tcW w:w="2126" w:type="dxa"/>
            <w:vAlign w:val="center"/>
          </w:tcPr>
          <w:p w14:paraId="60B07012">
            <w:pPr>
              <w:spacing w:line="360" w:lineRule="auto"/>
              <w:jc w:val="left"/>
              <w:rPr>
                <w:rFonts w:ascii="宋体" w:hAnsi="宋体"/>
                <w:szCs w:val="22"/>
              </w:rPr>
            </w:pPr>
            <w:r>
              <w:rPr>
                <w:rFonts w:ascii="宋体" w:hAnsi="宋体" w:cs="宋体"/>
                <w:szCs w:val="22"/>
              </w:rPr>
              <w:t>满足《中华人民共和国政府采购法》第二十二条规定</w:t>
            </w:r>
          </w:p>
        </w:tc>
        <w:tc>
          <w:tcPr>
            <w:tcW w:w="2835" w:type="dxa"/>
            <w:vAlign w:val="center"/>
          </w:tcPr>
          <w:p w14:paraId="6BC83E53">
            <w:pPr>
              <w:spacing w:line="360" w:lineRule="auto"/>
              <w:jc w:val="left"/>
              <w:rPr>
                <w:rFonts w:ascii="宋体" w:hAnsi="宋体"/>
                <w:szCs w:val="22"/>
              </w:rPr>
            </w:pPr>
            <w:r>
              <w:rPr>
                <w:rFonts w:ascii="宋体" w:hAnsi="宋体" w:cs="宋体"/>
                <w:szCs w:val="22"/>
              </w:rPr>
              <w:t>具体规定见第一章《采购邀请》。</w:t>
            </w:r>
          </w:p>
        </w:tc>
        <w:tc>
          <w:tcPr>
            <w:tcW w:w="1134" w:type="dxa"/>
            <w:vAlign w:val="center"/>
          </w:tcPr>
          <w:p w14:paraId="7C0BE38B">
            <w:pPr>
              <w:spacing w:line="360" w:lineRule="auto"/>
              <w:jc w:val="center"/>
              <w:rPr>
                <w:rFonts w:ascii="宋体" w:hAnsi="宋体"/>
                <w:szCs w:val="22"/>
              </w:rPr>
            </w:pPr>
            <w:r>
              <w:rPr>
                <w:rFonts w:ascii="宋体" w:hAnsi="宋体" w:cs="宋体"/>
                <w:szCs w:val="22"/>
              </w:rPr>
              <w:t>重要指标</w:t>
            </w:r>
          </w:p>
        </w:tc>
        <w:tc>
          <w:tcPr>
            <w:tcW w:w="1497" w:type="dxa"/>
          </w:tcPr>
          <w:p w14:paraId="246FF0D0">
            <w:pPr>
              <w:spacing w:line="360" w:lineRule="auto"/>
              <w:jc w:val="left"/>
              <w:rPr>
                <w:rFonts w:ascii="宋体" w:hAnsi="宋体"/>
                <w:szCs w:val="22"/>
              </w:rPr>
            </w:pPr>
            <w:r>
              <w:rPr>
                <w:rFonts w:ascii="宋体" w:hAnsi="宋体" w:cs="宋体"/>
                <w:szCs w:val="22"/>
              </w:rPr>
              <w:t>/</w:t>
            </w:r>
          </w:p>
        </w:tc>
      </w:tr>
      <w:tr w14:paraId="6389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A4B95E1">
            <w:pPr>
              <w:spacing w:line="360" w:lineRule="auto"/>
              <w:jc w:val="center"/>
              <w:rPr>
                <w:rFonts w:ascii="宋体" w:hAnsi="宋体"/>
                <w:szCs w:val="22"/>
              </w:rPr>
            </w:pPr>
            <w:r>
              <w:rPr>
                <w:rFonts w:ascii="宋体" w:hAnsi="宋体" w:cs="宋体"/>
                <w:szCs w:val="22"/>
              </w:rPr>
              <w:t>2</w:t>
            </w:r>
          </w:p>
        </w:tc>
        <w:tc>
          <w:tcPr>
            <w:tcW w:w="2126" w:type="dxa"/>
            <w:vAlign w:val="center"/>
          </w:tcPr>
          <w:p w14:paraId="730A0DAF">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14:paraId="4A15DE24">
            <w:pPr>
              <w:spacing w:line="360" w:lineRule="auto"/>
              <w:jc w:val="left"/>
              <w:rPr>
                <w:rFonts w:ascii="宋体" w:hAnsi="宋体"/>
                <w:szCs w:val="22"/>
              </w:rPr>
            </w:pPr>
            <w:r>
              <w:rPr>
                <w:rFonts w:ascii="宋体" w:hAnsi="宋体" w:cs="宋体"/>
                <w:szCs w:val="22"/>
              </w:rPr>
              <w:t>供应商为企业（包括合伙企业）的，应提供有效的“营业执照”；</w:t>
            </w:r>
            <w:r>
              <w:rPr>
                <w:rFonts w:ascii="宋体" w:hAnsi="宋体" w:cs="宋体"/>
                <w:szCs w:val="22"/>
              </w:rPr>
              <w:cr/>
            </w:r>
            <w:r>
              <w:rPr>
                <w:rFonts w:ascii="宋体" w:hAnsi="宋体" w:cs="宋体"/>
                <w:szCs w:val="22"/>
              </w:rPr>
              <w:t>供应商为事业单位的，应提供有效的“事业单位法人证书”；</w:t>
            </w:r>
            <w:r>
              <w:rPr>
                <w:rFonts w:ascii="宋体" w:hAnsi="宋体" w:cs="宋体"/>
                <w:szCs w:val="22"/>
              </w:rPr>
              <w:cr/>
            </w:r>
            <w:r>
              <w:rPr>
                <w:rFonts w:ascii="宋体" w:hAnsi="宋体" w:cs="宋体"/>
                <w:szCs w:val="22"/>
              </w:rPr>
              <w:t>供应商是非企业机构的，应提供有效的“执业许可证”、“登记证书”等证明文件；</w:t>
            </w:r>
            <w:r>
              <w:rPr>
                <w:rFonts w:ascii="宋体" w:hAnsi="宋体" w:cs="宋体"/>
                <w:szCs w:val="22"/>
              </w:rPr>
              <w:cr/>
            </w:r>
            <w:r>
              <w:rPr>
                <w:rFonts w:ascii="宋体" w:hAnsi="宋体" w:cs="宋体"/>
                <w:szCs w:val="22"/>
              </w:rPr>
              <w:t>供应商是个体工商户的，应提供有效的“个体工商户营业执照”；</w:t>
            </w:r>
            <w:r>
              <w:rPr>
                <w:rFonts w:ascii="宋体" w:hAnsi="宋体" w:cs="宋体"/>
                <w:szCs w:val="22"/>
              </w:rPr>
              <w:cr/>
            </w:r>
            <w:r>
              <w:rPr>
                <w:rFonts w:ascii="宋体" w:hAnsi="宋体" w:cs="宋体"/>
                <w:szCs w:val="22"/>
              </w:rPr>
              <w:t>供应商是自然人的，应提供有效的自然人身份证明。</w:t>
            </w:r>
            <w:r>
              <w:rPr>
                <w:rFonts w:ascii="宋体" w:hAnsi="宋体" w:cs="宋体"/>
                <w:szCs w:val="22"/>
              </w:rPr>
              <w:cr/>
            </w:r>
            <w:r>
              <w:rPr>
                <w:rFonts w:ascii="宋体" w:hAnsi="宋体" w:cs="宋体"/>
                <w:szCs w:val="22"/>
              </w:rPr>
              <w:t>分支机构参加响应的，应提供该分支机构或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39C02218">
            <w:pPr>
              <w:spacing w:line="360" w:lineRule="auto"/>
              <w:jc w:val="center"/>
              <w:rPr>
                <w:rFonts w:ascii="宋体" w:hAnsi="宋体"/>
                <w:szCs w:val="22"/>
              </w:rPr>
            </w:pPr>
            <w:r>
              <w:rPr>
                <w:rFonts w:ascii="宋体" w:hAnsi="宋体" w:cs="宋体"/>
                <w:szCs w:val="22"/>
              </w:rPr>
              <w:t>重要指标</w:t>
            </w:r>
          </w:p>
        </w:tc>
        <w:tc>
          <w:tcPr>
            <w:tcW w:w="1497" w:type="dxa"/>
          </w:tcPr>
          <w:p w14:paraId="223B9F4F">
            <w:pPr>
              <w:spacing w:line="360" w:lineRule="auto"/>
              <w:jc w:val="left"/>
              <w:rPr>
                <w:rFonts w:ascii="宋体" w:hAnsi="宋体"/>
                <w:szCs w:val="22"/>
              </w:rPr>
            </w:pPr>
            <w:r>
              <w:rPr>
                <w:rFonts w:ascii="宋体" w:hAnsi="宋体" w:cs="宋体"/>
                <w:szCs w:val="22"/>
              </w:rPr>
              <w:t>提供证明文件的电子件或电子证照</w:t>
            </w:r>
          </w:p>
        </w:tc>
      </w:tr>
      <w:tr w14:paraId="18BC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818E8C7">
            <w:pPr>
              <w:spacing w:line="360" w:lineRule="auto"/>
              <w:jc w:val="center"/>
              <w:rPr>
                <w:rFonts w:ascii="宋体" w:hAnsi="宋体"/>
                <w:szCs w:val="22"/>
              </w:rPr>
            </w:pPr>
            <w:r>
              <w:rPr>
                <w:rFonts w:ascii="宋体" w:hAnsi="宋体" w:cs="宋体"/>
                <w:szCs w:val="22"/>
              </w:rPr>
              <w:t>3</w:t>
            </w:r>
          </w:p>
        </w:tc>
        <w:tc>
          <w:tcPr>
            <w:tcW w:w="2126" w:type="dxa"/>
            <w:vAlign w:val="center"/>
          </w:tcPr>
          <w:p w14:paraId="7829022E">
            <w:pPr>
              <w:spacing w:line="360" w:lineRule="auto"/>
              <w:jc w:val="left"/>
              <w:rPr>
                <w:rFonts w:ascii="宋体" w:hAnsi="宋体"/>
                <w:szCs w:val="22"/>
              </w:rPr>
            </w:pPr>
            <w:r>
              <w:rPr>
                <w:rFonts w:ascii="宋体" w:hAnsi="宋体" w:cs="宋体"/>
                <w:szCs w:val="22"/>
              </w:rPr>
              <w:t>供应商资格声明书</w:t>
            </w:r>
          </w:p>
        </w:tc>
        <w:tc>
          <w:tcPr>
            <w:tcW w:w="2835" w:type="dxa"/>
            <w:vAlign w:val="center"/>
          </w:tcPr>
          <w:p w14:paraId="118F3271">
            <w:pPr>
              <w:spacing w:line="360" w:lineRule="auto"/>
              <w:jc w:val="left"/>
              <w:rPr>
                <w:rFonts w:ascii="宋体" w:hAnsi="宋体"/>
                <w:szCs w:val="22"/>
              </w:rPr>
            </w:pPr>
            <w:r>
              <w:rPr>
                <w:rFonts w:ascii="宋体" w:hAnsi="宋体" w:cs="宋体"/>
                <w:szCs w:val="22"/>
              </w:rPr>
              <w:t>提供了符合竞争性磋商文件要求的《供应商资格声明书》。</w:t>
            </w:r>
          </w:p>
        </w:tc>
        <w:tc>
          <w:tcPr>
            <w:tcW w:w="1134" w:type="dxa"/>
            <w:vAlign w:val="center"/>
          </w:tcPr>
          <w:p w14:paraId="55686B61">
            <w:pPr>
              <w:spacing w:line="360" w:lineRule="auto"/>
              <w:jc w:val="center"/>
              <w:rPr>
                <w:rFonts w:ascii="宋体" w:hAnsi="宋体"/>
                <w:szCs w:val="22"/>
              </w:rPr>
            </w:pPr>
            <w:r>
              <w:rPr>
                <w:rFonts w:ascii="宋体" w:hAnsi="宋体" w:cs="宋体"/>
                <w:szCs w:val="22"/>
              </w:rPr>
              <w:t>重要指标</w:t>
            </w:r>
          </w:p>
        </w:tc>
        <w:tc>
          <w:tcPr>
            <w:tcW w:w="1497" w:type="dxa"/>
          </w:tcPr>
          <w:p w14:paraId="34D401F4">
            <w:pPr>
              <w:spacing w:line="360" w:lineRule="auto"/>
              <w:jc w:val="left"/>
              <w:rPr>
                <w:rFonts w:ascii="宋体" w:hAnsi="宋体"/>
                <w:szCs w:val="22"/>
              </w:rPr>
            </w:pPr>
            <w:r>
              <w:rPr>
                <w:rFonts w:ascii="宋体" w:hAnsi="宋体" w:cs="宋体"/>
                <w:szCs w:val="22"/>
              </w:rPr>
              <w:t>格式见《响应文件格式》</w:t>
            </w:r>
          </w:p>
        </w:tc>
      </w:tr>
      <w:tr w14:paraId="0894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71EDD68">
            <w:pPr>
              <w:spacing w:line="360" w:lineRule="auto"/>
              <w:jc w:val="center"/>
              <w:rPr>
                <w:rFonts w:ascii="宋体" w:hAnsi="宋体"/>
                <w:szCs w:val="22"/>
              </w:rPr>
            </w:pPr>
            <w:r>
              <w:rPr>
                <w:rFonts w:ascii="宋体" w:hAnsi="宋体" w:cs="宋体"/>
                <w:szCs w:val="22"/>
              </w:rPr>
              <w:t>4</w:t>
            </w:r>
          </w:p>
        </w:tc>
        <w:tc>
          <w:tcPr>
            <w:tcW w:w="2126" w:type="dxa"/>
            <w:vAlign w:val="center"/>
          </w:tcPr>
          <w:p w14:paraId="4216AB9A">
            <w:pPr>
              <w:spacing w:line="360" w:lineRule="auto"/>
              <w:jc w:val="left"/>
              <w:rPr>
                <w:rFonts w:ascii="宋体" w:hAnsi="宋体"/>
                <w:szCs w:val="22"/>
              </w:rPr>
            </w:pPr>
            <w:r>
              <w:rPr>
                <w:rFonts w:ascii="宋体" w:hAnsi="宋体" w:cs="宋体"/>
                <w:szCs w:val="22"/>
              </w:rPr>
              <w:t>供应商信用记录</w:t>
            </w:r>
          </w:p>
        </w:tc>
        <w:tc>
          <w:tcPr>
            <w:tcW w:w="2835" w:type="dxa"/>
            <w:vAlign w:val="center"/>
          </w:tcPr>
          <w:p w14:paraId="5B90D62D">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截止时点：首次响应文件提交截止时间以后、资格审查阶段采购人或采购代理机构的实际查询时间；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信用信息查询记录和证据留存具体方式：查询结果网页打印页作为查询记录和证据，与其他竞争性磋商文件一并保存；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134" w:type="dxa"/>
            <w:vAlign w:val="center"/>
          </w:tcPr>
          <w:p w14:paraId="74C48FE7">
            <w:pPr>
              <w:spacing w:line="360" w:lineRule="auto"/>
              <w:jc w:val="center"/>
              <w:rPr>
                <w:rFonts w:ascii="宋体" w:hAnsi="宋体"/>
                <w:szCs w:val="22"/>
              </w:rPr>
            </w:pPr>
            <w:r>
              <w:rPr>
                <w:rFonts w:ascii="宋体" w:hAnsi="宋体" w:cs="宋体"/>
                <w:szCs w:val="22"/>
              </w:rPr>
              <w:t>重要指标</w:t>
            </w:r>
          </w:p>
        </w:tc>
        <w:tc>
          <w:tcPr>
            <w:tcW w:w="1497" w:type="dxa"/>
          </w:tcPr>
          <w:p w14:paraId="5C5BD0F4">
            <w:pPr>
              <w:spacing w:line="360" w:lineRule="auto"/>
              <w:jc w:val="left"/>
              <w:rPr>
                <w:rFonts w:ascii="宋体" w:hAnsi="宋体"/>
                <w:szCs w:val="22"/>
              </w:rPr>
            </w:pPr>
            <w:r>
              <w:rPr>
                <w:rFonts w:ascii="宋体" w:hAnsi="宋体" w:cs="宋体"/>
                <w:szCs w:val="22"/>
              </w:rPr>
              <w:t>无须供应商提供，由采购人或采购代理机构查询。</w:t>
            </w:r>
          </w:p>
        </w:tc>
      </w:tr>
      <w:tr w14:paraId="1ED2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ECB5D09">
            <w:pPr>
              <w:spacing w:line="360" w:lineRule="auto"/>
              <w:jc w:val="center"/>
              <w:rPr>
                <w:rFonts w:ascii="宋体" w:hAnsi="宋体"/>
                <w:szCs w:val="22"/>
              </w:rPr>
            </w:pPr>
            <w:r>
              <w:rPr>
                <w:rFonts w:ascii="宋体" w:hAnsi="宋体" w:cs="宋体"/>
                <w:szCs w:val="22"/>
              </w:rPr>
              <w:t>5</w:t>
            </w:r>
          </w:p>
        </w:tc>
        <w:tc>
          <w:tcPr>
            <w:tcW w:w="2126" w:type="dxa"/>
            <w:vAlign w:val="center"/>
          </w:tcPr>
          <w:p w14:paraId="69482F25">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14:paraId="6381043A">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14:paraId="233D48F1">
            <w:pPr>
              <w:spacing w:line="360" w:lineRule="auto"/>
              <w:jc w:val="center"/>
              <w:rPr>
                <w:rFonts w:ascii="宋体" w:hAnsi="宋体"/>
                <w:szCs w:val="22"/>
              </w:rPr>
            </w:pPr>
            <w:r>
              <w:rPr>
                <w:rFonts w:ascii="宋体" w:hAnsi="宋体" w:cs="宋体"/>
                <w:szCs w:val="22"/>
              </w:rPr>
              <w:t>重要指标</w:t>
            </w:r>
          </w:p>
        </w:tc>
        <w:tc>
          <w:tcPr>
            <w:tcW w:w="1497" w:type="dxa"/>
          </w:tcPr>
          <w:p w14:paraId="380C5726">
            <w:pPr>
              <w:spacing w:line="360" w:lineRule="auto"/>
              <w:jc w:val="left"/>
              <w:rPr>
                <w:rFonts w:ascii="宋体" w:hAnsi="宋体"/>
                <w:szCs w:val="22"/>
              </w:rPr>
            </w:pPr>
            <w:r>
              <w:rPr>
                <w:rFonts w:ascii="宋体" w:hAnsi="宋体" w:cs="宋体"/>
                <w:szCs w:val="22"/>
              </w:rPr>
              <w:t>/</w:t>
            </w:r>
          </w:p>
        </w:tc>
      </w:tr>
      <w:tr w14:paraId="2F92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07D76B4">
            <w:pPr>
              <w:spacing w:line="360" w:lineRule="auto"/>
              <w:jc w:val="center"/>
              <w:rPr>
                <w:rFonts w:ascii="宋体" w:hAnsi="宋体"/>
                <w:szCs w:val="22"/>
              </w:rPr>
            </w:pPr>
            <w:r>
              <w:rPr>
                <w:rFonts w:ascii="宋体" w:hAnsi="宋体" w:cs="宋体"/>
                <w:szCs w:val="22"/>
              </w:rPr>
              <w:t>6</w:t>
            </w:r>
          </w:p>
        </w:tc>
        <w:tc>
          <w:tcPr>
            <w:tcW w:w="2126" w:type="dxa"/>
            <w:vAlign w:val="center"/>
          </w:tcPr>
          <w:p w14:paraId="75684DA2">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14:paraId="601271C8">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2B20E1ED">
            <w:pPr>
              <w:spacing w:line="360" w:lineRule="auto"/>
              <w:jc w:val="center"/>
              <w:rPr>
                <w:rFonts w:ascii="宋体" w:hAnsi="宋体"/>
                <w:szCs w:val="22"/>
              </w:rPr>
            </w:pPr>
            <w:r>
              <w:rPr>
                <w:rFonts w:ascii="宋体" w:hAnsi="宋体" w:cs="宋体"/>
                <w:szCs w:val="22"/>
              </w:rPr>
              <w:t>重要指标</w:t>
            </w:r>
          </w:p>
        </w:tc>
        <w:tc>
          <w:tcPr>
            <w:tcW w:w="1497" w:type="dxa"/>
          </w:tcPr>
          <w:p w14:paraId="7ECF96D9">
            <w:pPr>
              <w:spacing w:line="360" w:lineRule="auto"/>
              <w:jc w:val="left"/>
              <w:rPr>
                <w:rFonts w:ascii="宋体" w:hAnsi="宋体"/>
                <w:szCs w:val="22"/>
              </w:rPr>
            </w:pPr>
            <w:r>
              <w:rPr>
                <w:rFonts w:ascii="宋体" w:hAnsi="宋体" w:cs="宋体"/>
                <w:szCs w:val="22"/>
              </w:rPr>
              <w:t>/</w:t>
            </w:r>
          </w:p>
        </w:tc>
      </w:tr>
      <w:tr w14:paraId="6011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16712DC">
            <w:pPr>
              <w:spacing w:line="360" w:lineRule="auto"/>
              <w:jc w:val="center"/>
              <w:rPr>
                <w:rFonts w:ascii="宋体" w:hAnsi="宋体"/>
                <w:szCs w:val="22"/>
              </w:rPr>
            </w:pPr>
            <w:r>
              <w:rPr>
                <w:rFonts w:ascii="宋体" w:hAnsi="宋体" w:cs="宋体"/>
                <w:szCs w:val="22"/>
              </w:rPr>
              <w:t>7</w:t>
            </w:r>
          </w:p>
        </w:tc>
        <w:tc>
          <w:tcPr>
            <w:tcW w:w="2126" w:type="dxa"/>
            <w:vAlign w:val="center"/>
          </w:tcPr>
          <w:p w14:paraId="04CFC6F1">
            <w:pPr>
              <w:spacing w:line="360" w:lineRule="auto"/>
              <w:jc w:val="left"/>
              <w:rPr>
                <w:rFonts w:ascii="宋体" w:hAnsi="宋体"/>
                <w:szCs w:val="22"/>
              </w:rPr>
            </w:pPr>
            <w:r>
              <w:rPr>
                <w:rFonts w:ascii="宋体" w:hAnsi="宋体" w:cs="宋体"/>
                <w:szCs w:val="22"/>
              </w:rPr>
              <w:t>中小企业政策</w:t>
            </w:r>
          </w:p>
        </w:tc>
        <w:tc>
          <w:tcPr>
            <w:tcW w:w="2835" w:type="dxa"/>
            <w:vAlign w:val="center"/>
          </w:tcPr>
          <w:p w14:paraId="2A4CB05B">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7C71B3CD">
            <w:pPr>
              <w:spacing w:line="360" w:lineRule="auto"/>
              <w:jc w:val="center"/>
              <w:rPr>
                <w:rFonts w:ascii="宋体" w:hAnsi="宋体"/>
                <w:szCs w:val="22"/>
              </w:rPr>
            </w:pPr>
            <w:r>
              <w:rPr>
                <w:rFonts w:ascii="宋体" w:hAnsi="宋体" w:cs="宋体"/>
                <w:szCs w:val="22"/>
              </w:rPr>
              <w:t>重要指标</w:t>
            </w:r>
          </w:p>
        </w:tc>
        <w:tc>
          <w:tcPr>
            <w:tcW w:w="1497" w:type="dxa"/>
          </w:tcPr>
          <w:p w14:paraId="452394E1">
            <w:pPr>
              <w:spacing w:line="360" w:lineRule="auto"/>
              <w:jc w:val="left"/>
              <w:rPr>
                <w:rFonts w:ascii="宋体" w:hAnsi="宋体"/>
                <w:szCs w:val="22"/>
              </w:rPr>
            </w:pPr>
            <w:r>
              <w:rPr>
                <w:rFonts w:ascii="宋体" w:hAnsi="宋体" w:cs="宋体"/>
                <w:szCs w:val="22"/>
              </w:rPr>
              <w:t>/</w:t>
            </w:r>
          </w:p>
        </w:tc>
      </w:tr>
      <w:tr w14:paraId="035AD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BDE3F89">
            <w:pPr>
              <w:spacing w:line="360" w:lineRule="auto"/>
              <w:jc w:val="center"/>
              <w:rPr>
                <w:rFonts w:ascii="宋体" w:hAnsi="宋体"/>
                <w:szCs w:val="22"/>
              </w:rPr>
            </w:pPr>
            <w:r>
              <w:rPr>
                <w:rFonts w:ascii="宋体" w:hAnsi="宋体" w:cs="宋体"/>
                <w:szCs w:val="22"/>
              </w:rPr>
              <w:t>8</w:t>
            </w:r>
          </w:p>
        </w:tc>
        <w:tc>
          <w:tcPr>
            <w:tcW w:w="2126" w:type="dxa"/>
            <w:vAlign w:val="center"/>
          </w:tcPr>
          <w:p w14:paraId="7FA33442">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14:paraId="348CC45C">
            <w:pPr>
              <w:spacing w:line="360" w:lineRule="auto"/>
              <w:jc w:val="left"/>
              <w:rPr>
                <w:rFonts w:ascii="宋体" w:hAnsi="宋体"/>
                <w:szCs w:val="22"/>
              </w:rPr>
            </w:pPr>
            <w:r>
              <w:rPr>
                <w:rFonts w:ascii="宋体" w:hAnsi="宋体" w:cs="宋体"/>
                <w:szCs w:val="22"/>
              </w:rPr>
              <w:t>当本项目（包）涉及预留份额专门面向中小企业采购，提供如下资料：</w:t>
            </w:r>
            <w:r>
              <w:rPr>
                <w:rFonts w:ascii="宋体" w:hAnsi="宋体" w:cs="宋体"/>
                <w:szCs w:val="22"/>
              </w:rPr>
              <w:cr/>
            </w:r>
            <w:r>
              <w:rPr>
                <w:rFonts w:ascii="宋体" w:hAnsi="宋体" w:cs="宋体"/>
                <w:szCs w:val="22"/>
              </w:rPr>
              <w:t>1、供应商单独响应的，应提供《中小企业声明函》或《残疾人福利性单位声明函》或由省级以上监狱管理局、戒毒管理局（含新疆生产建设兵团）出具的属于监狱企业的证明文件。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134" w:type="dxa"/>
            <w:vAlign w:val="center"/>
          </w:tcPr>
          <w:p w14:paraId="61A9CE63">
            <w:pPr>
              <w:spacing w:line="360" w:lineRule="auto"/>
              <w:jc w:val="center"/>
              <w:rPr>
                <w:rFonts w:ascii="宋体" w:hAnsi="宋体"/>
                <w:szCs w:val="22"/>
              </w:rPr>
            </w:pPr>
            <w:r>
              <w:rPr>
                <w:rFonts w:ascii="宋体" w:hAnsi="宋体" w:cs="宋体"/>
                <w:szCs w:val="22"/>
              </w:rPr>
              <w:t>重要指标</w:t>
            </w:r>
          </w:p>
        </w:tc>
        <w:tc>
          <w:tcPr>
            <w:tcW w:w="1497" w:type="dxa"/>
          </w:tcPr>
          <w:p w14:paraId="00EFDACA">
            <w:pPr>
              <w:spacing w:line="360" w:lineRule="auto"/>
              <w:jc w:val="left"/>
              <w:rPr>
                <w:rFonts w:ascii="宋体" w:hAnsi="宋体"/>
                <w:szCs w:val="22"/>
              </w:rPr>
            </w:pPr>
            <w:r>
              <w:rPr>
                <w:rFonts w:ascii="宋体" w:hAnsi="宋体" w:cs="宋体"/>
                <w:szCs w:val="22"/>
              </w:rPr>
              <w:t>格式见《响应文件格式》</w:t>
            </w:r>
          </w:p>
        </w:tc>
      </w:tr>
      <w:tr w14:paraId="17EF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EFF321F">
            <w:pPr>
              <w:spacing w:line="360" w:lineRule="auto"/>
              <w:jc w:val="center"/>
              <w:rPr>
                <w:rFonts w:ascii="宋体" w:hAnsi="宋体"/>
                <w:szCs w:val="22"/>
              </w:rPr>
            </w:pPr>
            <w:r>
              <w:rPr>
                <w:rFonts w:ascii="宋体" w:hAnsi="宋体" w:cs="宋体"/>
                <w:szCs w:val="22"/>
              </w:rPr>
              <w:t>9</w:t>
            </w:r>
          </w:p>
        </w:tc>
        <w:tc>
          <w:tcPr>
            <w:tcW w:w="2126" w:type="dxa"/>
            <w:vAlign w:val="center"/>
          </w:tcPr>
          <w:p w14:paraId="5CDA12D2">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14:paraId="0DB132C7">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14:paraId="0BE8BE9F">
            <w:pPr>
              <w:spacing w:line="360" w:lineRule="auto"/>
              <w:jc w:val="center"/>
              <w:rPr>
                <w:rFonts w:ascii="宋体" w:hAnsi="宋体"/>
                <w:szCs w:val="22"/>
              </w:rPr>
            </w:pPr>
            <w:r>
              <w:rPr>
                <w:rFonts w:ascii="宋体" w:hAnsi="宋体" w:cs="宋体"/>
                <w:szCs w:val="22"/>
              </w:rPr>
              <w:t>重要指标</w:t>
            </w:r>
          </w:p>
        </w:tc>
        <w:tc>
          <w:tcPr>
            <w:tcW w:w="1497" w:type="dxa"/>
          </w:tcPr>
          <w:p w14:paraId="6173AE2E">
            <w:pPr>
              <w:spacing w:line="360" w:lineRule="auto"/>
              <w:jc w:val="left"/>
              <w:rPr>
                <w:rFonts w:ascii="宋体" w:hAnsi="宋体"/>
                <w:szCs w:val="22"/>
              </w:rPr>
            </w:pPr>
            <w:r>
              <w:rPr>
                <w:rFonts w:ascii="宋体" w:hAnsi="宋体" w:cs="宋体"/>
                <w:szCs w:val="22"/>
              </w:rPr>
              <w:t>格式见《响应文件格式》</w:t>
            </w:r>
          </w:p>
        </w:tc>
      </w:tr>
      <w:tr w14:paraId="41A6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FE8CF45">
            <w:pPr>
              <w:spacing w:line="360" w:lineRule="auto"/>
              <w:jc w:val="center"/>
              <w:rPr>
                <w:rFonts w:ascii="宋体" w:hAnsi="宋体"/>
                <w:szCs w:val="22"/>
              </w:rPr>
            </w:pPr>
            <w:r>
              <w:rPr>
                <w:rFonts w:ascii="宋体" w:hAnsi="宋体" w:cs="宋体"/>
                <w:szCs w:val="22"/>
              </w:rPr>
              <w:t>10</w:t>
            </w:r>
          </w:p>
        </w:tc>
        <w:tc>
          <w:tcPr>
            <w:tcW w:w="2126" w:type="dxa"/>
            <w:vAlign w:val="center"/>
          </w:tcPr>
          <w:p w14:paraId="7DA201D2">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14:paraId="546DD59C">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7EA7775C">
            <w:pPr>
              <w:spacing w:line="360" w:lineRule="auto"/>
              <w:jc w:val="center"/>
              <w:rPr>
                <w:rFonts w:ascii="宋体" w:hAnsi="宋体"/>
                <w:szCs w:val="22"/>
              </w:rPr>
            </w:pPr>
            <w:r>
              <w:rPr>
                <w:rFonts w:ascii="宋体" w:hAnsi="宋体" w:cs="宋体"/>
                <w:szCs w:val="22"/>
              </w:rPr>
              <w:t>重要指标</w:t>
            </w:r>
          </w:p>
        </w:tc>
        <w:tc>
          <w:tcPr>
            <w:tcW w:w="1497" w:type="dxa"/>
          </w:tcPr>
          <w:p w14:paraId="00007240">
            <w:pPr>
              <w:spacing w:line="360" w:lineRule="auto"/>
              <w:jc w:val="left"/>
              <w:rPr>
                <w:rFonts w:ascii="宋体" w:hAnsi="宋体"/>
                <w:szCs w:val="22"/>
              </w:rPr>
            </w:pPr>
            <w:r>
              <w:rPr>
                <w:rFonts w:ascii="宋体" w:hAnsi="宋体" w:cs="宋体"/>
                <w:szCs w:val="22"/>
              </w:rPr>
              <w:t>提供证明文件的电子件或电子证照</w:t>
            </w:r>
          </w:p>
        </w:tc>
      </w:tr>
      <w:tr w14:paraId="5562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46E89C7">
            <w:pPr>
              <w:spacing w:line="360" w:lineRule="auto"/>
              <w:jc w:val="center"/>
              <w:rPr>
                <w:rFonts w:ascii="宋体" w:hAnsi="宋体"/>
                <w:szCs w:val="22"/>
              </w:rPr>
            </w:pPr>
            <w:r>
              <w:rPr>
                <w:rFonts w:ascii="宋体" w:hAnsi="宋体" w:cs="宋体"/>
                <w:szCs w:val="22"/>
              </w:rPr>
              <w:t>11</w:t>
            </w:r>
          </w:p>
        </w:tc>
        <w:tc>
          <w:tcPr>
            <w:tcW w:w="2126" w:type="dxa"/>
            <w:vAlign w:val="center"/>
          </w:tcPr>
          <w:p w14:paraId="5DCE4231">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14:paraId="09933740">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00F657BD">
            <w:pPr>
              <w:spacing w:line="360" w:lineRule="auto"/>
              <w:jc w:val="center"/>
              <w:rPr>
                <w:rFonts w:ascii="宋体" w:hAnsi="宋体"/>
                <w:szCs w:val="22"/>
              </w:rPr>
            </w:pPr>
            <w:r>
              <w:rPr>
                <w:rFonts w:ascii="宋体" w:hAnsi="宋体" w:cs="宋体"/>
                <w:szCs w:val="22"/>
              </w:rPr>
              <w:t>重要指标</w:t>
            </w:r>
          </w:p>
        </w:tc>
        <w:tc>
          <w:tcPr>
            <w:tcW w:w="1497" w:type="dxa"/>
          </w:tcPr>
          <w:p w14:paraId="5842CC42">
            <w:pPr>
              <w:spacing w:line="360" w:lineRule="auto"/>
              <w:jc w:val="left"/>
              <w:rPr>
                <w:rFonts w:ascii="宋体" w:hAnsi="宋体"/>
                <w:szCs w:val="22"/>
              </w:rPr>
            </w:pPr>
            <w:r>
              <w:rPr>
                <w:rFonts w:ascii="宋体" w:hAnsi="宋体" w:cs="宋体"/>
                <w:szCs w:val="22"/>
              </w:rPr>
              <w:t>/</w:t>
            </w:r>
          </w:p>
        </w:tc>
      </w:tr>
      <w:tr w14:paraId="123E6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89F9E98">
            <w:pPr>
              <w:spacing w:line="360" w:lineRule="auto"/>
              <w:jc w:val="center"/>
              <w:rPr>
                <w:rFonts w:ascii="宋体" w:hAnsi="宋体"/>
                <w:szCs w:val="22"/>
              </w:rPr>
            </w:pPr>
            <w:r>
              <w:rPr>
                <w:rFonts w:ascii="宋体" w:hAnsi="宋体" w:cs="宋体"/>
                <w:szCs w:val="22"/>
              </w:rPr>
              <w:t>12</w:t>
            </w:r>
          </w:p>
        </w:tc>
        <w:tc>
          <w:tcPr>
            <w:tcW w:w="2126" w:type="dxa"/>
            <w:vAlign w:val="center"/>
          </w:tcPr>
          <w:p w14:paraId="081F9737">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14:paraId="3951BEC5">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响应文件的组成部分，与响应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14:paraId="45975833">
            <w:pPr>
              <w:spacing w:line="360" w:lineRule="auto"/>
              <w:jc w:val="center"/>
              <w:rPr>
                <w:rFonts w:ascii="宋体" w:hAnsi="宋体"/>
                <w:szCs w:val="22"/>
              </w:rPr>
            </w:pPr>
            <w:r>
              <w:rPr>
                <w:rFonts w:ascii="宋体" w:hAnsi="宋体" w:cs="宋体"/>
                <w:szCs w:val="22"/>
              </w:rPr>
              <w:t>重要指标</w:t>
            </w:r>
          </w:p>
        </w:tc>
        <w:tc>
          <w:tcPr>
            <w:tcW w:w="1497" w:type="dxa"/>
          </w:tcPr>
          <w:p w14:paraId="32531842">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格式见《响应文件格式》</w:t>
            </w:r>
          </w:p>
        </w:tc>
      </w:tr>
      <w:tr w14:paraId="3BAC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B6C25DF">
            <w:pPr>
              <w:spacing w:line="360" w:lineRule="auto"/>
              <w:jc w:val="center"/>
              <w:rPr>
                <w:rFonts w:ascii="宋体" w:hAnsi="宋体"/>
                <w:szCs w:val="22"/>
              </w:rPr>
            </w:pPr>
            <w:r>
              <w:rPr>
                <w:rFonts w:ascii="宋体" w:hAnsi="宋体" w:cs="宋体"/>
                <w:szCs w:val="22"/>
              </w:rPr>
              <w:t>13</w:t>
            </w:r>
          </w:p>
        </w:tc>
        <w:tc>
          <w:tcPr>
            <w:tcW w:w="2126" w:type="dxa"/>
            <w:vAlign w:val="center"/>
          </w:tcPr>
          <w:p w14:paraId="5686CD30">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14:paraId="55ADEC40">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14:paraId="756D996A">
            <w:pPr>
              <w:spacing w:line="360" w:lineRule="auto"/>
              <w:jc w:val="center"/>
              <w:rPr>
                <w:rFonts w:ascii="宋体" w:hAnsi="宋体"/>
                <w:szCs w:val="22"/>
              </w:rPr>
            </w:pPr>
            <w:r>
              <w:rPr>
                <w:rFonts w:ascii="宋体" w:hAnsi="宋体" w:cs="宋体"/>
                <w:szCs w:val="22"/>
              </w:rPr>
              <w:t>重要指标</w:t>
            </w:r>
          </w:p>
        </w:tc>
        <w:tc>
          <w:tcPr>
            <w:tcW w:w="1497" w:type="dxa"/>
          </w:tcPr>
          <w:p w14:paraId="5FFD217A">
            <w:pPr>
              <w:spacing w:line="360" w:lineRule="auto"/>
              <w:jc w:val="left"/>
              <w:rPr>
                <w:rFonts w:ascii="宋体" w:hAnsi="宋体"/>
                <w:szCs w:val="22"/>
              </w:rPr>
            </w:pPr>
            <w:r>
              <w:rPr>
                <w:rFonts w:ascii="宋体" w:hAnsi="宋体" w:cs="宋体"/>
                <w:szCs w:val="22"/>
              </w:rPr>
              <w:t>格式见《响应文件格式》“1-2 供应商资格声明书”</w:t>
            </w:r>
          </w:p>
        </w:tc>
      </w:tr>
      <w:tr w14:paraId="784C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3AF161">
            <w:pPr>
              <w:spacing w:line="360" w:lineRule="auto"/>
              <w:jc w:val="center"/>
              <w:rPr>
                <w:rFonts w:ascii="宋体" w:hAnsi="宋体"/>
                <w:szCs w:val="22"/>
              </w:rPr>
            </w:pPr>
            <w:r>
              <w:rPr>
                <w:rFonts w:ascii="宋体" w:hAnsi="宋体" w:cs="宋体"/>
                <w:szCs w:val="22"/>
              </w:rPr>
              <w:t>14</w:t>
            </w:r>
          </w:p>
        </w:tc>
        <w:tc>
          <w:tcPr>
            <w:tcW w:w="2126" w:type="dxa"/>
            <w:vAlign w:val="center"/>
          </w:tcPr>
          <w:p w14:paraId="297EC49B">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14:paraId="601690B7">
            <w:pPr>
              <w:spacing w:line="360" w:lineRule="auto"/>
              <w:jc w:val="left"/>
              <w:rPr>
                <w:rFonts w:ascii="宋体" w:hAnsi="宋体"/>
                <w:szCs w:val="22"/>
              </w:rPr>
            </w:pPr>
            <w:r>
              <w:rPr>
                <w:rFonts w:ascii="宋体" w:hAnsi="宋体" w:cs="宋体"/>
                <w:szCs w:val="22"/>
              </w:rPr>
              <w:t>如有，见第一章《采购邀请》</w:t>
            </w:r>
            <w:r>
              <w:rPr>
                <w:rFonts w:ascii="宋体" w:hAnsi="宋体" w:cs="宋体"/>
                <w:szCs w:val="22"/>
              </w:rPr>
              <w:cr/>
            </w:r>
            <w:r>
              <w:rPr>
                <w:rFonts w:ascii="宋体" w:hAnsi="宋体" w:cs="宋体"/>
                <w:szCs w:val="22"/>
              </w:rPr>
              <w:t>注：如联合体中有同类资质的供应商按照联合体分工承担相同工作的，均应当提供资质证书电子件或电子证照。</w:t>
            </w:r>
          </w:p>
        </w:tc>
        <w:tc>
          <w:tcPr>
            <w:tcW w:w="1134" w:type="dxa"/>
            <w:vAlign w:val="center"/>
          </w:tcPr>
          <w:p w14:paraId="192A5309">
            <w:pPr>
              <w:spacing w:line="360" w:lineRule="auto"/>
              <w:jc w:val="center"/>
              <w:rPr>
                <w:rFonts w:ascii="宋体" w:hAnsi="宋体"/>
                <w:szCs w:val="22"/>
              </w:rPr>
            </w:pPr>
            <w:r>
              <w:rPr>
                <w:rFonts w:ascii="宋体" w:hAnsi="宋体" w:cs="宋体"/>
                <w:szCs w:val="22"/>
              </w:rPr>
              <w:t>重要指标</w:t>
            </w:r>
          </w:p>
        </w:tc>
        <w:tc>
          <w:tcPr>
            <w:tcW w:w="1497" w:type="dxa"/>
          </w:tcPr>
          <w:p w14:paraId="75601F76">
            <w:pPr>
              <w:spacing w:line="360" w:lineRule="auto"/>
              <w:jc w:val="left"/>
              <w:rPr>
                <w:rFonts w:ascii="宋体" w:hAnsi="宋体"/>
                <w:szCs w:val="22"/>
              </w:rPr>
            </w:pPr>
            <w:r>
              <w:rPr>
                <w:rFonts w:ascii="宋体" w:hAnsi="宋体" w:cs="宋体"/>
                <w:szCs w:val="22"/>
              </w:rPr>
              <w:t>提供证明文件的电子件或电子证照</w:t>
            </w:r>
          </w:p>
        </w:tc>
      </w:tr>
      <w:tr w14:paraId="6BCB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F5D8AAD">
            <w:pPr>
              <w:spacing w:line="360" w:lineRule="auto"/>
              <w:jc w:val="center"/>
              <w:rPr>
                <w:rFonts w:ascii="宋体" w:hAnsi="宋体"/>
                <w:szCs w:val="22"/>
              </w:rPr>
            </w:pPr>
            <w:r>
              <w:rPr>
                <w:rFonts w:ascii="宋体" w:hAnsi="宋体" w:cs="宋体"/>
                <w:szCs w:val="22"/>
              </w:rPr>
              <w:t>15</w:t>
            </w:r>
          </w:p>
        </w:tc>
        <w:tc>
          <w:tcPr>
            <w:tcW w:w="2126" w:type="dxa"/>
            <w:vAlign w:val="center"/>
          </w:tcPr>
          <w:p w14:paraId="2E7DE0B6">
            <w:pPr>
              <w:spacing w:line="360" w:lineRule="auto"/>
              <w:jc w:val="left"/>
              <w:rPr>
                <w:rFonts w:ascii="宋体" w:hAnsi="宋体"/>
                <w:szCs w:val="22"/>
              </w:rPr>
            </w:pPr>
            <w:r>
              <w:rPr>
                <w:rFonts w:ascii="宋体" w:hAnsi="宋体" w:cs="宋体"/>
                <w:szCs w:val="22"/>
              </w:rPr>
              <w:t>磋商保证金</w:t>
            </w:r>
          </w:p>
        </w:tc>
        <w:tc>
          <w:tcPr>
            <w:tcW w:w="2835" w:type="dxa"/>
            <w:vAlign w:val="center"/>
          </w:tcPr>
          <w:p w14:paraId="1AA1080A">
            <w:pPr>
              <w:spacing w:line="360" w:lineRule="auto"/>
              <w:jc w:val="left"/>
              <w:rPr>
                <w:rFonts w:ascii="宋体" w:hAnsi="宋体"/>
                <w:szCs w:val="22"/>
              </w:rPr>
            </w:pPr>
            <w:r>
              <w:rPr>
                <w:rFonts w:ascii="宋体" w:hAnsi="宋体" w:cs="宋体"/>
                <w:szCs w:val="22"/>
              </w:rPr>
              <w:t>按照竞争性磋商文件的要求提交磋商保证金。</w:t>
            </w:r>
          </w:p>
        </w:tc>
        <w:tc>
          <w:tcPr>
            <w:tcW w:w="1134" w:type="dxa"/>
            <w:vAlign w:val="center"/>
          </w:tcPr>
          <w:p w14:paraId="2E34DE15">
            <w:pPr>
              <w:spacing w:line="360" w:lineRule="auto"/>
              <w:jc w:val="center"/>
              <w:rPr>
                <w:rFonts w:ascii="宋体" w:hAnsi="宋体"/>
                <w:szCs w:val="22"/>
              </w:rPr>
            </w:pPr>
            <w:r>
              <w:rPr>
                <w:rFonts w:ascii="宋体" w:hAnsi="宋体" w:cs="宋体"/>
                <w:szCs w:val="22"/>
              </w:rPr>
              <w:t>重要指标</w:t>
            </w:r>
          </w:p>
        </w:tc>
        <w:tc>
          <w:tcPr>
            <w:tcW w:w="1497" w:type="dxa"/>
          </w:tcPr>
          <w:p w14:paraId="5DC78430">
            <w:pPr>
              <w:spacing w:line="360" w:lineRule="auto"/>
              <w:jc w:val="left"/>
              <w:rPr>
                <w:rFonts w:ascii="宋体" w:hAnsi="宋体"/>
                <w:szCs w:val="22"/>
              </w:rPr>
            </w:pPr>
            <w:r>
              <w:rPr>
                <w:rFonts w:ascii="宋体" w:hAnsi="宋体" w:cs="宋体"/>
                <w:szCs w:val="22"/>
              </w:rPr>
              <w:t>/</w:t>
            </w:r>
          </w:p>
        </w:tc>
      </w:tr>
      <w:tr w14:paraId="598C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327851D">
            <w:pPr>
              <w:spacing w:line="360" w:lineRule="auto"/>
              <w:jc w:val="center"/>
              <w:rPr>
                <w:rFonts w:ascii="宋体" w:hAnsi="宋体"/>
                <w:szCs w:val="22"/>
              </w:rPr>
            </w:pPr>
            <w:r>
              <w:rPr>
                <w:rFonts w:ascii="宋体" w:hAnsi="宋体" w:cs="宋体"/>
                <w:szCs w:val="22"/>
              </w:rPr>
              <w:t>16</w:t>
            </w:r>
          </w:p>
        </w:tc>
        <w:tc>
          <w:tcPr>
            <w:tcW w:w="2126" w:type="dxa"/>
            <w:vAlign w:val="center"/>
          </w:tcPr>
          <w:p w14:paraId="291E31CF">
            <w:pPr>
              <w:spacing w:line="360" w:lineRule="auto"/>
              <w:jc w:val="left"/>
              <w:rPr>
                <w:rFonts w:ascii="宋体" w:hAnsi="宋体"/>
                <w:szCs w:val="22"/>
              </w:rPr>
            </w:pPr>
            <w:r>
              <w:rPr>
                <w:rFonts w:ascii="宋体" w:hAnsi="宋体" w:cs="宋体"/>
                <w:szCs w:val="22"/>
              </w:rPr>
              <w:t>获取磋商文件</w:t>
            </w:r>
          </w:p>
        </w:tc>
        <w:tc>
          <w:tcPr>
            <w:tcW w:w="2835" w:type="dxa"/>
            <w:vAlign w:val="center"/>
          </w:tcPr>
          <w:p w14:paraId="20A54FB9">
            <w:pPr>
              <w:spacing w:line="360" w:lineRule="auto"/>
              <w:jc w:val="left"/>
              <w:rPr>
                <w:rFonts w:ascii="宋体" w:hAnsi="宋体"/>
                <w:szCs w:val="22"/>
              </w:rPr>
            </w:pPr>
            <w:r>
              <w:rPr>
                <w:rFonts w:ascii="宋体" w:hAnsi="宋体" w:cs="宋体"/>
                <w:szCs w:val="22"/>
              </w:rPr>
              <w:t>在规定期限内通过北京市政府采购电子交易平台获取所参与包的磋商文件。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14:paraId="73F1C703">
            <w:pPr>
              <w:spacing w:line="360" w:lineRule="auto"/>
              <w:jc w:val="center"/>
              <w:rPr>
                <w:rFonts w:ascii="宋体" w:hAnsi="宋体"/>
                <w:szCs w:val="22"/>
              </w:rPr>
            </w:pPr>
            <w:r>
              <w:rPr>
                <w:rFonts w:ascii="宋体" w:hAnsi="宋体" w:cs="宋体"/>
                <w:szCs w:val="22"/>
              </w:rPr>
              <w:t>重要指标</w:t>
            </w:r>
          </w:p>
        </w:tc>
        <w:tc>
          <w:tcPr>
            <w:tcW w:w="1497" w:type="dxa"/>
          </w:tcPr>
          <w:p w14:paraId="6A1F609B">
            <w:pPr>
              <w:spacing w:line="360" w:lineRule="auto"/>
              <w:jc w:val="left"/>
              <w:rPr>
                <w:rFonts w:ascii="宋体" w:hAnsi="宋体"/>
                <w:szCs w:val="22"/>
              </w:rPr>
            </w:pPr>
            <w:r>
              <w:rPr>
                <w:rFonts w:ascii="宋体" w:hAnsi="宋体" w:cs="宋体"/>
                <w:szCs w:val="22"/>
              </w:rPr>
              <w:t>/</w:t>
            </w:r>
          </w:p>
        </w:tc>
      </w:tr>
      <w:tr w14:paraId="769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E98D3E1">
            <w:pPr>
              <w:spacing w:line="360" w:lineRule="auto"/>
              <w:jc w:val="center"/>
              <w:rPr>
                <w:rFonts w:ascii="宋体" w:hAnsi="宋体"/>
                <w:szCs w:val="22"/>
              </w:rPr>
            </w:pPr>
            <w:r>
              <w:rPr>
                <w:rFonts w:ascii="宋体" w:hAnsi="宋体" w:cs="宋体"/>
                <w:szCs w:val="22"/>
              </w:rPr>
              <w:t>评审方式：定性；明暗标设定：明标；</w:t>
            </w:r>
          </w:p>
        </w:tc>
      </w:tr>
    </w:tbl>
    <w:p w14:paraId="5EAAFB54">
      <w:pPr>
        <w:widowControl/>
        <w:jc w:val="left"/>
        <w:rPr>
          <w:rFonts w:ascii="等线" w:hAnsi="等线" w:eastAsia="等线"/>
          <w:szCs w:val="22"/>
        </w:rPr>
      </w:pPr>
    </w:p>
    <w:p w14:paraId="43215B54">
      <w:pPr>
        <w:widowControl/>
        <w:jc w:val="left"/>
        <w:rPr>
          <w:rFonts w:ascii="等线" w:hAnsi="等线" w:eastAsia="等线"/>
          <w:szCs w:val="22"/>
        </w:rPr>
      </w:pPr>
    </w:p>
    <w:p w14:paraId="12D0CECC">
      <w:pPr>
        <w:widowControl/>
        <w:jc w:val="left"/>
        <w:rPr>
          <w:rFonts w:ascii="等线" w:hAnsi="等线" w:eastAsia="等线"/>
          <w:szCs w:val="22"/>
        </w:rPr>
      </w:pPr>
    </w:p>
    <w:tbl>
      <w:tblPr>
        <w:tblStyle w:val="2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076F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1836BCE5">
            <w:pPr>
              <w:spacing w:line="360" w:lineRule="auto"/>
              <w:jc w:val="center"/>
              <w:rPr>
                <w:rFonts w:ascii="微软雅黑" w:hAnsi="微软雅黑" w:eastAsia="微软雅黑"/>
                <w:sz w:val="24"/>
              </w:rPr>
            </w:pPr>
            <w:r>
              <w:rPr>
                <w:rFonts w:ascii="宋体" w:hAnsi="宋体" w:cs="宋体"/>
                <w:szCs w:val="22"/>
              </w:rPr>
              <w:t>符合性评审</w:t>
            </w:r>
          </w:p>
        </w:tc>
      </w:tr>
      <w:tr w14:paraId="0C01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05B17F31">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66A7FFFB">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2992BAB6">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36EB32A9">
            <w:pPr>
              <w:spacing w:line="360" w:lineRule="auto"/>
              <w:jc w:val="center"/>
              <w:rPr>
                <w:szCs w:val="22"/>
              </w:rPr>
            </w:pPr>
            <w:r>
              <w:rPr>
                <w:rFonts w:hint="eastAsia" w:ascii="微软雅黑" w:hAnsi="微软雅黑" w:eastAsia="微软雅黑" w:cs="宋体"/>
                <w:szCs w:val="21"/>
              </w:rPr>
              <w:t>评审类型</w:t>
            </w:r>
          </w:p>
        </w:tc>
        <w:tc>
          <w:tcPr>
            <w:tcW w:w="1497" w:type="dxa"/>
          </w:tcPr>
          <w:p w14:paraId="2D45CA27">
            <w:pPr>
              <w:spacing w:line="360" w:lineRule="auto"/>
              <w:jc w:val="center"/>
              <w:rPr>
                <w:szCs w:val="22"/>
              </w:rPr>
            </w:pPr>
            <w:r>
              <w:rPr>
                <w:rFonts w:hint="eastAsia" w:ascii="微软雅黑" w:hAnsi="微软雅黑" w:eastAsia="微软雅黑" w:cs="宋体"/>
                <w:szCs w:val="21"/>
              </w:rPr>
              <w:t>备注</w:t>
            </w:r>
          </w:p>
        </w:tc>
      </w:tr>
      <w:tr w14:paraId="000E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AEC4A80">
            <w:pPr>
              <w:spacing w:line="360" w:lineRule="auto"/>
              <w:jc w:val="center"/>
              <w:rPr>
                <w:rFonts w:ascii="宋体" w:hAnsi="宋体"/>
                <w:szCs w:val="22"/>
              </w:rPr>
            </w:pPr>
            <w:r>
              <w:rPr>
                <w:rFonts w:ascii="宋体" w:hAnsi="宋体" w:cs="宋体"/>
                <w:szCs w:val="22"/>
              </w:rPr>
              <w:t>1</w:t>
            </w:r>
          </w:p>
        </w:tc>
        <w:tc>
          <w:tcPr>
            <w:tcW w:w="2126" w:type="dxa"/>
            <w:vAlign w:val="center"/>
          </w:tcPr>
          <w:p w14:paraId="341D0D4E">
            <w:pPr>
              <w:spacing w:line="360" w:lineRule="auto"/>
              <w:jc w:val="left"/>
              <w:rPr>
                <w:rFonts w:ascii="宋体" w:hAnsi="宋体"/>
                <w:szCs w:val="22"/>
              </w:rPr>
            </w:pPr>
            <w:r>
              <w:rPr>
                <w:rFonts w:ascii="宋体" w:hAnsi="宋体" w:cs="宋体"/>
                <w:szCs w:val="22"/>
              </w:rPr>
              <w:t>授权委托书</w:t>
            </w:r>
          </w:p>
        </w:tc>
        <w:tc>
          <w:tcPr>
            <w:tcW w:w="2835" w:type="dxa"/>
            <w:vAlign w:val="center"/>
          </w:tcPr>
          <w:p w14:paraId="551FD452">
            <w:pPr>
              <w:spacing w:line="360" w:lineRule="auto"/>
              <w:jc w:val="left"/>
              <w:rPr>
                <w:rFonts w:ascii="宋体" w:hAnsi="宋体"/>
                <w:szCs w:val="22"/>
              </w:rPr>
            </w:pPr>
            <w:r>
              <w:rPr>
                <w:rFonts w:ascii="宋体" w:hAnsi="宋体" w:cs="宋体"/>
                <w:szCs w:val="22"/>
              </w:rPr>
              <w:t>按磋商文件要求提供授权委托书；</w:t>
            </w:r>
          </w:p>
        </w:tc>
        <w:tc>
          <w:tcPr>
            <w:tcW w:w="1134" w:type="dxa"/>
            <w:vAlign w:val="center"/>
          </w:tcPr>
          <w:p w14:paraId="03CE4C8B">
            <w:pPr>
              <w:spacing w:line="360" w:lineRule="auto"/>
              <w:jc w:val="center"/>
              <w:rPr>
                <w:rFonts w:ascii="宋体" w:hAnsi="宋体"/>
                <w:szCs w:val="22"/>
              </w:rPr>
            </w:pPr>
            <w:r>
              <w:rPr>
                <w:rFonts w:ascii="宋体" w:hAnsi="宋体" w:cs="宋体"/>
                <w:szCs w:val="22"/>
              </w:rPr>
              <w:t>重要指标</w:t>
            </w:r>
          </w:p>
        </w:tc>
        <w:tc>
          <w:tcPr>
            <w:tcW w:w="1497" w:type="dxa"/>
          </w:tcPr>
          <w:p w14:paraId="7462CAE4">
            <w:pPr>
              <w:spacing w:line="360" w:lineRule="auto"/>
              <w:jc w:val="left"/>
              <w:rPr>
                <w:rFonts w:ascii="宋体" w:hAnsi="宋体"/>
                <w:szCs w:val="22"/>
              </w:rPr>
            </w:pPr>
          </w:p>
        </w:tc>
      </w:tr>
      <w:tr w14:paraId="6D36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A229BB8">
            <w:pPr>
              <w:spacing w:line="360" w:lineRule="auto"/>
              <w:jc w:val="center"/>
              <w:rPr>
                <w:rFonts w:ascii="宋体" w:hAnsi="宋体"/>
                <w:szCs w:val="22"/>
              </w:rPr>
            </w:pPr>
            <w:r>
              <w:rPr>
                <w:rFonts w:ascii="宋体" w:hAnsi="宋体" w:cs="宋体"/>
                <w:szCs w:val="22"/>
              </w:rPr>
              <w:t>2</w:t>
            </w:r>
          </w:p>
        </w:tc>
        <w:tc>
          <w:tcPr>
            <w:tcW w:w="2126" w:type="dxa"/>
            <w:vAlign w:val="center"/>
          </w:tcPr>
          <w:p w14:paraId="5F1E25FC">
            <w:pPr>
              <w:spacing w:line="360" w:lineRule="auto"/>
              <w:jc w:val="left"/>
              <w:rPr>
                <w:rFonts w:ascii="宋体" w:hAnsi="宋体"/>
                <w:szCs w:val="22"/>
              </w:rPr>
            </w:pPr>
            <w:r>
              <w:rPr>
                <w:rFonts w:ascii="宋体" w:hAnsi="宋体" w:cs="宋体"/>
                <w:szCs w:val="22"/>
              </w:rPr>
              <w:t>投标完整性</w:t>
            </w:r>
          </w:p>
        </w:tc>
        <w:tc>
          <w:tcPr>
            <w:tcW w:w="2835" w:type="dxa"/>
            <w:vAlign w:val="center"/>
          </w:tcPr>
          <w:p w14:paraId="2A8D4640">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14:paraId="6B7D5743">
            <w:pPr>
              <w:spacing w:line="360" w:lineRule="auto"/>
              <w:jc w:val="center"/>
              <w:rPr>
                <w:rFonts w:ascii="宋体" w:hAnsi="宋体"/>
                <w:szCs w:val="22"/>
              </w:rPr>
            </w:pPr>
            <w:r>
              <w:rPr>
                <w:rFonts w:ascii="宋体" w:hAnsi="宋体" w:cs="宋体"/>
                <w:szCs w:val="22"/>
              </w:rPr>
              <w:t>重要指标</w:t>
            </w:r>
          </w:p>
        </w:tc>
        <w:tc>
          <w:tcPr>
            <w:tcW w:w="1497" w:type="dxa"/>
          </w:tcPr>
          <w:p w14:paraId="290C2A26">
            <w:pPr>
              <w:spacing w:line="360" w:lineRule="auto"/>
              <w:jc w:val="left"/>
              <w:rPr>
                <w:rFonts w:ascii="宋体" w:hAnsi="宋体"/>
                <w:szCs w:val="22"/>
              </w:rPr>
            </w:pPr>
          </w:p>
        </w:tc>
      </w:tr>
      <w:tr w14:paraId="4F3D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F4F8226">
            <w:pPr>
              <w:spacing w:line="360" w:lineRule="auto"/>
              <w:jc w:val="center"/>
              <w:rPr>
                <w:rFonts w:ascii="宋体" w:hAnsi="宋体"/>
                <w:szCs w:val="22"/>
              </w:rPr>
            </w:pPr>
            <w:r>
              <w:rPr>
                <w:rFonts w:ascii="宋体" w:hAnsi="宋体" w:cs="宋体"/>
                <w:szCs w:val="22"/>
              </w:rPr>
              <w:t>3</w:t>
            </w:r>
          </w:p>
        </w:tc>
        <w:tc>
          <w:tcPr>
            <w:tcW w:w="2126" w:type="dxa"/>
            <w:vAlign w:val="center"/>
          </w:tcPr>
          <w:p w14:paraId="02391DF3">
            <w:pPr>
              <w:spacing w:line="360" w:lineRule="auto"/>
              <w:jc w:val="left"/>
              <w:rPr>
                <w:rFonts w:ascii="宋体" w:hAnsi="宋体"/>
                <w:szCs w:val="22"/>
              </w:rPr>
            </w:pPr>
            <w:r>
              <w:rPr>
                <w:rFonts w:ascii="宋体" w:hAnsi="宋体" w:cs="宋体"/>
                <w:szCs w:val="22"/>
              </w:rPr>
              <w:t>投标报价</w:t>
            </w:r>
          </w:p>
        </w:tc>
        <w:tc>
          <w:tcPr>
            <w:tcW w:w="2835" w:type="dxa"/>
            <w:vAlign w:val="center"/>
          </w:tcPr>
          <w:p w14:paraId="3B0625CB">
            <w:pPr>
              <w:spacing w:line="360" w:lineRule="auto"/>
              <w:jc w:val="left"/>
              <w:rPr>
                <w:rFonts w:ascii="宋体" w:hAnsi="宋体"/>
                <w:szCs w:val="22"/>
              </w:rPr>
            </w:pPr>
            <w:r>
              <w:rPr>
                <w:rFonts w:ascii="宋体" w:hAnsi="宋体" w:cs="宋体"/>
                <w:szCs w:val="22"/>
              </w:rPr>
              <w:t>投标报价未超过磋商文件中规定的项目/采购包预算金额或者项目/采购包最高限价；</w:t>
            </w:r>
          </w:p>
        </w:tc>
        <w:tc>
          <w:tcPr>
            <w:tcW w:w="1134" w:type="dxa"/>
            <w:vAlign w:val="center"/>
          </w:tcPr>
          <w:p w14:paraId="2A8CB22C">
            <w:pPr>
              <w:spacing w:line="360" w:lineRule="auto"/>
              <w:jc w:val="center"/>
              <w:rPr>
                <w:rFonts w:ascii="宋体" w:hAnsi="宋体"/>
                <w:szCs w:val="22"/>
              </w:rPr>
            </w:pPr>
            <w:r>
              <w:rPr>
                <w:rFonts w:ascii="宋体" w:hAnsi="宋体" w:cs="宋体"/>
                <w:szCs w:val="22"/>
              </w:rPr>
              <w:t>重要指标</w:t>
            </w:r>
          </w:p>
        </w:tc>
        <w:tc>
          <w:tcPr>
            <w:tcW w:w="1497" w:type="dxa"/>
          </w:tcPr>
          <w:p w14:paraId="564E93B2">
            <w:pPr>
              <w:spacing w:line="360" w:lineRule="auto"/>
              <w:jc w:val="left"/>
              <w:rPr>
                <w:rFonts w:ascii="宋体" w:hAnsi="宋体"/>
                <w:szCs w:val="22"/>
              </w:rPr>
            </w:pPr>
          </w:p>
        </w:tc>
      </w:tr>
      <w:tr w14:paraId="053E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10EF643">
            <w:pPr>
              <w:spacing w:line="360" w:lineRule="auto"/>
              <w:jc w:val="center"/>
              <w:rPr>
                <w:rFonts w:ascii="宋体" w:hAnsi="宋体"/>
                <w:szCs w:val="22"/>
              </w:rPr>
            </w:pPr>
            <w:r>
              <w:rPr>
                <w:rFonts w:ascii="宋体" w:hAnsi="宋体" w:cs="宋体"/>
                <w:szCs w:val="22"/>
              </w:rPr>
              <w:t>4</w:t>
            </w:r>
          </w:p>
        </w:tc>
        <w:tc>
          <w:tcPr>
            <w:tcW w:w="2126" w:type="dxa"/>
            <w:vAlign w:val="center"/>
          </w:tcPr>
          <w:p w14:paraId="47F33D5C">
            <w:pPr>
              <w:spacing w:line="360" w:lineRule="auto"/>
              <w:jc w:val="left"/>
              <w:rPr>
                <w:rFonts w:ascii="宋体" w:hAnsi="宋体"/>
                <w:szCs w:val="22"/>
              </w:rPr>
            </w:pPr>
            <w:r>
              <w:rPr>
                <w:rFonts w:ascii="宋体" w:hAnsi="宋体" w:cs="宋体"/>
                <w:szCs w:val="22"/>
              </w:rPr>
              <w:t>报价唯一性</w:t>
            </w:r>
          </w:p>
        </w:tc>
        <w:tc>
          <w:tcPr>
            <w:tcW w:w="2835" w:type="dxa"/>
            <w:vAlign w:val="center"/>
          </w:tcPr>
          <w:p w14:paraId="03FB480B">
            <w:pPr>
              <w:spacing w:line="360" w:lineRule="auto"/>
              <w:jc w:val="left"/>
              <w:rPr>
                <w:rFonts w:ascii="宋体" w:hAnsi="宋体"/>
                <w:szCs w:val="22"/>
              </w:rPr>
            </w:pPr>
            <w:r>
              <w:rPr>
                <w:rFonts w:ascii="宋体" w:hAnsi="宋体" w:cs="宋体"/>
                <w:szCs w:val="22"/>
              </w:rPr>
              <w:t>响应文件未出现可选择性或可调整的报价（磋商文件另有规定的除外）；</w:t>
            </w:r>
          </w:p>
        </w:tc>
        <w:tc>
          <w:tcPr>
            <w:tcW w:w="1134" w:type="dxa"/>
            <w:vAlign w:val="center"/>
          </w:tcPr>
          <w:p w14:paraId="32F21410">
            <w:pPr>
              <w:spacing w:line="360" w:lineRule="auto"/>
              <w:jc w:val="center"/>
              <w:rPr>
                <w:rFonts w:ascii="宋体" w:hAnsi="宋体"/>
                <w:szCs w:val="22"/>
              </w:rPr>
            </w:pPr>
            <w:r>
              <w:rPr>
                <w:rFonts w:ascii="宋体" w:hAnsi="宋体" w:cs="宋体"/>
                <w:szCs w:val="22"/>
              </w:rPr>
              <w:t>重要指标</w:t>
            </w:r>
          </w:p>
        </w:tc>
        <w:tc>
          <w:tcPr>
            <w:tcW w:w="1497" w:type="dxa"/>
          </w:tcPr>
          <w:p w14:paraId="6EB1B730">
            <w:pPr>
              <w:spacing w:line="360" w:lineRule="auto"/>
              <w:jc w:val="left"/>
              <w:rPr>
                <w:rFonts w:ascii="宋体" w:hAnsi="宋体"/>
                <w:szCs w:val="22"/>
              </w:rPr>
            </w:pPr>
          </w:p>
        </w:tc>
      </w:tr>
      <w:tr w14:paraId="18DB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321D56A">
            <w:pPr>
              <w:spacing w:line="360" w:lineRule="auto"/>
              <w:jc w:val="center"/>
              <w:rPr>
                <w:rFonts w:ascii="宋体" w:hAnsi="宋体"/>
                <w:szCs w:val="22"/>
              </w:rPr>
            </w:pPr>
            <w:r>
              <w:rPr>
                <w:rFonts w:ascii="宋体" w:hAnsi="宋体" w:cs="宋体"/>
                <w:szCs w:val="22"/>
              </w:rPr>
              <w:t>5</w:t>
            </w:r>
          </w:p>
        </w:tc>
        <w:tc>
          <w:tcPr>
            <w:tcW w:w="2126" w:type="dxa"/>
            <w:vAlign w:val="center"/>
          </w:tcPr>
          <w:p w14:paraId="5272BC7E">
            <w:pPr>
              <w:spacing w:line="360" w:lineRule="auto"/>
              <w:jc w:val="left"/>
              <w:rPr>
                <w:rFonts w:ascii="宋体" w:hAnsi="宋体"/>
                <w:szCs w:val="22"/>
              </w:rPr>
            </w:pPr>
            <w:r>
              <w:rPr>
                <w:rFonts w:ascii="宋体" w:hAnsi="宋体" w:cs="宋体"/>
                <w:szCs w:val="22"/>
              </w:rPr>
              <w:t>响应有效期</w:t>
            </w:r>
          </w:p>
        </w:tc>
        <w:tc>
          <w:tcPr>
            <w:tcW w:w="2835" w:type="dxa"/>
            <w:vAlign w:val="center"/>
          </w:tcPr>
          <w:p w14:paraId="47F4DCE9">
            <w:pPr>
              <w:spacing w:line="360" w:lineRule="auto"/>
              <w:jc w:val="left"/>
              <w:rPr>
                <w:rFonts w:ascii="宋体" w:hAnsi="宋体"/>
                <w:szCs w:val="22"/>
              </w:rPr>
            </w:pPr>
            <w:r>
              <w:rPr>
                <w:rFonts w:ascii="宋体" w:hAnsi="宋体" w:cs="宋体"/>
                <w:szCs w:val="22"/>
              </w:rPr>
              <w:t>响应文件中承诺的响应有效期满足磋商文件中载明的响应有效期的；</w:t>
            </w:r>
          </w:p>
        </w:tc>
        <w:tc>
          <w:tcPr>
            <w:tcW w:w="1134" w:type="dxa"/>
            <w:vAlign w:val="center"/>
          </w:tcPr>
          <w:p w14:paraId="3F9BFBB0">
            <w:pPr>
              <w:spacing w:line="360" w:lineRule="auto"/>
              <w:jc w:val="center"/>
              <w:rPr>
                <w:rFonts w:ascii="宋体" w:hAnsi="宋体"/>
                <w:szCs w:val="22"/>
              </w:rPr>
            </w:pPr>
            <w:r>
              <w:rPr>
                <w:rFonts w:ascii="宋体" w:hAnsi="宋体" w:cs="宋体"/>
                <w:szCs w:val="22"/>
              </w:rPr>
              <w:t>重要指标</w:t>
            </w:r>
          </w:p>
        </w:tc>
        <w:tc>
          <w:tcPr>
            <w:tcW w:w="1497" w:type="dxa"/>
          </w:tcPr>
          <w:p w14:paraId="7E32234E">
            <w:pPr>
              <w:spacing w:line="360" w:lineRule="auto"/>
              <w:jc w:val="left"/>
              <w:rPr>
                <w:rFonts w:ascii="宋体" w:hAnsi="宋体"/>
                <w:szCs w:val="22"/>
              </w:rPr>
            </w:pPr>
          </w:p>
        </w:tc>
      </w:tr>
      <w:tr w14:paraId="735F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15B4F4D">
            <w:pPr>
              <w:spacing w:line="360" w:lineRule="auto"/>
              <w:jc w:val="center"/>
              <w:rPr>
                <w:rFonts w:ascii="宋体" w:hAnsi="宋体"/>
                <w:szCs w:val="22"/>
              </w:rPr>
            </w:pPr>
            <w:r>
              <w:rPr>
                <w:rFonts w:ascii="宋体" w:hAnsi="宋体" w:cs="宋体"/>
                <w:szCs w:val="22"/>
              </w:rPr>
              <w:t>6</w:t>
            </w:r>
          </w:p>
        </w:tc>
        <w:tc>
          <w:tcPr>
            <w:tcW w:w="2126" w:type="dxa"/>
            <w:vAlign w:val="center"/>
          </w:tcPr>
          <w:p w14:paraId="0A6FAB0C">
            <w:pPr>
              <w:spacing w:line="360" w:lineRule="auto"/>
              <w:jc w:val="left"/>
              <w:rPr>
                <w:rFonts w:ascii="宋体" w:hAnsi="宋体"/>
                <w:szCs w:val="22"/>
              </w:rPr>
            </w:pPr>
            <w:r>
              <w:rPr>
                <w:rFonts w:ascii="宋体" w:hAnsi="宋体" w:cs="宋体"/>
                <w:szCs w:val="22"/>
              </w:rPr>
              <w:t>实质性格式</w:t>
            </w:r>
          </w:p>
        </w:tc>
        <w:tc>
          <w:tcPr>
            <w:tcW w:w="2835" w:type="dxa"/>
            <w:vAlign w:val="center"/>
          </w:tcPr>
          <w:p w14:paraId="573F7744">
            <w:pPr>
              <w:spacing w:line="360" w:lineRule="auto"/>
              <w:jc w:val="left"/>
              <w:rPr>
                <w:rFonts w:ascii="宋体" w:hAnsi="宋体"/>
                <w:szCs w:val="22"/>
              </w:rPr>
            </w:pPr>
            <w:r>
              <w:rPr>
                <w:rFonts w:ascii="宋体" w:hAnsi="宋体" w:cs="宋体"/>
                <w:szCs w:val="22"/>
              </w:rPr>
              <w:t>标记为“实质性格式”的文件均按磋商文件要求提供且签署、盖章的；</w:t>
            </w:r>
          </w:p>
        </w:tc>
        <w:tc>
          <w:tcPr>
            <w:tcW w:w="1134" w:type="dxa"/>
            <w:vAlign w:val="center"/>
          </w:tcPr>
          <w:p w14:paraId="77FB3D5E">
            <w:pPr>
              <w:spacing w:line="360" w:lineRule="auto"/>
              <w:jc w:val="center"/>
              <w:rPr>
                <w:rFonts w:ascii="宋体" w:hAnsi="宋体"/>
                <w:szCs w:val="22"/>
              </w:rPr>
            </w:pPr>
            <w:r>
              <w:rPr>
                <w:rFonts w:ascii="宋体" w:hAnsi="宋体" w:cs="宋体"/>
                <w:szCs w:val="22"/>
              </w:rPr>
              <w:t>重要指标</w:t>
            </w:r>
          </w:p>
        </w:tc>
        <w:tc>
          <w:tcPr>
            <w:tcW w:w="1497" w:type="dxa"/>
          </w:tcPr>
          <w:p w14:paraId="11EA3A60">
            <w:pPr>
              <w:spacing w:line="360" w:lineRule="auto"/>
              <w:jc w:val="left"/>
              <w:rPr>
                <w:rFonts w:ascii="宋体" w:hAnsi="宋体"/>
                <w:szCs w:val="22"/>
              </w:rPr>
            </w:pPr>
          </w:p>
        </w:tc>
      </w:tr>
      <w:tr w14:paraId="7D7D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F827765">
            <w:pPr>
              <w:spacing w:line="360" w:lineRule="auto"/>
              <w:jc w:val="center"/>
              <w:rPr>
                <w:rFonts w:ascii="宋体" w:hAnsi="宋体"/>
                <w:szCs w:val="22"/>
              </w:rPr>
            </w:pPr>
            <w:r>
              <w:rPr>
                <w:rFonts w:ascii="宋体" w:hAnsi="宋体" w:cs="宋体"/>
                <w:szCs w:val="22"/>
              </w:rPr>
              <w:t>7</w:t>
            </w:r>
          </w:p>
        </w:tc>
        <w:tc>
          <w:tcPr>
            <w:tcW w:w="2126" w:type="dxa"/>
            <w:vAlign w:val="center"/>
          </w:tcPr>
          <w:p w14:paraId="6E9D7B12">
            <w:pPr>
              <w:spacing w:line="360" w:lineRule="auto"/>
              <w:jc w:val="left"/>
              <w:rPr>
                <w:rFonts w:ascii="宋体" w:hAnsi="宋体"/>
                <w:szCs w:val="22"/>
              </w:rPr>
            </w:pPr>
            <w:r>
              <w:rPr>
                <w:rFonts w:ascii="宋体" w:hAnsi="宋体" w:cs="宋体"/>
                <w:szCs w:val="22"/>
              </w:rPr>
              <w:t>★号条款响应</w:t>
            </w:r>
          </w:p>
        </w:tc>
        <w:tc>
          <w:tcPr>
            <w:tcW w:w="2835" w:type="dxa"/>
            <w:vAlign w:val="center"/>
          </w:tcPr>
          <w:p w14:paraId="5B4A3BE5">
            <w:pPr>
              <w:spacing w:line="360" w:lineRule="auto"/>
              <w:jc w:val="left"/>
              <w:rPr>
                <w:rFonts w:ascii="宋体" w:hAnsi="宋体"/>
                <w:szCs w:val="22"/>
              </w:rPr>
            </w:pPr>
            <w:r>
              <w:rPr>
                <w:rFonts w:ascii="宋体" w:hAnsi="宋体" w:cs="宋体"/>
                <w:szCs w:val="22"/>
              </w:rPr>
              <w:t>响应文件满足磋商文件第五章《采购需求》中★号条款要求的；</w:t>
            </w:r>
          </w:p>
        </w:tc>
        <w:tc>
          <w:tcPr>
            <w:tcW w:w="1134" w:type="dxa"/>
            <w:vAlign w:val="center"/>
          </w:tcPr>
          <w:p w14:paraId="0429AB56">
            <w:pPr>
              <w:spacing w:line="360" w:lineRule="auto"/>
              <w:jc w:val="center"/>
              <w:rPr>
                <w:rFonts w:ascii="宋体" w:hAnsi="宋体"/>
                <w:szCs w:val="22"/>
              </w:rPr>
            </w:pPr>
            <w:r>
              <w:rPr>
                <w:rFonts w:ascii="宋体" w:hAnsi="宋体" w:cs="宋体"/>
                <w:szCs w:val="22"/>
              </w:rPr>
              <w:t>重要指标</w:t>
            </w:r>
          </w:p>
        </w:tc>
        <w:tc>
          <w:tcPr>
            <w:tcW w:w="1497" w:type="dxa"/>
          </w:tcPr>
          <w:p w14:paraId="1FDF9E4A">
            <w:pPr>
              <w:spacing w:line="360" w:lineRule="auto"/>
              <w:jc w:val="left"/>
              <w:rPr>
                <w:rFonts w:ascii="宋体" w:hAnsi="宋体"/>
                <w:szCs w:val="22"/>
              </w:rPr>
            </w:pPr>
          </w:p>
        </w:tc>
      </w:tr>
      <w:tr w14:paraId="7A22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CE8BFAE">
            <w:pPr>
              <w:spacing w:line="360" w:lineRule="auto"/>
              <w:jc w:val="center"/>
              <w:rPr>
                <w:rFonts w:ascii="宋体" w:hAnsi="宋体"/>
                <w:szCs w:val="22"/>
              </w:rPr>
            </w:pPr>
            <w:r>
              <w:rPr>
                <w:rFonts w:ascii="宋体" w:hAnsi="宋体" w:cs="宋体"/>
                <w:szCs w:val="22"/>
              </w:rPr>
              <w:t>8</w:t>
            </w:r>
          </w:p>
        </w:tc>
        <w:tc>
          <w:tcPr>
            <w:tcW w:w="2126" w:type="dxa"/>
            <w:vAlign w:val="center"/>
          </w:tcPr>
          <w:p w14:paraId="5BD71F91">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14:paraId="62DAF3E8">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14:paraId="74AD634C">
            <w:pPr>
              <w:spacing w:line="360" w:lineRule="auto"/>
              <w:jc w:val="center"/>
              <w:rPr>
                <w:rFonts w:ascii="宋体" w:hAnsi="宋体"/>
                <w:szCs w:val="22"/>
              </w:rPr>
            </w:pPr>
            <w:r>
              <w:rPr>
                <w:rFonts w:ascii="宋体" w:hAnsi="宋体" w:cs="宋体"/>
                <w:szCs w:val="22"/>
              </w:rPr>
              <w:t>重要指标</w:t>
            </w:r>
          </w:p>
        </w:tc>
        <w:tc>
          <w:tcPr>
            <w:tcW w:w="1497" w:type="dxa"/>
          </w:tcPr>
          <w:p w14:paraId="475B2889">
            <w:pPr>
              <w:spacing w:line="360" w:lineRule="auto"/>
              <w:jc w:val="left"/>
              <w:rPr>
                <w:rFonts w:ascii="宋体" w:hAnsi="宋体"/>
                <w:szCs w:val="22"/>
              </w:rPr>
            </w:pPr>
          </w:p>
        </w:tc>
      </w:tr>
      <w:tr w14:paraId="3CEA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151924C">
            <w:pPr>
              <w:spacing w:line="360" w:lineRule="auto"/>
              <w:jc w:val="center"/>
              <w:rPr>
                <w:rFonts w:ascii="宋体" w:hAnsi="宋体"/>
                <w:szCs w:val="22"/>
              </w:rPr>
            </w:pPr>
            <w:r>
              <w:rPr>
                <w:rFonts w:ascii="宋体" w:hAnsi="宋体" w:cs="宋体"/>
                <w:szCs w:val="22"/>
              </w:rPr>
              <w:t>9</w:t>
            </w:r>
          </w:p>
        </w:tc>
        <w:tc>
          <w:tcPr>
            <w:tcW w:w="2126" w:type="dxa"/>
            <w:vAlign w:val="center"/>
          </w:tcPr>
          <w:p w14:paraId="7C0DA4EE">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14:paraId="389F296A">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14:paraId="2E955976">
            <w:pPr>
              <w:spacing w:line="360" w:lineRule="auto"/>
              <w:jc w:val="center"/>
              <w:rPr>
                <w:rFonts w:ascii="宋体" w:hAnsi="宋体"/>
                <w:szCs w:val="22"/>
              </w:rPr>
            </w:pPr>
            <w:r>
              <w:rPr>
                <w:rFonts w:ascii="宋体" w:hAnsi="宋体" w:cs="宋体"/>
                <w:szCs w:val="22"/>
              </w:rPr>
              <w:t>重要指标</w:t>
            </w:r>
          </w:p>
        </w:tc>
        <w:tc>
          <w:tcPr>
            <w:tcW w:w="1497" w:type="dxa"/>
          </w:tcPr>
          <w:p w14:paraId="516D4F70">
            <w:pPr>
              <w:spacing w:line="360" w:lineRule="auto"/>
              <w:jc w:val="left"/>
              <w:rPr>
                <w:rFonts w:ascii="宋体" w:hAnsi="宋体"/>
                <w:szCs w:val="22"/>
              </w:rPr>
            </w:pPr>
          </w:p>
        </w:tc>
      </w:tr>
      <w:tr w14:paraId="4663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11016E2">
            <w:pPr>
              <w:spacing w:line="360" w:lineRule="auto"/>
              <w:jc w:val="center"/>
              <w:rPr>
                <w:rFonts w:ascii="宋体" w:hAnsi="宋体"/>
                <w:szCs w:val="22"/>
              </w:rPr>
            </w:pPr>
            <w:r>
              <w:rPr>
                <w:rFonts w:ascii="宋体" w:hAnsi="宋体" w:cs="宋体"/>
                <w:szCs w:val="22"/>
              </w:rPr>
              <w:t>10</w:t>
            </w:r>
          </w:p>
        </w:tc>
        <w:tc>
          <w:tcPr>
            <w:tcW w:w="2126" w:type="dxa"/>
            <w:vAlign w:val="center"/>
          </w:tcPr>
          <w:p w14:paraId="5C8F95F6">
            <w:pPr>
              <w:spacing w:line="360" w:lineRule="auto"/>
              <w:jc w:val="left"/>
              <w:rPr>
                <w:rFonts w:ascii="宋体" w:hAnsi="宋体"/>
                <w:szCs w:val="22"/>
              </w:rPr>
            </w:pPr>
            <w:r>
              <w:rPr>
                <w:rFonts w:ascii="宋体" w:hAnsi="宋体" w:cs="宋体"/>
                <w:szCs w:val="22"/>
              </w:rPr>
              <w:t>报价的修正（如有）</w:t>
            </w:r>
          </w:p>
        </w:tc>
        <w:tc>
          <w:tcPr>
            <w:tcW w:w="2835" w:type="dxa"/>
            <w:vAlign w:val="center"/>
          </w:tcPr>
          <w:p w14:paraId="7AA5846E">
            <w:pPr>
              <w:spacing w:line="360" w:lineRule="auto"/>
              <w:jc w:val="left"/>
              <w:rPr>
                <w:rFonts w:ascii="宋体" w:hAnsi="宋体"/>
                <w:szCs w:val="22"/>
              </w:rPr>
            </w:pPr>
            <w:r>
              <w:rPr>
                <w:rFonts w:ascii="宋体" w:hAnsi="宋体" w:cs="宋体"/>
                <w:szCs w:val="22"/>
              </w:rPr>
              <w:t>不涉及报价修正，或响应文件报价出现前后不一致时，投标人对修正后的报价予以确认；（如有）</w:t>
            </w:r>
          </w:p>
        </w:tc>
        <w:tc>
          <w:tcPr>
            <w:tcW w:w="1134" w:type="dxa"/>
            <w:vAlign w:val="center"/>
          </w:tcPr>
          <w:p w14:paraId="576A9E59">
            <w:pPr>
              <w:spacing w:line="360" w:lineRule="auto"/>
              <w:jc w:val="center"/>
              <w:rPr>
                <w:rFonts w:ascii="宋体" w:hAnsi="宋体"/>
                <w:szCs w:val="22"/>
              </w:rPr>
            </w:pPr>
            <w:r>
              <w:rPr>
                <w:rFonts w:ascii="宋体" w:hAnsi="宋体" w:cs="宋体"/>
                <w:szCs w:val="22"/>
              </w:rPr>
              <w:t>重要指标</w:t>
            </w:r>
          </w:p>
        </w:tc>
        <w:tc>
          <w:tcPr>
            <w:tcW w:w="1497" w:type="dxa"/>
          </w:tcPr>
          <w:p w14:paraId="62954B78">
            <w:pPr>
              <w:spacing w:line="360" w:lineRule="auto"/>
              <w:jc w:val="left"/>
              <w:rPr>
                <w:rFonts w:ascii="宋体" w:hAnsi="宋体"/>
                <w:szCs w:val="22"/>
              </w:rPr>
            </w:pPr>
          </w:p>
        </w:tc>
      </w:tr>
      <w:tr w14:paraId="65AD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E5050B0">
            <w:pPr>
              <w:spacing w:line="360" w:lineRule="auto"/>
              <w:jc w:val="center"/>
              <w:rPr>
                <w:rFonts w:ascii="宋体" w:hAnsi="宋体"/>
                <w:szCs w:val="22"/>
              </w:rPr>
            </w:pPr>
            <w:r>
              <w:rPr>
                <w:rFonts w:ascii="宋体" w:hAnsi="宋体" w:cs="宋体"/>
                <w:szCs w:val="22"/>
              </w:rPr>
              <w:t>11</w:t>
            </w:r>
          </w:p>
        </w:tc>
        <w:tc>
          <w:tcPr>
            <w:tcW w:w="2126" w:type="dxa"/>
            <w:vAlign w:val="center"/>
          </w:tcPr>
          <w:p w14:paraId="770F5FCF">
            <w:pPr>
              <w:spacing w:line="360" w:lineRule="auto"/>
              <w:jc w:val="left"/>
              <w:rPr>
                <w:rFonts w:ascii="宋体" w:hAnsi="宋体"/>
                <w:szCs w:val="22"/>
              </w:rPr>
            </w:pPr>
            <w:r>
              <w:rPr>
                <w:rFonts w:ascii="宋体" w:hAnsi="宋体" w:cs="宋体"/>
                <w:szCs w:val="22"/>
              </w:rPr>
              <w:t>进口产品（如有）</w:t>
            </w:r>
          </w:p>
        </w:tc>
        <w:tc>
          <w:tcPr>
            <w:tcW w:w="2835" w:type="dxa"/>
            <w:vAlign w:val="center"/>
          </w:tcPr>
          <w:p w14:paraId="18C9DF4D">
            <w:pPr>
              <w:spacing w:line="360" w:lineRule="auto"/>
              <w:jc w:val="left"/>
              <w:rPr>
                <w:rFonts w:ascii="宋体" w:hAnsi="宋体"/>
                <w:szCs w:val="22"/>
              </w:rPr>
            </w:pPr>
            <w:r>
              <w:rPr>
                <w:rFonts w:ascii="宋体" w:hAnsi="宋体" w:cs="宋体"/>
                <w:szCs w:val="22"/>
              </w:rPr>
              <w:t>磋商文件不接受进口产品投标的内容时，投标人所投产品非进口产品的；</w:t>
            </w:r>
          </w:p>
        </w:tc>
        <w:tc>
          <w:tcPr>
            <w:tcW w:w="1134" w:type="dxa"/>
            <w:vAlign w:val="center"/>
          </w:tcPr>
          <w:p w14:paraId="7A4391E4">
            <w:pPr>
              <w:spacing w:line="360" w:lineRule="auto"/>
              <w:jc w:val="center"/>
              <w:rPr>
                <w:rFonts w:ascii="宋体" w:hAnsi="宋体"/>
                <w:szCs w:val="22"/>
              </w:rPr>
            </w:pPr>
            <w:r>
              <w:rPr>
                <w:rFonts w:ascii="宋体" w:hAnsi="宋体" w:cs="宋体"/>
                <w:szCs w:val="22"/>
              </w:rPr>
              <w:t>重要指标</w:t>
            </w:r>
          </w:p>
        </w:tc>
        <w:tc>
          <w:tcPr>
            <w:tcW w:w="1497" w:type="dxa"/>
          </w:tcPr>
          <w:p w14:paraId="1864DB18">
            <w:pPr>
              <w:spacing w:line="360" w:lineRule="auto"/>
              <w:jc w:val="left"/>
              <w:rPr>
                <w:rFonts w:ascii="宋体" w:hAnsi="宋体"/>
                <w:szCs w:val="22"/>
              </w:rPr>
            </w:pPr>
          </w:p>
        </w:tc>
      </w:tr>
      <w:tr w14:paraId="4E3D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BA97779">
            <w:pPr>
              <w:spacing w:line="360" w:lineRule="auto"/>
              <w:jc w:val="center"/>
              <w:rPr>
                <w:rFonts w:ascii="宋体" w:hAnsi="宋体"/>
                <w:szCs w:val="22"/>
              </w:rPr>
            </w:pPr>
            <w:r>
              <w:rPr>
                <w:rFonts w:ascii="宋体" w:hAnsi="宋体" w:cs="宋体"/>
                <w:szCs w:val="22"/>
              </w:rPr>
              <w:t>12</w:t>
            </w:r>
          </w:p>
        </w:tc>
        <w:tc>
          <w:tcPr>
            <w:tcW w:w="2126" w:type="dxa"/>
            <w:vAlign w:val="center"/>
          </w:tcPr>
          <w:p w14:paraId="2781263E">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14:paraId="01D02F7E">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w:t>
            </w:r>
            <w:r>
              <w:rPr>
                <w:rFonts w:ascii="宋体" w:hAnsi="宋体" w:cs="宋体"/>
                <w:szCs w:val="22"/>
              </w:rPr>
              <w:cr/>
            </w:r>
            <w:r>
              <w:rPr>
                <w:rFonts w:ascii="宋体" w:hAnsi="宋体" w:cs="宋体"/>
                <w:szCs w:val="22"/>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Cs w:val="22"/>
              </w:rPr>
              <w:cr/>
            </w:r>
            <w:r>
              <w:rPr>
                <w:rFonts w:ascii="宋体" w:hAnsi="宋体" w:cs="宋体"/>
                <w:szCs w:val="22"/>
              </w:rPr>
              <w:t>5）项目中涉及涂料、胶黏剂、油墨、清洗剂等挥发性有机物产品，且属于强制性标准的，供应商应执行符合本市和国家的VOCs 含量限制标准。</w:t>
            </w:r>
          </w:p>
        </w:tc>
        <w:tc>
          <w:tcPr>
            <w:tcW w:w="1134" w:type="dxa"/>
            <w:vAlign w:val="center"/>
          </w:tcPr>
          <w:p w14:paraId="603D62BC">
            <w:pPr>
              <w:spacing w:line="360" w:lineRule="auto"/>
              <w:jc w:val="center"/>
              <w:rPr>
                <w:rFonts w:ascii="宋体" w:hAnsi="宋体"/>
                <w:szCs w:val="22"/>
              </w:rPr>
            </w:pPr>
            <w:r>
              <w:rPr>
                <w:rFonts w:ascii="宋体" w:hAnsi="宋体" w:cs="宋体"/>
                <w:szCs w:val="22"/>
              </w:rPr>
              <w:t>重要指标</w:t>
            </w:r>
          </w:p>
        </w:tc>
        <w:tc>
          <w:tcPr>
            <w:tcW w:w="1497" w:type="dxa"/>
          </w:tcPr>
          <w:p w14:paraId="3815D0EA">
            <w:pPr>
              <w:spacing w:line="360" w:lineRule="auto"/>
              <w:jc w:val="left"/>
              <w:rPr>
                <w:rFonts w:ascii="宋体" w:hAnsi="宋体"/>
                <w:szCs w:val="22"/>
              </w:rPr>
            </w:pPr>
          </w:p>
        </w:tc>
      </w:tr>
      <w:tr w14:paraId="7852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15BC10B">
            <w:pPr>
              <w:spacing w:line="360" w:lineRule="auto"/>
              <w:jc w:val="center"/>
              <w:rPr>
                <w:rFonts w:ascii="宋体" w:hAnsi="宋体"/>
                <w:szCs w:val="22"/>
              </w:rPr>
            </w:pPr>
            <w:r>
              <w:rPr>
                <w:rFonts w:ascii="宋体" w:hAnsi="宋体" w:cs="宋体"/>
                <w:szCs w:val="22"/>
              </w:rPr>
              <w:t>13</w:t>
            </w:r>
          </w:p>
        </w:tc>
        <w:tc>
          <w:tcPr>
            <w:tcW w:w="2126" w:type="dxa"/>
            <w:vAlign w:val="center"/>
          </w:tcPr>
          <w:p w14:paraId="60C32E18">
            <w:pPr>
              <w:spacing w:line="360" w:lineRule="auto"/>
              <w:jc w:val="left"/>
              <w:rPr>
                <w:rFonts w:ascii="宋体" w:hAnsi="宋体"/>
                <w:szCs w:val="22"/>
              </w:rPr>
            </w:pPr>
            <w:r>
              <w:rPr>
                <w:rFonts w:ascii="宋体" w:hAnsi="宋体" w:cs="宋体"/>
                <w:szCs w:val="22"/>
              </w:rPr>
              <w:t>公平竞争</w:t>
            </w:r>
          </w:p>
        </w:tc>
        <w:tc>
          <w:tcPr>
            <w:tcW w:w="2835" w:type="dxa"/>
            <w:vAlign w:val="center"/>
          </w:tcPr>
          <w:p w14:paraId="00B3B15C">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14:paraId="20257228">
            <w:pPr>
              <w:spacing w:line="360" w:lineRule="auto"/>
              <w:jc w:val="center"/>
              <w:rPr>
                <w:rFonts w:ascii="宋体" w:hAnsi="宋体"/>
                <w:szCs w:val="22"/>
              </w:rPr>
            </w:pPr>
            <w:r>
              <w:rPr>
                <w:rFonts w:ascii="宋体" w:hAnsi="宋体" w:cs="宋体"/>
                <w:szCs w:val="22"/>
              </w:rPr>
              <w:t>重要指标</w:t>
            </w:r>
          </w:p>
        </w:tc>
        <w:tc>
          <w:tcPr>
            <w:tcW w:w="1497" w:type="dxa"/>
          </w:tcPr>
          <w:p w14:paraId="40B6DE28">
            <w:pPr>
              <w:spacing w:line="360" w:lineRule="auto"/>
              <w:jc w:val="left"/>
              <w:rPr>
                <w:rFonts w:ascii="宋体" w:hAnsi="宋体"/>
                <w:szCs w:val="22"/>
              </w:rPr>
            </w:pPr>
          </w:p>
        </w:tc>
      </w:tr>
      <w:tr w14:paraId="58B6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1A68BDC">
            <w:pPr>
              <w:spacing w:line="360" w:lineRule="auto"/>
              <w:jc w:val="center"/>
              <w:rPr>
                <w:rFonts w:ascii="宋体" w:hAnsi="宋体"/>
                <w:szCs w:val="22"/>
              </w:rPr>
            </w:pPr>
            <w:r>
              <w:rPr>
                <w:rFonts w:ascii="宋体" w:hAnsi="宋体" w:cs="宋体"/>
                <w:szCs w:val="22"/>
              </w:rPr>
              <w:t>14</w:t>
            </w:r>
          </w:p>
        </w:tc>
        <w:tc>
          <w:tcPr>
            <w:tcW w:w="2126" w:type="dxa"/>
            <w:vAlign w:val="center"/>
          </w:tcPr>
          <w:p w14:paraId="51944F7A">
            <w:pPr>
              <w:spacing w:line="360" w:lineRule="auto"/>
              <w:jc w:val="left"/>
              <w:rPr>
                <w:rFonts w:ascii="宋体" w:hAnsi="宋体"/>
                <w:szCs w:val="22"/>
              </w:rPr>
            </w:pPr>
            <w:r>
              <w:rPr>
                <w:rFonts w:ascii="宋体" w:hAnsi="宋体" w:cs="宋体"/>
                <w:szCs w:val="22"/>
              </w:rPr>
              <w:t>串通投标</w:t>
            </w:r>
          </w:p>
        </w:tc>
        <w:tc>
          <w:tcPr>
            <w:tcW w:w="2835" w:type="dxa"/>
            <w:vAlign w:val="center"/>
          </w:tcPr>
          <w:p w14:paraId="5D15C03C">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14:paraId="7CD78D85">
            <w:pPr>
              <w:spacing w:line="360" w:lineRule="auto"/>
              <w:jc w:val="center"/>
              <w:rPr>
                <w:rFonts w:ascii="宋体" w:hAnsi="宋体"/>
                <w:szCs w:val="22"/>
              </w:rPr>
            </w:pPr>
            <w:r>
              <w:rPr>
                <w:rFonts w:ascii="宋体" w:hAnsi="宋体" w:cs="宋体"/>
                <w:szCs w:val="22"/>
              </w:rPr>
              <w:t>重要指标</w:t>
            </w:r>
          </w:p>
        </w:tc>
        <w:tc>
          <w:tcPr>
            <w:tcW w:w="1497" w:type="dxa"/>
          </w:tcPr>
          <w:p w14:paraId="08075437">
            <w:pPr>
              <w:spacing w:line="360" w:lineRule="auto"/>
              <w:jc w:val="left"/>
              <w:rPr>
                <w:rFonts w:ascii="宋体" w:hAnsi="宋体"/>
                <w:szCs w:val="22"/>
              </w:rPr>
            </w:pPr>
          </w:p>
        </w:tc>
      </w:tr>
      <w:tr w14:paraId="09C7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5EE8CE9F">
            <w:pPr>
              <w:spacing w:line="360" w:lineRule="auto"/>
              <w:jc w:val="center"/>
              <w:rPr>
                <w:rFonts w:ascii="宋体" w:hAnsi="宋体"/>
                <w:szCs w:val="22"/>
              </w:rPr>
            </w:pPr>
            <w:r>
              <w:rPr>
                <w:rFonts w:ascii="宋体" w:hAnsi="宋体" w:cs="宋体"/>
                <w:szCs w:val="22"/>
              </w:rPr>
              <w:t>15</w:t>
            </w:r>
          </w:p>
        </w:tc>
        <w:tc>
          <w:tcPr>
            <w:tcW w:w="2126" w:type="dxa"/>
            <w:vAlign w:val="center"/>
          </w:tcPr>
          <w:p w14:paraId="1EA1425D">
            <w:pPr>
              <w:spacing w:line="360" w:lineRule="auto"/>
              <w:jc w:val="left"/>
              <w:rPr>
                <w:rFonts w:ascii="宋体" w:hAnsi="宋体"/>
                <w:szCs w:val="22"/>
              </w:rPr>
            </w:pPr>
            <w:r>
              <w:rPr>
                <w:rFonts w:ascii="宋体" w:hAnsi="宋体" w:cs="宋体"/>
                <w:szCs w:val="22"/>
              </w:rPr>
              <w:t>附加条件</w:t>
            </w:r>
          </w:p>
        </w:tc>
        <w:tc>
          <w:tcPr>
            <w:tcW w:w="2835" w:type="dxa"/>
            <w:vAlign w:val="center"/>
          </w:tcPr>
          <w:p w14:paraId="3E27E967">
            <w:pPr>
              <w:spacing w:line="360" w:lineRule="auto"/>
              <w:jc w:val="left"/>
              <w:rPr>
                <w:rFonts w:ascii="宋体" w:hAnsi="宋体"/>
                <w:szCs w:val="22"/>
              </w:rPr>
            </w:pPr>
            <w:r>
              <w:rPr>
                <w:rFonts w:ascii="宋体" w:hAnsi="宋体" w:cs="宋体"/>
                <w:szCs w:val="22"/>
              </w:rPr>
              <w:t>响应文件未含有采购人不能接受的附加条件的；</w:t>
            </w:r>
          </w:p>
        </w:tc>
        <w:tc>
          <w:tcPr>
            <w:tcW w:w="1134" w:type="dxa"/>
            <w:vAlign w:val="center"/>
          </w:tcPr>
          <w:p w14:paraId="52668FA9">
            <w:pPr>
              <w:spacing w:line="360" w:lineRule="auto"/>
              <w:jc w:val="center"/>
              <w:rPr>
                <w:rFonts w:ascii="宋体" w:hAnsi="宋体"/>
                <w:szCs w:val="22"/>
              </w:rPr>
            </w:pPr>
            <w:r>
              <w:rPr>
                <w:rFonts w:ascii="宋体" w:hAnsi="宋体" w:cs="宋体"/>
                <w:szCs w:val="22"/>
              </w:rPr>
              <w:t>重要指标</w:t>
            </w:r>
          </w:p>
        </w:tc>
        <w:tc>
          <w:tcPr>
            <w:tcW w:w="1497" w:type="dxa"/>
          </w:tcPr>
          <w:p w14:paraId="1F4330BA">
            <w:pPr>
              <w:spacing w:line="360" w:lineRule="auto"/>
              <w:jc w:val="left"/>
              <w:rPr>
                <w:rFonts w:ascii="宋体" w:hAnsi="宋体"/>
                <w:szCs w:val="22"/>
              </w:rPr>
            </w:pPr>
          </w:p>
        </w:tc>
      </w:tr>
      <w:tr w14:paraId="30FA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7DE3FA6">
            <w:pPr>
              <w:spacing w:line="360" w:lineRule="auto"/>
              <w:jc w:val="center"/>
              <w:rPr>
                <w:rFonts w:ascii="宋体" w:hAnsi="宋体"/>
                <w:szCs w:val="22"/>
              </w:rPr>
            </w:pPr>
            <w:r>
              <w:rPr>
                <w:rFonts w:ascii="宋体" w:hAnsi="宋体" w:cs="宋体"/>
                <w:szCs w:val="22"/>
              </w:rPr>
              <w:t>16</w:t>
            </w:r>
          </w:p>
        </w:tc>
        <w:tc>
          <w:tcPr>
            <w:tcW w:w="2126" w:type="dxa"/>
            <w:vAlign w:val="center"/>
          </w:tcPr>
          <w:p w14:paraId="3D2746F1">
            <w:pPr>
              <w:spacing w:line="360" w:lineRule="auto"/>
              <w:jc w:val="left"/>
              <w:rPr>
                <w:rFonts w:ascii="宋体" w:hAnsi="宋体"/>
                <w:szCs w:val="22"/>
              </w:rPr>
            </w:pPr>
            <w:r>
              <w:rPr>
                <w:rFonts w:ascii="宋体" w:hAnsi="宋体" w:cs="宋体"/>
                <w:szCs w:val="22"/>
              </w:rPr>
              <w:t>其他无效情形</w:t>
            </w:r>
          </w:p>
        </w:tc>
        <w:tc>
          <w:tcPr>
            <w:tcW w:w="2835" w:type="dxa"/>
            <w:vAlign w:val="center"/>
          </w:tcPr>
          <w:p w14:paraId="3103482D">
            <w:pPr>
              <w:spacing w:line="360" w:lineRule="auto"/>
              <w:jc w:val="left"/>
              <w:rPr>
                <w:rFonts w:ascii="宋体" w:hAnsi="宋体"/>
                <w:szCs w:val="22"/>
              </w:rPr>
            </w:pPr>
            <w:r>
              <w:rPr>
                <w:rFonts w:ascii="宋体" w:hAnsi="宋体" w:cs="宋体"/>
                <w:szCs w:val="22"/>
              </w:rPr>
              <w:t>供应商、响应文件不存在不符合法律、法规和磋商文件规定的其他无效情形。</w:t>
            </w:r>
          </w:p>
        </w:tc>
        <w:tc>
          <w:tcPr>
            <w:tcW w:w="1134" w:type="dxa"/>
            <w:vAlign w:val="center"/>
          </w:tcPr>
          <w:p w14:paraId="7ABB43B3">
            <w:pPr>
              <w:spacing w:line="360" w:lineRule="auto"/>
              <w:jc w:val="center"/>
              <w:rPr>
                <w:rFonts w:ascii="宋体" w:hAnsi="宋体"/>
                <w:szCs w:val="22"/>
              </w:rPr>
            </w:pPr>
            <w:r>
              <w:rPr>
                <w:rFonts w:ascii="宋体" w:hAnsi="宋体" w:cs="宋体"/>
                <w:szCs w:val="22"/>
              </w:rPr>
              <w:t>重要指标</w:t>
            </w:r>
          </w:p>
        </w:tc>
        <w:tc>
          <w:tcPr>
            <w:tcW w:w="1497" w:type="dxa"/>
          </w:tcPr>
          <w:p w14:paraId="6CD3B2CA">
            <w:pPr>
              <w:spacing w:line="360" w:lineRule="auto"/>
              <w:jc w:val="left"/>
              <w:rPr>
                <w:rFonts w:ascii="宋体" w:hAnsi="宋体"/>
                <w:szCs w:val="22"/>
              </w:rPr>
            </w:pPr>
          </w:p>
        </w:tc>
      </w:tr>
      <w:tr w14:paraId="1D33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41C6A4E">
            <w:pPr>
              <w:spacing w:line="360" w:lineRule="auto"/>
              <w:jc w:val="center"/>
              <w:rPr>
                <w:rFonts w:ascii="宋体" w:hAnsi="宋体"/>
                <w:szCs w:val="22"/>
              </w:rPr>
            </w:pPr>
            <w:r>
              <w:rPr>
                <w:rFonts w:ascii="宋体" w:hAnsi="宋体" w:cs="宋体"/>
                <w:szCs w:val="22"/>
              </w:rPr>
              <w:t>17</w:t>
            </w:r>
          </w:p>
        </w:tc>
        <w:tc>
          <w:tcPr>
            <w:tcW w:w="2126" w:type="dxa"/>
            <w:vAlign w:val="center"/>
          </w:tcPr>
          <w:p w14:paraId="45E19DE3">
            <w:pPr>
              <w:spacing w:line="360" w:lineRule="auto"/>
              <w:jc w:val="left"/>
              <w:rPr>
                <w:rFonts w:ascii="宋体" w:hAnsi="宋体"/>
                <w:szCs w:val="22"/>
              </w:rPr>
            </w:pPr>
            <w:r>
              <w:rPr>
                <w:rFonts w:ascii="宋体" w:hAnsi="宋体" w:cs="宋体"/>
                <w:szCs w:val="22"/>
              </w:rPr>
              <w:t>含义不明确</w:t>
            </w:r>
          </w:p>
        </w:tc>
        <w:tc>
          <w:tcPr>
            <w:tcW w:w="2835" w:type="dxa"/>
            <w:vAlign w:val="center"/>
          </w:tcPr>
          <w:p w14:paraId="3DA258FB">
            <w:pPr>
              <w:spacing w:line="360" w:lineRule="auto"/>
              <w:jc w:val="left"/>
              <w:rPr>
                <w:rFonts w:ascii="宋体" w:hAnsi="宋体"/>
                <w:szCs w:val="22"/>
              </w:rPr>
            </w:pPr>
            <w:r>
              <w:rPr>
                <w:rFonts w:ascii="宋体" w:hAnsi="宋体" w:cs="宋体"/>
                <w:szCs w:val="22"/>
              </w:rPr>
              <w:t>响应文件存在含义不明确的情形。</w:t>
            </w:r>
          </w:p>
        </w:tc>
        <w:tc>
          <w:tcPr>
            <w:tcW w:w="1134" w:type="dxa"/>
            <w:vAlign w:val="center"/>
          </w:tcPr>
          <w:p w14:paraId="7938AA1E">
            <w:pPr>
              <w:spacing w:line="360" w:lineRule="auto"/>
              <w:jc w:val="center"/>
              <w:rPr>
                <w:rFonts w:ascii="宋体" w:hAnsi="宋体"/>
                <w:szCs w:val="22"/>
              </w:rPr>
            </w:pPr>
            <w:r>
              <w:rPr>
                <w:rFonts w:ascii="宋体" w:hAnsi="宋体" w:cs="宋体"/>
                <w:szCs w:val="22"/>
              </w:rPr>
              <w:t>重要指标</w:t>
            </w:r>
          </w:p>
        </w:tc>
        <w:tc>
          <w:tcPr>
            <w:tcW w:w="1497" w:type="dxa"/>
          </w:tcPr>
          <w:p w14:paraId="714378C2">
            <w:pPr>
              <w:spacing w:line="360" w:lineRule="auto"/>
              <w:jc w:val="left"/>
              <w:rPr>
                <w:rFonts w:ascii="宋体" w:hAnsi="宋体"/>
                <w:szCs w:val="22"/>
              </w:rPr>
            </w:pPr>
          </w:p>
        </w:tc>
      </w:tr>
      <w:tr w14:paraId="2CFB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A862CF7">
            <w:pPr>
              <w:spacing w:line="360" w:lineRule="auto"/>
              <w:jc w:val="center"/>
              <w:rPr>
                <w:rFonts w:ascii="宋体" w:hAnsi="宋体"/>
                <w:szCs w:val="22"/>
              </w:rPr>
            </w:pPr>
            <w:r>
              <w:rPr>
                <w:rFonts w:ascii="宋体" w:hAnsi="宋体" w:cs="宋体"/>
                <w:szCs w:val="22"/>
              </w:rPr>
              <w:t>18</w:t>
            </w:r>
          </w:p>
        </w:tc>
        <w:tc>
          <w:tcPr>
            <w:tcW w:w="2126" w:type="dxa"/>
            <w:vAlign w:val="center"/>
          </w:tcPr>
          <w:p w14:paraId="5FE2BDDE">
            <w:pPr>
              <w:spacing w:line="360" w:lineRule="auto"/>
              <w:jc w:val="left"/>
              <w:rPr>
                <w:rFonts w:ascii="宋体" w:hAnsi="宋体"/>
                <w:szCs w:val="22"/>
              </w:rPr>
            </w:pPr>
            <w:r>
              <w:rPr>
                <w:rFonts w:ascii="宋体" w:hAnsi="宋体" w:cs="宋体"/>
                <w:szCs w:val="22"/>
              </w:rPr>
              <w:t>同类问题表述不一致</w:t>
            </w:r>
          </w:p>
        </w:tc>
        <w:tc>
          <w:tcPr>
            <w:tcW w:w="2835" w:type="dxa"/>
            <w:vAlign w:val="center"/>
          </w:tcPr>
          <w:p w14:paraId="121936C1">
            <w:pPr>
              <w:spacing w:line="360" w:lineRule="auto"/>
              <w:jc w:val="left"/>
              <w:rPr>
                <w:rFonts w:ascii="宋体" w:hAnsi="宋体"/>
                <w:szCs w:val="22"/>
              </w:rPr>
            </w:pPr>
            <w:r>
              <w:rPr>
                <w:rFonts w:ascii="宋体" w:hAnsi="宋体" w:cs="宋体"/>
                <w:szCs w:val="22"/>
              </w:rPr>
              <w:t>响应文件存在同类问题表述不一致的情形。</w:t>
            </w:r>
          </w:p>
        </w:tc>
        <w:tc>
          <w:tcPr>
            <w:tcW w:w="1134" w:type="dxa"/>
            <w:vAlign w:val="center"/>
          </w:tcPr>
          <w:p w14:paraId="000C1799">
            <w:pPr>
              <w:spacing w:line="360" w:lineRule="auto"/>
              <w:jc w:val="center"/>
              <w:rPr>
                <w:rFonts w:ascii="宋体" w:hAnsi="宋体"/>
                <w:szCs w:val="22"/>
              </w:rPr>
            </w:pPr>
            <w:r>
              <w:rPr>
                <w:rFonts w:ascii="宋体" w:hAnsi="宋体" w:cs="宋体"/>
                <w:szCs w:val="22"/>
              </w:rPr>
              <w:t>重要指标</w:t>
            </w:r>
          </w:p>
        </w:tc>
        <w:tc>
          <w:tcPr>
            <w:tcW w:w="1497" w:type="dxa"/>
          </w:tcPr>
          <w:p w14:paraId="08338BAF">
            <w:pPr>
              <w:spacing w:line="360" w:lineRule="auto"/>
              <w:jc w:val="left"/>
              <w:rPr>
                <w:rFonts w:ascii="宋体" w:hAnsi="宋体"/>
                <w:szCs w:val="22"/>
              </w:rPr>
            </w:pPr>
          </w:p>
        </w:tc>
      </w:tr>
      <w:tr w14:paraId="21D2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EC69B37">
            <w:pPr>
              <w:spacing w:line="360" w:lineRule="auto"/>
              <w:jc w:val="center"/>
              <w:rPr>
                <w:rFonts w:ascii="宋体" w:hAnsi="宋体"/>
                <w:szCs w:val="22"/>
              </w:rPr>
            </w:pPr>
            <w:r>
              <w:rPr>
                <w:rFonts w:ascii="宋体" w:hAnsi="宋体" w:cs="宋体"/>
                <w:szCs w:val="22"/>
              </w:rPr>
              <w:t>19</w:t>
            </w:r>
          </w:p>
        </w:tc>
        <w:tc>
          <w:tcPr>
            <w:tcW w:w="2126" w:type="dxa"/>
            <w:vAlign w:val="center"/>
          </w:tcPr>
          <w:p w14:paraId="414C0957">
            <w:pPr>
              <w:spacing w:line="360" w:lineRule="auto"/>
              <w:jc w:val="left"/>
              <w:rPr>
                <w:rFonts w:ascii="宋体" w:hAnsi="宋体"/>
                <w:szCs w:val="22"/>
              </w:rPr>
            </w:pPr>
            <w:r>
              <w:rPr>
                <w:rFonts w:ascii="宋体" w:hAnsi="宋体" w:cs="宋体"/>
                <w:szCs w:val="22"/>
              </w:rPr>
              <w:t>有明显文字和计算错误的内容</w:t>
            </w:r>
          </w:p>
        </w:tc>
        <w:tc>
          <w:tcPr>
            <w:tcW w:w="2835" w:type="dxa"/>
            <w:vAlign w:val="center"/>
          </w:tcPr>
          <w:p w14:paraId="4AB5786F">
            <w:pPr>
              <w:spacing w:line="360" w:lineRule="auto"/>
              <w:jc w:val="left"/>
              <w:rPr>
                <w:rFonts w:ascii="宋体" w:hAnsi="宋体"/>
                <w:szCs w:val="22"/>
              </w:rPr>
            </w:pPr>
            <w:r>
              <w:rPr>
                <w:rFonts w:ascii="宋体" w:hAnsi="宋体" w:cs="宋体"/>
                <w:szCs w:val="22"/>
              </w:rPr>
              <w:t>响应文件存在有明显文字和计算错误的内容的情形。</w:t>
            </w:r>
          </w:p>
        </w:tc>
        <w:tc>
          <w:tcPr>
            <w:tcW w:w="1134" w:type="dxa"/>
            <w:vAlign w:val="center"/>
          </w:tcPr>
          <w:p w14:paraId="176C2D93">
            <w:pPr>
              <w:spacing w:line="360" w:lineRule="auto"/>
              <w:jc w:val="center"/>
              <w:rPr>
                <w:rFonts w:ascii="宋体" w:hAnsi="宋体"/>
                <w:szCs w:val="22"/>
              </w:rPr>
            </w:pPr>
            <w:r>
              <w:rPr>
                <w:rFonts w:ascii="宋体" w:hAnsi="宋体" w:cs="宋体"/>
                <w:szCs w:val="22"/>
              </w:rPr>
              <w:t>重要指标</w:t>
            </w:r>
          </w:p>
        </w:tc>
        <w:tc>
          <w:tcPr>
            <w:tcW w:w="1497" w:type="dxa"/>
          </w:tcPr>
          <w:p w14:paraId="09C51C83">
            <w:pPr>
              <w:spacing w:line="360" w:lineRule="auto"/>
              <w:jc w:val="left"/>
              <w:rPr>
                <w:rFonts w:ascii="宋体" w:hAnsi="宋体"/>
                <w:szCs w:val="22"/>
              </w:rPr>
            </w:pPr>
          </w:p>
        </w:tc>
      </w:tr>
      <w:tr w14:paraId="27D4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609E8764">
            <w:pPr>
              <w:spacing w:line="360" w:lineRule="auto"/>
              <w:jc w:val="center"/>
              <w:rPr>
                <w:rFonts w:ascii="宋体" w:hAnsi="宋体"/>
                <w:szCs w:val="22"/>
              </w:rPr>
            </w:pPr>
            <w:r>
              <w:rPr>
                <w:rFonts w:ascii="宋体" w:hAnsi="宋体" w:cs="宋体"/>
                <w:szCs w:val="22"/>
              </w:rPr>
              <w:t>评审方式：定性；明暗标设定：明标；</w:t>
            </w:r>
          </w:p>
        </w:tc>
      </w:tr>
    </w:tbl>
    <w:p w14:paraId="7ADF28FC">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750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199144D5">
            <w:pPr>
              <w:spacing w:line="360" w:lineRule="auto"/>
              <w:jc w:val="center"/>
              <w:rPr>
                <w:rFonts w:ascii="微软雅黑" w:hAnsi="微软雅黑" w:eastAsia="微软雅黑"/>
                <w:sz w:val="24"/>
              </w:rPr>
            </w:pPr>
            <w:bookmarkStart w:id="669" w:name="定量评审1" w:colFirst="0" w:colLast="0"/>
            <w:r>
              <w:rPr>
                <w:rFonts w:ascii="宋体" w:hAnsi="宋体" w:cs="宋体"/>
                <w:szCs w:val="22"/>
              </w:rPr>
              <w:t>商务部分</w:t>
            </w:r>
          </w:p>
        </w:tc>
      </w:tr>
      <w:bookmarkEnd w:id="669"/>
      <w:tr w14:paraId="0496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78C939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5706054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D0477D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B180AC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3DAB4AD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4F754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056FF8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564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E40B80C">
            <w:pPr>
              <w:spacing w:line="360" w:lineRule="auto"/>
              <w:jc w:val="center"/>
              <w:rPr>
                <w:rFonts w:ascii="宋体" w:hAnsi="宋体"/>
                <w:szCs w:val="22"/>
              </w:rPr>
            </w:pPr>
            <w:r>
              <w:rPr>
                <w:rFonts w:ascii="宋体" w:hAnsi="宋体" w:cs="宋体"/>
                <w:szCs w:val="22"/>
              </w:rPr>
              <w:t>1</w:t>
            </w:r>
          </w:p>
        </w:tc>
        <w:tc>
          <w:tcPr>
            <w:tcW w:w="1276" w:type="dxa"/>
            <w:vAlign w:val="center"/>
          </w:tcPr>
          <w:p w14:paraId="63E16C37">
            <w:pPr>
              <w:spacing w:line="360" w:lineRule="auto"/>
              <w:rPr>
                <w:rFonts w:ascii="宋体" w:hAnsi="宋体"/>
                <w:szCs w:val="22"/>
              </w:rPr>
            </w:pPr>
            <w:r>
              <w:rPr>
                <w:rFonts w:ascii="宋体" w:hAnsi="宋体" w:cs="宋体"/>
                <w:szCs w:val="22"/>
              </w:rPr>
              <w:t>同类案例</w:t>
            </w:r>
          </w:p>
        </w:tc>
        <w:tc>
          <w:tcPr>
            <w:tcW w:w="1559" w:type="dxa"/>
            <w:vAlign w:val="center"/>
          </w:tcPr>
          <w:p w14:paraId="5A015B3C">
            <w:pPr>
              <w:spacing w:line="360" w:lineRule="auto"/>
              <w:rPr>
                <w:rFonts w:ascii="宋体" w:hAnsi="宋体"/>
                <w:szCs w:val="22"/>
              </w:rPr>
            </w:pPr>
            <w:r>
              <w:rPr>
                <w:rFonts w:ascii="宋体" w:hAnsi="宋体" w:cs="宋体"/>
                <w:szCs w:val="22"/>
              </w:rPr>
              <w:t>投标截止前三年内同类项目经验，每提供1份有效业绩得2分，最多得10分。</w:t>
            </w:r>
            <w:r>
              <w:rPr>
                <w:rFonts w:ascii="宋体" w:hAnsi="宋体" w:cs="宋体"/>
                <w:szCs w:val="22"/>
              </w:rPr>
              <w:br w:type="textWrapping"/>
            </w:r>
            <w:r>
              <w:rPr>
                <w:rFonts w:ascii="宋体" w:hAnsi="宋体" w:cs="宋体"/>
                <w:szCs w:val="22"/>
              </w:rPr>
              <w:t>（须提供合同关键页，包含但不限于：合同首页、工程名称、金额所在页、盖章所在页复印件、竣工验收单并加盖公章），否则不得分。</w:t>
            </w:r>
          </w:p>
        </w:tc>
        <w:tc>
          <w:tcPr>
            <w:tcW w:w="1134" w:type="dxa"/>
            <w:vAlign w:val="center"/>
          </w:tcPr>
          <w:p w14:paraId="1EEE531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262B49">
            <w:pPr>
              <w:spacing w:line="360" w:lineRule="auto"/>
              <w:rPr>
                <w:rFonts w:ascii="宋体" w:hAnsi="宋体"/>
                <w:szCs w:val="22"/>
              </w:rPr>
            </w:pPr>
            <w:r>
              <w:rPr>
                <w:rFonts w:ascii="宋体" w:hAnsi="宋体" w:cs="宋体"/>
                <w:szCs w:val="22"/>
              </w:rPr>
              <w:t>最低分：0分，最高分：10分</w:t>
            </w:r>
          </w:p>
        </w:tc>
        <w:tc>
          <w:tcPr>
            <w:tcW w:w="914" w:type="dxa"/>
            <w:vAlign w:val="center"/>
          </w:tcPr>
          <w:p w14:paraId="01160429">
            <w:pPr>
              <w:spacing w:line="360" w:lineRule="auto"/>
              <w:jc w:val="center"/>
              <w:rPr>
                <w:rFonts w:ascii="宋体" w:hAnsi="宋体"/>
                <w:szCs w:val="22"/>
              </w:rPr>
            </w:pPr>
            <w:r>
              <w:rPr>
                <w:rFonts w:ascii="宋体" w:hAnsi="宋体" w:cs="宋体"/>
                <w:szCs w:val="22"/>
              </w:rPr>
              <w:t>10</w:t>
            </w:r>
          </w:p>
        </w:tc>
        <w:tc>
          <w:tcPr>
            <w:tcW w:w="1008" w:type="dxa"/>
            <w:vAlign w:val="center"/>
          </w:tcPr>
          <w:p w14:paraId="44AA59EF">
            <w:pPr>
              <w:spacing w:line="360" w:lineRule="auto"/>
              <w:rPr>
                <w:rFonts w:ascii="宋体" w:hAnsi="宋体"/>
                <w:szCs w:val="22"/>
              </w:rPr>
            </w:pPr>
          </w:p>
        </w:tc>
      </w:tr>
      <w:tr w14:paraId="1ED9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3C9276D">
            <w:pPr>
              <w:spacing w:line="360" w:lineRule="auto"/>
              <w:jc w:val="center"/>
              <w:rPr>
                <w:rFonts w:ascii="宋体" w:hAnsi="宋体"/>
                <w:szCs w:val="22"/>
              </w:rPr>
            </w:pPr>
            <w:r>
              <w:rPr>
                <w:rFonts w:ascii="宋体" w:hAnsi="宋体" w:cs="宋体"/>
                <w:szCs w:val="22"/>
              </w:rPr>
              <w:t>2</w:t>
            </w:r>
          </w:p>
        </w:tc>
        <w:tc>
          <w:tcPr>
            <w:tcW w:w="1276" w:type="dxa"/>
            <w:vAlign w:val="center"/>
          </w:tcPr>
          <w:p w14:paraId="793E57DF">
            <w:pPr>
              <w:spacing w:line="360" w:lineRule="auto"/>
              <w:rPr>
                <w:rFonts w:ascii="宋体" w:hAnsi="宋体"/>
                <w:szCs w:val="22"/>
              </w:rPr>
            </w:pPr>
            <w:r>
              <w:rPr>
                <w:rFonts w:ascii="宋体" w:hAnsi="宋体" w:cs="宋体"/>
                <w:szCs w:val="22"/>
              </w:rPr>
              <w:t>体系认证</w:t>
            </w:r>
          </w:p>
        </w:tc>
        <w:tc>
          <w:tcPr>
            <w:tcW w:w="1559" w:type="dxa"/>
            <w:vAlign w:val="center"/>
          </w:tcPr>
          <w:p w14:paraId="74F7BB29">
            <w:pPr>
              <w:spacing w:line="360" w:lineRule="auto"/>
              <w:rPr>
                <w:rFonts w:ascii="宋体" w:hAnsi="宋体"/>
                <w:szCs w:val="22"/>
              </w:rPr>
            </w:pPr>
            <w:r>
              <w:rPr>
                <w:rFonts w:ascii="宋体" w:hAnsi="宋体" w:cs="宋体"/>
                <w:szCs w:val="22"/>
              </w:rPr>
              <w:t>供应商具有有效期内的质量管理体系认证证书，得1分；供应商具有有效期内的环境管理体系认证证书，得1分；供应商具有有效期内的职业健康管理体系认证，得1分；需提供证书扫描件并加盖供应商公章，否则不得分。</w:t>
            </w:r>
          </w:p>
        </w:tc>
        <w:tc>
          <w:tcPr>
            <w:tcW w:w="1134" w:type="dxa"/>
            <w:vAlign w:val="center"/>
          </w:tcPr>
          <w:p w14:paraId="309328B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15441AF3">
            <w:pPr>
              <w:spacing w:line="360" w:lineRule="auto"/>
              <w:rPr>
                <w:rFonts w:ascii="宋体" w:hAnsi="宋体"/>
                <w:szCs w:val="22"/>
              </w:rPr>
            </w:pPr>
            <w:r>
              <w:rPr>
                <w:rFonts w:ascii="宋体" w:hAnsi="宋体" w:cs="宋体"/>
                <w:szCs w:val="22"/>
              </w:rPr>
              <w:t>最低分：0分，最高分：3分</w:t>
            </w:r>
          </w:p>
        </w:tc>
        <w:tc>
          <w:tcPr>
            <w:tcW w:w="914" w:type="dxa"/>
            <w:vAlign w:val="center"/>
          </w:tcPr>
          <w:p w14:paraId="5BCF2047">
            <w:pPr>
              <w:spacing w:line="360" w:lineRule="auto"/>
              <w:jc w:val="center"/>
              <w:rPr>
                <w:rFonts w:ascii="宋体" w:hAnsi="宋体"/>
                <w:szCs w:val="22"/>
              </w:rPr>
            </w:pPr>
            <w:r>
              <w:rPr>
                <w:rFonts w:ascii="宋体" w:hAnsi="宋体" w:cs="宋体"/>
                <w:szCs w:val="22"/>
              </w:rPr>
              <w:t>3</w:t>
            </w:r>
          </w:p>
        </w:tc>
        <w:tc>
          <w:tcPr>
            <w:tcW w:w="1008" w:type="dxa"/>
            <w:vAlign w:val="center"/>
          </w:tcPr>
          <w:p w14:paraId="559E5D9D">
            <w:pPr>
              <w:spacing w:line="360" w:lineRule="auto"/>
              <w:rPr>
                <w:rFonts w:ascii="宋体" w:hAnsi="宋体"/>
                <w:szCs w:val="22"/>
              </w:rPr>
            </w:pPr>
          </w:p>
        </w:tc>
      </w:tr>
      <w:tr w14:paraId="34138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AE769F3">
            <w:pPr>
              <w:spacing w:line="360" w:lineRule="auto"/>
              <w:jc w:val="center"/>
              <w:rPr>
                <w:rFonts w:ascii="宋体" w:hAnsi="宋体"/>
                <w:szCs w:val="22"/>
              </w:rPr>
            </w:pPr>
            <w:r>
              <w:rPr>
                <w:rFonts w:ascii="宋体" w:hAnsi="宋体" w:cs="宋体"/>
                <w:szCs w:val="22"/>
              </w:rPr>
              <w:t>3</w:t>
            </w:r>
          </w:p>
        </w:tc>
        <w:tc>
          <w:tcPr>
            <w:tcW w:w="1276" w:type="dxa"/>
            <w:vAlign w:val="center"/>
          </w:tcPr>
          <w:p w14:paraId="046B1CCC">
            <w:pPr>
              <w:spacing w:line="360" w:lineRule="auto"/>
              <w:rPr>
                <w:rFonts w:ascii="宋体" w:hAnsi="宋体"/>
                <w:szCs w:val="22"/>
              </w:rPr>
            </w:pPr>
            <w:r>
              <w:rPr>
                <w:rFonts w:ascii="宋体" w:hAnsi="宋体" w:cs="宋体"/>
                <w:szCs w:val="22"/>
              </w:rPr>
              <w:t>现场组织管理机构</w:t>
            </w:r>
          </w:p>
        </w:tc>
        <w:tc>
          <w:tcPr>
            <w:tcW w:w="1559" w:type="dxa"/>
            <w:vAlign w:val="center"/>
          </w:tcPr>
          <w:p w14:paraId="3B98A100">
            <w:pPr>
              <w:spacing w:line="360" w:lineRule="auto"/>
              <w:rPr>
                <w:rFonts w:ascii="宋体" w:hAnsi="宋体"/>
                <w:szCs w:val="22"/>
              </w:rPr>
            </w:pPr>
            <w:r>
              <w:rPr>
                <w:rFonts w:ascii="宋体" w:hAnsi="宋体" w:cs="宋体"/>
                <w:szCs w:val="22"/>
              </w:rPr>
              <w:t>管理机构完整，人员丰富，职责明确得5分；</w:t>
            </w:r>
            <w:r>
              <w:rPr>
                <w:rFonts w:ascii="宋体" w:hAnsi="宋体" w:cs="宋体"/>
                <w:szCs w:val="22"/>
              </w:rPr>
              <w:cr/>
            </w:r>
            <w:r>
              <w:rPr>
                <w:rFonts w:ascii="宋体" w:hAnsi="宋体" w:cs="宋体"/>
                <w:szCs w:val="22"/>
              </w:rPr>
              <w:t>管理机构完整，人员一般，职责分工一般得3分；</w:t>
            </w:r>
            <w:r>
              <w:rPr>
                <w:rFonts w:ascii="宋体" w:hAnsi="宋体" w:cs="宋体"/>
                <w:szCs w:val="22"/>
              </w:rPr>
              <w:cr/>
            </w:r>
            <w:r>
              <w:rPr>
                <w:rFonts w:ascii="宋体" w:hAnsi="宋体" w:cs="宋体"/>
                <w:szCs w:val="22"/>
              </w:rPr>
              <w:t>管理机构欠缺，人员分工不明确或不完整得1分；</w:t>
            </w:r>
            <w:r>
              <w:rPr>
                <w:rFonts w:ascii="宋体" w:hAnsi="宋体" w:cs="宋体"/>
                <w:szCs w:val="22"/>
              </w:rPr>
              <w:cr/>
            </w:r>
            <w:r>
              <w:rPr>
                <w:rFonts w:ascii="宋体" w:hAnsi="宋体" w:cs="宋体"/>
                <w:szCs w:val="22"/>
              </w:rPr>
              <w:t>没有不得分。</w:t>
            </w:r>
          </w:p>
        </w:tc>
        <w:tc>
          <w:tcPr>
            <w:tcW w:w="1134" w:type="dxa"/>
            <w:vAlign w:val="center"/>
          </w:tcPr>
          <w:p w14:paraId="4B2ECA10">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D9FE71A">
            <w:pPr>
              <w:spacing w:line="360" w:lineRule="auto"/>
              <w:rPr>
                <w:rFonts w:ascii="宋体" w:hAnsi="宋体"/>
                <w:szCs w:val="22"/>
              </w:rPr>
            </w:pPr>
            <w:r>
              <w:rPr>
                <w:rFonts w:ascii="宋体" w:hAnsi="宋体" w:cs="宋体"/>
                <w:szCs w:val="22"/>
              </w:rPr>
              <w:t>最低分：0分，最高分：5分</w:t>
            </w:r>
          </w:p>
        </w:tc>
        <w:tc>
          <w:tcPr>
            <w:tcW w:w="914" w:type="dxa"/>
            <w:vAlign w:val="center"/>
          </w:tcPr>
          <w:p w14:paraId="0F622DF2">
            <w:pPr>
              <w:spacing w:line="360" w:lineRule="auto"/>
              <w:jc w:val="center"/>
              <w:rPr>
                <w:rFonts w:ascii="宋体" w:hAnsi="宋体"/>
                <w:szCs w:val="22"/>
              </w:rPr>
            </w:pPr>
            <w:r>
              <w:rPr>
                <w:rFonts w:ascii="宋体" w:hAnsi="宋体" w:cs="宋体"/>
                <w:szCs w:val="22"/>
              </w:rPr>
              <w:t>5</w:t>
            </w:r>
          </w:p>
        </w:tc>
        <w:tc>
          <w:tcPr>
            <w:tcW w:w="1008" w:type="dxa"/>
            <w:vAlign w:val="center"/>
          </w:tcPr>
          <w:p w14:paraId="7C345679">
            <w:pPr>
              <w:spacing w:line="360" w:lineRule="auto"/>
              <w:rPr>
                <w:rFonts w:ascii="宋体" w:hAnsi="宋体"/>
                <w:szCs w:val="22"/>
              </w:rPr>
            </w:pPr>
          </w:p>
        </w:tc>
      </w:tr>
      <w:tr w14:paraId="7624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7969023">
            <w:pPr>
              <w:spacing w:line="360" w:lineRule="auto"/>
              <w:jc w:val="center"/>
              <w:rPr>
                <w:rFonts w:ascii="宋体" w:hAnsi="宋体"/>
                <w:szCs w:val="22"/>
              </w:rPr>
            </w:pPr>
            <w:r>
              <w:rPr>
                <w:rFonts w:ascii="宋体" w:hAnsi="宋体" w:cs="宋体"/>
                <w:szCs w:val="22"/>
              </w:rPr>
              <w:t>评审方式：定量；明暗标设定：明标；满分：18分；</w:t>
            </w:r>
          </w:p>
        </w:tc>
      </w:tr>
    </w:tbl>
    <w:p w14:paraId="4E507A17">
      <w:pPr>
        <w:widowControl/>
        <w:jc w:val="left"/>
        <w:rPr>
          <w:rFonts w:ascii="等线" w:hAnsi="等线" w:eastAsia="等线"/>
          <w:szCs w:val="22"/>
        </w:rPr>
      </w:pPr>
    </w:p>
    <w:p w14:paraId="4708872A">
      <w:pPr>
        <w:widowControl/>
        <w:jc w:val="left"/>
        <w:rPr>
          <w:rFonts w:ascii="等线" w:hAnsi="等线" w:eastAsia="等线"/>
          <w:szCs w:val="22"/>
        </w:rPr>
      </w:pPr>
    </w:p>
    <w:p w14:paraId="650AA7C0">
      <w:pPr>
        <w:widowControl/>
        <w:jc w:val="left"/>
        <w:rPr>
          <w:rFonts w:ascii="等线" w:hAnsi="等线" w:eastAsia="等线"/>
          <w:szCs w:val="22"/>
        </w:rPr>
      </w:pPr>
    </w:p>
    <w:tbl>
      <w:tblPr>
        <w:tblStyle w:val="2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2CD75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30A6BB08">
            <w:pPr>
              <w:spacing w:line="360" w:lineRule="auto"/>
              <w:jc w:val="center"/>
              <w:rPr>
                <w:rFonts w:ascii="微软雅黑" w:hAnsi="微软雅黑" w:eastAsia="微软雅黑"/>
                <w:sz w:val="24"/>
              </w:rPr>
            </w:pPr>
            <w:r>
              <w:rPr>
                <w:rFonts w:ascii="宋体" w:hAnsi="宋体" w:cs="宋体"/>
                <w:szCs w:val="22"/>
              </w:rPr>
              <w:t>技术部分</w:t>
            </w:r>
          </w:p>
        </w:tc>
      </w:tr>
      <w:tr w14:paraId="4CA3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6BC39A0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189689F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2CF041F">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1C4B8A16">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19FE0AF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1FAF5E0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F04A0C5">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10FB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27177F9">
            <w:pPr>
              <w:spacing w:line="360" w:lineRule="auto"/>
              <w:jc w:val="center"/>
              <w:rPr>
                <w:rFonts w:ascii="宋体" w:hAnsi="宋体"/>
                <w:szCs w:val="22"/>
              </w:rPr>
            </w:pPr>
            <w:r>
              <w:rPr>
                <w:rFonts w:ascii="宋体" w:hAnsi="宋体" w:cs="宋体"/>
                <w:szCs w:val="22"/>
              </w:rPr>
              <w:t>1</w:t>
            </w:r>
          </w:p>
        </w:tc>
        <w:tc>
          <w:tcPr>
            <w:tcW w:w="1276" w:type="dxa"/>
            <w:vAlign w:val="center"/>
          </w:tcPr>
          <w:p w14:paraId="79668458">
            <w:pPr>
              <w:spacing w:line="360" w:lineRule="auto"/>
              <w:rPr>
                <w:rFonts w:ascii="宋体" w:hAnsi="宋体"/>
                <w:szCs w:val="22"/>
              </w:rPr>
            </w:pPr>
            <w:r>
              <w:rPr>
                <w:rFonts w:ascii="宋体" w:hAnsi="宋体" w:cs="宋体"/>
                <w:szCs w:val="22"/>
              </w:rPr>
              <w:t>施工方案与技术措施</w:t>
            </w:r>
          </w:p>
        </w:tc>
        <w:tc>
          <w:tcPr>
            <w:tcW w:w="1559" w:type="dxa"/>
            <w:vAlign w:val="center"/>
          </w:tcPr>
          <w:p w14:paraId="53972204">
            <w:pPr>
              <w:spacing w:line="360" w:lineRule="auto"/>
              <w:rPr>
                <w:rFonts w:ascii="宋体" w:hAnsi="宋体"/>
                <w:szCs w:val="22"/>
              </w:rPr>
            </w:pPr>
            <w:r>
              <w:rPr>
                <w:rFonts w:ascii="宋体" w:hAnsi="宋体" w:cs="宋体"/>
                <w:szCs w:val="22"/>
              </w:rPr>
              <w:t>方案详细，科学合理，有针对性得7分；方案一般，通用，针对性不强得4分；内容有欠缺，不完全满足项目要求得1分；没有不得分。</w:t>
            </w:r>
          </w:p>
        </w:tc>
        <w:tc>
          <w:tcPr>
            <w:tcW w:w="1134" w:type="dxa"/>
            <w:vAlign w:val="center"/>
          </w:tcPr>
          <w:p w14:paraId="2875AE3F">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39A109D">
            <w:pPr>
              <w:spacing w:line="360" w:lineRule="auto"/>
              <w:rPr>
                <w:rFonts w:ascii="宋体" w:hAnsi="宋体"/>
                <w:szCs w:val="22"/>
              </w:rPr>
            </w:pPr>
            <w:r>
              <w:rPr>
                <w:rFonts w:ascii="宋体" w:hAnsi="宋体" w:cs="宋体"/>
                <w:szCs w:val="22"/>
              </w:rPr>
              <w:t>最低分：0分，最高分：7分</w:t>
            </w:r>
          </w:p>
        </w:tc>
        <w:tc>
          <w:tcPr>
            <w:tcW w:w="914" w:type="dxa"/>
            <w:vAlign w:val="center"/>
          </w:tcPr>
          <w:p w14:paraId="7F827176">
            <w:pPr>
              <w:spacing w:line="360" w:lineRule="auto"/>
              <w:jc w:val="center"/>
              <w:rPr>
                <w:rFonts w:ascii="宋体" w:hAnsi="宋体"/>
                <w:szCs w:val="22"/>
              </w:rPr>
            </w:pPr>
            <w:r>
              <w:rPr>
                <w:rFonts w:ascii="宋体" w:hAnsi="宋体" w:cs="宋体"/>
                <w:szCs w:val="22"/>
              </w:rPr>
              <w:t>7</w:t>
            </w:r>
          </w:p>
        </w:tc>
        <w:tc>
          <w:tcPr>
            <w:tcW w:w="1008" w:type="dxa"/>
            <w:vAlign w:val="center"/>
          </w:tcPr>
          <w:p w14:paraId="55BE9401">
            <w:pPr>
              <w:spacing w:line="360" w:lineRule="auto"/>
              <w:rPr>
                <w:rFonts w:ascii="宋体" w:hAnsi="宋体"/>
                <w:szCs w:val="22"/>
              </w:rPr>
            </w:pPr>
          </w:p>
        </w:tc>
      </w:tr>
      <w:tr w14:paraId="7ADB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BB44F8A">
            <w:pPr>
              <w:spacing w:line="360" w:lineRule="auto"/>
              <w:jc w:val="center"/>
              <w:rPr>
                <w:rFonts w:ascii="宋体" w:hAnsi="宋体"/>
                <w:szCs w:val="22"/>
              </w:rPr>
            </w:pPr>
            <w:r>
              <w:rPr>
                <w:rFonts w:ascii="宋体" w:hAnsi="宋体" w:cs="宋体"/>
                <w:szCs w:val="22"/>
              </w:rPr>
              <w:t>2</w:t>
            </w:r>
          </w:p>
        </w:tc>
        <w:tc>
          <w:tcPr>
            <w:tcW w:w="1276" w:type="dxa"/>
            <w:vAlign w:val="center"/>
          </w:tcPr>
          <w:p w14:paraId="7817BB68">
            <w:pPr>
              <w:spacing w:line="360" w:lineRule="auto"/>
              <w:rPr>
                <w:rFonts w:ascii="宋体" w:hAnsi="宋体"/>
                <w:szCs w:val="22"/>
              </w:rPr>
            </w:pPr>
            <w:r>
              <w:rPr>
                <w:rFonts w:ascii="宋体" w:hAnsi="宋体" w:cs="宋体"/>
                <w:szCs w:val="22"/>
              </w:rPr>
              <w:t>质量管理体系与保证措施</w:t>
            </w:r>
          </w:p>
        </w:tc>
        <w:tc>
          <w:tcPr>
            <w:tcW w:w="1559" w:type="dxa"/>
            <w:vAlign w:val="center"/>
          </w:tcPr>
          <w:p w14:paraId="3BBC2B05">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621C7BDF">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598CA3F">
            <w:pPr>
              <w:spacing w:line="360" w:lineRule="auto"/>
              <w:rPr>
                <w:rFonts w:ascii="宋体" w:hAnsi="宋体"/>
                <w:szCs w:val="22"/>
              </w:rPr>
            </w:pPr>
            <w:r>
              <w:rPr>
                <w:rFonts w:ascii="宋体" w:hAnsi="宋体" w:cs="宋体"/>
                <w:szCs w:val="22"/>
              </w:rPr>
              <w:t>最低分：0分，最高分：5分</w:t>
            </w:r>
          </w:p>
        </w:tc>
        <w:tc>
          <w:tcPr>
            <w:tcW w:w="914" w:type="dxa"/>
            <w:vAlign w:val="center"/>
          </w:tcPr>
          <w:p w14:paraId="3FFEF565">
            <w:pPr>
              <w:spacing w:line="360" w:lineRule="auto"/>
              <w:jc w:val="center"/>
              <w:rPr>
                <w:rFonts w:ascii="宋体" w:hAnsi="宋体"/>
                <w:szCs w:val="22"/>
              </w:rPr>
            </w:pPr>
            <w:r>
              <w:rPr>
                <w:rFonts w:ascii="宋体" w:hAnsi="宋体" w:cs="宋体"/>
                <w:szCs w:val="22"/>
              </w:rPr>
              <w:t>5</w:t>
            </w:r>
          </w:p>
        </w:tc>
        <w:tc>
          <w:tcPr>
            <w:tcW w:w="1008" w:type="dxa"/>
            <w:vAlign w:val="center"/>
          </w:tcPr>
          <w:p w14:paraId="799A8EE8">
            <w:pPr>
              <w:spacing w:line="360" w:lineRule="auto"/>
              <w:rPr>
                <w:rFonts w:ascii="宋体" w:hAnsi="宋体"/>
                <w:szCs w:val="22"/>
              </w:rPr>
            </w:pPr>
          </w:p>
        </w:tc>
      </w:tr>
      <w:tr w14:paraId="25BD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C3154DB">
            <w:pPr>
              <w:spacing w:line="360" w:lineRule="auto"/>
              <w:jc w:val="center"/>
              <w:rPr>
                <w:rFonts w:ascii="宋体" w:hAnsi="宋体"/>
                <w:szCs w:val="22"/>
              </w:rPr>
            </w:pPr>
            <w:r>
              <w:rPr>
                <w:rFonts w:ascii="宋体" w:hAnsi="宋体" w:cs="宋体"/>
                <w:szCs w:val="22"/>
              </w:rPr>
              <w:t>3</w:t>
            </w:r>
          </w:p>
        </w:tc>
        <w:tc>
          <w:tcPr>
            <w:tcW w:w="1276" w:type="dxa"/>
            <w:vAlign w:val="center"/>
          </w:tcPr>
          <w:p w14:paraId="08758658">
            <w:pPr>
              <w:spacing w:line="360" w:lineRule="auto"/>
              <w:rPr>
                <w:rFonts w:ascii="宋体" w:hAnsi="宋体"/>
                <w:szCs w:val="22"/>
              </w:rPr>
            </w:pPr>
            <w:r>
              <w:rPr>
                <w:rFonts w:ascii="宋体" w:hAnsi="宋体" w:cs="宋体"/>
                <w:szCs w:val="22"/>
              </w:rPr>
              <w:t>安全和绿色施工保障措施</w:t>
            </w:r>
          </w:p>
        </w:tc>
        <w:tc>
          <w:tcPr>
            <w:tcW w:w="1559" w:type="dxa"/>
            <w:vAlign w:val="center"/>
          </w:tcPr>
          <w:p w14:paraId="181229E2">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00EB075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4F1624D">
            <w:pPr>
              <w:spacing w:line="360" w:lineRule="auto"/>
              <w:rPr>
                <w:rFonts w:ascii="宋体" w:hAnsi="宋体"/>
                <w:szCs w:val="22"/>
              </w:rPr>
            </w:pPr>
            <w:r>
              <w:rPr>
                <w:rFonts w:ascii="宋体" w:hAnsi="宋体" w:cs="宋体"/>
                <w:szCs w:val="22"/>
              </w:rPr>
              <w:t>最低分：0分，最高分：5分</w:t>
            </w:r>
          </w:p>
        </w:tc>
        <w:tc>
          <w:tcPr>
            <w:tcW w:w="914" w:type="dxa"/>
            <w:vAlign w:val="center"/>
          </w:tcPr>
          <w:p w14:paraId="720C4DBB">
            <w:pPr>
              <w:spacing w:line="360" w:lineRule="auto"/>
              <w:jc w:val="center"/>
              <w:rPr>
                <w:rFonts w:ascii="宋体" w:hAnsi="宋体"/>
                <w:szCs w:val="22"/>
              </w:rPr>
            </w:pPr>
            <w:r>
              <w:rPr>
                <w:rFonts w:ascii="宋体" w:hAnsi="宋体" w:cs="宋体"/>
                <w:szCs w:val="22"/>
              </w:rPr>
              <w:t>5</w:t>
            </w:r>
          </w:p>
        </w:tc>
        <w:tc>
          <w:tcPr>
            <w:tcW w:w="1008" w:type="dxa"/>
            <w:vAlign w:val="center"/>
          </w:tcPr>
          <w:p w14:paraId="665C3759">
            <w:pPr>
              <w:spacing w:line="360" w:lineRule="auto"/>
              <w:rPr>
                <w:rFonts w:ascii="宋体" w:hAnsi="宋体"/>
                <w:szCs w:val="22"/>
              </w:rPr>
            </w:pPr>
          </w:p>
        </w:tc>
      </w:tr>
      <w:tr w14:paraId="2E67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8C36D9E">
            <w:pPr>
              <w:spacing w:line="360" w:lineRule="auto"/>
              <w:jc w:val="center"/>
              <w:rPr>
                <w:rFonts w:ascii="宋体" w:hAnsi="宋体"/>
                <w:szCs w:val="22"/>
              </w:rPr>
            </w:pPr>
            <w:r>
              <w:rPr>
                <w:rFonts w:ascii="宋体" w:hAnsi="宋体" w:cs="宋体"/>
                <w:szCs w:val="22"/>
              </w:rPr>
              <w:t>4</w:t>
            </w:r>
          </w:p>
        </w:tc>
        <w:tc>
          <w:tcPr>
            <w:tcW w:w="1276" w:type="dxa"/>
            <w:vAlign w:val="center"/>
          </w:tcPr>
          <w:p w14:paraId="02121AE5">
            <w:pPr>
              <w:spacing w:line="360" w:lineRule="auto"/>
              <w:rPr>
                <w:rFonts w:ascii="宋体" w:hAnsi="宋体"/>
                <w:szCs w:val="22"/>
              </w:rPr>
            </w:pPr>
            <w:r>
              <w:rPr>
                <w:rFonts w:ascii="宋体" w:hAnsi="宋体" w:cs="宋体"/>
                <w:szCs w:val="22"/>
              </w:rPr>
              <w:t>进度计划及保障措施</w:t>
            </w:r>
          </w:p>
        </w:tc>
        <w:tc>
          <w:tcPr>
            <w:tcW w:w="1559" w:type="dxa"/>
            <w:vAlign w:val="center"/>
          </w:tcPr>
          <w:p w14:paraId="190D4EE7">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5D87BFF9">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09A63EA">
            <w:pPr>
              <w:spacing w:line="360" w:lineRule="auto"/>
              <w:rPr>
                <w:rFonts w:ascii="宋体" w:hAnsi="宋体"/>
                <w:szCs w:val="22"/>
              </w:rPr>
            </w:pPr>
            <w:r>
              <w:rPr>
                <w:rFonts w:ascii="宋体" w:hAnsi="宋体" w:cs="宋体"/>
                <w:szCs w:val="22"/>
              </w:rPr>
              <w:t>最低分：0分，最高分：5分</w:t>
            </w:r>
          </w:p>
        </w:tc>
        <w:tc>
          <w:tcPr>
            <w:tcW w:w="914" w:type="dxa"/>
            <w:vAlign w:val="center"/>
          </w:tcPr>
          <w:p w14:paraId="61313E1B">
            <w:pPr>
              <w:spacing w:line="360" w:lineRule="auto"/>
              <w:jc w:val="center"/>
              <w:rPr>
                <w:rFonts w:ascii="宋体" w:hAnsi="宋体"/>
                <w:szCs w:val="22"/>
              </w:rPr>
            </w:pPr>
            <w:r>
              <w:rPr>
                <w:rFonts w:ascii="宋体" w:hAnsi="宋体" w:cs="宋体"/>
                <w:szCs w:val="22"/>
              </w:rPr>
              <w:t>5</w:t>
            </w:r>
          </w:p>
        </w:tc>
        <w:tc>
          <w:tcPr>
            <w:tcW w:w="1008" w:type="dxa"/>
            <w:vAlign w:val="center"/>
          </w:tcPr>
          <w:p w14:paraId="5ACD93C1">
            <w:pPr>
              <w:spacing w:line="360" w:lineRule="auto"/>
              <w:rPr>
                <w:rFonts w:ascii="宋体" w:hAnsi="宋体"/>
                <w:szCs w:val="22"/>
              </w:rPr>
            </w:pPr>
          </w:p>
        </w:tc>
      </w:tr>
      <w:tr w14:paraId="4A30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56C88D6">
            <w:pPr>
              <w:spacing w:line="360" w:lineRule="auto"/>
              <w:jc w:val="center"/>
              <w:rPr>
                <w:rFonts w:ascii="宋体" w:hAnsi="宋体"/>
                <w:szCs w:val="22"/>
              </w:rPr>
            </w:pPr>
            <w:r>
              <w:rPr>
                <w:rFonts w:ascii="宋体" w:hAnsi="宋体" w:cs="宋体"/>
                <w:szCs w:val="22"/>
              </w:rPr>
              <w:t>5</w:t>
            </w:r>
          </w:p>
        </w:tc>
        <w:tc>
          <w:tcPr>
            <w:tcW w:w="1276" w:type="dxa"/>
            <w:vAlign w:val="center"/>
          </w:tcPr>
          <w:p w14:paraId="4FB0E80A">
            <w:pPr>
              <w:spacing w:line="360" w:lineRule="auto"/>
              <w:rPr>
                <w:rFonts w:ascii="宋体" w:hAnsi="宋体"/>
                <w:szCs w:val="22"/>
              </w:rPr>
            </w:pPr>
            <w:r>
              <w:rPr>
                <w:rFonts w:ascii="宋体" w:hAnsi="宋体" w:cs="宋体"/>
                <w:szCs w:val="22"/>
              </w:rPr>
              <w:t>定位和测量放线施工方案</w:t>
            </w:r>
          </w:p>
        </w:tc>
        <w:tc>
          <w:tcPr>
            <w:tcW w:w="1559" w:type="dxa"/>
            <w:vAlign w:val="center"/>
          </w:tcPr>
          <w:p w14:paraId="73E9AA45">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738822B7">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1CD57C56">
            <w:pPr>
              <w:spacing w:line="360" w:lineRule="auto"/>
              <w:rPr>
                <w:rFonts w:ascii="宋体" w:hAnsi="宋体"/>
                <w:szCs w:val="22"/>
              </w:rPr>
            </w:pPr>
            <w:r>
              <w:rPr>
                <w:rFonts w:ascii="宋体" w:hAnsi="宋体" w:cs="宋体"/>
                <w:szCs w:val="22"/>
              </w:rPr>
              <w:t>最低分：0分，最高分：5分</w:t>
            </w:r>
          </w:p>
        </w:tc>
        <w:tc>
          <w:tcPr>
            <w:tcW w:w="914" w:type="dxa"/>
            <w:vAlign w:val="center"/>
          </w:tcPr>
          <w:p w14:paraId="056D6249">
            <w:pPr>
              <w:spacing w:line="360" w:lineRule="auto"/>
              <w:jc w:val="center"/>
              <w:rPr>
                <w:rFonts w:ascii="宋体" w:hAnsi="宋体"/>
                <w:szCs w:val="22"/>
              </w:rPr>
            </w:pPr>
            <w:r>
              <w:rPr>
                <w:rFonts w:ascii="宋体" w:hAnsi="宋体" w:cs="宋体"/>
                <w:szCs w:val="22"/>
              </w:rPr>
              <w:t>5</w:t>
            </w:r>
          </w:p>
        </w:tc>
        <w:tc>
          <w:tcPr>
            <w:tcW w:w="1008" w:type="dxa"/>
            <w:vAlign w:val="center"/>
          </w:tcPr>
          <w:p w14:paraId="1AD82279">
            <w:pPr>
              <w:spacing w:line="360" w:lineRule="auto"/>
              <w:rPr>
                <w:rFonts w:ascii="宋体" w:hAnsi="宋体"/>
                <w:szCs w:val="22"/>
              </w:rPr>
            </w:pPr>
          </w:p>
        </w:tc>
      </w:tr>
      <w:tr w14:paraId="4C9C0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92B001">
            <w:pPr>
              <w:spacing w:line="360" w:lineRule="auto"/>
              <w:jc w:val="center"/>
              <w:rPr>
                <w:rFonts w:ascii="宋体" w:hAnsi="宋体"/>
                <w:szCs w:val="22"/>
              </w:rPr>
            </w:pPr>
            <w:r>
              <w:rPr>
                <w:rFonts w:ascii="宋体" w:hAnsi="宋体" w:cs="宋体"/>
                <w:szCs w:val="22"/>
              </w:rPr>
              <w:t>6</w:t>
            </w:r>
          </w:p>
        </w:tc>
        <w:tc>
          <w:tcPr>
            <w:tcW w:w="1276" w:type="dxa"/>
            <w:vAlign w:val="center"/>
          </w:tcPr>
          <w:p w14:paraId="1B6C917D">
            <w:pPr>
              <w:spacing w:line="360" w:lineRule="auto"/>
              <w:rPr>
                <w:rFonts w:ascii="宋体" w:hAnsi="宋体"/>
                <w:szCs w:val="22"/>
              </w:rPr>
            </w:pPr>
            <w:r>
              <w:rPr>
                <w:rFonts w:ascii="宋体" w:hAnsi="宋体" w:cs="宋体"/>
                <w:szCs w:val="22"/>
              </w:rPr>
              <w:t>消防、保卫方案</w:t>
            </w:r>
          </w:p>
        </w:tc>
        <w:tc>
          <w:tcPr>
            <w:tcW w:w="1559" w:type="dxa"/>
            <w:vAlign w:val="center"/>
          </w:tcPr>
          <w:p w14:paraId="581E1AD6">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175165C8">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4CC107C4">
            <w:pPr>
              <w:spacing w:line="360" w:lineRule="auto"/>
              <w:rPr>
                <w:rFonts w:ascii="宋体" w:hAnsi="宋体"/>
                <w:szCs w:val="22"/>
              </w:rPr>
            </w:pPr>
            <w:r>
              <w:rPr>
                <w:rFonts w:ascii="宋体" w:hAnsi="宋体" w:cs="宋体"/>
                <w:szCs w:val="22"/>
              </w:rPr>
              <w:t>最低分：0分，最高分：5分</w:t>
            </w:r>
          </w:p>
        </w:tc>
        <w:tc>
          <w:tcPr>
            <w:tcW w:w="914" w:type="dxa"/>
            <w:vAlign w:val="center"/>
          </w:tcPr>
          <w:p w14:paraId="43373BB9">
            <w:pPr>
              <w:spacing w:line="360" w:lineRule="auto"/>
              <w:jc w:val="center"/>
              <w:rPr>
                <w:rFonts w:ascii="宋体" w:hAnsi="宋体"/>
                <w:szCs w:val="22"/>
              </w:rPr>
            </w:pPr>
            <w:r>
              <w:rPr>
                <w:rFonts w:ascii="宋体" w:hAnsi="宋体" w:cs="宋体"/>
                <w:szCs w:val="22"/>
              </w:rPr>
              <w:t>5</w:t>
            </w:r>
          </w:p>
        </w:tc>
        <w:tc>
          <w:tcPr>
            <w:tcW w:w="1008" w:type="dxa"/>
            <w:vAlign w:val="center"/>
          </w:tcPr>
          <w:p w14:paraId="550094CC">
            <w:pPr>
              <w:spacing w:line="360" w:lineRule="auto"/>
              <w:rPr>
                <w:rFonts w:ascii="宋体" w:hAnsi="宋体"/>
                <w:szCs w:val="22"/>
              </w:rPr>
            </w:pPr>
          </w:p>
        </w:tc>
      </w:tr>
      <w:tr w14:paraId="2D836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270D7EF">
            <w:pPr>
              <w:spacing w:line="360" w:lineRule="auto"/>
              <w:jc w:val="center"/>
              <w:rPr>
                <w:rFonts w:ascii="宋体" w:hAnsi="宋体"/>
                <w:szCs w:val="22"/>
              </w:rPr>
            </w:pPr>
            <w:r>
              <w:rPr>
                <w:rFonts w:ascii="宋体" w:hAnsi="宋体" w:cs="宋体"/>
                <w:szCs w:val="22"/>
              </w:rPr>
              <w:t>7</w:t>
            </w:r>
          </w:p>
        </w:tc>
        <w:tc>
          <w:tcPr>
            <w:tcW w:w="1276" w:type="dxa"/>
            <w:vAlign w:val="center"/>
          </w:tcPr>
          <w:p w14:paraId="10E1F0CA">
            <w:pPr>
              <w:spacing w:line="360" w:lineRule="auto"/>
              <w:rPr>
                <w:rFonts w:ascii="宋体" w:hAnsi="宋体"/>
                <w:szCs w:val="22"/>
              </w:rPr>
            </w:pPr>
            <w:r>
              <w:rPr>
                <w:rFonts w:ascii="宋体" w:hAnsi="宋体" w:cs="宋体"/>
                <w:szCs w:val="22"/>
              </w:rPr>
              <w:t>季节性施工方案</w:t>
            </w:r>
          </w:p>
        </w:tc>
        <w:tc>
          <w:tcPr>
            <w:tcW w:w="1559" w:type="dxa"/>
            <w:vAlign w:val="center"/>
          </w:tcPr>
          <w:p w14:paraId="36E133A3">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6F06C461">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76BBA60C">
            <w:pPr>
              <w:spacing w:line="360" w:lineRule="auto"/>
              <w:rPr>
                <w:rFonts w:ascii="宋体" w:hAnsi="宋体"/>
                <w:szCs w:val="22"/>
              </w:rPr>
            </w:pPr>
            <w:r>
              <w:rPr>
                <w:rFonts w:ascii="宋体" w:hAnsi="宋体" w:cs="宋体"/>
                <w:szCs w:val="22"/>
              </w:rPr>
              <w:t>最低分：0分，最高分：5分</w:t>
            </w:r>
          </w:p>
        </w:tc>
        <w:tc>
          <w:tcPr>
            <w:tcW w:w="914" w:type="dxa"/>
            <w:vAlign w:val="center"/>
          </w:tcPr>
          <w:p w14:paraId="12126462">
            <w:pPr>
              <w:spacing w:line="360" w:lineRule="auto"/>
              <w:jc w:val="center"/>
              <w:rPr>
                <w:rFonts w:ascii="宋体" w:hAnsi="宋体"/>
                <w:szCs w:val="22"/>
              </w:rPr>
            </w:pPr>
            <w:r>
              <w:rPr>
                <w:rFonts w:ascii="宋体" w:hAnsi="宋体" w:cs="宋体"/>
                <w:szCs w:val="22"/>
              </w:rPr>
              <w:t>5</w:t>
            </w:r>
          </w:p>
        </w:tc>
        <w:tc>
          <w:tcPr>
            <w:tcW w:w="1008" w:type="dxa"/>
            <w:vAlign w:val="center"/>
          </w:tcPr>
          <w:p w14:paraId="0BA0AC7B">
            <w:pPr>
              <w:spacing w:line="360" w:lineRule="auto"/>
              <w:rPr>
                <w:rFonts w:ascii="宋体" w:hAnsi="宋体"/>
                <w:szCs w:val="22"/>
              </w:rPr>
            </w:pPr>
          </w:p>
        </w:tc>
      </w:tr>
      <w:tr w14:paraId="1EB8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B7814CB">
            <w:pPr>
              <w:spacing w:line="360" w:lineRule="auto"/>
              <w:jc w:val="center"/>
              <w:rPr>
                <w:rFonts w:ascii="宋体" w:hAnsi="宋体"/>
                <w:szCs w:val="22"/>
              </w:rPr>
            </w:pPr>
            <w:r>
              <w:rPr>
                <w:rFonts w:ascii="宋体" w:hAnsi="宋体" w:cs="宋体"/>
                <w:szCs w:val="22"/>
              </w:rPr>
              <w:t>8</w:t>
            </w:r>
          </w:p>
        </w:tc>
        <w:tc>
          <w:tcPr>
            <w:tcW w:w="1276" w:type="dxa"/>
            <w:vAlign w:val="center"/>
          </w:tcPr>
          <w:p w14:paraId="70A55AB1">
            <w:pPr>
              <w:spacing w:line="360" w:lineRule="auto"/>
              <w:rPr>
                <w:rFonts w:ascii="宋体" w:hAnsi="宋体"/>
                <w:szCs w:val="22"/>
              </w:rPr>
            </w:pPr>
            <w:r>
              <w:rPr>
                <w:rFonts w:ascii="宋体" w:hAnsi="宋体" w:cs="宋体"/>
                <w:szCs w:val="22"/>
              </w:rPr>
              <w:t>施工现场总平面布置</w:t>
            </w:r>
          </w:p>
        </w:tc>
        <w:tc>
          <w:tcPr>
            <w:tcW w:w="1559" w:type="dxa"/>
            <w:vAlign w:val="center"/>
          </w:tcPr>
          <w:p w14:paraId="7622BED7">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5EEB1062">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BDCB9BE">
            <w:pPr>
              <w:spacing w:line="360" w:lineRule="auto"/>
              <w:rPr>
                <w:rFonts w:ascii="宋体" w:hAnsi="宋体"/>
                <w:szCs w:val="22"/>
              </w:rPr>
            </w:pPr>
            <w:r>
              <w:rPr>
                <w:rFonts w:ascii="宋体" w:hAnsi="宋体" w:cs="宋体"/>
                <w:szCs w:val="22"/>
              </w:rPr>
              <w:t>最低分：0分，最高分：5分</w:t>
            </w:r>
          </w:p>
        </w:tc>
        <w:tc>
          <w:tcPr>
            <w:tcW w:w="914" w:type="dxa"/>
            <w:vAlign w:val="center"/>
          </w:tcPr>
          <w:p w14:paraId="688B3101">
            <w:pPr>
              <w:spacing w:line="360" w:lineRule="auto"/>
              <w:jc w:val="center"/>
              <w:rPr>
                <w:rFonts w:ascii="宋体" w:hAnsi="宋体"/>
                <w:szCs w:val="22"/>
              </w:rPr>
            </w:pPr>
            <w:r>
              <w:rPr>
                <w:rFonts w:ascii="宋体" w:hAnsi="宋体" w:cs="宋体"/>
                <w:szCs w:val="22"/>
              </w:rPr>
              <w:t>5</w:t>
            </w:r>
          </w:p>
        </w:tc>
        <w:tc>
          <w:tcPr>
            <w:tcW w:w="1008" w:type="dxa"/>
            <w:vAlign w:val="center"/>
          </w:tcPr>
          <w:p w14:paraId="587C5DDC">
            <w:pPr>
              <w:spacing w:line="360" w:lineRule="auto"/>
              <w:rPr>
                <w:rFonts w:ascii="宋体" w:hAnsi="宋体"/>
                <w:szCs w:val="22"/>
              </w:rPr>
            </w:pPr>
          </w:p>
        </w:tc>
      </w:tr>
      <w:tr w14:paraId="3548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AB26AFE">
            <w:pPr>
              <w:spacing w:line="360" w:lineRule="auto"/>
              <w:jc w:val="center"/>
              <w:rPr>
                <w:rFonts w:ascii="宋体" w:hAnsi="宋体"/>
                <w:szCs w:val="22"/>
              </w:rPr>
            </w:pPr>
            <w:r>
              <w:rPr>
                <w:rFonts w:ascii="宋体" w:hAnsi="宋体" w:cs="宋体"/>
                <w:szCs w:val="22"/>
              </w:rPr>
              <w:t>9</w:t>
            </w:r>
          </w:p>
        </w:tc>
        <w:tc>
          <w:tcPr>
            <w:tcW w:w="1276" w:type="dxa"/>
            <w:vAlign w:val="center"/>
          </w:tcPr>
          <w:p w14:paraId="2C967EFE">
            <w:pPr>
              <w:spacing w:line="360" w:lineRule="auto"/>
              <w:rPr>
                <w:rFonts w:ascii="宋体" w:hAnsi="宋体"/>
                <w:szCs w:val="22"/>
              </w:rPr>
            </w:pPr>
            <w:r>
              <w:rPr>
                <w:rFonts w:ascii="宋体" w:hAnsi="宋体" w:cs="宋体"/>
                <w:szCs w:val="22"/>
              </w:rPr>
              <w:t>成品保护和工程保修工作的管理措施和承诺</w:t>
            </w:r>
          </w:p>
        </w:tc>
        <w:tc>
          <w:tcPr>
            <w:tcW w:w="1559" w:type="dxa"/>
            <w:vAlign w:val="center"/>
          </w:tcPr>
          <w:p w14:paraId="1F38114B">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41384E13">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7A9E9C0C">
            <w:pPr>
              <w:spacing w:line="360" w:lineRule="auto"/>
              <w:rPr>
                <w:rFonts w:ascii="宋体" w:hAnsi="宋体"/>
                <w:szCs w:val="22"/>
              </w:rPr>
            </w:pPr>
            <w:r>
              <w:rPr>
                <w:rFonts w:ascii="宋体" w:hAnsi="宋体" w:cs="宋体"/>
                <w:szCs w:val="22"/>
              </w:rPr>
              <w:t>最低分：0分，最高分：5分</w:t>
            </w:r>
          </w:p>
        </w:tc>
        <w:tc>
          <w:tcPr>
            <w:tcW w:w="914" w:type="dxa"/>
            <w:vAlign w:val="center"/>
          </w:tcPr>
          <w:p w14:paraId="56B82254">
            <w:pPr>
              <w:spacing w:line="360" w:lineRule="auto"/>
              <w:jc w:val="center"/>
              <w:rPr>
                <w:rFonts w:ascii="宋体" w:hAnsi="宋体"/>
                <w:szCs w:val="22"/>
              </w:rPr>
            </w:pPr>
            <w:r>
              <w:rPr>
                <w:rFonts w:ascii="宋体" w:hAnsi="宋体" w:cs="宋体"/>
                <w:szCs w:val="22"/>
              </w:rPr>
              <w:t>5</w:t>
            </w:r>
          </w:p>
        </w:tc>
        <w:tc>
          <w:tcPr>
            <w:tcW w:w="1008" w:type="dxa"/>
            <w:vAlign w:val="center"/>
          </w:tcPr>
          <w:p w14:paraId="7E618734">
            <w:pPr>
              <w:spacing w:line="360" w:lineRule="auto"/>
              <w:rPr>
                <w:rFonts w:ascii="宋体" w:hAnsi="宋体"/>
                <w:szCs w:val="22"/>
              </w:rPr>
            </w:pPr>
          </w:p>
        </w:tc>
      </w:tr>
      <w:tr w14:paraId="07B2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44C8493">
            <w:pPr>
              <w:spacing w:line="360" w:lineRule="auto"/>
              <w:jc w:val="center"/>
              <w:rPr>
                <w:rFonts w:ascii="宋体" w:hAnsi="宋体"/>
                <w:szCs w:val="22"/>
              </w:rPr>
            </w:pPr>
            <w:r>
              <w:rPr>
                <w:rFonts w:ascii="宋体" w:hAnsi="宋体" w:cs="宋体"/>
                <w:szCs w:val="22"/>
              </w:rPr>
              <w:t>10</w:t>
            </w:r>
          </w:p>
        </w:tc>
        <w:tc>
          <w:tcPr>
            <w:tcW w:w="1276" w:type="dxa"/>
            <w:vAlign w:val="center"/>
          </w:tcPr>
          <w:p w14:paraId="49E18935">
            <w:pPr>
              <w:spacing w:line="360" w:lineRule="auto"/>
              <w:rPr>
                <w:rFonts w:ascii="宋体" w:hAnsi="宋体"/>
                <w:szCs w:val="22"/>
              </w:rPr>
            </w:pPr>
            <w:r>
              <w:rPr>
                <w:rFonts w:ascii="宋体" w:hAnsi="宋体" w:cs="宋体"/>
                <w:szCs w:val="22"/>
              </w:rPr>
              <w:t>紧急情况的处理措施、预案以及抵抗风险的措施</w:t>
            </w:r>
          </w:p>
        </w:tc>
        <w:tc>
          <w:tcPr>
            <w:tcW w:w="1559" w:type="dxa"/>
            <w:vAlign w:val="center"/>
          </w:tcPr>
          <w:p w14:paraId="0B510484">
            <w:pPr>
              <w:spacing w:line="360" w:lineRule="auto"/>
              <w:rPr>
                <w:rFonts w:ascii="宋体" w:hAnsi="宋体"/>
                <w:szCs w:val="22"/>
              </w:rPr>
            </w:pPr>
            <w:r>
              <w:rPr>
                <w:rFonts w:ascii="宋体" w:hAnsi="宋体" w:cs="宋体"/>
                <w:szCs w:val="22"/>
              </w:rPr>
              <w:t>方案详细，科学合理，有针对性得5分；方案一般，通用，针对性不强得3分；内容有欠缺，不完全满足项目要求得1分；没有不得分。</w:t>
            </w:r>
          </w:p>
        </w:tc>
        <w:tc>
          <w:tcPr>
            <w:tcW w:w="1134" w:type="dxa"/>
            <w:vAlign w:val="center"/>
          </w:tcPr>
          <w:p w14:paraId="28C7569D">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0D470CF">
            <w:pPr>
              <w:spacing w:line="360" w:lineRule="auto"/>
              <w:rPr>
                <w:rFonts w:ascii="宋体" w:hAnsi="宋体"/>
                <w:szCs w:val="22"/>
              </w:rPr>
            </w:pPr>
            <w:r>
              <w:rPr>
                <w:rFonts w:ascii="宋体" w:hAnsi="宋体" w:cs="宋体"/>
                <w:szCs w:val="22"/>
              </w:rPr>
              <w:t>最低分：0分，最高分：5分</w:t>
            </w:r>
          </w:p>
        </w:tc>
        <w:tc>
          <w:tcPr>
            <w:tcW w:w="914" w:type="dxa"/>
            <w:vAlign w:val="center"/>
          </w:tcPr>
          <w:p w14:paraId="3861729F">
            <w:pPr>
              <w:spacing w:line="360" w:lineRule="auto"/>
              <w:jc w:val="center"/>
              <w:rPr>
                <w:rFonts w:ascii="宋体" w:hAnsi="宋体"/>
                <w:szCs w:val="22"/>
              </w:rPr>
            </w:pPr>
            <w:r>
              <w:rPr>
                <w:rFonts w:ascii="宋体" w:hAnsi="宋体" w:cs="宋体"/>
                <w:szCs w:val="22"/>
              </w:rPr>
              <w:t>5</w:t>
            </w:r>
          </w:p>
        </w:tc>
        <w:tc>
          <w:tcPr>
            <w:tcW w:w="1008" w:type="dxa"/>
            <w:vAlign w:val="center"/>
          </w:tcPr>
          <w:p w14:paraId="62AEE6E1">
            <w:pPr>
              <w:spacing w:line="360" w:lineRule="auto"/>
              <w:rPr>
                <w:rFonts w:ascii="宋体" w:hAnsi="宋体"/>
                <w:szCs w:val="22"/>
              </w:rPr>
            </w:pPr>
          </w:p>
        </w:tc>
      </w:tr>
      <w:tr w14:paraId="1129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1B8760CE">
            <w:pPr>
              <w:spacing w:line="360" w:lineRule="auto"/>
              <w:jc w:val="center"/>
              <w:rPr>
                <w:rFonts w:ascii="宋体" w:hAnsi="宋体"/>
                <w:szCs w:val="22"/>
              </w:rPr>
            </w:pPr>
            <w:r>
              <w:rPr>
                <w:rFonts w:ascii="宋体" w:hAnsi="宋体" w:cs="宋体"/>
                <w:szCs w:val="22"/>
              </w:rPr>
              <w:t>评审方式：定量；明暗标设定：明标；满分：52分；</w:t>
            </w:r>
          </w:p>
        </w:tc>
      </w:tr>
    </w:tbl>
    <w:p w14:paraId="5614882A">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1724"/>
        <w:gridCol w:w="6044"/>
      </w:tblGrid>
      <w:tr w14:paraId="765A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14:paraId="2065A43B">
            <w:pPr>
              <w:spacing w:line="360" w:lineRule="auto"/>
              <w:ind w:firstLine="480" w:firstLineChars="200"/>
              <w:jc w:val="center"/>
              <w:rPr>
                <w:rFonts w:ascii="微软雅黑" w:hAnsi="微软雅黑" w:eastAsia="微软雅黑"/>
                <w:sz w:val="24"/>
              </w:rPr>
            </w:pPr>
            <w:bookmarkStart w:id="670" w:name="价格评审"/>
            <w:r>
              <w:rPr>
                <w:rFonts w:hint="eastAsia" w:ascii="微软雅黑" w:hAnsi="微软雅黑" w:eastAsia="微软雅黑" w:cs="宋体"/>
                <w:sz w:val="24"/>
              </w:rPr>
              <w:t>价格评分</w:t>
            </w:r>
          </w:p>
        </w:tc>
      </w:tr>
      <w:tr w14:paraId="66C4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7C82C9BE">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14:paraId="40826E0B">
            <w:pPr>
              <w:spacing w:line="360" w:lineRule="auto"/>
              <w:jc w:val="left"/>
              <w:rPr>
                <w:rFonts w:eastAsia="等线"/>
                <w:szCs w:val="22"/>
              </w:rPr>
            </w:pPr>
            <w:r>
              <w:rPr>
                <w:rFonts w:ascii="宋体" w:hAnsi="宋体" w:cs="宋体"/>
                <w:szCs w:val="22"/>
              </w:rPr>
              <w:t>有效投标报价的最低价为基准价</w:t>
            </w:r>
          </w:p>
        </w:tc>
      </w:tr>
      <w:tr w14:paraId="60A1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175A01E7">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14:paraId="194200FF">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14:paraId="0B7D4A8D">
            <w:pPr>
              <w:spacing w:line="360" w:lineRule="auto"/>
              <w:jc w:val="left"/>
              <w:rPr>
                <w:rFonts w:eastAsia="等线"/>
                <w:color w:val="ED7D31"/>
                <w:szCs w:val="22"/>
              </w:rPr>
            </w:pPr>
            <w:r>
              <w:rPr>
                <w:rFonts w:ascii="宋体" w:hAnsi="宋体" w:cs="宋体"/>
                <w:szCs w:val="22"/>
              </w:rPr>
              <w:t>M=30（价格评价分项满分值），投标报价得分=（评标基准价/投标报价）*M</w:t>
            </w:r>
          </w:p>
        </w:tc>
      </w:tr>
      <w:bookmarkEnd w:id="667"/>
      <w:bookmarkEnd w:id="670"/>
    </w:tbl>
    <w:p w14:paraId="03C84D54">
      <w:pPr>
        <w:rPr>
          <w:rFonts w:ascii="等线" w:hAnsi="等线" w:eastAsia="等线"/>
          <w:szCs w:val="22"/>
        </w:rPr>
      </w:pPr>
    </w:p>
    <w:p w14:paraId="53323230">
      <w:pPr>
        <w:rPr>
          <w:rFonts w:ascii="等线" w:hAnsi="等线" w:eastAsia="等线"/>
          <w:szCs w:val="22"/>
        </w:rPr>
      </w:pPr>
    </w:p>
    <w:p w14:paraId="251B7261">
      <w:pPr>
        <w:rPr>
          <w:rFonts w:ascii="等线" w:hAnsi="等线" w:eastAsia="等线"/>
          <w:szCs w:val="22"/>
        </w:rPr>
      </w:pPr>
    </w:p>
    <w:p w14:paraId="56DBDD1C">
      <w:pPr>
        <w:spacing w:after="0"/>
        <w:rPr>
          <w:rFonts w:ascii="等线" w:hAnsi="等线" w:eastAsia="等线"/>
          <w:szCs w:val="22"/>
        </w:rPr>
      </w:pPr>
    </w:p>
    <w:p w14:paraId="473D45A5">
      <w:pPr>
        <w:spacing w:after="0"/>
        <w:rPr>
          <w:rFonts w:ascii="等线" w:hAnsi="等线" w:eastAsia="等线"/>
          <w:szCs w:val="22"/>
        </w:rPr>
      </w:pPr>
    </w:p>
    <w:p w14:paraId="6E2B9972">
      <w:pPr>
        <w:bidi w:val="0"/>
        <w:spacing w:after="0"/>
        <w:rPr>
          <w:rFonts w:hint="eastAsia"/>
        </w:rPr>
      </w:pPr>
    </w:p>
    <w:tbl>
      <w:tblPr>
        <w:tblStyle w:val="4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87"/>
        <w:gridCol w:w="765"/>
        <w:gridCol w:w="5865"/>
      </w:tblGrid>
      <w:tr w14:paraId="30FC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80" w:type="dxa"/>
            <w:noWrap/>
            <w:vAlign w:val="center"/>
          </w:tcPr>
          <w:p w14:paraId="1C48E805">
            <w:pPr>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序号</w:t>
            </w:r>
          </w:p>
        </w:tc>
        <w:tc>
          <w:tcPr>
            <w:tcW w:w="1587" w:type="dxa"/>
            <w:noWrap/>
            <w:vAlign w:val="center"/>
          </w:tcPr>
          <w:p w14:paraId="5BD408D9">
            <w:pPr>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评分因素</w:t>
            </w:r>
          </w:p>
        </w:tc>
        <w:tc>
          <w:tcPr>
            <w:tcW w:w="765" w:type="dxa"/>
            <w:noWrap/>
            <w:vAlign w:val="center"/>
          </w:tcPr>
          <w:p w14:paraId="178E592A">
            <w:pPr>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分值</w:t>
            </w:r>
          </w:p>
        </w:tc>
        <w:tc>
          <w:tcPr>
            <w:tcW w:w="5865" w:type="dxa"/>
            <w:noWrap/>
            <w:vAlign w:val="center"/>
          </w:tcPr>
          <w:p w14:paraId="1EDBC3C3">
            <w:pPr>
              <w:pStyle w:val="245"/>
              <w:spacing w:before="0" w:after="0"/>
              <w:rPr>
                <w:rFonts w:hint="eastAsia" w:ascii="宋体" w:hAnsi="宋体" w:eastAsia="宋体" w:cs="宋体"/>
                <w:szCs w:val="24"/>
                <w:highlight w:val="none"/>
              </w:rPr>
            </w:pPr>
            <w:r>
              <w:rPr>
                <w:rFonts w:hint="eastAsia" w:ascii="宋体" w:hAnsi="宋体" w:eastAsia="宋体" w:cs="宋体"/>
                <w:highlight w:val="none"/>
              </w:rPr>
              <w:t>评分标准</w:t>
            </w:r>
          </w:p>
        </w:tc>
      </w:tr>
      <w:tr w14:paraId="29B3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997" w:type="dxa"/>
            <w:gridSpan w:val="4"/>
            <w:noWrap/>
            <w:vAlign w:val="center"/>
          </w:tcPr>
          <w:p w14:paraId="54DB86EF">
            <w:pPr>
              <w:pStyle w:val="245"/>
              <w:spacing w:before="0" w:after="0"/>
              <w:rPr>
                <w:rFonts w:hint="eastAsia" w:ascii="宋体" w:hAnsi="宋体" w:eastAsia="宋体" w:cs="宋体"/>
                <w:szCs w:val="24"/>
                <w:highlight w:val="none"/>
              </w:rPr>
            </w:pPr>
            <w:r>
              <w:rPr>
                <w:rFonts w:hint="eastAsia" w:ascii="宋体" w:hAnsi="宋体" w:eastAsia="宋体" w:cs="宋体"/>
                <w:szCs w:val="24"/>
                <w:highlight w:val="none"/>
              </w:rPr>
              <w:t>价格部分</w:t>
            </w:r>
          </w:p>
        </w:tc>
      </w:tr>
      <w:tr w14:paraId="6277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780" w:type="dxa"/>
            <w:noWrap/>
            <w:vAlign w:val="center"/>
          </w:tcPr>
          <w:p w14:paraId="3FF358E0">
            <w:pPr>
              <w:spacing w:after="0" w:line="360" w:lineRule="auto"/>
              <w:ind w:firstLine="28"/>
              <w:jc w:val="center"/>
              <w:rPr>
                <w:rFonts w:hint="eastAsia" w:ascii="宋体" w:hAnsi="宋体" w:cs="宋体"/>
                <w:bCs/>
                <w:sz w:val="24"/>
                <w:highlight w:val="none"/>
              </w:rPr>
            </w:pPr>
            <w:r>
              <w:rPr>
                <w:rFonts w:hint="eastAsia" w:ascii="宋体" w:hAnsi="宋体" w:cs="宋体"/>
                <w:bCs/>
                <w:sz w:val="24"/>
                <w:highlight w:val="none"/>
              </w:rPr>
              <w:t>1</w:t>
            </w:r>
          </w:p>
        </w:tc>
        <w:tc>
          <w:tcPr>
            <w:tcW w:w="1587" w:type="dxa"/>
            <w:noWrap/>
            <w:vAlign w:val="center"/>
          </w:tcPr>
          <w:p w14:paraId="6F50EAA9">
            <w:pPr>
              <w:spacing w:after="0" w:line="360" w:lineRule="auto"/>
              <w:ind w:firstLine="28"/>
              <w:jc w:val="center"/>
              <w:rPr>
                <w:rFonts w:hint="eastAsia" w:ascii="宋体" w:hAnsi="宋体" w:cs="宋体"/>
                <w:bCs/>
                <w:sz w:val="24"/>
                <w:highlight w:val="none"/>
              </w:rPr>
            </w:pPr>
            <w:r>
              <w:rPr>
                <w:rFonts w:hint="eastAsia" w:ascii="宋体" w:hAnsi="宋体" w:cs="宋体"/>
                <w:bCs/>
                <w:sz w:val="24"/>
                <w:highlight w:val="none"/>
              </w:rPr>
              <w:t>投标报价</w:t>
            </w:r>
          </w:p>
        </w:tc>
        <w:tc>
          <w:tcPr>
            <w:tcW w:w="765" w:type="dxa"/>
            <w:noWrap/>
            <w:vAlign w:val="center"/>
          </w:tcPr>
          <w:p w14:paraId="01062B1F">
            <w:pPr>
              <w:spacing w:after="0" w:line="360" w:lineRule="auto"/>
              <w:ind w:firstLine="28"/>
              <w:jc w:val="center"/>
              <w:rPr>
                <w:rFonts w:hint="eastAsia" w:ascii="宋体" w:hAnsi="宋体" w:cs="宋体"/>
                <w:bCs/>
                <w:sz w:val="24"/>
                <w:highlight w:val="none"/>
              </w:rPr>
            </w:pPr>
            <w:r>
              <w:rPr>
                <w:rFonts w:hint="eastAsia" w:ascii="宋体" w:hAnsi="宋体" w:cs="宋体"/>
                <w:bCs/>
                <w:sz w:val="24"/>
                <w:highlight w:val="none"/>
              </w:rPr>
              <w:t>30</w:t>
            </w:r>
          </w:p>
        </w:tc>
        <w:tc>
          <w:tcPr>
            <w:tcW w:w="5865" w:type="dxa"/>
            <w:noWrap/>
            <w:vAlign w:val="center"/>
          </w:tcPr>
          <w:p w14:paraId="4FDD3E27">
            <w:pPr>
              <w:spacing w:after="0" w:line="360" w:lineRule="auto"/>
              <w:ind w:firstLine="28"/>
              <w:jc w:val="left"/>
              <w:rPr>
                <w:rFonts w:hint="eastAsia" w:ascii="宋体" w:hAnsi="宋体" w:cs="宋体"/>
                <w:bCs/>
                <w:sz w:val="24"/>
                <w:highlight w:val="none"/>
              </w:rPr>
            </w:pPr>
            <w:r>
              <w:rPr>
                <w:rFonts w:hint="eastAsia" w:ascii="宋体" w:hAnsi="宋体" w:cs="宋体"/>
                <w:bCs/>
                <w:sz w:val="24"/>
                <w:highlight w:val="none"/>
              </w:rPr>
              <w:t>满足磋商文件要求的最后报价最低的供应商的价格为磋商基准价，其价格分为满分。</w:t>
            </w:r>
          </w:p>
          <w:p w14:paraId="42FA7175">
            <w:pPr>
              <w:spacing w:after="0" w:line="360" w:lineRule="auto"/>
              <w:ind w:firstLine="28"/>
              <w:jc w:val="left"/>
              <w:rPr>
                <w:rFonts w:hint="eastAsia" w:ascii="宋体" w:hAnsi="宋体" w:cs="宋体"/>
                <w:bCs/>
                <w:sz w:val="24"/>
                <w:highlight w:val="none"/>
              </w:rPr>
            </w:pPr>
            <w:r>
              <w:rPr>
                <w:rFonts w:hint="eastAsia" w:ascii="宋体" w:hAnsi="宋体" w:cs="宋体"/>
                <w:bCs/>
                <w:sz w:val="24"/>
                <w:highlight w:val="none"/>
              </w:rPr>
              <w:t>其他供应商的价格分统一按照下列公式计算：</w:t>
            </w:r>
          </w:p>
          <w:p w14:paraId="0F82978C">
            <w:pPr>
              <w:spacing w:after="0" w:line="360" w:lineRule="auto"/>
              <w:ind w:left="-38"/>
              <w:rPr>
                <w:rFonts w:hint="eastAsia" w:ascii="宋体" w:hAnsi="宋体" w:cs="宋体"/>
                <w:bCs/>
                <w:sz w:val="24"/>
                <w:highlight w:val="none"/>
              </w:rPr>
            </w:pPr>
            <w:r>
              <w:rPr>
                <w:rFonts w:hint="eastAsia" w:ascii="宋体" w:hAnsi="宋体" w:cs="宋体"/>
                <w:bCs/>
                <w:sz w:val="24"/>
                <w:highlight w:val="none"/>
              </w:rPr>
              <w:t>磋商报价得分=（磋商基准价/最后报价）×分值</w:t>
            </w:r>
          </w:p>
        </w:tc>
      </w:tr>
      <w:tr w14:paraId="19DD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997" w:type="dxa"/>
            <w:gridSpan w:val="4"/>
            <w:noWrap/>
            <w:vAlign w:val="center"/>
          </w:tcPr>
          <w:p w14:paraId="31CA85C4">
            <w:pPr>
              <w:pStyle w:val="245"/>
              <w:spacing w:before="0" w:after="0"/>
              <w:rPr>
                <w:rFonts w:hint="eastAsia" w:ascii="宋体" w:hAnsi="宋体" w:eastAsia="宋体" w:cs="宋体"/>
                <w:szCs w:val="24"/>
                <w:highlight w:val="none"/>
              </w:rPr>
            </w:pPr>
            <w:r>
              <w:rPr>
                <w:rFonts w:hint="eastAsia" w:ascii="宋体" w:hAnsi="宋体" w:eastAsia="宋体" w:cs="宋体"/>
                <w:szCs w:val="24"/>
                <w:highlight w:val="none"/>
              </w:rPr>
              <w:t>商务部分</w:t>
            </w:r>
          </w:p>
        </w:tc>
      </w:tr>
      <w:tr w14:paraId="70A53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2AE6C781">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w:t>
            </w:r>
          </w:p>
        </w:tc>
        <w:tc>
          <w:tcPr>
            <w:tcW w:w="1587" w:type="dxa"/>
            <w:noWrap/>
            <w:vAlign w:val="center"/>
          </w:tcPr>
          <w:p w14:paraId="710FFD26">
            <w:pPr>
              <w:spacing w:after="0" w:line="276" w:lineRule="auto"/>
              <w:jc w:val="center"/>
              <w:rPr>
                <w:rFonts w:hint="eastAsia" w:ascii="宋体" w:hAnsi="宋体" w:cs="宋体"/>
                <w:sz w:val="24"/>
                <w:highlight w:val="none"/>
              </w:rPr>
            </w:pPr>
            <w:r>
              <w:rPr>
                <w:rFonts w:hint="eastAsia" w:ascii="宋体" w:hAnsi="宋体" w:cs="宋体"/>
                <w:kern w:val="0"/>
                <w:sz w:val="24"/>
                <w:highlight w:val="none"/>
              </w:rPr>
              <w:t>同类案例</w:t>
            </w:r>
          </w:p>
        </w:tc>
        <w:tc>
          <w:tcPr>
            <w:tcW w:w="765" w:type="dxa"/>
            <w:noWrap/>
            <w:vAlign w:val="center"/>
          </w:tcPr>
          <w:p w14:paraId="11E1C290">
            <w:pPr>
              <w:spacing w:after="0" w:line="360" w:lineRule="auto"/>
              <w:ind w:firstLine="28"/>
              <w:jc w:val="center"/>
              <w:rPr>
                <w:rFonts w:ascii="宋体" w:hAnsi="宋体" w:cs="宋体"/>
                <w:sz w:val="24"/>
                <w:highlight w:val="none"/>
              </w:rPr>
            </w:pPr>
            <w:r>
              <w:rPr>
                <w:rFonts w:hint="eastAsia" w:ascii="宋体" w:hAnsi="宋体" w:cs="宋体"/>
                <w:sz w:val="24"/>
                <w:highlight w:val="none"/>
              </w:rPr>
              <w:t>10</w:t>
            </w:r>
          </w:p>
        </w:tc>
        <w:tc>
          <w:tcPr>
            <w:tcW w:w="5865" w:type="dxa"/>
            <w:noWrap/>
            <w:vAlign w:val="center"/>
          </w:tcPr>
          <w:p w14:paraId="2DE68A2C">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投标截止前三年内同类项目经验，每提供1份有效业绩得2分，最多得10分。</w:t>
            </w:r>
          </w:p>
          <w:p w14:paraId="52C580D4">
            <w:pPr>
              <w:spacing w:after="0" w:line="360" w:lineRule="auto"/>
              <w:ind w:firstLine="28"/>
              <w:jc w:val="left"/>
              <w:rPr>
                <w:rFonts w:hint="eastAsia" w:ascii="宋体" w:hAnsi="宋体" w:cs="宋体"/>
                <w:highlight w:val="none"/>
              </w:rPr>
            </w:pPr>
            <w:r>
              <w:rPr>
                <w:rFonts w:hint="eastAsia" w:ascii="宋体" w:hAnsi="宋体" w:cs="宋体"/>
                <w:sz w:val="24"/>
                <w:highlight w:val="none"/>
              </w:rPr>
              <w:t>（须提供合同关键页，包含但不限于：合同首页、工程名称、金额所在页、盖章所在页复印件、竣工验收单并加盖公章），否则不得分。</w:t>
            </w:r>
          </w:p>
        </w:tc>
      </w:tr>
      <w:tr w14:paraId="08B9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32E09281">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2</w:t>
            </w:r>
          </w:p>
        </w:tc>
        <w:tc>
          <w:tcPr>
            <w:tcW w:w="1587" w:type="dxa"/>
            <w:noWrap/>
            <w:vAlign w:val="center"/>
          </w:tcPr>
          <w:p w14:paraId="4694E971">
            <w:pPr>
              <w:spacing w:after="0" w:line="276" w:lineRule="auto"/>
              <w:jc w:val="center"/>
              <w:rPr>
                <w:rFonts w:ascii="宋体" w:hAnsi="宋体" w:cs="宋体"/>
                <w:kern w:val="0"/>
                <w:sz w:val="24"/>
                <w:highlight w:val="none"/>
              </w:rPr>
            </w:pPr>
            <w:r>
              <w:rPr>
                <w:rFonts w:hint="eastAsia" w:ascii="宋体" w:hAnsi="宋体" w:cs="宋体"/>
                <w:kern w:val="0"/>
                <w:sz w:val="24"/>
                <w:highlight w:val="none"/>
              </w:rPr>
              <w:t>体系认证</w:t>
            </w:r>
          </w:p>
        </w:tc>
        <w:tc>
          <w:tcPr>
            <w:tcW w:w="765" w:type="dxa"/>
            <w:noWrap/>
            <w:vAlign w:val="center"/>
          </w:tcPr>
          <w:p w14:paraId="7C9EB435">
            <w:pPr>
              <w:spacing w:after="0" w:line="360" w:lineRule="auto"/>
              <w:ind w:firstLine="28"/>
              <w:jc w:val="center"/>
              <w:rPr>
                <w:rFonts w:ascii="宋体" w:hAnsi="宋体" w:cs="宋体"/>
                <w:sz w:val="24"/>
                <w:highlight w:val="none"/>
              </w:rPr>
            </w:pPr>
            <w:r>
              <w:rPr>
                <w:rFonts w:hint="eastAsia" w:ascii="宋体" w:hAnsi="宋体" w:cs="宋体"/>
                <w:sz w:val="24"/>
                <w:highlight w:val="none"/>
              </w:rPr>
              <w:t>3</w:t>
            </w:r>
          </w:p>
        </w:tc>
        <w:tc>
          <w:tcPr>
            <w:tcW w:w="5865" w:type="dxa"/>
            <w:noWrap/>
            <w:vAlign w:val="center"/>
          </w:tcPr>
          <w:p w14:paraId="392B6FF3">
            <w:pPr>
              <w:spacing w:after="0" w:line="360" w:lineRule="auto"/>
              <w:rPr>
                <w:rFonts w:hint="eastAsia" w:ascii="宋体" w:hAnsi="宋体" w:cs="宋体"/>
                <w:sz w:val="24"/>
                <w:highlight w:val="none"/>
              </w:rPr>
            </w:pPr>
            <w:r>
              <w:rPr>
                <w:rFonts w:hint="eastAsia" w:ascii="宋体" w:hAnsi="宋体" w:cs="宋体"/>
                <w:sz w:val="24"/>
                <w:highlight w:val="none"/>
              </w:rPr>
              <w:t>供应商具有有效期内的质量管理体系认证证书，得1分；供应商具有有效期内的环境管理体系认证证书，得1分；供应商具有有效期内的职业健康管理体系认证，得1分；需提供证书扫描件并加盖供应商公章，否则不得分。</w:t>
            </w:r>
          </w:p>
        </w:tc>
      </w:tr>
      <w:tr w14:paraId="219A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23EC0045">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3</w:t>
            </w:r>
          </w:p>
        </w:tc>
        <w:tc>
          <w:tcPr>
            <w:tcW w:w="1587" w:type="dxa"/>
            <w:noWrap/>
            <w:vAlign w:val="center"/>
          </w:tcPr>
          <w:p w14:paraId="141EEE0D">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现场组织管理机构</w:t>
            </w:r>
          </w:p>
        </w:tc>
        <w:tc>
          <w:tcPr>
            <w:tcW w:w="765" w:type="dxa"/>
            <w:noWrap/>
            <w:vAlign w:val="center"/>
          </w:tcPr>
          <w:p w14:paraId="030C02B0">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5547AF21">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管理机构完整，人员丰富，职责明确得5分；</w:t>
            </w:r>
          </w:p>
          <w:p w14:paraId="09BD7016">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管理机构完整，人员一般，职责分工一般得3分；</w:t>
            </w:r>
          </w:p>
          <w:p w14:paraId="13216556">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管理机构欠缺，人员分工不明确或不完整得1分；</w:t>
            </w:r>
          </w:p>
          <w:p w14:paraId="4FBCDC41">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没有不得分。</w:t>
            </w:r>
          </w:p>
        </w:tc>
      </w:tr>
      <w:tr w14:paraId="1AA4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997" w:type="dxa"/>
            <w:gridSpan w:val="4"/>
            <w:noWrap/>
            <w:vAlign w:val="center"/>
          </w:tcPr>
          <w:p w14:paraId="7A873310">
            <w:pPr>
              <w:pStyle w:val="245"/>
              <w:spacing w:before="0" w:after="0"/>
              <w:rPr>
                <w:rFonts w:hint="eastAsia" w:ascii="宋体" w:hAnsi="宋体" w:eastAsia="宋体" w:cs="宋体"/>
                <w:szCs w:val="24"/>
                <w:highlight w:val="none"/>
              </w:rPr>
            </w:pPr>
            <w:r>
              <w:rPr>
                <w:rFonts w:hint="eastAsia" w:ascii="宋体" w:hAnsi="宋体" w:eastAsia="宋体" w:cs="宋体"/>
                <w:szCs w:val="24"/>
                <w:highlight w:val="none"/>
              </w:rPr>
              <w:t>技术部分</w:t>
            </w:r>
          </w:p>
        </w:tc>
      </w:tr>
      <w:tr w14:paraId="67326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46CC9567">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w:t>
            </w:r>
          </w:p>
        </w:tc>
        <w:tc>
          <w:tcPr>
            <w:tcW w:w="1587" w:type="dxa"/>
            <w:noWrap/>
            <w:vAlign w:val="center"/>
          </w:tcPr>
          <w:p w14:paraId="6B2E7EB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施工方案与技术措施</w:t>
            </w:r>
          </w:p>
        </w:tc>
        <w:tc>
          <w:tcPr>
            <w:tcW w:w="765" w:type="dxa"/>
            <w:noWrap/>
            <w:vAlign w:val="center"/>
          </w:tcPr>
          <w:p w14:paraId="7687F87B">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7</w:t>
            </w:r>
          </w:p>
        </w:tc>
        <w:tc>
          <w:tcPr>
            <w:tcW w:w="5865" w:type="dxa"/>
            <w:noWrap/>
            <w:vAlign w:val="center"/>
          </w:tcPr>
          <w:p w14:paraId="6287B5E2">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方案详细，科学合理，有针对性得7分；方案一般，通用，针对性不强得4分；内容有欠缺，不完全满足项目要求得1分；没有不得分。</w:t>
            </w:r>
          </w:p>
        </w:tc>
      </w:tr>
      <w:tr w14:paraId="1DD6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3B509DB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2</w:t>
            </w:r>
          </w:p>
        </w:tc>
        <w:tc>
          <w:tcPr>
            <w:tcW w:w="1587" w:type="dxa"/>
            <w:noWrap/>
            <w:vAlign w:val="center"/>
          </w:tcPr>
          <w:p w14:paraId="00558FA7">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质量管理体系与保证措施</w:t>
            </w:r>
          </w:p>
        </w:tc>
        <w:tc>
          <w:tcPr>
            <w:tcW w:w="765" w:type="dxa"/>
            <w:noWrap/>
            <w:vAlign w:val="center"/>
          </w:tcPr>
          <w:p w14:paraId="4C60C5BB">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078318FF">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330D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4EF398DC">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3</w:t>
            </w:r>
          </w:p>
        </w:tc>
        <w:tc>
          <w:tcPr>
            <w:tcW w:w="1587" w:type="dxa"/>
            <w:noWrap/>
            <w:vAlign w:val="center"/>
          </w:tcPr>
          <w:p w14:paraId="0123F9FB">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安全和绿色施工保障措施</w:t>
            </w:r>
          </w:p>
        </w:tc>
        <w:tc>
          <w:tcPr>
            <w:tcW w:w="765" w:type="dxa"/>
            <w:noWrap/>
            <w:vAlign w:val="center"/>
          </w:tcPr>
          <w:p w14:paraId="2435CADE">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681179FD">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63B1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76358373">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4</w:t>
            </w:r>
          </w:p>
        </w:tc>
        <w:tc>
          <w:tcPr>
            <w:tcW w:w="1587" w:type="dxa"/>
            <w:noWrap/>
            <w:vAlign w:val="center"/>
          </w:tcPr>
          <w:p w14:paraId="089817D9">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进度计划及保障措施</w:t>
            </w:r>
          </w:p>
        </w:tc>
        <w:tc>
          <w:tcPr>
            <w:tcW w:w="765" w:type="dxa"/>
            <w:noWrap/>
            <w:vAlign w:val="center"/>
          </w:tcPr>
          <w:p w14:paraId="041B639A">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17FF1E0A">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0950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768E8E1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1587" w:type="dxa"/>
            <w:noWrap/>
            <w:vAlign w:val="center"/>
          </w:tcPr>
          <w:p w14:paraId="7F5A6C6C">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定位和测量放线施工方案</w:t>
            </w:r>
          </w:p>
        </w:tc>
        <w:tc>
          <w:tcPr>
            <w:tcW w:w="765" w:type="dxa"/>
            <w:noWrap/>
            <w:vAlign w:val="center"/>
          </w:tcPr>
          <w:p w14:paraId="70EE0AFA">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532848F9">
            <w:pPr>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7D24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5BD01B64">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6</w:t>
            </w:r>
          </w:p>
        </w:tc>
        <w:tc>
          <w:tcPr>
            <w:tcW w:w="1587" w:type="dxa"/>
            <w:noWrap/>
            <w:vAlign w:val="center"/>
          </w:tcPr>
          <w:p w14:paraId="012D9A34">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消防、保卫方案</w:t>
            </w:r>
          </w:p>
        </w:tc>
        <w:tc>
          <w:tcPr>
            <w:tcW w:w="765" w:type="dxa"/>
            <w:noWrap/>
            <w:vAlign w:val="center"/>
          </w:tcPr>
          <w:p w14:paraId="6F227F18">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627F4073">
            <w:pPr>
              <w:spacing w:after="0" w:line="360" w:lineRule="auto"/>
              <w:ind w:firstLine="28"/>
              <w:jc w:val="left"/>
              <w:rPr>
                <w:rFonts w:hint="eastAsia" w:ascii="宋体" w:hAnsi="宋体" w:cs="宋体"/>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6004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38A610F0">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7</w:t>
            </w:r>
          </w:p>
        </w:tc>
        <w:tc>
          <w:tcPr>
            <w:tcW w:w="1587" w:type="dxa"/>
            <w:noWrap/>
            <w:vAlign w:val="center"/>
          </w:tcPr>
          <w:p w14:paraId="605D158F">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季节性施工方案</w:t>
            </w:r>
          </w:p>
        </w:tc>
        <w:tc>
          <w:tcPr>
            <w:tcW w:w="765" w:type="dxa"/>
            <w:noWrap/>
            <w:vAlign w:val="center"/>
          </w:tcPr>
          <w:p w14:paraId="0405DEB9">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1FC5C991">
            <w:pPr>
              <w:spacing w:after="0" w:line="360" w:lineRule="auto"/>
              <w:ind w:firstLine="28"/>
              <w:jc w:val="left"/>
              <w:rPr>
                <w:rFonts w:hint="eastAsia" w:ascii="宋体" w:hAnsi="宋体" w:cs="宋体"/>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00AB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030D7AB3">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8</w:t>
            </w:r>
          </w:p>
        </w:tc>
        <w:tc>
          <w:tcPr>
            <w:tcW w:w="1587" w:type="dxa"/>
            <w:noWrap/>
            <w:vAlign w:val="center"/>
          </w:tcPr>
          <w:p w14:paraId="38BB6186">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施工现场总平面布置</w:t>
            </w:r>
          </w:p>
        </w:tc>
        <w:tc>
          <w:tcPr>
            <w:tcW w:w="765" w:type="dxa"/>
            <w:noWrap/>
            <w:vAlign w:val="center"/>
          </w:tcPr>
          <w:p w14:paraId="18EB0263">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406AB870">
            <w:pPr>
              <w:spacing w:after="0" w:line="360" w:lineRule="auto"/>
              <w:ind w:firstLine="28"/>
              <w:jc w:val="left"/>
              <w:rPr>
                <w:rFonts w:hint="eastAsia" w:ascii="宋体" w:hAnsi="宋体" w:cs="宋体"/>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1047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3A80398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9</w:t>
            </w:r>
          </w:p>
        </w:tc>
        <w:tc>
          <w:tcPr>
            <w:tcW w:w="1587" w:type="dxa"/>
            <w:noWrap/>
            <w:vAlign w:val="center"/>
          </w:tcPr>
          <w:p w14:paraId="6FC15DEC">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成品保护和工程保修工作的管理措施和承诺</w:t>
            </w:r>
          </w:p>
        </w:tc>
        <w:tc>
          <w:tcPr>
            <w:tcW w:w="765" w:type="dxa"/>
            <w:noWrap/>
            <w:vAlign w:val="center"/>
          </w:tcPr>
          <w:p w14:paraId="4036CEA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5275B561">
            <w:pPr>
              <w:spacing w:after="0" w:line="360" w:lineRule="auto"/>
              <w:ind w:firstLine="28"/>
              <w:jc w:val="left"/>
              <w:rPr>
                <w:rFonts w:hint="eastAsia" w:ascii="宋体" w:hAnsi="宋体" w:cs="宋体"/>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383A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ign w:val="center"/>
          </w:tcPr>
          <w:p w14:paraId="254B01EC">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10</w:t>
            </w:r>
          </w:p>
        </w:tc>
        <w:tc>
          <w:tcPr>
            <w:tcW w:w="1587" w:type="dxa"/>
            <w:noWrap/>
            <w:vAlign w:val="center"/>
          </w:tcPr>
          <w:p w14:paraId="56B64E5B">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紧急情况的处理措施、预案以及抵抗风险的措施</w:t>
            </w:r>
          </w:p>
        </w:tc>
        <w:tc>
          <w:tcPr>
            <w:tcW w:w="765" w:type="dxa"/>
            <w:noWrap/>
            <w:vAlign w:val="center"/>
          </w:tcPr>
          <w:p w14:paraId="3B437A64">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5</w:t>
            </w:r>
          </w:p>
        </w:tc>
        <w:tc>
          <w:tcPr>
            <w:tcW w:w="5865" w:type="dxa"/>
            <w:noWrap/>
            <w:vAlign w:val="center"/>
          </w:tcPr>
          <w:p w14:paraId="01FBBC8E">
            <w:pPr>
              <w:spacing w:after="0" w:line="360" w:lineRule="auto"/>
              <w:ind w:firstLine="28"/>
              <w:jc w:val="left"/>
              <w:rPr>
                <w:rFonts w:hint="eastAsia" w:ascii="宋体" w:hAnsi="宋体" w:cs="宋体"/>
                <w:highlight w:val="none"/>
              </w:rPr>
            </w:pPr>
            <w:r>
              <w:rPr>
                <w:rFonts w:hint="eastAsia" w:ascii="宋体" w:hAnsi="宋体" w:cs="宋体"/>
                <w:sz w:val="24"/>
                <w:highlight w:val="none"/>
              </w:rPr>
              <w:t>方案详细，科学合理，有针对性得5分；方案一般，通用，针对性不强得3分；内容有欠缺，不完全满足项目要求得1分；没有不得分。</w:t>
            </w:r>
          </w:p>
        </w:tc>
      </w:tr>
      <w:tr w14:paraId="2097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367" w:type="dxa"/>
            <w:gridSpan w:val="2"/>
            <w:noWrap/>
            <w:vAlign w:val="center"/>
          </w:tcPr>
          <w:p w14:paraId="193D90A2">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合计</w:t>
            </w:r>
          </w:p>
        </w:tc>
        <w:tc>
          <w:tcPr>
            <w:tcW w:w="765" w:type="dxa"/>
            <w:noWrap/>
            <w:vAlign w:val="center"/>
          </w:tcPr>
          <w:p w14:paraId="766A9ABA">
            <w:pPr>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100</w:t>
            </w:r>
          </w:p>
        </w:tc>
        <w:tc>
          <w:tcPr>
            <w:tcW w:w="5865" w:type="dxa"/>
            <w:noWrap/>
            <w:vAlign w:val="center"/>
          </w:tcPr>
          <w:p w14:paraId="1ADA1E8B">
            <w:pPr>
              <w:widowControl/>
              <w:spacing w:after="0"/>
              <w:jc w:val="left"/>
              <w:rPr>
                <w:rFonts w:hint="eastAsia" w:ascii="宋体" w:hAnsi="宋体" w:cs="宋体"/>
                <w:highlight w:val="none"/>
              </w:rPr>
            </w:pPr>
          </w:p>
          <w:p w14:paraId="7D16A954">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bl>
    <w:p w14:paraId="3F57F311">
      <w:pPr>
        <w:spacing w:after="0"/>
        <w:rPr>
          <w:rFonts w:hint="eastAsia"/>
          <w:highlight w:val="none"/>
        </w:rPr>
        <w:sectPr>
          <w:headerReference r:id="rId7" w:type="first"/>
          <w:footerReference r:id="rId9" w:type="first"/>
          <w:headerReference r:id="rId6" w:type="even"/>
          <w:footerReference r:id="rId8" w:type="even"/>
          <w:pgSz w:w="11905" w:h="16838"/>
          <w:pgMar w:top="1474" w:right="1474" w:bottom="1474" w:left="1474" w:header="850" w:footer="992" w:gutter="0"/>
          <w:cols w:space="720" w:num="1"/>
          <w:docGrid w:linePitch="462" w:charSpace="0"/>
        </w:sectPr>
      </w:pPr>
      <w:r>
        <w:rPr>
          <w:rFonts w:hint="eastAsia"/>
          <w:highlight w:val="none"/>
        </w:rPr>
        <w:t xml:space="preserve">                                       </w:t>
      </w:r>
    </w:p>
    <w:p w14:paraId="45010C43">
      <w:pPr>
        <w:wordWrap w:val="0"/>
        <w:spacing w:after="0" w:line="360" w:lineRule="auto"/>
        <w:jc w:val="center"/>
        <w:outlineLvl w:val="0"/>
        <w:rPr>
          <w:rFonts w:hint="eastAsia" w:ascii="宋体" w:hAnsi="宋体" w:cs="宋体"/>
          <w:b/>
          <w:sz w:val="36"/>
          <w:szCs w:val="36"/>
          <w:highlight w:val="none"/>
        </w:rPr>
      </w:pPr>
      <w:bookmarkStart w:id="671" w:name="_Toc22177"/>
      <w:r>
        <w:rPr>
          <w:rFonts w:hint="eastAsia" w:ascii="宋体" w:hAnsi="宋体" w:cs="宋体"/>
          <w:b/>
          <w:sz w:val="36"/>
          <w:szCs w:val="36"/>
          <w:highlight w:val="none"/>
        </w:rPr>
        <w:t>第四章   采购需求</w:t>
      </w:r>
      <w:bookmarkEnd w:id="671"/>
    </w:p>
    <w:p w14:paraId="28EB3097">
      <w:pPr>
        <w:pStyle w:val="3"/>
        <w:spacing w:after="0" w:line="44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一、采购标的</w:t>
      </w:r>
    </w:p>
    <w:p w14:paraId="69D08DF9">
      <w:pPr>
        <w:spacing w:after="0" w:line="440" w:lineRule="exact"/>
        <w:rPr>
          <w:rFonts w:hint="eastAsia" w:ascii="宋体" w:hAnsi="宋体" w:cs="宋体"/>
          <w:b/>
          <w:bCs/>
          <w:sz w:val="24"/>
          <w:highlight w:val="none"/>
        </w:rPr>
      </w:pPr>
      <w:r>
        <w:rPr>
          <w:rFonts w:hint="eastAsia" w:ascii="宋体" w:hAnsi="宋体" w:cs="宋体"/>
          <w:b/>
          <w:bCs/>
          <w:sz w:val="24"/>
          <w:highlight w:val="none"/>
        </w:rPr>
        <w:t>1.采购标的（货物需求一览表或简要服务内容及数量）</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268"/>
        <w:gridCol w:w="1908"/>
        <w:gridCol w:w="600"/>
        <w:gridCol w:w="3581"/>
      </w:tblGrid>
      <w:tr w14:paraId="5C9A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5" w:type="pct"/>
            <w:noWrap/>
            <w:vAlign w:val="center"/>
          </w:tcPr>
          <w:p w14:paraId="1A41EC4D">
            <w:pPr>
              <w:spacing w:after="0" w:line="440" w:lineRule="exact"/>
              <w:jc w:val="center"/>
              <w:rPr>
                <w:rFonts w:hint="eastAsia" w:ascii="宋体" w:hAnsi="宋体" w:cs="宋体"/>
                <w:sz w:val="24"/>
                <w:highlight w:val="none"/>
              </w:rPr>
            </w:pPr>
            <w:r>
              <w:rPr>
                <w:rFonts w:hint="eastAsia" w:ascii="宋体" w:hAnsi="宋体" w:cs="宋体"/>
                <w:sz w:val="24"/>
                <w:highlight w:val="none"/>
              </w:rPr>
              <w:t>包号</w:t>
            </w:r>
          </w:p>
        </w:tc>
        <w:tc>
          <w:tcPr>
            <w:tcW w:w="1236" w:type="pct"/>
            <w:noWrap/>
            <w:vAlign w:val="center"/>
          </w:tcPr>
          <w:p w14:paraId="4E459292">
            <w:pPr>
              <w:spacing w:after="0" w:line="440" w:lineRule="exact"/>
              <w:jc w:val="center"/>
              <w:rPr>
                <w:rFonts w:hint="eastAsia" w:ascii="宋体" w:hAnsi="宋体" w:cs="宋体"/>
                <w:sz w:val="24"/>
                <w:highlight w:val="none"/>
              </w:rPr>
            </w:pPr>
            <w:r>
              <w:rPr>
                <w:rFonts w:hint="eastAsia" w:ascii="宋体" w:hAnsi="宋体" w:cs="宋体"/>
                <w:sz w:val="24"/>
                <w:highlight w:val="none"/>
              </w:rPr>
              <w:t>标的名称</w:t>
            </w:r>
          </w:p>
        </w:tc>
        <w:tc>
          <w:tcPr>
            <w:tcW w:w="1040" w:type="pct"/>
            <w:noWrap/>
            <w:vAlign w:val="center"/>
          </w:tcPr>
          <w:p w14:paraId="41C70B74">
            <w:pPr>
              <w:spacing w:after="0" w:line="440" w:lineRule="exact"/>
              <w:jc w:val="center"/>
              <w:rPr>
                <w:rFonts w:hint="eastAsia" w:ascii="宋体" w:hAnsi="宋体" w:cs="宋体"/>
                <w:sz w:val="24"/>
                <w:highlight w:val="none"/>
              </w:rPr>
            </w:pPr>
            <w:r>
              <w:rPr>
                <w:rFonts w:hint="eastAsia" w:ascii="宋体" w:hAnsi="宋体" w:cs="宋体"/>
                <w:sz w:val="24"/>
                <w:highlight w:val="none"/>
              </w:rPr>
              <w:t>采购包</w:t>
            </w:r>
          </w:p>
          <w:p w14:paraId="69D8D7E8">
            <w:pPr>
              <w:spacing w:after="0" w:line="440" w:lineRule="exact"/>
              <w:jc w:val="center"/>
              <w:rPr>
                <w:rFonts w:hint="eastAsia" w:ascii="宋体" w:hAnsi="宋体" w:cs="宋体"/>
                <w:sz w:val="24"/>
                <w:highlight w:val="none"/>
              </w:rPr>
            </w:pPr>
            <w:r>
              <w:rPr>
                <w:rFonts w:hint="eastAsia" w:ascii="宋体" w:hAnsi="宋体" w:cs="宋体"/>
                <w:sz w:val="24"/>
                <w:highlight w:val="none"/>
              </w:rPr>
              <w:t>预算金额</w:t>
            </w:r>
          </w:p>
          <w:p w14:paraId="75A045F0">
            <w:pPr>
              <w:spacing w:after="0" w:line="440" w:lineRule="exact"/>
              <w:jc w:val="center"/>
              <w:rPr>
                <w:rFonts w:hint="eastAsia" w:ascii="宋体" w:hAnsi="宋体" w:cs="宋体"/>
                <w:sz w:val="24"/>
                <w:highlight w:val="none"/>
              </w:rPr>
            </w:pPr>
            <w:r>
              <w:rPr>
                <w:rFonts w:hint="eastAsia" w:ascii="宋体" w:hAnsi="宋体" w:cs="宋体"/>
                <w:sz w:val="24"/>
                <w:highlight w:val="none"/>
              </w:rPr>
              <w:t>（万元）</w:t>
            </w:r>
          </w:p>
        </w:tc>
        <w:tc>
          <w:tcPr>
            <w:tcW w:w="327" w:type="pct"/>
            <w:noWrap/>
            <w:vAlign w:val="center"/>
          </w:tcPr>
          <w:p w14:paraId="21998132">
            <w:pPr>
              <w:spacing w:after="0" w:line="440" w:lineRule="exact"/>
              <w:jc w:val="center"/>
              <w:rPr>
                <w:rFonts w:hint="eastAsia" w:ascii="宋体" w:hAnsi="宋体" w:cs="宋体"/>
                <w:sz w:val="24"/>
                <w:highlight w:val="none"/>
              </w:rPr>
            </w:pPr>
            <w:r>
              <w:rPr>
                <w:rFonts w:hint="eastAsia" w:ascii="宋体" w:hAnsi="宋体" w:cs="宋体"/>
                <w:sz w:val="24"/>
                <w:highlight w:val="none"/>
              </w:rPr>
              <w:t>数量</w:t>
            </w:r>
          </w:p>
        </w:tc>
        <w:tc>
          <w:tcPr>
            <w:tcW w:w="1952" w:type="pct"/>
            <w:noWrap/>
            <w:vAlign w:val="center"/>
          </w:tcPr>
          <w:p w14:paraId="75DBB4B8">
            <w:pPr>
              <w:spacing w:after="0" w:line="440" w:lineRule="exact"/>
              <w:jc w:val="center"/>
              <w:rPr>
                <w:rFonts w:hint="eastAsia" w:ascii="宋体" w:hAnsi="宋体" w:cs="宋体"/>
                <w:sz w:val="24"/>
                <w:highlight w:val="none"/>
              </w:rPr>
            </w:pPr>
            <w:r>
              <w:rPr>
                <w:rFonts w:hint="eastAsia" w:ascii="宋体" w:hAnsi="宋体" w:cs="宋体"/>
                <w:sz w:val="24"/>
                <w:highlight w:val="none"/>
              </w:rPr>
              <w:t>简要技术需求或服务要求</w:t>
            </w:r>
          </w:p>
        </w:tc>
      </w:tr>
      <w:tr w14:paraId="4904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5" w:type="pct"/>
            <w:noWrap/>
            <w:vAlign w:val="center"/>
          </w:tcPr>
          <w:p w14:paraId="79A51EEB">
            <w:pPr>
              <w:spacing w:after="0" w:line="440" w:lineRule="exact"/>
              <w:jc w:val="center"/>
              <w:rPr>
                <w:rFonts w:hint="eastAsia" w:ascii="宋体" w:hAnsi="宋体" w:cs="宋体"/>
                <w:sz w:val="24"/>
                <w:highlight w:val="none"/>
              </w:rPr>
            </w:pPr>
            <w:r>
              <w:rPr>
                <w:rFonts w:hint="eastAsia" w:ascii="宋体" w:hAnsi="宋体" w:cs="宋体"/>
                <w:sz w:val="24"/>
                <w:highlight w:val="none"/>
              </w:rPr>
              <w:t>01</w:t>
            </w:r>
          </w:p>
        </w:tc>
        <w:tc>
          <w:tcPr>
            <w:tcW w:w="1236" w:type="pct"/>
            <w:noWrap/>
            <w:vAlign w:val="center"/>
          </w:tcPr>
          <w:p w14:paraId="03FEAB80">
            <w:pPr>
              <w:spacing w:after="0" w:line="440" w:lineRule="exact"/>
              <w:jc w:val="center"/>
              <w:rPr>
                <w:rFonts w:hint="eastAsia" w:ascii="宋体" w:hAnsi="宋体" w:cs="宋体"/>
                <w:sz w:val="24"/>
                <w:highlight w:val="none"/>
              </w:rPr>
            </w:pPr>
            <w:r>
              <w:rPr>
                <w:rFonts w:hint="eastAsia" w:ascii="宋体" w:hAnsi="宋体" w:cs="宋体"/>
                <w:sz w:val="24"/>
                <w:highlight w:val="none"/>
              </w:rPr>
              <w:t>青龙桥派出所设备设施维修更新经费</w:t>
            </w:r>
          </w:p>
        </w:tc>
        <w:tc>
          <w:tcPr>
            <w:tcW w:w="1040" w:type="pct"/>
            <w:noWrap/>
            <w:vAlign w:val="center"/>
          </w:tcPr>
          <w:p w14:paraId="68711F95">
            <w:pPr>
              <w:spacing w:after="0" w:line="440" w:lineRule="exact"/>
              <w:jc w:val="center"/>
              <w:rPr>
                <w:rFonts w:hint="eastAsia" w:ascii="宋体" w:hAnsi="宋体" w:cs="宋体"/>
                <w:sz w:val="24"/>
                <w:highlight w:val="none"/>
              </w:rPr>
            </w:pPr>
            <w:r>
              <w:rPr>
                <w:rFonts w:hint="eastAsia" w:ascii="宋体" w:hAnsi="宋体" w:cs="宋体"/>
                <w:sz w:val="24"/>
                <w:highlight w:val="none"/>
              </w:rPr>
              <w:t>184.430059</w:t>
            </w:r>
          </w:p>
        </w:tc>
        <w:tc>
          <w:tcPr>
            <w:tcW w:w="327" w:type="pct"/>
            <w:noWrap/>
            <w:vAlign w:val="center"/>
          </w:tcPr>
          <w:p w14:paraId="2B9F77B7">
            <w:pPr>
              <w:spacing w:after="0" w:line="440" w:lineRule="exact"/>
              <w:jc w:val="center"/>
              <w:rPr>
                <w:rFonts w:hint="eastAsia" w:ascii="宋体" w:hAnsi="宋体" w:cs="宋体"/>
                <w:sz w:val="24"/>
                <w:highlight w:val="none"/>
              </w:rPr>
            </w:pPr>
            <w:r>
              <w:rPr>
                <w:rFonts w:hint="eastAsia" w:ascii="宋体" w:hAnsi="宋体" w:cs="宋体"/>
                <w:sz w:val="24"/>
                <w:highlight w:val="none"/>
              </w:rPr>
              <w:t>1</w:t>
            </w:r>
          </w:p>
        </w:tc>
        <w:tc>
          <w:tcPr>
            <w:tcW w:w="1952" w:type="pct"/>
            <w:noWrap/>
            <w:vAlign w:val="center"/>
          </w:tcPr>
          <w:p w14:paraId="6080D705">
            <w:pPr>
              <w:spacing w:after="0" w:line="440" w:lineRule="exact"/>
              <w:rPr>
                <w:rFonts w:hint="eastAsia" w:ascii="宋体" w:hAnsi="宋体" w:cs="宋体"/>
                <w:sz w:val="24"/>
                <w:highlight w:val="none"/>
              </w:rPr>
            </w:pPr>
            <w:r>
              <w:rPr>
                <w:rFonts w:hint="eastAsia" w:ascii="宋体" w:hAnsi="宋体" w:cs="宋体"/>
                <w:sz w:val="24"/>
                <w:highlight w:val="none"/>
              </w:rPr>
              <w:t>北京市公安局海淀分局青龙桥派出所设备设施维修更新经费工程量清单及施工图纸显示的全部工程内容。</w:t>
            </w:r>
          </w:p>
        </w:tc>
      </w:tr>
    </w:tbl>
    <w:p w14:paraId="731CC433">
      <w:pPr>
        <w:spacing w:after="0" w:line="440" w:lineRule="exact"/>
        <w:rPr>
          <w:rFonts w:hint="eastAsia" w:ascii="宋体" w:hAnsi="宋体" w:cs="宋体"/>
          <w:b/>
          <w:bCs/>
          <w:sz w:val="24"/>
          <w:highlight w:val="none"/>
        </w:rPr>
      </w:pPr>
      <w:r>
        <w:rPr>
          <w:rFonts w:hint="eastAsia" w:ascii="宋体" w:hAnsi="宋体" w:cs="宋体"/>
          <w:b/>
          <w:bCs/>
          <w:sz w:val="24"/>
          <w:highlight w:val="none"/>
        </w:rPr>
        <w:t>2.项目背景/项目概述</w:t>
      </w:r>
    </w:p>
    <w:p w14:paraId="303E956C">
      <w:pPr>
        <w:spacing w:after="0" w:line="440" w:lineRule="exact"/>
        <w:ind w:firstLine="420"/>
        <w:rPr>
          <w:rFonts w:hint="eastAsia" w:ascii="宋体" w:hAnsi="宋体" w:cs="宋体"/>
          <w:sz w:val="24"/>
          <w:highlight w:val="none"/>
        </w:rPr>
      </w:pPr>
      <w:r>
        <w:rPr>
          <w:rFonts w:hint="eastAsia" w:ascii="宋体" w:hAnsi="宋体" w:cs="宋体"/>
          <w:sz w:val="24"/>
          <w:highlight w:val="none"/>
        </w:rPr>
        <w:t>北京市公安局海淀分局青龙桥派出所设备设施维修更新经费内容等工程量清单及施工图纸显示的全部工程等。</w:t>
      </w:r>
    </w:p>
    <w:p w14:paraId="05A99B15">
      <w:pPr>
        <w:pStyle w:val="3"/>
        <w:spacing w:after="0" w:line="44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二、商务要求</w:t>
      </w:r>
    </w:p>
    <w:p w14:paraId="29305C79">
      <w:pPr>
        <w:spacing w:after="0" w:line="440" w:lineRule="exact"/>
        <w:rPr>
          <w:rFonts w:hint="eastAsia" w:ascii="宋体" w:hAnsi="宋体" w:cs="宋体"/>
          <w:b/>
          <w:bCs/>
          <w:sz w:val="24"/>
          <w:highlight w:val="none"/>
        </w:rPr>
      </w:pPr>
      <w:r>
        <w:rPr>
          <w:rFonts w:hint="eastAsia" w:ascii="宋体" w:hAnsi="宋体" w:cs="宋体"/>
          <w:b/>
          <w:bCs/>
          <w:sz w:val="24"/>
          <w:highlight w:val="none"/>
        </w:rPr>
        <w:t>1.实施的时间、地点和缺陷责任期</w:t>
      </w:r>
    </w:p>
    <w:p w14:paraId="2751C675">
      <w:pPr>
        <w:spacing w:after="0" w:line="440" w:lineRule="exact"/>
        <w:ind w:firstLine="420"/>
        <w:rPr>
          <w:rFonts w:hint="eastAsia" w:ascii="宋体" w:hAnsi="宋体" w:cs="宋体"/>
          <w:sz w:val="24"/>
          <w:highlight w:val="none"/>
        </w:rPr>
      </w:pPr>
      <w:r>
        <w:rPr>
          <w:rFonts w:hint="eastAsia" w:ascii="宋体" w:hAnsi="宋体" w:cs="宋体"/>
          <w:sz w:val="24"/>
          <w:highlight w:val="none"/>
        </w:rPr>
        <w:t>1.1合同履行期：初步计划工期120日历天，具体开工日期及工期，以实际通知为准。</w:t>
      </w:r>
    </w:p>
    <w:p w14:paraId="6C475CDE">
      <w:pPr>
        <w:spacing w:after="0" w:line="440" w:lineRule="exact"/>
        <w:ind w:firstLine="420"/>
        <w:rPr>
          <w:rFonts w:hint="eastAsia" w:ascii="宋体" w:hAnsi="宋体" w:cs="宋体"/>
          <w:sz w:val="24"/>
          <w:highlight w:val="none"/>
        </w:rPr>
      </w:pPr>
      <w:r>
        <w:rPr>
          <w:rFonts w:hint="eastAsia" w:ascii="宋体" w:hAnsi="宋体" w:cs="宋体"/>
          <w:sz w:val="24"/>
          <w:highlight w:val="none"/>
        </w:rPr>
        <w:t>1.2地点：北京市海淀区。</w:t>
      </w:r>
    </w:p>
    <w:p w14:paraId="1BC48BF1">
      <w:pPr>
        <w:spacing w:after="0" w:line="440" w:lineRule="exact"/>
        <w:ind w:firstLine="420"/>
        <w:rPr>
          <w:rFonts w:ascii="宋体" w:hAnsi="宋体" w:cs="宋体"/>
          <w:sz w:val="24"/>
          <w:highlight w:val="none"/>
        </w:rPr>
      </w:pPr>
      <w:r>
        <w:rPr>
          <w:rFonts w:hint="eastAsia" w:ascii="宋体" w:hAnsi="宋体" w:cs="宋体"/>
          <w:sz w:val="24"/>
          <w:highlight w:val="none"/>
        </w:rPr>
        <w:t>1.3采购人或者采购代理机构应当按照政府采购合同规定的工程量、服务、安全标准组织对供应商履约情况进行验收，并出具验收书。</w:t>
      </w:r>
    </w:p>
    <w:p w14:paraId="5C1BE20B">
      <w:pPr>
        <w:spacing w:after="0" w:line="440" w:lineRule="exact"/>
        <w:ind w:firstLine="420"/>
        <w:rPr>
          <w:rFonts w:hint="eastAsia" w:ascii="宋体" w:hAnsi="宋体" w:cs="宋体"/>
          <w:sz w:val="24"/>
          <w:highlight w:val="none"/>
        </w:rPr>
      </w:pPr>
      <w:r>
        <w:rPr>
          <w:rFonts w:hint="eastAsia" w:ascii="宋体" w:hAnsi="宋体" w:cs="宋体"/>
          <w:sz w:val="24"/>
          <w:highlight w:val="none"/>
        </w:rPr>
        <w:t>1.4缺陷责任期：24个月</w:t>
      </w:r>
    </w:p>
    <w:p w14:paraId="5E963829">
      <w:pPr>
        <w:spacing w:after="0" w:line="440" w:lineRule="exact"/>
        <w:rPr>
          <w:rFonts w:hint="eastAsia" w:ascii="宋体" w:hAnsi="宋体" w:cs="宋体"/>
          <w:b/>
          <w:bCs/>
          <w:sz w:val="24"/>
          <w:highlight w:val="none"/>
        </w:rPr>
      </w:pPr>
      <w:r>
        <w:rPr>
          <w:rFonts w:hint="eastAsia" w:ascii="宋体" w:hAnsi="宋体" w:cs="宋体"/>
          <w:b/>
          <w:bCs/>
          <w:sz w:val="24"/>
          <w:highlight w:val="none"/>
        </w:rPr>
        <w:t>2.付款条件</w:t>
      </w:r>
    </w:p>
    <w:p w14:paraId="494BA363">
      <w:pPr>
        <w:pStyle w:val="17"/>
        <w:spacing w:after="0" w:line="440" w:lineRule="exact"/>
        <w:ind w:firstLine="420"/>
        <w:rPr>
          <w:rFonts w:hint="eastAsia" w:cs="宋体"/>
          <w:highlight w:val="none"/>
        </w:rPr>
      </w:pPr>
      <w:r>
        <w:rPr>
          <w:rFonts w:hint="eastAsia" w:cs="宋体"/>
          <w:highlight w:val="none"/>
        </w:rPr>
        <w:t>合同签订后14日内，待财政资金到位，发包人支付承包人合同价款的50%（含全部安全措施费用）作为工程预付款；本工程竣工验收合格后，发包人按照政府采购相关付款流程向承包人支付至合同金额的100%。承包人以银行保函的形式同时向发包人缴纳合同金额的3%作为质量保证金， 缺陷责任期满后14日内发包人无息返还。</w:t>
      </w:r>
    </w:p>
    <w:p w14:paraId="24015AC8">
      <w:pPr>
        <w:spacing w:after="0" w:line="440" w:lineRule="exact"/>
        <w:rPr>
          <w:rFonts w:ascii="宋体" w:hAnsi="宋体" w:cs="宋体"/>
          <w:b/>
          <w:bCs/>
          <w:sz w:val="24"/>
          <w:highlight w:val="none"/>
        </w:rPr>
      </w:pPr>
      <w:r>
        <w:rPr>
          <w:rFonts w:hint="eastAsia" w:ascii="宋体" w:hAnsi="宋体" w:cs="宋体"/>
          <w:b/>
          <w:bCs/>
          <w:sz w:val="24"/>
          <w:highlight w:val="none"/>
        </w:rPr>
        <w:t>3.工程量清单编制依据：</w:t>
      </w:r>
    </w:p>
    <w:p w14:paraId="24FA33F7">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工程执行建设部《建设工程工程量清单计价规范》（2024）计价计量规范；北京市《房屋修缮工程工程量计算标准》（2023-北京）；北京市现行的预算定额、费用标准及参照同期造价信息（或项目实施期间的相关市场价格）。</w:t>
      </w:r>
    </w:p>
    <w:p w14:paraId="7EA2DD8A">
      <w:pPr>
        <w:pStyle w:val="19"/>
        <w:spacing w:after="0" w:line="360" w:lineRule="auto"/>
        <w:ind w:left="161" w:leftChars="23" w:hanging="113" w:hangingChars="47"/>
        <w:rPr>
          <w:rFonts w:ascii="宋体" w:hAnsi="宋体" w:cs="宋体"/>
          <w:sz w:val="24"/>
          <w:highlight w:val="none"/>
        </w:rPr>
      </w:pPr>
      <w:r>
        <w:rPr>
          <w:rFonts w:hint="eastAsia" w:ascii="宋体" w:hAnsi="宋体" w:cs="宋体"/>
          <w:b/>
          <w:bCs/>
          <w:sz w:val="24"/>
          <w:highlight w:val="none"/>
        </w:rPr>
        <w:t>4.北京建设工程造价信息：</w:t>
      </w:r>
      <w:r>
        <w:rPr>
          <w:rFonts w:hint="eastAsia" w:ascii="宋体" w:hAnsi="宋体" w:cs="宋体"/>
          <w:sz w:val="24"/>
          <w:highlight w:val="none"/>
        </w:rPr>
        <w:t>2026年05月</w:t>
      </w:r>
    </w:p>
    <w:p w14:paraId="5D472AB6">
      <w:pPr>
        <w:pStyle w:val="19"/>
        <w:spacing w:after="0" w:line="360" w:lineRule="auto"/>
        <w:ind w:left="161" w:leftChars="23" w:hanging="113" w:hangingChars="47"/>
        <w:rPr>
          <w:rFonts w:ascii="宋体" w:hAnsi="宋体" w:cs="宋体"/>
          <w:b/>
          <w:bCs/>
          <w:sz w:val="24"/>
          <w:highlight w:val="none"/>
        </w:rPr>
      </w:pPr>
      <w:r>
        <w:rPr>
          <w:rFonts w:hint="eastAsia" w:ascii="宋体" w:hAnsi="宋体" w:cs="宋体"/>
          <w:b/>
          <w:bCs/>
          <w:sz w:val="24"/>
          <w:highlight w:val="none"/>
        </w:rPr>
        <w:t>5.施工人员要求</w:t>
      </w:r>
    </w:p>
    <w:p w14:paraId="26096E36">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1.项目经理1名，须具有建筑工程专业二级（含）以上注册建造师资格（须为施工单位人员）、安全考核合格证（简称B证）且不得担任其他在施建设工程项目（需提供无在施承诺书）；</w:t>
      </w:r>
    </w:p>
    <w:p w14:paraId="1EC47797">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2.技术负责人1名，须具有中级及以上工程师资格证书；</w:t>
      </w:r>
    </w:p>
    <w:p w14:paraId="0708B598">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3.另需配备专职安全生产管理员、施工员、资料员各至少1名。</w:t>
      </w:r>
    </w:p>
    <w:p w14:paraId="2595FF47">
      <w:pPr>
        <w:pStyle w:val="19"/>
        <w:spacing w:after="0" w:line="360" w:lineRule="auto"/>
        <w:ind w:left="161" w:leftChars="23" w:hanging="113" w:hangingChars="47"/>
        <w:rPr>
          <w:rFonts w:ascii="宋体" w:hAnsi="宋体" w:cs="宋体"/>
          <w:b/>
          <w:bCs/>
          <w:sz w:val="24"/>
          <w:highlight w:val="none"/>
        </w:rPr>
      </w:pPr>
      <w:r>
        <w:rPr>
          <w:rFonts w:hint="eastAsia" w:ascii="宋体" w:hAnsi="宋体" w:cs="宋体"/>
          <w:b/>
          <w:bCs/>
          <w:sz w:val="24"/>
          <w:highlight w:val="none"/>
        </w:rPr>
        <w:t>6.技术要求</w:t>
      </w:r>
    </w:p>
    <w:p w14:paraId="5C80DE59">
      <w:pPr>
        <w:spacing w:after="0" w:line="360" w:lineRule="auto"/>
        <w:ind w:firstLine="420"/>
        <w:rPr>
          <w:rFonts w:ascii="宋体" w:hAnsi="宋体" w:cs="宋体"/>
          <w:sz w:val="24"/>
          <w:highlight w:val="none"/>
        </w:rPr>
      </w:pPr>
      <w:r>
        <w:rPr>
          <w:rFonts w:hint="eastAsia" w:ascii="宋体" w:hAnsi="宋体" w:cs="宋体"/>
          <w:sz w:val="24"/>
          <w:highlight w:val="none"/>
        </w:rPr>
        <w:t>1.本工程实施期间，采购人办公场所需保持正常业务运转。供应商必须采取分区域、分阶段流水施工的组织方式，严格落实施工区域隔离、污染防控、运行保障措施，确保非施工区域的办公秩序、设备运行、人员通行及业务开展不受施工影响。</w:t>
      </w:r>
    </w:p>
    <w:p w14:paraId="77D0B2D9">
      <w:pPr>
        <w:spacing w:after="0" w:line="360" w:lineRule="auto"/>
        <w:ind w:firstLine="420"/>
        <w:rPr>
          <w:rFonts w:hint="eastAsia" w:ascii="宋体" w:hAnsi="宋体" w:cs="宋体"/>
          <w:highlight w:val="none"/>
        </w:rPr>
      </w:pPr>
      <w:r>
        <w:rPr>
          <w:rFonts w:hint="eastAsia" w:ascii="宋体" w:hAnsi="宋体" w:cs="宋体"/>
          <w:sz w:val="24"/>
          <w:highlight w:val="none"/>
        </w:rPr>
        <w:t>2.</w:t>
      </w:r>
      <w:r>
        <w:rPr>
          <w:rFonts w:hint="eastAsia"/>
          <w:highlight w:val="none"/>
        </w:rPr>
        <w:t xml:space="preserve"> </w:t>
      </w:r>
      <w:r>
        <w:rPr>
          <w:rFonts w:hint="eastAsia" w:ascii="宋体" w:hAnsi="宋体" w:cs="宋体"/>
          <w:sz w:val="24"/>
          <w:highlight w:val="none"/>
        </w:rPr>
        <w:t>需具备与本项目相关的设备和能力，拟为本项目提供的主要设备包括不限于：浪涌保护器，管道循环泵，静态平衡阀。应提供对应产品清单（包括品牌、规格型号），并承诺产品在施工过程中与投标产品保持一致，如遇特殊情况需要更换的，更换的产品性能指标应不低于投标产品性能指标，并同时以书面形式上报采购人批准后方可进行更换。（提供承诺书，格式自拟）</w:t>
      </w:r>
    </w:p>
    <w:p w14:paraId="266F798F">
      <w:pPr>
        <w:spacing w:after="0"/>
        <w:rPr>
          <w:rFonts w:ascii="宋体" w:hAnsi="宋体" w:cs="宋体"/>
          <w:highlight w:val="none"/>
        </w:rPr>
        <w:sectPr>
          <w:pgSz w:w="11905" w:h="16838"/>
          <w:pgMar w:top="1474" w:right="1474" w:bottom="1474" w:left="1474" w:header="850" w:footer="992" w:gutter="0"/>
          <w:cols w:space="720" w:num="1"/>
          <w:docGrid w:linePitch="462" w:charSpace="0"/>
        </w:sectPr>
      </w:pPr>
    </w:p>
    <w:p w14:paraId="6BF20777">
      <w:pPr>
        <w:pStyle w:val="3"/>
        <w:spacing w:after="0"/>
        <w:rPr>
          <w:rFonts w:hint="eastAsia" w:ascii="宋体" w:hAnsi="宋体" w:eastAsia="宋体" w:cs="宋体"/>
          <w:szCs w:val="28"/>
          <w:highlight w:val="none"/>
        </w:rPr>
      </w:pPr>
      <w:r>
        <w:rPr>
          <w:rFonts w:hint="eastAsia" w:ascii="宋体" w:hAnsi="宋体" w:eastAsia="宋体" w:cs="宋体"/>
          <w:highlight w:val="none"/>
        </w:rPr>
        <w:t>三、工程量清单</w:t>
      </w:r>
      <w:r>
        <w:rPr>
          <w:rFonts w:hint="eastAsia" w:ascii="宋体" w:hAnsi="宋体" w:eastAsia="宋体" w:cs="宋体"/>
          <w:szCs w:val="28"/>
          <w:highlight w:val="none"/>
        </w:rPr>
        <w:br w:type="textWrapping"/>
      </w:r>
      <w:r>
        <w:rPr>
          <w:rFonts w:hint="eastAsia" w:ascii="宋体" w:hAnsi="宋体" w:eastAsia="宋体" w:cs="宋体"/>
          <w:szCs w:val="28"/>
          <w:highlight w:val="none"/>
        </w:rPr>
        <w:t>详见附件</w:t>
      </w:r>
    </w:p>
    <w:p w14:paraId="1F7D968E">
      <w:pPr>
        <w:pStyle w:val="23"/>
        <w:spacing w:after="0"/>
        <w:rPr>
          <w:rFonts w:hAnsi="宋体" w:cs="宋体"/>
          <w:sz w:val="24"/>
          <w:highlight w:val="none"/>
        </w:rPr>
      </w:pPr>
    </w:p>
    <w:p w14:paraId="21CEE65B">
      <w:pPr>
        <w:spacing w:after="0" w:line="440" w:lineRule="exact"/>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766ADF7E">
      <w:pPr>
        <w:pStyle w:val="3"/>
        <w:spacing w:after="0" w:line="360" w:lineRule="auto"/>
        <w:jc w:val="both"/>
        <w:rPr>
          <w:rFonts w:hint="eastAsia" w:ascii="宋体" w:hAnsi="宋体" w:eastAsia="宋体" w:cs="宋体"/>
          <w:sz w:val="24"/>
          <w:szCs w:val="28"/>
          <w:highlight w:val="none"/>
        </w:rPr>
      </w:pPr>
      <w:r>
        <w:rPr>
          <w:rFonts w:hint="eastAsia" w:ascii="宋体" w:hAnsi="宋体" w:eastAsia="宋体" w:cs="宋体"/>
          <w:sz w:val="24"/>
          <w:szCs w:val="28"/>
          <w:highlight w:val="none"/>
        </w:rPr>
        <w:t>四、技术标准及要求</w:t>
      </w:r>
    </w:p>
    <w:p w14:paraId="2FD78EC1">
      <w:pPr>
        <w:pStyle w:val="249"/>
        <w:spacing w:before="120" w:after="0"/>
        <w:outlineLvl w:val="2"/>
        <w:rPr>
          <w:rFonts w:hint="eastAsia" w:ascii="宋体" w:hAnsi="宋体" w:eastAsia="宋体"/>
          <w:b/>
          <w:sz w:val="24"/>
          <w:szCs w:val="24"/>
          <w:highlight w:val="none"/>
          <w:shd w:val="clear" w:color="auto" w:fill="FFFFFF"/>
        </w:rPr>
      </w:pPr>
      <w:r>
        <w:rPr>
          <w:rFonts w:hint="eastAsia" w:ascii="宋体" w:hAnsi="宋体" w:eastAsia="宋体"/>
          <w:b/>
          <w:sz w:val="24"/>
          <w:szCs w:val="24"/>
          <w:highlight w:val="none"/>
          <w:shd w:val="clear" w:color="auto" w:fill="FFFFFF"/>
        </w:rPr>
        <w:t>技术标准和要求通用部分</w:t>
      </w:r>
    </w:p>
    <w:p w14:paraId="7A08F1EA">
      <w:pPr>
        <w:adjustRightInd w:val="0"/>
        <w:snapToGrid w:val="0"/>
        <w:spacing w:after="0" w:line="360" w:lineRule="auto"/>
        <w:outlineLvl w:val="3"/>
        <w:rPr>
          <w:rFonts w:hint="eastAsia" w:ascii="宋体" w:hAnsi="宋体" w:cs="宋体"/>
          <w:sz w:val="24"/>
          <w:highlight w:val="none"/>
        </w:rPr>
      </w:pPr>
      <w:bookmarkStart w:id="672" w:name="_Toc24705"/>
      <w:bookmarkStart w:id="673" w:name="_Toc96529953"/>
      <w:bookmarkStart w:id="674" w:name="_Toc96504942"/>
      <w:bookmarkStart w:id="675" w:name="_Toc96352127"/>
      <w:bookmarkStart w:id="676" w:name="_Toc96505331"/>
      <w:r>
        <w:rPr>
          <w:rFonts w:hint="eastAsia" w:ascii="宋体" w:hAnsi="宋体" w:cs="宋体"/>
          <w:sz w:val="24"/>
          <w:highlight w:val="none"/>
        </w:rPr>
        <w:t>1.工程说明</w:t>
      </w:r>
      <w:bookmarkEnd w:id="672"/>
      <w:bookmarkEnd w:id="673"/>
      <w:bookmarkEnd w:id="674"/>
      <w:bookmarkEnd w:id="675"/>
      <w:bookmarkEnd w:id="676"/>
    </w:p>
    <w:p w14:paraId="750ADD01">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1.1  工程概况</w:t>
      </w:r>
    </w:p>
    <w:p w14:paraId="5B804E8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  本工程基本情况见技术标准和要求专用部分。</w:t>
      </w:r>
    </w:p>
    <w:p w14:paraId="6ED923D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1.1.2  本工程施工场地（现场）具体地理位置见技术标准和要求专用部分。</w:t>
      </w:r>
    </w:p>
    <w:p w14:paraId="3AF9A226">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1.2  现场条件和周围环境</w:t>
      </w:r>
    </w:p>
    <w:p w14:paraId="720BFB4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1.2.1  本工程施工场地（现场）已经具备施工条件。施工场地（现场）临时水源接口位置、临时电源接口位置、临时排污口位置、建筑红线位置、道路交通和出入口、以及施工场地（现场）和周围环境等情况见本章附图：施工场地（现场）现状平面图。</w:t>
      </w:r>
    </w:p>
    <w:p w14:paraId="340C99B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1.2.2  施工场地（现场）临时供水管径见技术标准和要求专用部分。</w:t>
      </w:r>
    </w:p>
    <w:p w14:paraId="0585F2E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施工场地（现场）临时排污管径见技术标准和要求专用部分。</w:t>
      </w:r>
    </w:p>
    <w:p w14:paraId="580DFE8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施工场地（现场）临时雨水管径见技术标准和要求专用部分。</w:t>
      </w:r>
    </w:p>
    <w:p w14:paraId="3FC6B2F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施工场地（现场）临时供电容量（变压器输出功率）见技术标准和要求专用部分。</w:t>
      </w:r>
    </w:p>
    <w:p w14:paraId="4C99A82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1.2.3  现场条件和周围环境的其他资料和信息数据见技术标准和要求专用部分。</w:t>
      </w:r>
    </w:p>
    <w:p w14:paraId="0CCA53D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1.2.4  承包人被认为已在本工程投标阶段踏勘现场时充分了解本工程现场条件和周围环境，并已在其投标时就此给予了充分的考虑。</w:t>
      </w:r>
    </w:p>
    <w:p w14:paraId="7DB51D8D">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1.3  地质及水文资料</w:t>
      </w:r>
    </w:p>
    <w:p w14:paraId="0D6FED8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现场地质及水文资料和信息数据见技术标准和要求专用部分。</w:t>
      </w:r>
    </w:p>
    <w:p w14:paraId="1D2B0BF8">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1.4  资料和信息的使用</w:t>
      </w:r>
    </w:p>
    <w:p w14:paraId="4839070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468887F6">
      <w:pPr>
        <w:adjustRightInd w:val="0"/>
        <w:snapToGrid w:val="0"/>
        <w:spacing w:after="0" w:line="360" w:lineRule="auto"/>
        <w:outlineLvl w:val="3"/>
        <w:rPr>
          <w:rFonts w:hint="eastAsia" w:ascii="宋体" w:hAnsi="宋体" w:cs="宋体"/>
          <w:sz w:val="24"/>
          <w:highlight w:val="none"/>
        </w:rPr>
      </w:pPr>
      <w:bookmarkStart w:id="677" w:name="_Toc29131"/>
      <w:bookmarkStart w:id="678" w:name="_Toc96352128"/>
      <w:bookmarkStart w:id="679" w:name="_Toc96505332"/>
      <w:bookmarkStart w:id="680" w:name="_Toc96529954"/>
      <w:bookmarkStart w:id="681" w:name="_Toc96504943"/>
      <w:r>
        <w:rPr>
          <w:rFonts w:hint="eastAsia" w:ascii="宋体" w:hAnsi="宋体" w:cs="宋体"/>
          <w:sz w:val="24"/>
          <w:highlight w:val="none"/>
        </w:rPr>
        <w:t>2.承包范围</w:t>
      </w:r>
      <w:bookmarkEnd w:id="677"/>
      <w:bookmarkEnd w:id="678"/>
      <w:bookmarkEnd w:id="679"/>
      <w:bookmarkEnd w:id="680"/>
      <w:bookmarkEnd w:id="681"/>
    </w:p>
    <w:p w14:paraId="5672386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2.1  承包范围</w:t>
      </w:r>
    </w:p>
    <w:p w14:paraId="564B71E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2.1.1  承包人施工范围</w:t>
      </w:r>
    </w:p>
    <w:p w14:paraId="58EB253C">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2.1.1.1  本工程承包人施工的工程范围见技术标准和要求专用部分。</w:t>
      </w:r>
    </w:p>
    <w:p w14:paraId="67966238">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2.1.1.2  承包人与其他独立承包人之间的工作界面划分见技术标准和要求专用部分。</w:t>
      </w:r>
    </w:p>
    <w:p w14:paraId="42E446F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2.1.2  承包范围内的暂估价材料和工程设备</w:t>
      </w:r>
    </w:p>
    <w:p w14:paraId="0B44E24D">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2.1.2.1  承包范围内以暂估价形式实施的材料和工程设备见 “工程量清单”表 “材料和工程设备暂估表”。</w:t>
      </w:r>
    </w:p>
    <w:p w14:paraId="18F05E5D">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2.1.2.2  承包人与暂估价材料和工程设备的供应商之间的工作界面划分见技术标准和要求专用部分。</w:t>
      </w:r>
    </w:p>
    <w:p w14:paraId="4A21BDD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2.1.3  承包范围内的暂列金额项目</w:t>
      </w:r>
    </w:p>
    <w:p w14:paraId="0E69613C">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2.1.3.1  以暂列金额（包括计日工）方式实施的项目一般包括两部分，见 “工程量清单”表“暂列金额明细表”（不包括计日工）和表“计日工表”；其中，计日工金额为承包人在其投标报价中按表“计日工表”所列计日工子目、暂估数量等相应规定填报的金额，构成暂列金额的一部分。</w:t>
      </w:r>
    </w:p>
    <w:p w14:paraId="05165DA3">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2.1.3.2  暂列金额明细表中每笔暂列金额所对应的子目，或计日工表中所列计日工子目，均只是可能发生的子目。承包人应当充分认识到，合同履行过程中所列上述暂列子目项金额可能不发生，也可能部分发生。监理人按照合同约定发出的使用暂列金额的指示，不限于只能用于上述表中所列子目。</w:t>
      </w:r>
    </w:p>
    <w:p w14:paraId="16CE0419">
      <w:pPr>
        <w:adjustRightInd w:val="0"/>
        <w:snapToGrid w:val="0"/>
        <w:spacing w:after="0" w:line="360" w:lineRule="auto"/>
        <w:ind w:firstLine="960" w:firstLineChars="400"/>
        <w:rPr>
          <w:rFonts w:hint="eastAsia" w:ascii="宋体" w:hAnsi="宋体" w:cs="宋体"/>
          <w:sz w:val="24"/>
          <w:highlight w:val="none"/>
        </w:rPr>
      </w:pPr>
      <w:r>
        <w:rPr>
          <w:rFonts w:hint="eastAsia" w:ascii="宋体" w:hAnsi="宋体" w:cs="宋体"/>
          <w:sz w:val="24"/>
          <w:highlight w:val="none"/>
        </w:rPr>
        <w:t>2.1.3.3  暂列金额是否实际发生、其再分和（或）合并等均不应成为承包人要求任何追加费用和(或)延长工期的理由。</w:t>
      </w:r>
    </w:p>
    <w:p w14:paraId="0B5926E2">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2.1.3.4  关于暂列金额的其他说明见技术标准和要求专用部分。</w:t>
      </w:r>
    </w:p>
    <w:p w14:paraId="16C6BA94">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2.2  发包人供应的材料和工程设备</w:t>
      </w:r>
    </w:p>
    <w:p w14:paraId="418885B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2.2.1  由发包人供应的材料和工程设备不属于承包人的承包范围。</w:t>
      </w:r>
    </w:p>
    <w:p w14:paraId="1C7EAE4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2.2.2  承包人与发包人供应的材料和设备供应商之间的工作界面划分见技术标准和要求专用部分。</w:t>
      </w:r>
    </w:p>
    <w:p w14:paraId="7ADCF3A0">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2.3  承包人需要为发包人和监理人提供的现场办公条件和设施</w:t>
      </w:r>
    </w:p>
    <w:p w14:paraId="0138749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承包人需要为发包人和监理人提供的现场办公条件和设施及其详细要求见技术标准和要求专用部分。</w:t>
      </w:r>
    </w:p>
    <w:p w14:paraId="670B85D6">
      <w:pPr>
        <w:adjustRightInd w:val="0"/>
        <w:snapToGrid w:val="0"/>
        <w:spacing w:after="0" w:line="360" w:lineRule="auto"/>
        <w:outlineLvl w:val="3"/>
        <w:rPr>
          <w:rFonts w:hint="eastAsia" w:ascii="宋体" w:hAnsi="宋体" w:cs="宋体"/>
          <w:sz w:val="24"/>
          <w:highlight w:val="none"/>
        </w:rPr>
      </w:pPr>
      <w:bookmarkStart w:id="682" w:name="_Toc96504944"/>
      <w:bookmarkStart w:id="683" w:name="_Toc96505333"/>
      <w:bookmarkStart w:id="684" w:name="_Toc96529955"/>
      <w:bookmarkStart w:id="685" w:name="_Toc3549"/>
      <w:bookmarkStart w:id="686" w:name="_Toc96352129"/>
      <w:r>
        <w:rPr>
          <w:rFonts w:hint="eastAsia" w:ascii="宋体" w:hAnsi="宋体" w:cs="宋体"/>
          <w:sz w:val="24"/>
          <w:highlight w:val="none"/>
        </w:rPr>
        <w:t>3.工期要求</w:t>
      </w:r>
      <w:bookmarkEnd w:id="682"/>
      <w:bookmarkEnd w:id="683"/>
      <w:bookmarkEnd w:id="684"/>
      <w:bookmarkEnd w:id="685"/>
      <w:bookmarkEnd w:id="686"/>
    </w:p>
    <w:p w14:paraId="5818C476">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3.1  合同工期</w:t>
      </w:r>
    </w:p>
    <w:p w14:paraId="7233763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本工程合同工期和计划开、竣工日期为承包人在报价一览表中承诺的工期和计划开、竣工日期，并在合同协议书中载明。</w:t>
      </w:r>
    </w:p>
    <w:p w14:paraId="273748E7">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3.2  关于工期的一般规定</w:t>
      </w:r>
    </w:p>
    <w:p w14:paraId="7AEC6CD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3.2.1  承包人在报价一览表中，承诺的工期和计划开、竣工日期之间发生矛盾或者不一致时，以承包人承诺的工期为准。实际开工日期以合同条款约定的监理人发出的开工通知中载明的开工日期为准。</w:t>
      </w:r>
    </w:p>
    <w:p w14:paraId="3C72E46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3.2.2  如果承包人在报价一览表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4CD04A4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3.2.3  承包人在报价一览表中，所承诺的工期应当包括实施并完成“承包范围内的暂列金额项目”规定的暂列金额在内的所有工作的工期。</w:t>
      </w:r>
    </w:p>
    <w:p w14:paraId="05FFB132">
      <w:pPr>
        <w:adjustRightInd w:val="0"/>
        <w:snapToGrid w:val="0"/>
        <w:spacing w:after="0" w:line="360" w:lineRule="auto"/>
        <w:outlineLvl w:val="3"/>
        <w:rPr>
          <w:rFonts w:hint="eastAsia" w:ascii="宋体" w:hAnsi="宋体" w:cs="宋体"/>
          <w:sz w:val="24"/>
          <w:highlight w:val="none"/>
        </w:rPr>
      </w:pPr>
      <w:bookmarkStart w:id="687" w:name="_Toc96529956"/>
      <w:bookmarkStart w:id="688" w:name="_Toc96352130"/>
      <w:bookmarkStart w:id="689" w:name="_Toc96504945"/>
      <w:bookmarkStart w:id="690" w:name="_Toc15236"/>
      <w:bookmarkStart w:id="691" w:name="_Toc96505334"/>
      <w:r>
        <w:rPr>
          <w:rFonts w:hint="eastAsia" w:ascii="宋体" w:hAnsi="宋体" w:cs="宋体"/>
          <w:sz w:val="24"/>
          <w:highlight w:val="none"/>
        </w:rPr>
        <w:t>4.质量要求</w:t>
      </w:r>
      <w:bookmarkEnd w:id="687"/>
      <w:bookmarkEnd w:id="688"/>
      <w:bookmarkEnd w:id="689"/>
      <w:bookmarkEnd w:id="690"/>
      <w:bookmarkEnd w:id="691"/>
    </w:p>
    <w:p w14:paraId="178582A7">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4.1  质量标准</w:t>
      </w:r>
    </w:p>
    <w:p w14:paraId="6E6955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本工程要求的质量标准为符合现行国家有关工程施工验收规范和标准的要求（合格）。</w:t>
      </w:r>
    </w:p>
    <w:p w14:paraId="2144B01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4.2  特殊质量要求</w:t>
      </w:r>
    </w:p>
    <w:p w14:paraId="552FDC7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有关本工程质量方面的特殊要求见技术标准和要求专用部分。</w:t>
      </w:r>
    </w:p>
    <w:p w14:paraId="5173045E">
      <w:pPr>
        <w:adjustRightInd w:val="0"/>
        <w:snapToGrid w:val="0"/>
        <w:spacing w:after="0" w:line="360" w:lineRule="auto"/>
        <w:outlineLvl w:val="3"/>
        <w:rPr>
          <w:rFonts w:hint="eastAsia" w:ascii="宋体" w:hAnsi="宋体" w:cs="宋体"/>
          <w:sz w:val="24"/>
          <w:highlight w:val="none"/>
        </w:rPr>
      </w:pPr>
      <w:bookmarkStart w:id="692" w:name="_Toc96529957"/>
      <w:bookmarkStart w:id="693" w:name="_Toc96504946"/>
      <w:bookmarkStart w:id="694" w:name="_Toc96505335"/>
      <w:bookmarkStart w:id="695" w:name="_Toc6119"/>
      <w:bookmarkStart w:id="696" w:name="_Toc96352131"/>
      <w:r>
        <w:rPr>
          <w:rFonts w:hint="eastAsia" w:ascii="宋体" w:hAnsi="宋体" w:cs="宋体"/>
          <w:sz w:val="24"/>
          <w:highlight w:val="none"/>
        </w:rPr>
        <w:t>5.适用规范和标准</w:t>
      </w:r>
      <w:bookmarkEnd w:id="692"/>
      <w:bookmarkEnd w:id="693"/>
      <w:bookmarkEnd w:id="694"/>
      <w:bookmarkEnd w:id="695"/>
      <w:bookmarkEnd w:id="696"/>
    </w:p>
    <w:p w14:paraId="4A1E0EAA">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5.1  除合同另有约定外，本工程适用现行国家、行业和地方规范、标准和规程。适用于本工程的国家、行业和地方的规范、标准和规程等的名录见技术标准和要求专用部分。</w:t>
      </w:r>
    </w:p>
    <w:p w14:paraId="45516613">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5.2  构成合同文件的任何内容与适用的规范、标准和规程之间出现矛盾，承包人应书面要求监理人予以澄清，除监理人有特别指示外，承包人应按照其中要求最严格的标准执行。</w:t>
      </w:r>
    </w:p>
    <w:p w14:paraId="5814C4C6">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5.3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的约定办理。</w:t>
      </w:r>
    </w:p>
    <w:p w14:paraId="5AAB91D2">
      <w:pPr>
        <w:adjustRightInd w:val="0"/>
        <w:snapToGrid w:val="0"/>
        <w:spacing w:after="0" w:line="360" w:lineRule="auto"/>
        <w:outlineLvl w:val="3"/>
        <w:rPr>
          <w:rFonts w:hint="eastAsia" w:ascii="宋体" w:hAnsi="宋体" w:cs="宋体"/>
          <w:sz w:val="24"/>
          <w:highlight w:val="none"/>
        </w:rPr>
      </w:pPr>
      <w:bookmarkStart w:id="697" w:name="_Toc96529958"/>
      <w:bookmarkStart w:id="698" w:name="_Toc96352132"/>
      <w:bookmarkStart w:id="699" w:name="_Toc96505336"/>
      <w:bookmarkStart w:id="700" w:name="_Toc20972"/>
      <w:bookmarkStart w:id="701" w:name="_Toc96504947"/>
      <w:r>
        <w:rPr>
          <w:rFonts w:hint="eastAsia" w:ascii="宋体" w:hAnsi="宋体" w:cs="宋体"/>
          <w:sz w:val="24"/>
          <w:highlight w:val="none"/>
        </w:rPr>
        <w:t>6.安全文明施工</w:t>
      </w:r>
      <w:bookmarkEnd w:id="697"/>
      <w:bookmarkEnd w:id="698"/>
      <w:bookmarkEnd w:id="699"/>
      <w:bookmarkEnd w:id="700"/>
      <w:bookmarkEnd w:id="701"/>
    </w:p>
    <w:p w14:paraId="30F69DFF">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6.1  安全防护</w:t>
      </w:r>
    </w:p>
    <w:p w14:paraId="37009C5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  在工程施工、竣工、交付及修补任何缺陷的过程中，承包人应当始终遵守国家和地方有关安全生产的法律、法规、规范、标准和规程等，按照合同条款的约定履行其安全施工职责。</w:t>
      </w:r>
    </w:p>
    <w:p w14:paraId="3962090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6.1.2  承包人应坚持“安全第一、预防为主</w:t>
      </w:r>
      <w:r>
        <w:rPr>
          <w:rFonts w:hint="eastAsia" w:ascii="宋体" w:hAnsi="宋体" w:cs="宋体"/>
          <w:sz w:val="24"/>
          <w:highlight w:val="none"/>
          <w:shd w:val="clear" w:color="auto" w:fill="FFFFFF"/>
        </w:rPr>
        <w:t>、综合治理</w:t>
      </w:r>
      <w:r>
        <w:rPr>
          <w:rFonts w:hint="eastAsia" w:ascii="宋体" w:hAnsi="宋体" w:cs="宋体"/>
          <w:sz w:val="24"/>
          <w:highlight w:val="none"/>
        </w:rPr>
        <w:t>”的方针，建立、健全安全生产责任制度和安全生产教育培训制度。在整个工程施工期间，承包人应在施工场地（现场）设立、提供和维护并在有关工作完成或竣工后撤除：</w:t>
      </w:r>
    </w:p>
    <w:p w14:paraId="46B7967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(1)设立在现场入口显著位置的现场施工总平面图、总平面管理、安全生产、文明施工、环境保护、质量控制、材料管理等的规章制度和主要参建单位名称和工程概况等说明的图板；</w:t>
      </w:r>
    </w:p>
    <w:p w14:paraId="123B18D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(2)为确保工程安全施工须设立的足够的标志、宣传画、标语、指示牌、警告牌、公示牌（如，职工工伤保险公示标牌）、火警、匪警和急救电话提示牌等等；</w:t>
      </w:r>
    </w:p>
    <w:p w14:paraId="41BF4B2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(3)洞口和临边位置的安全防护设施，包括护身栏杆、脚手架、洞口盖板和加筋、竖井防护栏杆、防护棚、防护网、坡道等等；</w:t>
      </w:r>
    </w:p>
    <w:p w14:paraId="65C318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(4)安全带、安全绳、安全帽、安全网、绝缘鞋、绝缘手套、防护口罩和防护衣等安全生产用品；</w:t>
      </w:r>
    </w:p>
    <w:p w14:paraId="0692499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(5)所有机械设备包括各类电动工具的安全保护和接地装置和操作说明；</w:t>
      </w:r>
    </w:p>
    <w:p w14:paraId="6FEC7CA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(6)装备良好的临时急救站和配备称职的医护人员；</w:t>
      </w:r>
    </w:p>
    <w:p w14:paraId="2C65AD8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(7)主要作业场所和临时安全疏散通道24小时36伏安全照明和必要的警示等以防止各种可能的事故；</w:t>
      </w:r>
    </w:p>
    <w:p w14:paraId="61C2DB6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(8)足够数量的和合格的手提灭火器；</w:t>
      </w:r>
    </w:p>
    <w:p w14:paraId="3D037AC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(9)装备良好的易燃易爆物品仓库和相应的使用管理制度；</w:t>
      </w:r>
    </w:p>
    <w:p w14:paraId="11D26B3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(10)对涉及明火施工的工作制定诸如用火证等的管理制度；</w:t>
      </w:r>
    </w:p>
    <w:p w14:paraId="0D9854B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(11)其他要求见技术标准和要求专用部分。</w:t>
      </w:r>
    </w:p>
    <w:p w14:paraId="4BCAE8C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6.1.3  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14:paraId="37D9860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6.1.4  承包人应建立专门的施工场地（现场）安全生产管理机构，配备足够数量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64201AB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6.1.5  承包人应遵照有关法律法规要求，编制印发安全防护手册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45771A7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45335F9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1FB9BF7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41C8B61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律、法规、规章、规范、标准和规程等的要求。</w:t>
      </w:r>
    </w:p>
    <w:p w14:paraId="393FE32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6CC5F2C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0ABDB70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1F85AC3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6.1.13  承包人应成立应急救援小组，配备必要的应急救援器材和设备，制定灾害和生产安全事故的应急救援预案，并将应急救援预案报送监理人。应急救援预案应能随时组织应救专职人员、并定期组织演练。</w:t>
      </w:r>
    </w:p>
    <w:p w14:paraId="6BF5473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6.1.14  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1408EA0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7B74933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6.1.16  承包人应按照合同条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2C92397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6.1.17  承包人还应根据有关法律、法规、规定和条例等的要求，制定一套安全生产应急措施和程序，保证一旦出现任何安全事故，能立即保护好现场，抢救伤员和财产，保证施工生产的正常进行，防止损失扩大。</w:t>
      </w:r>
    </w:p>
    <w:p w14:paraId="0EBB817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6.1.18  安全防护方面的其他要求见技术标准和要求专用部分。</w:t>
      </w:r>
    </w:p>
    <w:p w14:paraId="70E33175">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6.2  临时消防</w:t>
      </w:r>
    </w:p>
    <w:p w14:paraId="3011F90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6.2.1  承包人应建立消防安全责任制度，制定用火、用电和使用易燃易爆等危险品的消防安全管理制度和操作规程。各项制度和规程等应满足相关法律法规和政府消防管理机构的要求。</w:t>
      </w:r>
    </w:p>
    <w:p w14:paraId="123140B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1738321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6.2.3  承包人应当成立由项目主要负责人担任组长的临时消防组或消防队，宣传消防基本知识和基本操作培训，组织消防演练，保证一旦发生火灾，能够组织有效的自救，保护生命和财产安全。</w:t>
      </w:r>
    </w:p>
    <w:p w14:paraId="173CF2E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6.2.4  施工场地（现场）内的易燃、易爆物品应单独和安全地存放，设专人进行存放和领用管理。施工场地（现场）储有或正在使用易燃、易爆或可燃材料时或有明火施工的工序，应当实行严格的“用火证”管理制度。</w:t>
      </w:r>
    </w:p>
    <w:p w14:paraId="3C9D57D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6.2.5  临时消防方面的其他要求见技术标准和要求专用部分。</w:t>
      </w:r>
    </w:p>
    <w:p w14:paraId="6CB93678">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6.3  临时供电</w:t>
      </w:r>
    </w:p>
    <w:p w14:paraId="50E57D5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6.3.1  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71FDF81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4AC48B7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44A8E60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36B8E91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6.3.5  凡可能漏电伤人或易受雷击的电器及建筑物均应设置接地和避雷装置。承包人应负责避雷装置的采购、安装、管理和维修，并建立定期检查制度。</w:t>
      </w:r>
    </w:p>
    <w:p w14:paraId="347E7AE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6.3.6  临时用电方面的其他要求见技术标准和要求专用部分。</w:t>
      </w:r>
    </w:p>
    <w:p w14:paraId="1A7F372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6.4  劳动保护</w:t>
      </w:r>
    </w:p>
    <w:p w14:paraId="4F77D1A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38D9CBD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1634663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7000E4D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2630683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6.4.5  承包人应在现场设立专门的临时医疗站，配备足够的设施、药物和称职的医务人员，承包人还应准备急救担架，用于一旦发生安全事故时对受伤人员的急救。</w:t>
      </w:r>
    </w:p>
    <w:p w14:paraId="503B946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6.4.6  劳动保护方面的其他要求见技术标准和要求专用部分。</w:t>
      </w:r>
    </w:p>
    <w:p w14:paraId="6BD75E15">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6.5  脚手架</w:t>
      </w:r>
    </w:p>
    <w:p w14:paraId="025B0FA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7EF65CF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6.5.2  所有脚手架，尤其是大型、复杂、高耸和非常规脚手架，要编制专项施工方案，还应当经过安全验算，脚手架安全验算结果必须报送监理人核查后方可实施。</w:t>
      </w:r>
    </w:p>
    <w:p w14:paraId="4B472ED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6.5.3  搭设爬架、挂架、超高脚手架等特种或新型脚手架时，承包人应确保此类脚手架的安全性和保证此类脚手架已经过有关行政管理部门允许使用的批准，并承担与此有关的一切费用。</w:t>
      </w:r>
    </w:p>
    <w:p w14:paraId="3B84B09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6.5.4  承包人应当加强脚手架的日常安全巡查，及时对其中的安全隐患进行整改，确保脚手架使用安全。雨、雪、雾、霜和大风等天气后，承包人必须对脚手架进行安全巡查，并及时消除安全隐患。</w:t>
      </w:r>
    </w:p>
    <w:p w14:paraId="64A105E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6.5.5  承包人应允许发包人、监理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独立承包人（如果有）和政府有关机构所需，只有在获得监理人书面批准后，承包人才能拆除相关脚手架，否则承包人应自费重新搭设。</w:t>
      </w:r>
    </w:p>
    <w:p w14:paraId="041E42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6.5.6  脚手架的其他要求见技术标准和要求专用部分。</w:t>
      </w:r>
    </w:p>
    <w:p w14:paraId="51EB7C71">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6.6  施工安全措施计划</w:t>
      </w:r>
    </w:p>
    <w:p w14:paraId="4278A64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6.6.1  承包人应根据《中华人民共和国安全生产法》、《职业健康安全管理体系规范》、《中华人民共和国消防法》、《中华人民共和国道路交通安全法》、《中华人民共和国传染病防治法实施办法》和地方有关的法规等，按照合同条款的约定，编制一份施工安全措施计划，报送监理人审批。</w:t>
      </w:r>
    </w:p>
    <w:p w14:paraId="1DD7B14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6.6.2  施工安全措施计划是承包人阐明其安全管理方针、管理体系、安全制度和安全措施等的文件，其内容应当反映现行法律法规规定的，和合同约定的以及本条上述约定的承包人安全职责，至少包括：</w:t>
      </w:r>
    </w:p>
    <w:p w14:paraId="3955A39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(1)施工安全管理机构的设置；</w:t>
      </w:r>
    </w:p>
    <w:p w14:paraId="1536AFC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(2)专职安全管理人员的配备；</w:t>
      </w:r>
    </w:p>
    <w:p w14:paraId="069CFA3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(3)安全责任制度和管理措施；</w:t>
      </w:r>
    </w:p>
    <w:p w14:paraId="4C8F557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(4)安全教育和培训制度及管理措施；</w:t>
      </w:r>
    </w:p>
    <w:p w14:paraId="043EC00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(5)各项安全生产规章制度和操作规程；</w:t>
      </w:r>
    </w:p>
    <w:p w14:paraId="4C6096D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(6)各项施工安全措施和防护措施；</w:t>
      </w:r>
    </w:p>
    <w:p w14:paraId="16418BC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(7)危险品管理和使用制度；</w:t>
      </w:r>
    </w:p>
    <w:p w14:paraId="3EBD2ED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(8)安全设施、设备、器材和劳动保护用品的配置；</w:t>
      </w:r>
    </w:p>
    <w:p w14:paraId="3D52D5C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(9)其他要求见技术标准和要求专用部分。</w:t>
      </w:r>
    </w:p>
    <w:p w14:paraId="3FA5696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3F70007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6.6.3  施工安全措施计划应当在合同条款约定的期限内报送监理人。承包人应当严格执行经监理人批准的施工安全措施计划，并及时补充、修订和完善施工安全措施计划，确保安全生产。</w:t>
      </w:r>
    </w:p>
    <w:p w14:paraId="7A43F3FE">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6.7  文明施工</w:t>
      </w:r>
    </w:p>
    <w:p w14:paraId="3E63D51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6.7.1  承包人应遵守国家和工程所在地有关法规、规范、规程和标准的规定，履行文明施工义务，确保文明施工专项费用专款专用。</w:t>
      </w:r>
    </w:p>
    <w:p w14:paraId="586DFAA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6.7.2  承包人应当规范现场施工秩序，实行标准化管理：</w:t>
      </w:r>
    </w:p>
    <w:p w14:paraId="03F0985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(1)承包人的施工场地（现场）必须干净整洁、做到无积水、无淤泥、无杂物，材料堆放整齐；</w:t>
      </w:r>
    </w:p>
    <w:p w14:paraId="4178E71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(2)承包人应当在建筑工地设置围挡，并采取覆盖、分段作业、择时施工、冲洗地面等有效防尘降尘措施；</w:t>
      </w:r>
    </w:p>
    <w:p w14:paraId="024D573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(3)施工现场土方、砂石等应当集中堆放，裸露的场地和集中堆放的土方、砂石等应当采取覆盖、固化或绿化等措施；</w:t>
      </w:r>
    </w:p>
    <w:p w14:paraId="6893B08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(4)施工场地（现场）应进行硬化处理，定期定时洒水，做好防治扬尘和大气污染工作；</w:t>
      </w:r>
    </w:p>
    <w:p w14:paraId="103954F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(5)严格遵守“工完、料尽、场地净”的原则，不留垃圾、不留剩余施工材料和施工机具，各种设备运转正常；</w:t>
      </w:r>
    </w:p>
    <w:p w14:paraId="7EAE48C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(6)承包人修建的施工临时设施应符合监理人批准的施工规划要求，并应满足本章规定的各项安全要求；</w:t>
      </w:r>
    </w:p>
    <w:p w14:paraId="293748D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(7)监理人可要求承包人在施工场地（现场）设置各级承包人的安全文明施工责任牌等文明施工警示牌；</w:t>
      </w:r>
    </w:p>
    <w:p w14:paraId="307A91A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(8)材料进入现场应按指定位置堆放整齐，不得影响现场施工和堵塞施工、消防通道。材料堆放场地应有专职的管理人员；</w:t>
      </w:r>
    </w:p>
    <w:p w14:paraId="3DA2ECD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(9)施工和安装用的各种扣件、紧固件、绳索具、小型配件、镙钉等应在专设的仓库内装箱放置；</w:t>
      </w:r>
    </w:p>
    <w:p w14:paraId="38997D3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(10)现场风、水管及照明电线的布置应安全、合理、规范、有序，做到整齐美观。不得随意架设和造成隐患或影响施工；</w:t>
      </w:r>
    </w:p>
    <w:p w14:paraId="072C2D7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(11)建筑拆除工程施工时应采取隔离、洒水等有效的降噪、降尘措施，并及时清理废弃物；</w:t>
      </w:r>
    </w:p>
    <w:p w14:paraId="5D56EB0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(12)当道路施工进行铣刨、切割等作业时，应采取有效的防扬尘措施。灰土和无机料应采用预拌进场，碾压过程中应洒水降尘。</w:t>
      </w:r>
    </w:p>
    <w:p w14:paraId="7C9DDF8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6.7.3  承包人应为其雇佣的施工工人建立并维护相应的生活宿舍、食堂、浴室、厕所和文化活动室等，其标准应满足政府有关机构的生活标准和卫生标准等的要求。</w:t>
      </w:r>
    </w:p>
    <w:p w14:paraId="6DE8FD7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5AF6633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6.7.5  在工程施工期间，承包人应始终避免现场出现不必要的障碍物，妥当存放并处置施工设备和多余的材料，及时从现场清除运走任何废料、垃圾或不再需要的临时工程和设施。</w:t>
      </w:r>
    </w:p>
    <w:p w14:paraId="469686D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4456C94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6.7.7  承包人应在现场设立固定的建筑垃圾临时存放点,并在各楼层或区域设立必要的垃圾箱；施工现场应当建立封闭式垃圾站。建筑物内垃圾应采用容器或搭设专用封闭垃圾道的方式清运，严禁凌空抛掷；所有建筑垃圾必须在当天清除出现场，并按有关行政管理部门的规定，运送到指定的垃圾消纳场。承包人还应加强建筑垃圾管理工作，严禁焚烧各类废弃物；严禁道路遗撒和乱倒乱卸等运输违法违规行为发生，建筑垃圾的运输必须采用封闭式运输车辆或采取覆盖措施；最大限度减少污染环境。</w:t>
      </w:r>
    </w:p>
    <w:p w14:paraId="48C401C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58A6062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6.7.9  承包人采用现场搅拌混凝土或砂浆的场所应采取封闭、降尘、降噪措施。水泥和其他易飞扬的细颗粒建筑材料应密闭存放或采取覆盖等措施。</w:t>
      </w:r>
    </w:p>
    <w:p w14:paraId="437F82D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6.7.10  承包人应当制订成品保护措施计划，并提供必要的人员、材料和设备用于工程的成品保护，防止已完工作遭受任何损坏或破坏。成品保护措施应当合理安排工序，并包括工作面移交制度和责任赔偿制度。成品保护措施计划应当在合同条款专用部分约定的时限内报监理人审批。</w:t>
      </w:r>
    </w:p>
    <w:p w14:paraId="7AD1AB2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6.7.11  文明施工方面的其他要求见技术标准和要求专用部分。</w:t>
      </w:r>
    </w:p>
    <w:p w14:paraId="5DB5CE83">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6.8  环境保护</w:t>
      </w:r>
    </w:p>
    <w:p w14:paraId="7864A2D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6.8.1  在工程施工、完工及修补任何缺陷的过程中，承包人应当始终遵守国家和工程所在地有关扬尘治理、建筑垃圾堆放、清运和消纳等环境保护、水土保护和污染防治的法律、法规、规章、规范、标准和规程等，按照合同条款约定履行其环境与生态保护职责。</w:t>
      </w:r>
    </w:p>
    <w:p w14:paraId="0C4AF69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2CB8082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6.8.3  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57725AD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其有关规定。承包人还应设置完善的排水系统，保持施工场地（现场）始终处于良好的排水状态，防止降雨径流对施工场地（现场）的冲刷。</w:t>
      </w:r>
    </w:p>
    <w:p w14:paraId="0CFAE50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376B6B6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w:t>
      </w:r>
    </w:p>
    <w:p w14:paraId="04B5FF2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7B741DD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14:paraId="5CBCF9F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6.8.9  承包人保证使用已在本市进行信息编码登记符合排放标准的非道路移动机械和严禁使用高排放非道路移动机械，并做好行业挥发性有机物治理（如建筑外墙涂装、钢结构等鼓励使用水性漆替代油性漆）。</w:t>
      </w:r>
    </w:p>
    <w:p w14:paraId="5B46B2F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6.8.10  环境保护方面的其他要求见技术标准和要求专用部分。</w:t>
      </w:r>
    </w:p>
    <w:p w14:paraId="3AF632B6">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6.9  施工环保措施计划</w:t>
      </w:r>
    </w:p>
    <w:p w14:paraId="77776D3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6.9.1  合同条款约定的施工环保措施计划是承包人阐明环保方针和拟采用的环保措施及方法等的文件，其内容应至少包括：</w:t>
      </w:r>
    </w:p>
    <w:p w14:paraId="4ABB1C6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(1)承包人生活区（如果有）的生活用水和生活污水处理措施；</w:t>
      </w:r>
    </w:p>
    <w:p w14:paraId="79220DF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(2)施工生产废水处理措施；</w:t>
      </w:r>
    </w:p>
    <w:p w14:paraId="20F730E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(3)施工扬尘和废气的处理措施；</w:t>
      </w:r>
    </w:p>
    <w:p w14:paraId="76B2CCA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(4)施工噪声和光污染控制措施；</w:t>
      </w:r>
    </w:p>
    <w:p w14:paraId="69BE8B1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(5)节能减排措施；</w:t>
      </w:r>
    </w:p>
    <w:p w14:paraId="5F357BE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(6)不可再生资源循环利用措施；</w:t>
      </w:r>
    </w:p>
    <w:p w14:paraId="60051A6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(7)建筑垃圾等固体废弃物处理措施；</w:t>
      </w:r>
    </w:p>
    <w:p w14:paraId="6AEDD96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(8)人群健康保护和卫生防疫措施；</w:t>
      </w:r>
    </w:p>
    <w:p w14:paraId="587C842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(9)防止误用有害材料的保证措施；</w:t>
      </w:r>
    </w:p>
    <w:p w14:paraId="6D16A52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(10)施工边坡工程的水土流失保护措施；</w:t>
      </w:r>
    </w:p>
    <w:p w14:paraId="5F7330F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(11)道路污染防治措施；</w:t>
      </w:r>
    </w:p>
    <w:p w14:paraId="06031EC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(12)使用符合排放标准的非道路移动机械保证措施；</w:t>
      </w:r>
    </w:p>
    <w:p w14:paraId="09ECD6D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(13)做好行业挥发性有机物治理（如建筑外墙涂装、钢结构等鼓励使用水性漆替代油性漆）的保证措施；</w:t>
      </w:r>
    </w:p>
    <w:p w14:paraId="6F75A95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(14)完工后场地清理及其植被（如果有）恢复的规划和措施；</w:t>
      </w:r>
    </w:p>
    <w:p w14:paraId="384FD86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(15)其他要求见技术标准和要求专用部分。</w:t>
      </w:r>
    </w:p>
    <w:p w14:paraId="38F58A8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6.9.2  施工环保措施计划应当在合同条款约定的期限内报送监理人。承包人应当严格执行经监理人批准的施工环保措施计划，并及时补充、修订和完善施工环保措施计划。</w:t>
      </w:r>
    </w:p>
    <w:p w14:paraId="3D7D2714">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6.10  施工现场安全文明施工要求</w:t>
      </w:r>
    </w:p>
    <w:p w14:paraId="04C85B4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6.10.1 施工现场安全生产标准化管理目标等级</w:t>
      </w:r>
      <w:r>
        <w:rPr>
          <w:rFonts w:hint="eastAsia" w:ascii="宋体" w:hAnsi="宋体" w:cs="宋体"/>
          <w:b/>
          <w:bCs/>
          <w:sz w:val="24"/>
          <w:highlight w:val="none"/>
        </w:rPr>
        <w:t>见技术标准和要求专用部分</w:t>
      </w:r>
      <w:r>
        <w:rPr>
          <w:rFonts w:hint="eastAsia" w:ascii="宋体" w:hAnsi="宋体" w:cs="宋体"/>
          <w:sz w:val="24"/>
          <w:highlight w:val="none"/>
        </w:rPr>
        <w:t>。</w:t>
      </w:r>
    </w:p>
    <w:p w14:paraId="4906201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6.10.2承包人应当按照合同文件中对安全文明施工的相关要求进行安全文明施工管理。</w:t>
      </w:r>
    </w:p>
    <w:p w14:paraId="1AAE717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6.10.3 承包人应当依据约定的施工现场安全生产标准化管理目标等级要求，按照现行施工现场安全生产标准化分级管理标准中对应目标等级要求进行施工现场安全生产标准化管理。现行施工现场安全生产标准化分级管理标准</w:t>
      </w:r>
      <w:r>
        <w:rPr>
          <w:rFonts w:hint="eastAsia" w:ascii="宋体" w:hAnsi="宋体" w:cs="宋体"/>
          <w:b/>
          <w:bCs/>
          <w:sz w:val="24"/>
          <w:highlight w:val="none"/>
        </w:rPr>
        <w:t>见技术标准和要求专用部分</w:t>
      </w:r>
      <w:r>
        <w:rPr>
          <w:rFonts w:hint="eastAsia" w:ascii="宋体" w:hAnsi="宋体" w:cs="宋体"/>
          <w:sz w:val="24"/>
          <w:highlight w:val="none"/>
        </w:rPr>
        <w:t>。</w:t>
      </w:r>
    </w:p>
    <w:p w14:paraId="1EE2D3D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6.10.4 特殊安全文明施工要求应当与技术标准和要求专用部分约定的要求一致或高于技术标准和要求专用部分约定。</w:t>
      </w:r>
    </w:p>
    <w:p w14:paraId="334AF5B7">
      <w:pPr>
        <w:adjustRightInd w:val="0"/>
        <w:snapToGrid w:val="0"/>
        <w:spacing w:after="0" w:line="360" w:lineRule="auto"/>
        <w:outlineLvl w:val="3"/>
        <w:rPr>
          <w:rFonts w:hint="eastAsia" w:ascii="宋体" w:hAnsi="宋体" w:cs="宋体"/>
          <w:sz w:val="24"/>
          <w:highlight w:val="none"/>
        </w:rPr>
      </w:pPr>
      <w:bookmarkStart w:id="702" w:name="_Toc96352133"/>
      <w:bookmarkStart w:id="703" w:name="_Toc30915"/>
      <w:bookmarkStart w:id="704" w:name="_Toc96505337"/>
      <w:bookmarkStart w:id="705" w:name="_Toc96529959"/>
      <w:bookmarkStart w:id="706" w:name="_Toc96504948"/>
      <w:r>
        <w:rPr>
          <w:rFonts w:hint="eastAsia" w:ascii="宋体" w:hAnsi="宋体" w:cs="宋体"/>
          <w:sz w:val="24"/>
          <w:highlight w:val="none"/>
        </w:rPr>
        <w:t>7.治安保卫</w:t>
      </w:r>
      <w:bookmarkEnd w:id="702"/>
      <w:bookmarkEnd w:id="703"/>
      <w:bookmarkEnd w:id="704"/>
      <w:bookmarkEnd w:id="705"/>
      <w:bookmarkEnd w:id="706"/>
    </w:p>
    <w:p w14:paraId="3F1C380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7.1  承包人应为施工现场提供24小时的保安保卫服务，施工现场应采取封闭式集中管理，严格进、出场实名制考勤，提出优化施工作业，减少人员聚集和交叉作业，未经批准严禁任何人进入现场，控制人员、材料和设备等进出场，防止现场材料和设备或其他物品失窃，以及禁止任何现场内的打架斗殴事件等具体举措。</w:t>
      </w:r>
    </w:p>
    <w:p w14:paraId="3B500BB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3F3AB23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7.3  承包人应制定并实施严格的施工场地（现场）出入制度并报监理人审批；车辆的出入须有出入审批制度，并有指定的专人负责管理；人员进出现场应有出入证，出入证须以经过监理人批准的格式印制。</w:t>
      </w:r>
    </w:p>
    <w:p w14:paraId="52549C6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75F4C4C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3317A7E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7.6  承包人应当保证发包人支付的工程款项仅用于本合同目的，及时和足额地向所雇佣的人员支付劳动报酬，并制定严格的工人工资支付保障措施，有效防止影响社会安定的群体事件发生，并保障发包人免于因承包人拖欠工人工资而可能遭受的任何处罚、索赔、损失和损害等。</w:t>
      </w:r>
    </w:p>
    <w:p w14:paraId="265D032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7.7  突发治安事件紧急预案的要求见技术标准和要求专用部分。</w:t>
      </w:r>
    </w:p>
    <w:p w14:paraId="6E4680F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7.8  治安保卫管理方面的其他要求见技术标准和要求专用部分。</w:t>
      </w:r>
    </w:p>
    <w:p w14:paraId="0F06FD56">
      <w:pPr>
        <w:adjustRightInd w:val="0"/>
        <w:snapToGrid w:val="0"/>
        <w:spacing w:after="0" w:line="360" w:lineRule="auto"/>
        <w:outlineLvl w:val="3"/>
        <w:rPr>
          <w:rFonts w:hint="eastAsia" w:ascii="宋体" w:hAnsi="宋体" w:cs="宋体"/>
          <w:sz w:val="24"/>
          <w:highlight w:val="none"/>
        </w:rPr>
      </w:pPr>
      <w:bookmarkStart w:id="707" w:name="_Toc96504949"/>
      <w:bookmarkStart w:id="708" w:name="_Toc96505338"/>
      <w:bookmarkStart w:id="709" w:name="_Toc96529960"/>
      <w:bookmarkStart w:id="710" w:name="_Toc96352134"/>
      <w:bookmarkStart w:id="711" w:name="_Toc32316"/>
      <w:r>
        <w:rPr>
          <w:rFonts w:hint="eastAsia" w:ascii="宋体" w:hAnsi="宋体" w:cs="宋体"/>
          <w:sz w:val="24"/>
          <w:highlight w:val="none"/>
        </w:rPr>
        <w:t>8.地上、地下设施和周边建筑物的临时保护</w:t>
      </w:r>
      <w:bookmarkEnd w:id="707"/>
      <w:bookmarkEnd w:id="708"/>
      <w:bookmarkEnd w:id="709"/>
      <w:bookmarkEnd w:id="710"/>
      <w:bookmarkEnd w:id="711"/>
    </w:p>
    <w:p w14:paraId="1E979C7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8.1  承包人应为施工场地及其周边现有的地上、地下设施和建筑物提供足够的临时保护设施，确保施工过程中这些设施和建筑物不会受到干扰和破坏。</w:t>
      </w:r>
    </w:p>
    <w:p w14:paraId="15ADB0E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2E0C950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8.3  发包人特别提醒承包人注意地上、地下设施和周边建筑物的保护见技术标准和要求专用部分。</w:t>
      </w:r>
    </w:p>
    <w:p w14:paraId="3BACF5E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8.4  地上、地下设施和周边建筑物的临时保护的其他要求见技术标准和要求专用部分。</w:t>
      </w:r>
    </w:p>
    <w:p w14:paraId="6C9DF3DA">
      <w:pPr>
        <w:adjustRightInd w:val="0"/>
        <w:snapToGrid w:val="0"/>
        <w:spacing w:after="0" w:line="360" w:lineRule="auto"/>
        <w:outlineLvl w:val="3"/>
        <w:rPr>
          <w:rFonts w:hint="eastAsia" w:ascii="宋体" w:hAnsi="宋体" w:cs="宋体"/>
          <w:sz w:val="24"/>
          <w:highlight w:val="none"/>
        </w:rPr>
      </w:pPr>
      <w:bookmarkStart w:id="712" w:name="_Toc96504950"/>
      <w:bookmarkStart w:id="713" w:name="_Toc21962"/>
      <w:bookmarkStart w:id="714" w:name="_Toc96505339"/>
      <w:bookmarkStart w:id="715" w:name="_Toc96352135"/>
      <w:bookmarkStart w:id="716" w:name="_Toc96529961"/>
      <w:r>
        <w:rPr>
          <w:rFonts w:hint="eastAsia" w:ascii="宋体" w:hAnsi="宋体" w:cs="宋体"/>
          <w:sz w:val="24"/>
          <w:highlight w:val="none"/>
        </w:rPr>
        <w:t>9.样品和材料代换</w:t>
      </w:r>
      <w:bookmarkEnd w:id="712"/>
      <w:bookmarkEnd w:id="713"/>
      <w:bookmarkEnd w:id="714"/>
      <w:bookmarkEnd w:id="715"/>
      <w:bookmarkEnd w:id="716"/>
    </w:p>
    <w:p w14:paraId="70149054">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9.1  样品</w:t>
      </w:r>
    </w:p>
    <w:p w14:paraId="25B9E63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9.1.1  本工程需要承包人提供样品的材料和工程设备见技术标准和要求专用部分。</w:t>
      </w:r>
    </w:p>
    <w:p w14:paraId="3881F64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9.1.2  对于约定的材料和工程设备，承包人应按照合同条款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3E3D10F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9.1.3  合同条款约定的依法不需要招标的、以暂估价形式包括在工程量清单中的材料和工程设备，所附资料除约定的内容外，还应附上价格资料，每一类材料设备，至少应准备符合合同要求的三个产品，价格分高、中、低三档，以便监理人和发包人选择和批准。</w:t>
      </w:r>
    </w:p>
    <w:p w14:paraId="268E3EA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7C69CAB5">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9.1.5  得到批准后的样品由监理人负责存放。但承包人应为保存样品提供适当和固定的场所并保持适当和良好的环境条件。</w:t>
      </w:r>
    </w:p>
    <w:p w14:paraId="56646D3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9.1.6  提供样品和提供存放样品场所的费用由承包人承担。</w:t>
      </w:r>
    </w:p>
    <w:p w14:paraId="29AEC30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9.2  材料代换</w:t>
      </w:r>
    </w:p>
    <w:p w14:paraId="5DAC5F0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3F72DA7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9.2.2  如果使用替代品，承包人应至少在被替代品按批准的进度计划用于永久工程前56天以书面形式通知监理人并随此通知提交下列文件：</w:t>
      </w:r>
    </w:p>
    <w:p w14:paraId="701BAA0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(1)拟被替代的合同约定的材料和工程设备的名称、数量、规格、型号、品牌、性能、价格及其他任何详细资料；</w:t>
      </w:r>
    </w:p>
    <w:p w14:paraId="6613B9C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(2)拟采用的替代品的名称、数量、规格、型号、品牌、性能、价格及其他任何必要的详细资料；</w:t>
      </w:r>
    </w:p>
    <w:p w14:paraId="0DCB21A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(3)替代品使用的工程部位；</w:t>
      </w:r>
    </w:p>
    <w:p w14:paraId="20A3F9B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(4)采用替代品的理由和原因说明；</w:t>
      </w:r>
    </w:p>
    <w:p w14:paraId="5DE7E72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(5)替代品与合同中约定的产品之间的差异以及使用替代品后可能对工程产生的任何影响；</w:t>
      </w:r>
    </w:p>
    <w:p w14:paraId="6B818C6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(6)价格上的差异；</w:t>
      </w:r>
    </w:p>
    <w:p w14:paraId="4FEE819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(7)监理人为做出适当的决定而随时要求承包人提供的任何其他文件。</w:t>
      </w:r>
    </w:p>
    <w:p w14:paraId="559117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监理人在收到此类通知及上述文件后，应在28天内向承包人给出书面指示。如果28天内监理人未给出书面指示，应视为监理人和发包人已经批准使用上述替代品，承包人可以据此使用替代品。</w:t>
      </w:r>
    </w:p>
    <w:p w14:paraId="42303B7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9.2.3  任何情况下，替代品都应遵守本合同中对相关材料和工程设备的要求。</w:t>
      </w:r>
    </w:p>
    <w:p w14:paraId="657A83A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9.2.4  如果承包人根据本条约定使用了替代品，监理人应与承包人适当协商之后并在合理的期限内确定替代材料和工程设备与合同中约定的材料和工程设备之间的价值差值，并决定：</w:t>
      </w:r>
    </w:p>
    <w:p w14:paraId="2B8B549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(1)如果替代材料和工程设备的价值高于合同中约定的材料和工程设备的价值，则将高出部分的价值追加到合同价格中并相应地通知承包人；</w:t>
      </w:r>
    </w:p>
    <w:p w14:paraId="00135A8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(2)如果替代材料和工程设备的价值低于合同中约定的材料和工程设备的价值，则将节余部分的价值从合同价格中扣除并相应地通知承包人。</w:t>
      </w:r>
    </w:p>
    <w:p w14:paraId="2CBBC05C">
      <w:pPr>
        <w:adjustRightInd w:val="0"/>
        <w:snapToGrid w:val="0"/>
        <w:spacing w:after="0" w:line="360" w:lineRule="auto"/>
        <w:outlineLvl w:val="3"/>
        <w:rPr>
          <w:rFonts w:hint="eastAsia" w:ascii="宋体" w:hAnsi="宋体" w:cs="宋体"/>
          <w:sz w:val="24"/>
          <w:highlight w:val="none"/>
        </w:rPr>
      </w:pPr>
      <w:bookmarkStart w:id="717" w:name="_Toc96505340"/>
      <w:bookmarkStart w:id="718" w:name="_Toc96352136"/>
      <w:bookmarkStart w:id="719" w:name="_Toc96504951"/>
      <w:bookmarkStart w:id="720" w:name="_Toc96529962"/>
      <w:bookmarkStart w:id="721" w:name="_Toc21858"/>
      <w:r>
        <w:rPr>
          <w:rFonts w:hint="eastAsia" w:ascii="宋体" w:hAnsi="宋体" w:cs="宋体"/>
          <w:sz w:val="24"/>
          <w:highlight w:val="none"/>
        </w:rPr>
        <w:t>10.特殊技术标准和要求</w:t>
      </w:r>
      <w:bookmarkEnd w:id="717"/>
      <w:bookmarkEnd w:id="718"/>
      <w:bookmarkEnd w:id="719"/>
      <w:bookmarkEnd w:id="720"/>
      <w:bookmarkEnd w:id="721"/>
    </w:p>
    <w:p w14:paraId="56615AD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10.1  部分材料和工程设备特殊技术要求</w:t>
      </w:r>
    </w:p>
    <w:p w14:paraId="1B25B2A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10.1.1  发包人依据工程特点，可以对承包人施工范围内的部分材料和设备提出技术要求。材料和工程设备技术要求中如果出现了参考品牌或规格型号，其目的是为了方便承包人直观和准确地把握相应材料和工程设备的技术标准，不具有指定或唯一使用的意思表示，承包人应当参考所列品牌的材料和工程设备，采购相当于或高于所列品牌技术标准的材料和工程设备。承包人施工范围内的部分材料和工程设备相关技术要求见技术标准和要求专用部分。</w:t>
      </w:r>
    </w:p>
    <w:p w14:paraId="3C6DA1C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10.1.2  承包人施工范围内的材料和工程设备选型允许的偏离见技术标准和要求专用部分。</w:t>
      </w:r>
    </w:p>
    <w:p w14:paraId="508D22A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10.1.3  本工程施工现场所用混凝土或砂浆的供应方式为见技术标准和要求专用部分。</w:t>
      </w:r>
    </w:p>
    <w:p w14:paraId="24DDE335">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10.2  进口材料和工程设备</w:t>
      </w:r>
    </w:p>
    <w:p w14:paraId="57B7AE7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10.2.1  本工程需要进口的材料和工程设备见技术标准和要求专用部分。</w:t>
      </w:r>
    </w:p>
    <w:p w14:paraId="6A32854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10.2.2  上述进口材料和工程设备采购、进口、报关、清关、商检、境内运输（包括保险）、保管的责任以及费用承担方式划分见技术标准和要求专用部分。</w:t>
      </w:r>
    </w:p>
    <w:p w14:paraId="58E2D293">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10.3  新技术、新工艺和新材料</w:t>
      </w:r>
    </w:p>
    <w:p w14:paraId="48788BA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本工程涉及的新技术、新工艺和新材料及相应使用和操作说明见技术标准和要求专用部分。</w:t>
      </w:r>
    </w:p>
    <w:p w14:paraId="13CF4C86">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10.4  其他特殊技术要求</w:t>
      </w:r>
    </w:p>
    <w:p w14:paraId="7BCEB7B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本工程的其他特殊技术要求见技术标准和要求专用部分。</w:t>
      </w:r>
    </w:p>
    <w:p w14:paraId="6C761B11">
      <w:pPr>
        <w:adjustRightInd w:val="0"/>
        <w:snapToGrid w:val="0"/>
        <w:spacing w:after="0" w:line="360" w:lineRule="auto"/>
        <w:outlineLvl w:val="3"/>
        <w:rPr>
          <w:rFonts w:hint="eastAsia" w:ascii="宋体" w:hAnsi="宋体" w:cs="宋体"/>
          <w:sz w:val="24"/>
          <w:highlight w:val="none"/>
        </w:rPr>
      </w:pPr>
      <w:bookmarkStart w:id="722" w:name="_Toc96505341"/>
      <w:bookmarkStart w:id="723" w:name="_Toc96352137"/>
      <w:bookmarkStart w:id="724" w:name="_Toc96529963"/>
      <w:bookmarkStart w:id="725" w:name="_Toc96504952"/>
      <w:bookmarkStart w:id="726" w:name="_Toc18753"/>
      <w:r>
        <w:rPr>
          <w:rFonts w:hint="eastAsia" w:ascii="宋体" w:hAnsi="宋体" w:cs="宋体"/>
          <w:sz w:val="24"/>
          <w:highlight w:val="none"/>
        </w:rPr>
        <w:t>11.进度报告和进度例会</w:t>
      </w:r>
      <w:bookmarkEnd w:id="722"/>
      <w:bookmarkEnd w:id="723"/>
      <w:bookmarkEnd w:id="724"/>
      <w:bookmarkEnd w:id="725"/>
      <w:bookmarkEnd w:id="726"/>
    </w:p>
    <w:p w14:paraId="0D228557">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11.1  进度报告</w:t>
      </w:r>
    </w:p>
    <w:p w14:paraId="41EA538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11.1.1  施工过程中，承包人应向监理人代表呈递一份每日的日进度报表、每周的周进度报表和每月的月进度报表。除非监理人同意，日进度报表应在次日上午九点前递交，周进度报表应在次周的周一上午九时前递交，月进度报表应随合同条款约定的进度付款申请单一并递交。</w:t>
      </w:r>
    </w:p>
    <w:p w14:paraId="04E1EE9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11.1.2  日和周进度报表的内容应至少包括每日在现场工作的技术管理人员数量、各工种技术工人和非技术工人数量、后勤人员数量、参观现场的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0B22E867">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47AFBED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00E993D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11.1.5  各个进度报表的格式和内容应经过监理人的审批。进度报表应如实填写，由承包人授权代表签名，并报监理人的指定代表签名确认后再行分发。</w:t>
      </w:r>
    </w:p>
    <w:p w14:paraId="585A58A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11.1.6  如果监理人认为必要，进度报告和进度照片应同时以存储在磁盘或光盘中的数据文件的形式递交给发包人和监理人。数据文件采用的应用软件及其版本应经过监理人的审批。</w:t>
      </w:r>
    </w:p>
    <w:p w14:paraId="0F6FBD8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11.1.7  有关进度报告的其他要求见技术标准和要求专用部分。</w:t>
      </w:r>
    </w:p>
    <w:p w14:paraId="127A693B">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11.2  进度例会</w:t>
      </w:r>
    </w:p>
    <w:p w14:paraId="07D80C9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11.2.1  监理人将主持召开有发包人、承包人和独立承包人等与本工程建设有关各方出席的每周一次的进度例会。必要时，监理人可随时召集所有上述各方或其中部分单位参加的会议。承包人应保证能代表其当场作出决定的高级管理人员出席会议。</w:t>
      </w:r>
    </w:p>
    <w:p w14:paraId="631906D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11.2.2  进度例会的内容将涉及合同管理、进度协调和工程管理的各个方面，由监理人准备的会议议题将随会议通知在会议召开前至少24小时发给各参会方。</w:t>
      </w:r>
    </w:p>
    <w:p w14:paraId="3B275B9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69B79B8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11.2.4  有关进度例会的其他要求见技术标准和要求专用部分。</w:t>
      </w:r>
    </w:p>
    <w:p w14:paraId="56B7A247">
      <w:pPr>
        <w:adjustRightInd w:val="0"/>
        <w:snapToGrid w:val="0"/>
        <w:spacing w:after="0" w:line="360" w:lineRule="auto"/>
        <w:outlineLvl w:val="3"/>
        <w:rPr>
          <w:rFonts w:hint="eastAsia" w:ascii="宋体" w:hAnsi="宋体" w:cs="宋体"/>
          <w:sz w:val="24"/>
          <w:highlight w:val="none"/>
        </w:rPr>
      </w:pPr>
      <w:bookmarkStart w:id="727" w:name="_Toc96352138"/>
      <w:bookmarkStart w:id="728" w:name="_Toc96505342"/>
      <w:bookmarkStart w:id="729" w:name="_Toc17755"/>
      <w:bookmarkStart w:id="730" w:name="_Toc96504953"/>
      <w:bookmarkStart w:id="731" w:name="_Toc96529964"/>
      <w:r>
        <w:rPr>
          <w:rFonts w:hint="eastAsia" w:ascii="宋体" w:hAnsi="宋体" w:cs="宋体"/>
          <w:sz w:val="24"/>
          <w:highlight w:val="none"/>
        </w:rPr>
        <w:t>12.试验和检验</w:t>
      </w:r>
      <w:bookmarkEnd w:id="727"/>
      <w:bookmarkEnd w:id="728"/>
      <w:bookmarkEnd w:id="729"/>
      <w:bookmarkEnd w:id="730"/>
      <w:bookmarkEnd w:id="731"/>
    </w:p>
    <w:p w14:paraId="28AEDA8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12.1  发包人委托具有相应资质的检测单位，按相关规定对见证取样的建筑材料、建筑构配件和设备、预拌混凝土、混凝土预制构件和工程实体质量、使用功能以及约定的其他检测内容进行检测。承包人应在监理人的监督下，进行现场取样、封样，并送检测单位进行检测。本工程发包人委托检测单位进行试验和检验的其他材料、工程设备和工艺见技术标准和要求专用部分。</w:t>
      </w:r>
    </w:p>
    <w:p w14:paraId="2737047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12.2  除第12.1款约定的由发包人委托检测内容外，承包人应当按照工程施工验收规范和标准的规定和合同条款的约定，对用于永久工程的主要材料、半成品、成品、建筑构配件、工程设备等进行试验和检验。监理人可以根据工程需要，指示承包人进行其他现场材料和工艺的试验和检验。</w:t>
      </w:r>
    </w:p>
    <w:p w14:paraId="50C803C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12.3  本工程需要承包人进行试验和检验的材料、工程设备和工艺见技术标准和要求专用部分。</w:t>
      </w:r>
    </w:p>
    <w:p w14:paraId="65921FF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12.4  本工程需要由监理人和承包人共同进行试验和检验的材料、工程设备和工艺见技术标准和要求专用部分。</w:t>
      </w:r>
    </w:p>
    <w:p w14:paraId="44A9F27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12.5  本条上述约定需要进行检验的材料、工程设备和工艺在经过检验并获得监理人批准以前，不得用于任何永久工程。</w:t>
      </w:r>
    </w:p>
    <w:p w14:paraId="5BF7CAF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12.6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541AE02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12.7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3C333B3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12.8  承包人应在监理人的监督下，对涉及结构安全的试块、试件以及有关材料进行现场取样，并送质量检测单位进行检测。质量检测单位见技术标准和要求专用部分。</w:t>
      </w:r>
    </w:p>
    <w:p w14:paraId="5F40ED8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12.9  除合同另有约定外，承包人应负担除发包人支付给委托检测单位的费用外，本合同项下的所有材料、工程设备和工艺检验的费用。</w:t>
      </w:r>
    </w:p>
    <w:p w14:paraId="5CDA0C95">
      <w:pPr>
        <w:adjustRightInd w:val="0"/>
        <w:snapToGrid w:val="0"/>
        <w:spacing w:after="0" w:line="360" w:lineRule="auto"/>
        <w:outlineLvl w:val="3"/>
        <w:rPr>
          <w:rFonts w:hint="eastAsia" w:ascii="宋体" w:hAnsi="宋体" w:cs="宋体"/>
          <w:sz w:val="24"/>
          <w:highlight w:val="none"/>
        </w:rPr>
      </w:pPr>
      <w:bookmarkStart w:id="732" w:name="_Toc31447"/>
      <w:bookmarkStart w:id="733" w:name="_Toc96505343"/>
      <w:bookmarkStart w:id="734" w:name="_Toc96352139"/>
      <w:bookmarkStart w:id="735" w:name="_Toc96504954"/>
      <w:bookmarkStart w:id="736" w:name="_Toc96529965"/>
      <w:r>
        <w:rPr>
          <w:rFonts w:hint="eastAsia" w:ascii="宋体" w:hAnsi="宋体" w:cs="宋体"/>
          <w:sz w:val="24"/>
          <w:highlight w:val="none"/>
        </w:rPr>
        <w:t>13.计日工</w:t>
      </w:r>
      <w:bookmarkEnd w:id="732"/>
      <w:bookmarkEnd w:id="733"/>
      <w:bookmarkEnd w:id="734"/>
      <w:bookmarkEnd w:id="735"/>
      <w:bookmarkEnd w:id="736"/>
    </w:p>
    <w:p w14:paraId="37D05B1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13.1  合同条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合同条款约定通知承包人实施。</w:t>
      </w:r>
    </w:p>
    <w:p w14:paraId="3265A3B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13.2  在工程实际开工后14天内，承包人应当按合同条款约定的计日工报表内容，准备一份计日工日报表的格式，报送监理人审批，监理人应当在收到之日后7天内给予批复或提出修改意见。</w:t>
      </w:r>
    </w:p>
    <w:p w14:paraId="246B85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13.3  按计日工实施相关变更的过程中，承包人应当按经监理人批准的计日工日报表格式，每天提交计日工报表和有关凭证，报送监理人审批，监理人应当在收到相关报表和凭证后24小时内给予批复。</w:t>
      </w:r>
    </w:p>
    <w:p w14:paraId="66E9841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064EB73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14:paraId="5CA8483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560360C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13.7  关于计日工的其他约定见技术标准和要求专用部分。</w:t>
      </w:r>
    </w:p>
    <w:p w14:paraId="227076C2">
      <w:pPr>
        <w:adjustRightInd w:val="0"/>
        <w:snapToGrid w:val="0"/>
        <w:spacing w:after="0" w:line="360" w:lineRule="auto"/>
        <w:outlineLvl w:val="3"/>
        <w:rPr>
          <w:rFonts w:hint="eastAsia" w:ascii="宋体" w:hAnsi="宋体" w:cs="宋体"/>
          <w:sz w:val="24"/>
          <w:highlight w:val="none"/>
        </w:rPr>
      </w:pPr>
      <w:bookmarkStart w:id="737" w:name="_Toc96504955"/>
      <w:bookmarkStart w:id="738" w:name="_Toc2615"/>
      <w:bookmarkStart w:id="739" w:name="_Toc96352140"/>
      <w:bookmarkStart w:id="740" w:name="_Toc96505344"/>
      <w:bookmarkStart w:id="741" w:name="_Toc96529966"/>
      <w:r>
        <w:rPr>
          <w:rFonts w:hint="eastAsia" w:ascii="宋体" w:hAnsi="宋体" w:cs="宋体"/>
          <w:sz w:val="24"/>
          <w:highlight w:val="none"/>
        </w:rPr>
        <w:t>14.计量与支付</w:t>
      </w:r>
      <w:bookmarkEnd w:id="737"/>
      <w:bookmarkEnd w:id="738"/>
      <w:bookmarkEnd w:id="739"/>
      <w:bookmarkEnd w:id="740"/>
      <w:bookmarkEnd w:id="741"/>
    </w:p>
    <w:p w14:paraId="127D441B">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14.1  付款申请单</w:t>
      </w:r>
    </w:p>
    <w:p w14:paraId="4251AF0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14.1.1  在工程实际开工后14天内，承包人应当按照合同条款的约定，准备一份已完工程量报表、进度付款申请单和计量文件的格式等报送监理人，监理人应当在收到承包人报送的格式后7天内给予批复或者提出修改意见。</w:t>
      </w:r>
    </w:p>
    <w:p w14:paraId="4B18674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14.1.2  根据合同条款承包人应当在合同约定的每个付款周期末，对当期完成的各项工程量进行计量和计价，并按照合同条款的约定，对当期应增加和扣减的各类款项进行梳理和汇总，按经监理人批准的格式和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6359E1E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14.1.3  竣工付款申请单的内容按合同条款的约定。采用单价合同形式的，竣工付款申请单应当附上按合同条款确定的结算工程量和最近一次进度付款和竣工付款之间完成的各子目的工程量计量文件。采用总价合同形式的，签约合同价所基于的工程量就是相应的竣工结算工程量，但是，变更应按合同约定进行计量和计价。</w:t>
      </w:r>
    </w:p>
    <w:p w14:paraId="32E5651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14.1.4  竣工结算总价（合同价格）应当按以下内容梳理：</w:t>
      </w:r>
    </w:p>
    <w:p w14:paraId="6A58B1D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(1)签约合同价；</w:t>
      </w:r>
    </w:p>
    <w:p w14:paraId="5B3B1EF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(2)应当扣减的项目：</w:t>
      </w:r>
    </w:p>
    <w:p w14:paraId="4414D474">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1）所有暂列金额；</w:t>
      </w:r>
    </w:p>
    <w:p w14:paraId="5515909D">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2）所有暂估价；</w:t>
      </w:r>
    </w:p>
    <w:p w14:paraId="2158DD69">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3）根据合同条款应扣减的变更金额；</w:t>
      </w:r>
    </w:p>
    <w:p w14:paraId="21747D82">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4）根据合同条款应扣减的价格调整（下调部分）；</w:t>
      </w:r>
    </w:p>
    <w:p w14:paraId="7CEA4F06">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5）根据合同条款应扣减的发包人索赔金额；</w:t>
      </w:r>
    </w:p>
    <w:p w14:paraId="2690D54E">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6）甩项工程的合同价值（如果有）；</w:t>
      </w:r>
    </w:p>
    <w:p w14:paraId="4A58CB5E">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7）根据合同约定发包人应扣减的其他金额。</w:t>
      </w:r>
    </w:p>
    <w:p w14:paraId="2B2311BC">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(3)应当增加的项目：</w:t>
      </w:r>
    </w:p>
    <w:p w14:paraId="6F32CA02">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1）实际发生的暂列金额（包括计日工）；</w:t>
      </w:r>
    </w:p>
    <w:p w14:paraId="0DEE6412">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2）实际发生的暂估价；</w:t>
      </w:r>
    </w:p>
    <w:p w14:paraId="5E18AFC0">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3）根据合同条款应增加的变更金额；</w:t>
      </w:r>
    </w:p>
    <w:p w14:paraId="6379CD86">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4）根据合同条款应增加的价格调整（上调部分）；</w:t>
      </w:r>
    </w:p>
    <w:p w14:paraId="65DF18EB">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5）根据合同条款应增加的承包人索赔金额；</w:t>
      </w:r>
    </w:p>
    <w:p w14:paraId="3F5DE18E">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6）根据合同约定承包人应当得到的其他金额。</w:t>
      </w:r>
    </w:p>
    <w:p w14:paraId="52EEDD1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(4)规费和税金差额部分。</w:t>
      </w:r>
    </w:p>
    <w:p w14:paraId="21B5BD5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14.1.5  最终结清申请单的应付金额应当按下列内容梳理：</w:t>
      </w:r>
    </w:p>
    <w:p w14:paraId="6A9AB29B">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(1)按合同约定扣留的质量保证金</w:t>
      </w:r>
    </w:p>
    <w:p w14:paraId="2D82523A">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(2)应当扣除的金额：</w:t>
      </w:r>
    </w:p>
    <w:p w14:paraId="273F292A">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1）按合同条款约定扣留的质量保证金；</w:t>
      </w:r>
    </w:p>
    <w:p w14:paraId="3C9D0042">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2）按合同条款约定扣除的质量保证金；</w:t>
      </w:r>
    </w:p>
    <w:p w14:paraId="308E862C">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3）根据合同条款应扣减的缺陷责任期内发生的发包人索赔金额；</w:t>
      </w:r>
    </w:p>
    <w:p w14:paraId="4F6E5DB7">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4）根据合同约定应扣减的其他金额。</w:t>
      </w:r>
    </w:p>
    <w:p w14:paraId="6D98FEC2">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(3)应当增加的金额：</w:t>
      </w:r>
    </w:p>
    <w:p w14:paraId="4B662481">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1）已完且符合合同约定的甩项工程的价值；</w:t>
      </w:r>
    </w:p>
    <w:p w14:paraId="34B5525C">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2）按合同条款约定由承包人修复的发包人原因造成的缺陷的价值；</w:t>
      </w:r>
    </w:p>
    <w:p w14:paraId="32E4662D">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3）根据合同条款应增加的缺陷责任期内发生的承包人索赔金额；</w:t>
      </w:r>
    </w:p>
    <w:p w14:paraId="261C7EA8">
      <w:pPr>
        <w:adjustRightInd w:val="0"/>
        <w:snapToGrid w:val="0"/>
        <w:spacing w:after="0" w:line="360" w:lineRule="auto"/>
        <w:ind w:left="993"/>
        <w:rPr>
          <w:rFonts w:hint="eastAsia" w:ascii="宋体" w:hAnsi="宋体" w:cs="宋体"/>
          <w:sz w:val="24"/>
          <w:highlight w:val="none"/>
        </w:rPr>
      </w:pPr>
      <w:r>
        <w:rPr>
          <w:rFonts w:hint="eastAsia" w:ascii="宋体" w:hAnsi="宋体" w:cs="宋体"/>
          <w:sz w:val="24"/>
          <w:highlight w:val="none"/>
        </w:rPr>
        <w:t>4）根据合同约定承包人应当得到的其他金额。</w:t>
      </w:r>
    </w:p>
    <w:p w14:paraId="28CBDE06">
      <w:pPr>
        <w:adjustRightInd w:val="0"/>
        <w:snapToGrid w:val="0"/>
        <w:spacing w:after="0" w:line="360" w:lineRule="auto"/>
        <w:ind w:firstLine="720" w:firstLineChars="300"/>
        <w:rPr>
          <w:rFonts w:hint="eastAsia" w:ascii="宋体" w:hAnsi="宋体" w:cs="宋体"/>
          <w:sz w:val="24"/>
          <w:highlight w:val="none"/>
        </w:rPr>
      </w:pPr>
      <w:r>
        <w:rPr>
          <w:rFonts w:hint="eastAsia" w:ascii="宋体" w:hAnsi="宋体" w:cs="宋体"/>
          <w:sz w:val="24"/>
          <w:highlight w:val="none"/>
        </w:rPr>
        <w:t>最终结清应当由发包人和承包人按照“多退少补”的原则办理。</w:t>
      </w:r>
    </w:p>
    <w:p w14:paraId="4FF70E2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14.1.6  竣工付款申请单和最终结清申请单应当比照进度付款申请单的格式准备，并提供相关证明材料。</w:t>
      </w:r>
    </w:p>
    <w:p w14:paraId="21B34633">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14.2  其他约定</w:t>
      </w:r>
    </w:p>
    <w:p w14:paraId="17267D9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其他约定内容见技术标准和要求专用部分。</w:t>
      </w:r>
    </w:p>
    <w:p w14:paraId="589625D5">
      <w:pPr>
        <w:adjustRightInd w:val="0"/>
        <w:snapToGrid w:val="0"/>
        <w:spacing w:after="0" w:line="360" w:lineRule="auto"/>
        <w:outlineLvl w:val="3"/>
        <w:rPr>
          <w:rFonts w:hint="eastAsia" w:ascii="宋体" w:hAnsi="宋体" w:cs="宋体"/>
          <w:sz w:val="24"/>
          <w:highlight w:val="none"/>
        </w:rPr>
      </w:pPr>
      <w:bookmarkStart w:id="742" w:name="_Toc96505345"/>
      <w:bookmarkStart w:id="743" w:name="_Toc1293"/>
      <w:bookmarkStart w:id="744" w:name="_Toc96504956"/>
      <w:bookmarkStart w:id="745" w:name="_Toc96352141"/>
      <w:bookmarkStart w:id="746" w:name="_Toc96529967"/>
      <w:r>
        <w:rPr>
          <w:rFonts w:hint="eastAsia" w:ascii="宋体" w:hAnsi="宋体" w:cs="宋体"/>
          <w:sz w:val="24"/>
          <w:highlight w:val="none"/>
        </w:rPr>
        <w:t>15.竣工验收和工程移交</w:t>
      </w:r>
      <w:bookmarkEnd w:id="742"/>
      <w:bookmarkEnd w:id="743"/>
      <w:bookmarkEnd w:id="744"/>
      <w:bookmarkEnd w:id="745"/>
      <w:bookmarkEnd w:id="746"/>
    </w:p>
    <w:p w14:paraId="50F8F6B2">
      <w:pPr>
        <w:adjustRightInd w:val="0"/>
        <w:snapToGrid w:val="0"/>
        <w:spacing w:after="0" w:line="360" w:lineRule="auto"/>
        <w:rPr>
          <w:rFonts w:hint="eastAsia" w:ascii="宋体" w:hAnsi="宋体" w:cs="宋体"/>
          <w:sz w:val="24"/>
          <w:highlight w:val="none"/>
        </w:rPr>
      </w:pPr>
      <w:r>
        <w:rPr>
          <w:rFonts w:hint="eastAsia" w:ascii="宋体" w:hAnsi="宋体" w:cs="宋体"/>
          <w:sz w:val="24"/>
          <w:highlight w:val="none"/>
        </w:rPr>
        <w:t>15.2  竣工验收申请报告</w:t>
      </w:r>
    </w:p>
    <w:p w14:paraId="4C2C9F29">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15.2.1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155CDC83">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717B9326">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15.2.3  竣工验收申请报告应当按合同条款附上下列内容：</w:t>
      </w:r>
    </w:p>
    <w:p w14:paraId="313AA9AF">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3ACD1780">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(2)按合同条款约定的内容和份数整理的符合要求的竣工资料；</w:t>
      </w:r>
    </w:p>
    <w:p w14:paraId="48E961E4">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(3)按监理人的要求编制了在缺陷责任期内完成的尾工（甩项）工程和缺陷修补工作清单以及相应施工计划；</w:t>
      </w:r>
    </w:p>
    <w:p w14:paraId="440BC228">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(4)监理人要求在竣工验收前应完成的其他工作的证明材料；</w:t>
      </w:r>
    </w:p>
    <w:p w14:paraId="47603D7D">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(5)监理人要求提交的竣工验收资料清单；</w:t>
      </w:r>
    </w:p>
    <w:p w14:paraId="1B8DE35E">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(6)合同条款约定的质量保修书（此前已经提交的不再提交）；</w:t>
      </w:r>
    </w:p>
    <w:p w14:paraId="48D43FA1">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(7)其他要求见技术标准和要求专用部分。</w:t>
      </w:r>
    </w:p>
    <w:p w14:paraId="45A8153A">
      <w:pPr>
        <w:adjustRightInd w:val="0"/>
        <w:snapToGrid w:val="0"/>
        <w:spacing w:after="0" w:line="360" w:lineRule="auto"/>
        <w:outlineLvl w:val="3"/>
        <w:rPr>
          <w:rFonts w:hint="eastAsia" w:ascii="宋体" w:hAnsi="宋体" w:cs="宋体"/>
          <w:sz w:val="24"/>
          <w:highlight w:val="none"/>
        </w:rPr>
      </w:pPr>
      <w:bookmarkStart w:id="747" w:name="_Toc96504957"/>
      <w:bookmarkStart w:id="748" w:name="_Toc96352142"/>
      <w:bookmarkStart w:id="749" w:name="_Toc12378"/>
      <w:bookmarkStart w:id="750" w:name="_Toc96505346"/>
      <w:bookmarkStart w:id="751" w:name="_Toc96529968"/>
      <w:r>
        <w:rPr>
          <w:rFonts w:hint="eastAsia" w:ascii="宋体" w:hAnsi="宋体" w:cs="宋体"/>
          <w:sz w:val="24"/>
          <w:highlight w:val="none"/>
        </w:rPr>
        <w:t>16.需要补充的其他要求</w:t>
      </w:r>
      <w:bookmarkEnd w:id="747"/>
      <w:bookmarkEnd w:id="748"/>
      <w:bookmarkEnd w:id="749"/>
      <w:bookmarkEnd w:id="750"/>
      <w:bookmarkEnd w:id="751"/>
    </w:p>
    <w:p w14:paraId="4D8895A4">
      <w:pPr>
        <w:spacing w:after="0" w:line="360" w:lineRule="auto"/>
        <w:ind w:firstLine="420"/>
        <w:rPr>
          <w:rFonts w:hint="eastAsia" w:ascii="宋体" w:hAnsi="宋体" w:cs="宋体"/>
          <w:b/>
          <w:sz w:val="24"/>
          <w:highlight w:val="none"/>
          <w:shd w:val="clear" w:color="auto" w:fill="FFFFFF"/>
        </w:rPr>
        <w:sectPr>
          <w:footerReference r:id="rId13" w:type="first"/>
          <w:headerReference r:id="rId10" w:type="default"/>
          <w:footerReference r:id="rId12" w:type="default"/>
          <w:headerReference r:id="rId11" w:type="even"/>
          <w:pgSz w:w="11905" w:h="16838"/>
          <w:pgMar w:top="1474" w:right="1474" w:bottom="1474" w:left="1474" w:header="850" w:footer="992" w:gutter="0"/>
          <w:cols w:space="720" w:num="1"/>
          <w:docGrid w:linePitch="312" w:charSpace="0"/>
        </w:sectPr>
      </w:pPr>
      <w:r>
        <w:rPr>
          <w:rFonts w:hint="eastAsia" w:ascii="宋体" w:hAnsi="宋体" w:cs="宋体"/>
          <w:sz w:val="24"/>
          <w:highlight w:val="none"/>
        </w:rPr>
        <w:t>需要补充的其他要求见技术标准和要求专用部分。</w:t>
      </w:r>
      <w:bookmarkStart w:id="752" w:name="_Toc497236021"/>
      <w:bookmarkStart w:id="753" w:name="_Toc480304504"/>
      <w:bookmarkStart w:id="754" w:name="_Toc486580462"/>
      <w:bookmarkStart w:id="755" w:name="_Toc490331745"/>
    </w:p>
    <w:bookmarkEnd w:id="752"/>
    <w:bookmarkEnd w:id="753"/>
    <w:bookmarkEnd w:id="754"/>
    <w:bookmarkEnd w:id="755"/>
    <w:p w14:paraId="2D8CB50B">
      <w:pPr>
        <w:pStyle w:val="249"/>
        <w:spacing w:before="120" w:after="0"/>
        <w:outlineLvl w:val="2"/>
        <w:rPr>
          <w:rFonts w:hint="eastAsia" w:ascii="宋体" w:hAnsi="宋体" w:eastAsia="宋体"/>
          <w:sz w:val="24"/>
          <w:szCs w:val="24"/>
          <w:highlight w:val="none"/>
          <w:shd w:val="clear" w:color="auto" w:fill="FFFFFF"/>
        </w:rPr>
      </w:pPr>
      <w:bookmarkStart w:id="756" w:name="_Toc96352143"/>
      <w:bookmarkStart w:id="757" w:name="_Toc96505347"/>
      <w:bookmarkStart w:id="758" w:name="_Toc22264"/>
      <w:bookmarkStart w:id="759" w:name="_Toc96504958"/>
      <w:bookmarkStart w:id="760" w:name="_Hlk83577958"/>
      <w:bookmarkStart w:id="761" w:name="_Toc483581227"/>
      <w:bookmarkStart w:id="762" w:name="_Toc38037921"/>
      <w:bookmarkStart w:id="763" w:name="_Toc497298375"/>
      <w:bookmarkStart w:id="764" w:name="_Toc486580463"/>
      <w:bookmarkStart w:id="765" w:name="_Toc501055673"/>
      <w:bookmarkStart w:id="766" w:name="_Toc490331746"/>
      <w:bookmarkStart w:id="767" w:name="_Toc489280268"/>
      <w:bookmarkStart w:id="768" w:name="_Toc241459790"/>
      <w:bookmarkStart w:id="769" w:name="_Toc342296547"/>
      <w:r>
        <w:rPr>
          <w:rFonts w:hint="eastAsia" w:ascii="宋体" w:hAnsi="宋体" w:eastAsia="宋体"/>
          <w:b/>
          <w:sz w:val="24"/>
          <w:szCs w:val="24"/>
          <w:highlight w:val="none"/>
          <w:shd w:val="clear" w:color="auto" w:fill="FFFFFF"/>
        </w:rPr>
        <w:t>技术标准和要求专用部分</w:t>
      </w:r>
      <w:bookmarkEnd w:id="756"/>
      <w:bookmarkEnd w:id="757"/>
      <w:bookmarkEnd w:id="758"/>
      <w:bookmarkEnd w:id="759"/>
    </w:p>
    <w:bookmarkEnd w:id="760"/>
    <w:p w14:paraId="125B8B5E">
      <w:pPr>
        <w:pStyle w:val="249"/>
        <w:spacing w:before="120" w:after="0"/>
        <w:outlineLvl w:val="3"/>
        <w:rPr>
          <w:rFonts w:hint="eastAsia" w:ascii="宋体" w:hAnsi="宋体" w:eastAsia="宋体"/>
          <w:sz w:val="24"/>
          <w:szCs w:val="24"/>
          <w:highlight w:val="none"/>
          <w:shd w:val="clear" w:color="auto" w:fill="FFFFFF"/>
        </w:rPr>
      </w:pPr>
      <w:bookmarkStart w:id="770" w:name="_Toc96504959"/>
      <w:bookmarkStart w:id="771" w:name="_Toc96529970"/>
      <w:bookmarkStart w:id="772" w:name="_Toc96352144"/>
      <w:bookmarkStart w:id="773" w:name="_Toc96505348"/>
      <w:bookmarkStart w:id="774" w:name="_Toc13757"/>
      <w:r>
        <w:rPr>
          <w:rFonts w:hint="eastAsia" w:ascii="宋体" w:hAnsi="宋体" w:eastAsia="宋体"/>
          <w:sz w:val="24"/>
          <w:szCs w:val="24"/>
          <w:highlight w:val="none"/>
          <w:shd w:val="clear" w:color="auto" w:fill="FFFFFF"/>
        </w:rPr>
        <w:t>1.工程说明</w:t>
      </w:r>
      <w:bookmarkEnd w:id="761"/>
      <w:bookmarkEnd w:id="762"/>
      <w:bookmarkEnd w:id="763"/>
      <w:bookmarkEnd w:id="764"/>
      <w:bookmarkEnd w:id="765"/>
      <w:bookmarkEnd w:id="766"/>
      <w:bookmarkEnd w:id="767"/>
      <w:bookmarkEnd w:id="770"/>
      <w:bookmarkEnd w:id="771"/>
      <w:bookmarkEnd w:id="772"/>
      <w:bookmarkEnd w:id="773"/>
      <w:bookmarkEnd w:id="774"/>
    </w:p>
    <w:p w14:paraId="70559335">
      <w:pPr>
        <w:pStyle w:val="250"/>
        <w:spacing w:before="120" w:after="0"/>
        <w:outlineLvl w:val="4"/>
        <w:rPr>
          <w:rFonts w:hint="eastAsia" w:hAnsi="宋体" w:cs="宋体"/>
          <w:szCs w:val="24"/>
          <w:highlight w:val="none"/>
          <w:shd w:val="clear" w:color="auto" w:fill="FFFFFF"/>
        </w:rPr>
      </w:pPr>
      <w:bookmarkStart w:id="775" w:name="_Toc96529971"/>
      <w:bookmarkStart w:id="776" w:name="_Toc96352145"/>
      <w:bookmarkStart w:id="777" w:name="_Toc96504960"/>
      <w:bookmarkStart w:id="778" w:name="_Toc489280269"/>
      <w:bookmarkStart w:id="779" w:name="_Toc486580464"/>
      <w:bookmarkStart w:id="780" w:name="_Toc497298376"/>
      <w:bookmarkStart w:id="781" w:name="_Toc501055674"/>
      <w:bookmarkStart w:id="782" w:name="_Toc31999"/>
      <w:bookmarkStart w:id="783" w:name="_Toc38037922"/>
      <w:bookmarkStart w:id="784" w:name="_Toc483581228"/>
      <w:bookmarkStart w:id="785" w:name="_Toc96505349"/>
      <w:r>
        <w:rPr>
          <w:rFonts w:hint="eastAsia" w:hAnsi="宋体" w:cs="宋体"/>
          <w:szCs w:val="24"/>
          <w:highlight w:val="none"/>
          <w:shd w:val="clear" w:color="auto" w:fill="FFFFFF"/>
        </w:rPr>
        <w:t>1.1  工程概况</w:t>
      </w:r>
      <w:bookmarkEnd w:id="775"/>
      <w:bookmarkEnd w:id="776"/>
      <w:bookmarkEnd w:id="777"/>
      <w:bookmarkEnd w:id="778"/>
      <w:bookmarkEnd w:id="779"/>
      <w:bookmarkEnd w:id="780"/>
      <w:bookmarkEnd w:id="781"/>
      <w:bookmarkEnd w:id="782"/>
      <w:bookmarkEnd w:id="783"/>
      <w:bookmarkEnd w:id="784"/>
      <w:bookmarkEnd w:id="785"/>
    </w:p>
    <w:p w14:paraId="24E6566A">
      <w:pPr>
        <w:spacing w:after="0" w:line="360" w:lineRule="auto"/>
        <w:ind w:firstLine="480" w:firstLineChars="200"/>
        <w:rPr>
          <w:rFonts w:hint="eastAsia" w:ascii="宋体" w:hAnsi="宋体" w:cs="宋体"/>
          <w:bCs/>
          <w:sz w:val="24"/>
          <w:highlight w:val="none"/>
          <w:shd w:val="clear" w:color="auto" w:fill="FFFFFF"/>
        </w:rPr>
      </w:pPr>
      <w:r>
        <w:rPr>
          <w:rFonts w:hint="eastAsia" w:ascii="宋体" w:hAnsi="宋体" w:cs="宋体"/>
          <w:sz w:val="24"/>
          <w:highlight w:val="none"/>
          <w:shd w:val="clear" w:color="auto" w:fill="FFFFFF"/>
        </w:rPr>
        <w:t>1.1.1  本工程基本情况</w:t>
      </w:r>
      <w:r>
        <w:rPr>
          <w:rFonts w:hint="eastAsia" w:ascii="宋体" w:hAnsi="宋体" w:cs="宋体"/>
          <w:bCs/>
          <w:sz w:val="24"/>
          <w:highlight w:val="none"/>
          <w:shd w:val="clear" w:color="auto" w:fill="FFFFFF"/>
        </w:rPr>
        <w:t>；</w:t>
      </w:r>
    </w:p>
    <w:p w14:paraId="6E9F333A">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bCs/>
          <w:sz w:val="24"/>
          <w:highlight w:val="none"/>
          <w:shd w:val="clear" w:color="auto" w:fill="FFFFFF"/>
        </w:rPr>
        <w:t>项目名称：</w:t>
      </w:r>
      <w:r>
        <w:rPr>
          <w:rFonts w:hint="eastAsia" w:ascii="宋体" w:hAnsi="宋体" w:cs="宋体"/>
          <w:sz w:val="24"/>
          <w:highlight w:val="none"/>
          <w:u w:val="single"/>
          <w:shd w:val="clear" w:color="auto" w:fill="FFFFFF"/>
        </w:rPr>
        <w:t>青龙桥派出所设备设施维修更新经费</w:t>
      </w:r>
    </w:p>
    <w:p w14:paraId="509DB045">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建设地点：</w:t>
      </w:r>
      <w:r>
        <w:rPr>
          <w:rFonts w:hint="eastAsia" w:ascii="宋体" w:hAnsi="宋体" w:cs="宋体"/>
          <w:sz w:val="24"/>
          <w:highlight w:val="none"/>
          <w:u w:val="single"/>
          <w:shd w:val="clear" w:color="auto" w:fill="FFFFFF"/>
        </w:rPr>
        <w:t>北京市海淀区</w:t>
      </w:r>
    </w:p>
    <w:p w14:paraId="645135F6">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招标范围：</w:t>
      </w:r>
      <w:r>
        <w:rPr>
          <w:rFonts w:hint="eastAsia" w:ascii="宋体" w:hAnsi="宋体" w:cs="宋体"/>
          <w:sz w:val="24"/>
          <w:highlight w:val="none"/>
          <w:u w:val="single"/>
        </w:rPr>
        <w:t>青龙桥派出所设备设施维修更新经费施工图纸及工程量清单所示全部工作内容</w:t>
      </w:r>
    </w:p>
    <w:p w14:paraId="3AC8CE17">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1.1.2  本工程施工场地（现场）具体地理位置</w:t>
      </w:r>
      <w:r>
        <w:rPr>
          <w:rFonts w:hint="eastAsia" w:ascii="宋体" w:hAnsi="宋体" w:cs="宋体"/>
          <w:bCs/>
          <w:sz w:val="24"/>
          <w:highlight w:val="none"/>
          <w:shd w:val="clear" w:color="auto" w:fill="FFFFFF"/>
        </w:rPr>
        <w:t>；</w:t>
      </w:r>
      <w:r>
        <w:rPr>
          <w:rFonts w:hint="eastAsia" w:ascii="宋体" w:hAnsi="宋体" w:cs="宋体"/>
          <w:bCs/>
          <w:sz w:val="24"/>
          <w:highlight w:val="none"/>
          <w:u w:val="single"/>
          <w:shd w:val="clear" w:color="auto" w:fill="FFFFFF"/>
        </w:rPr>
        <w:t>北京市海淀区</w:t>
      </w:r>
    </w:p>
    <w:p w14:paraId="70135DBC">
      <w:pPr>
        <w:pStyle w:val="250"/>
        <w:spacing w:before="120" w:after="0"/>
        <w:outlineLvl w:val="4"/>
        <w:rPr>
          <w:rFonts w:hint="eastAsia" w:hAnsi="宋体" w:cs="宋体"/>
          <w:szCs w:val="24"/>
          <w:highlight w:val="none"/>
          <w:shd w:val="clear" w:color="auto" w:fill="FFFFFF"/>
        </w:rPr>
      </w:pPr>
      <w:bookmarkStart w:id="786" w:name="_Toc10809"/>
      <w:bookmarkStart w:id="787" w:name="_Toc96352146"/>
      <w:bookmarkStart w:id="788" w:name="_Toc497298377"/>
      <w:bookmarkStart w:id="789" w:name="_Toc501055675"/>
      <w:bookmarkStart w:id="790" w:name="_Toc96529972"/>
      <w:bookmarkStart w:id="791" w:name="_Toc96504961"/>
      <w:bookmarkStart w:id="792" w:name="_Toc489280270"/>
      <w:bookmarkStart w:id="793" w:name="_Toc483581229"/>
      <w:bookmarkStart w:id="794" w:name="_Toc486580465"/>
      <w:bookmarkStart w:id="795" w:name="_Toc96505350"/>
      <w:bookmarkStart w:id="796" w:name="_Toc38037923"/>
      <w:r>
        <w:rPr>
          <w:rFonts w:hint="eastAsia" w:hAnsi="宋体" w:cs="宋体"/>
          <w:szCs w:val="24"/>
          <w:highlight w:val="none"/>
          <w:shd w:val="clear" w:color="auto" w:fill="FFFFFF"/>
        </w:rPr>
        <w:t>1.2  现场条件和周围环境</w:t>
      </w:r>
      <w:bookmarkEnd w:id="786"/>
      <w:bookmarkEnd w:id="787"/>
      <w:bookmarkEnd w:id="788"/>
      <w:bookmarkEnd w:id="789"/>
      <w:bookmarkEnd w:id="790"/>
      <w:bookmarkEnd w:id="791"/>
      <w:bookmarkEnd w:id="792"/>
      <w:bookmarkEnd w:id="793"/>
      <w:bookmarkEnd w:id="794"/>
      <w:bookmarkEnd w:id="795"/>
      <w:bookmarkEnd w:id="796"/>
    </w:p>
    <w:p w14:paraId="48EA8527">
      <w:pPr>
        <w:spacing w:after="0" w:line="360" w:lineRule="auto"/>
        <w:ind w:firstLine="480" w:firstLineChars="200"/>
        <w:rPr>
          <w:rFonts w:hint="eastAsia" w:ascii="宋体" w:hAnsi="宋体" w:cs="宋体"/>
          <w:bCs/>
          <w:sz w:val="24"/>
          <w:highlight w:val="none"/>
          <w:shd w:val="clear" w:color="auto" w:fill="FFFFFF"/>
        </w:rPr>
      </w:pPr>
      <w:r>
        <w:rPr>
          <w:rFonts w:hint="eastAsia" w:ascii="宋体" w:hAnsi="宋体" w:cs="宋体"/>
          <w:sz w:val="24"/>
          <w:highlight w:val="none"/>
          <w:shd w:val="clear" w:color="auto" w:fill="FFFFFF"/>
        </w:rPr>
        <w:t xml:space="preserve">1.2.2  </w:t>
      </w:r>
      <w:r>
        <w:rPr>
          <w:rFonts w:hint="eastAsia" w:ascii="宋体" w:hAnsi="宋体" w:cs="宋体"/>
          <w:bCs/>
          <w:sz w:val="24"/>
          <w:highlight w:val="none"/>
          <w:shd w:val="clear" w:color="auto" w:fill="FFFFFF"/>
        </w:rPr>
        <w:t>施工场地（现场）临时供水管径；</w:t>
      </w:r>
      <w:r>
        <w:rPr>
          <w:rFonts w:hint="eastAsia" w:ascii="宋体" w:hAnsi="宋体" w:cs="宋体"/>
          <w:bCs/>
          <w:sz w:val="24"/>
          <w:highlight w:val="none"/>
          <w:u w:val="single"/>
        </w:rPr>
        <w:t>在指定位置由承包人接入</w:t>
      </w:r>
    </w:p>
    <w:p w14:paraId="27572873">
      <w:pPr>
        <w:spacing w:after="0" w:line="360" w:lineRule="auto"/>
        <w:ind w:firstLine="480" w:firstLineChars="200"/>
        <w:rPr>
          <w:rFonts w:hint="eastAsia" w:ascii="宋体" w:hAnsi="宋体" w:cs="宋体"/>
          <w:bCs/>
          <w:sz w:val="24"/>
          <w:highlight w:val="none"/>
          <w:shd w:val="clear" w:color="auto" w:fill="FFFFFF"/>
        </w:rPr>
      </w:pPr>
      <w:r>
        <w:rPr>
          <w:rFonts w:hint="eastAsia" w:ascii="宋体" w:hAnsi="宋体" w:cs="宋体"/>
          <w:sz w:val="24"/>
          <w:highlight w:val="none"/>
          <w:shd w:val="clear" w:color="auto" w:fill="FFFFFF"/>
        </w:rPr>
        <w:t>施工</w:t>
      </w:r>
      <w:r>
        <w:rPr>
          <w:rFonts w:hint="eastAsia" w:ascii="宋体" w:hAnsi="宋体" w:cs="宋体"/>
          <w:bCs/>
          <w:sz w:val="24"/>
          <w:highlight w:val="none"/>
          <w:shd w:val="clear" w:color="auto" w:fill="FFFFFF"/>
        </w:rPr>
        <w:t>场地（现场）临时排污管径；</w:t>
      </w:r>
      <w:r>
        <w:rPr>
          <w:rFonts w:hint="eastAsia" w:ascii="宋体" w:hAnsi="宋体" w:cs="宋体"/>
          <w:bCs/>
          <w:sz w:val="24"/>
          <w:highlight w:val="none"/>
          <w:u w:val="single"/>
        </w:rPr>
        <w:t>在指定位置由承包人接入</w:t>
      </w:r>
    </w:p>
    <w:p w14:paraId="1249F2A1">
      <w:pPr>
        <w:spacing w:after="0" w:line="360" w:lineRule="auto"/>
        <w:ind w:firstLine="480" w:firstLineChars="200"/>
        <w:rPr>
          <w:rFonts w:hint="eastAsia" w:ascii="宋体" w:hAnsi="宋体" w:cs="宋体"/>
          <w:bCs/>
          <w:sz w:val="24"/>
          <w:highlight w:val="none"/>
          <w:shd w:val="clear" w:color="auto" w:fill="FFFFFF"/>
        </w:rPr>
      </w:pPr>
      <w:r>
        <w:rPr>
          <w:rFonts w:hint="eastAsia" w:ascii="宋体" w:hAnsi="宋体" w:cs="宋体"/>
          <w:sz w:val="24"/>
          <w:highlight w:val="none"/>
          <w:shd w:val="clear" w:color="auto" w:fill="FFFFFF"/>
        </w:rPr>
        <w:t>施工</w:t>
      </w:r>
      <w:r>
        <w:rPr>
          <w:rFonts w:hint="eastAsia" w:ascii="宋体" w:hAnsi="宋体" w:cs="宋体"/>
          <w:bCs/>
          <w:sz w:val="24"/>
          <w:highlight w:val="none"/>
          <w:shd w:val="clear" w:color="auto" w:fill="FFFFFF"/>
        </w:rPr>
        <w:t>场地（现场）临时雨水管径；</w:t>
      </w:r>
      <w:r>
        <w:rPr>
          <w:rFonts w:hint="eastAsia" w:ascii="宋体" w:hAnsi="宋体" w:cs="宋体"/>
          <w:bCs/>
          <w:sz w:val="24"/>
          <w:highlight w:val="none"/>
          <w:u w:val="single"/>
        </w:rPr>
        <w:t>在指定位置由承包人接入</w:t>
      </w:r>
    </w:p>
    <w:p w14:paraId="1204BE52">
      <w:pPr>
        <w:spacing w:after="0" w:line="360" w:lineRule="auto"/>
        <w:ind w:firstLine="480" w:firstLineChars="200"/>
        <w:rPr>
          <w:rFonts w:hint="eastAsia" w:ascii="宋体" w:hAnsi="宋体" w:cs="宋体"/>
          <w:bCs/>
          <w:sz w:val="24"/>
          <w:highlight w:val="none"/>
          <w:shd w:val="clear" w:color="auto" w:fill="FFFFFF"/>
        </w:rPr>
      </w:pPr>
      <w:r>
        <w:rPr>
          <w:rFonts w:hint="eastAsia" w:ascii="宋体" w:hAnsi="宋体" w:cs="宋体"/>
          <w:sz w:val="24"/>
          <w:highlight w:val="none"/>
          <w:shd w:val="clear" w:color="auto" w:fill="FFFFFF"/>
        </w:rPr>
        <w:t>施工</w:t>
      </w:r>
      <w:r>
        <w:rPr>
          <w:rFonts w:hint="eastAsia" w:ascii="宋体" w:hAnsi="宋体" w:cs="宋体"/>
          <w:bCs/>
          <w:sz w:val="24"/>
          <w:highlight w:val="none"/>
          <w:shd w:val="clear" w:color="auto" w:fill="FFFFFF"/>
        </w:rPr>
        <w:t>场地（现场）临时供电容量（变压器输出功率）：</w:t>
      </w:r>
      <w:r>
        <w:rPr>
          <w:rFonts w:hint="eastAsia" w:ascii="宋体" w:hAnsi="宋体" w:cs="宋体"/>
          <w:bCs/>
          <w:sz w:val="24"/>
          <w:highlight w:val="none"/>
          <w:u w:val="single"/>
        </w:rPr>
        <w:t>在指定位置由承包人接入</w:t>
      </w:r>
    </w:p>
    <w:p w14:paraId="6AD9A633">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1.2.3  现场条件和周围环境的其他资料和信息数据；</w:t>
      </w:r>
      <w:r>
        <w:rPr>
          <w:rFonts w:hint="eastAsia" w:ascii="宋体" w:hAnsi="宋体" w:cs="宋体"/>
          <w:bCs/>
          <w:sz w:val="24"/>
          <w:highlight w:val="none"/>
          <w:u w:val="single"/>
        </w:rPr>
        <w:t>在指定位置由承包人接入</w:t>
      </w:r>
    </w:p>
    <w:p w14:paraId="63175EBA">
      <w:pPr>
        <w:pStyle w:val="250"/>
        <w:spacing w:before="120" w:after="0"/>
        <w:outlineLvl w:val="4"/>
        <w:rPr>
          <w:rFonts w:hint="eastAsia" w:hAnsi="宋体" w:cs="宋体"/>
          <w:szCs w:val="24"/>
          <w:highlight w:val="none"/>
          <w:shd w:val="clear" w:color="auto" w:fill="FFFFFF"/>
        </w:rPr>
      </w:pPr>
      <w:bookmarkStart w:id="797" w:name="_Toc96505351"/>
      <w:bookmarkStart w:id="798" w:name="_Toc96504962"/>
      <w:bookmarkStart w:id="799" w:name="_Toc483581230"/>
      <w:bookmarkStart w:id="800" w:name="_Toc489280271"/>
      <w:bookmarkStart w:id="801" w:name="_Toc38037924"/>
      <w:bookmarkStart w:id="802" w:name="_Toc96529973"/>
      <w:bookmarkStart w:id="803" w:name="_Toc20601"/>
      <w:bookmarkStart w:id="804" w:name="_Toc96352147"/>
      <w:bookmarkStart w:id="805" w:name="_Toc497298378"/>
      <w:bookmarkStart w:id="806" w:name="_Toc501055676"/>
      <w:r>
        <w:rPr>
          <w:rFonts w:hint="eastAsia" w:hAnsi="宋体" w:cs="宋体"/>
          <w:szCs w:val="24"/>
          <w:highlight w:val="none"/>
          <w:shd w:val="clear" w:color="auto" w:fill="FFFFFF"/>
        </w:rPr>
        <w:t>1.3  地质及水文资料</w:t>
      </w:r>
      <w:bookmarkEnd w:id="797"/>
      <w:bookmarkEnd w:id="798"/>
      <w:bookmarkEnd w:id="799"/>
      <w:bookmarkEnd w:id="800"/>
      <w:bookmarkEnd w:id="801"/>
      <w:bookmarkEnd w:id="802"/>
      <w:bookmarkEnd w:id="803"/>
      <w:bookmarkEnd w:id="804"/>
      <w:bookmarkEnd w:id="805"/>
      <w:bookmarkEnd w:id="806"/>
    </w:p>
    <w:p w14:paraId="76D49776">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现场地质及水文资料和信息数据：</w:t>
      </w:r>
      <w:r>
        <w:rPr>
          <w:rFonts w:hint="eastAsia" w:ascii="宋体" w:hAnsi="宋体" w:cs="宋体"/>
          <w:sz w:val="24"/>
          <w:highlight w:val="none"/>
          <w:u w:val="single"/>
          <w:shd w:val="clear" w:color="auto" w:fill="FFFFFF"/>
        </w:rPr>
        <w:t xml:space="preserve">    /                                         </w:t>
      </w:r>
    </w:p>
    <w:p w14:paraId="24E63063">
      <w:pPr>
        <w:pStyle w:val="249"/>
        <w:spacing w:before="120" w:after="0"/>
        <w:outlineLvl w:val="3"/>
        <w:rPr>
          <w:rFonts w:hint="eastAsia" w:ascii="宋体" w:hAnsi="宋体" w:eastAsia="宋体"/>
          <w:sz w:val="24"/>
          <w:szCs w:val="24"/>
          <w:highlight w:val="none"/>
          <w:shd w:val="clear" w:color="auto" w:fill="FFFFFF"/>
        </w:rPr>
      </w:pPr>
      <w:bookmarkStart w:id="807" w:name="_Toc489280272"/>
      <w:bookmarkStart w:id="808" w:name="_Toc96352148"/>
      <w:bookmarkStart w:id="809" w:name="_Toc96504963"/>
      <w:bookmarkStart w:id="810" w:name="_Toc38037925"/>
      <w:bookmarkStart w:id="811" w:name="_Toc486580466"/>
      <w:bookmarkStart w:id="812" w:name="_Toc497298379"/>
      <w:bookmarkStart w:id="813" w:name="_Toc490331747"/>
      <w:bookmarkStart w:id="814" w:name="_Toc501055677"/>
      <w:bookmarkStart w:id="815" w:name="_Toc28449"/>
      <w:bookmarkStart w:id="816" w:name="_Toc96505352"/>
      <w:bookmarkStart w:id="817" w:name="_Toc96529974"/>
      <w:bookmarkStart w:id="818" w:name="_Toc483581231"/>
      <w:r>
        <w:rPr>
          <w:rFonts w:hint="eastAsia" w:ascii="宋体" w:hAnsi="宋体" w:eastAsia="宋体"/>
          <w:sz w:val="24"/>
          <w:szCs w:val="24"/>
          <w:highlight w:val="none"/>
          <w:shd w:val="clear" w:color="auto" w:fill="FFFFFF"/>
        </w:rPr>
        <w:t>2.承包范围</w:t>
      </w:r>
      <w:bookmarkEnd w:id="807"/>
      <w:bookmarkEnd w:id="808"/>
      <w:bookmarkEnd w:id="809"/>
      <w:bookmarkEnd w:id="810"/>
      <w:bookmarkEnd w:id="811"/>
      <w:bookmarkEnd w:id="812"/>
      <w:bookmarkEnd w:id="813"/>
      <w:bookmarkEnd w:id="814"/>
      <w:bookmarkEnd w:id="815"/>
      <w:bookmarkEnd w:id="816"/>
      <w:bookmarkEnd w:id="817"/>
      <w:bookmarkEnd w:id="818"/>
    </w:p>
    <w:p w14:paraId="38D9F348">
      <w:pPr>
        <w:pStyle w:val="250"/>
        <w:spacing w:before="120" w:after="0"/>
        <w:outlineLvl w:val="4"/>
        <w:rPr>
          <w:rFonts w:hint="eastAsia" w:hAnsi="宋体" w:cs="宋体"/>
          <w:szCs w:val="24"/>
          <w:highlight w:val="none"/>
          <w:shd w:val="clear" w:color="auto" w:fill="FFFFFF"/>
        </w:rPr>
      </w:pPr>
      <w:bookmarkStart w:id="819" w:name="_Toc19806"/>
      <w:bookmarkStart w:id="820" w:name="_Toc96505353"/>
      <w:bookmarkStart w:id="821" w:name="_Toc96504964"/>
      <w:bookmarkStart w:id="822" w:name="_Toc96529975"/>
      <w:bookmarkStart w:id="823" w:name="_Toc486580467"/>
      <w:bookmarkStart w:id="824" w:name="_Toc489280273"/>
      <w:bookmarkStart w:id="825" w:name="_Toc38037926"/>
      <w:bookmarkStart w:id="826" w:name="_Toc501055678"/>
      <w:bookmarkStart w:id="827" w:name="_Toc483581232"/>
      <w:bookmarkStart w:id="828" w:name="_Toc96352149"/>
      <w:bookmarkStart w:id="829" w:name="_Toc497298380"/>
      <w:r>
        <w:rPr>
          <w:rFonts w:hint="eastAsia" w:hAnsi="宋体" w:cs="宋体"/>
          <w:szCs w:val="24"/>
          <w:highlight w:val="none"/>
          <w:shd w:val="clear" w:color="auto" w:fill="FFFFFF"/>
        </w:rPr>
        <w:t>2.1  承包范围</w:t>
      </w:r>
      <w:bookmarkEnd w:id="819"/>
      <w:bookmarkEnd w:id="820"/>
      <w:bookmarkEnd w:id="821"/>
      <w:bookmarkEnd w:id="822"/>
      <w:bookmarkEnd w:id="823"/>
      <w:bookmarkEnd w:id="824"/>
      <w:bookmarkEnd w:id="825"/>
      <w:bookmarkEnd w:id="826"/>
      <w:bookmarkEnd w:id="827"/>
      <w:bookmarkEnd w:id="828"/>
      <w:bookmarkEnd w:id="829"/>
    </w:p>
    <w:p w14:paraId="72388BCD">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2.1.1  承包人施工范围</w:t>
      </w:r>
    </w:p>
    <w:p w14:paraId="288AD2BE">
      <w:pPr>
        <w:spacing w:after="0" w:line="360" w:lineRule="auto"/>
        <w:ind w:firstLine="720" w:firstLineChars="3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2.1.1.1  本工程承包人施工的工程范围：</w:t>
      </w:r>
      <w:r>
        <w:rPr>
          <w:rFonts w:hint="eastAsia" w:ascii="宋体" w:hAnsi="宋体" w:cs="宋体"/>
          <w:sz w:val="24"/>
          <w:highlight w:val="none"/>
          <w:u w:val="single"/>
        </w:rPr>
        <w:t>青龙桥派出所设备设施维修更新经费施工图纸及工程量清单所示全部工作内容</w:t>
      </w:r>
    </w:p>
    <w:p w14:paraId="1BE44F88">
      <w:pPr>
        <w:spacing w:after="0" w:line="360" w:lineRule="auto"/>
        <w:ind w:firstLine="720" w:firstLineChars="300"/>
        <w:rPr>
          <w:rFonts w:hint="eastAsia" w:ascii="宋体" w:hAnsi="宋体" w:cs="宋体"/>
          <w:sz w:val="24"/>
          <w:highlight w:val="none"/>
          <w:u w:val="single"/>
          <w:shd w:val="clear" w:color="auto" w:fill="FFFFFF"/>
        </w:rPr>
      </w:pPr>
      <w:bookmarkStart w:id="830" w:name="_Toc501055679"/>
      <w:r>
        <w:rPr>
          <w:rFonts w:hint="eastAsia" w:ascii="宋体" w:hAnsi="宋体" w:cs="宋体"/>
          <w:sz w:val="24"/>
          <w:highlight w:val="none"/>
          <w:shd w:val="clear" w:color="auto" w:fill="FFFFFF"/>
        </w:rPr>
        <w:t>2.1.1.2  承包人与其他独立承包人之间的工作界面划分：</w:t>
      </w:r>
      <w:bookmarkEnd w:id="830"/>
      <w:r>
        <w:rPr>
          <w:rFonts w:hint="eastAsia" w:ascii="宋体" w:hAnsi="宋体" w:cs="宋体"/>
          <w:sz w:val="24"/>
          <w:highlight w:val="none"/>
          <w:u w:val="single"/>
          <w:shd w:val="clear" w:color="auto" w:fill="FFFFFF"/>
        </w:rPr>
        <w:t xml:space="preserve">      /                </w:t>
      </w:r>
    </w:p>
    <w:p w14:paraId="46A2202B">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2.1.2  承包范围内的暂估价材料和工程设备</w:t>
      </w:r>
    </w:p>
    <w:p w14:paraId="43D06D29">
      <w:pPr>
        <w:spacing w:after="0" w:line="360" w:lineRule="auto"/>
        <w:ind w:firstLine="720" w:firstLineChars="3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2.1.2.2  承包人与暂估价材料和工程设备的供应商之间的工作界面划分：</w:t>
      </w:r>
      <w:r>
        <w:rPr>
          <w:rFonts w:hint="eastAsia" w:ascii="宋体" w:hAnsi="宋体" w:cs="宋体"/>
          <w:sz w:val="24"/>
          <w:highlight w:val="none"/>
          <w:u w:val="single"/>
          <w:shd w:val="clear" w:color="auto" w:fill="FFFFFF"/>
        </w:rPr>
        <w:t xml:space="preserve">  /      </w:t>
      </w:r>
    </w:p>
    <w:p w14:paraId="39D5DDC6">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2.1.3  承包范围内的暂列金额项目</w:t>
      </w:r>
    </w:p>
    <w:p w14:paraId="74B899CA">
      <w:pPr>
        <w:spacing w:after="0" w:line="360" w:lineRule="auto"/>
        <w:ind w:firstLine="720" w:firstLineChars="3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2.1.3.4  关于暂列金额的其他说明：</w:t>
      </w:r>
      <w:r>
        <w:rPr>
          <w:rFonts w:hint="eastAsia" w:ascii="宋体" w:hAnsi="宋体" w:cs="宋体"/>
          <w:sz w:val="24"/>
          <w:highlight w:val="none"/>
          <w:u w:val="single"/>
          <w:shd w:val="clear" w:color="auto" w:fill="FFFFFF"/>
        </w:rPr>
        <w:t xml:space="preserve">      /                                  </w:t>
      </w:r>
    </w:p>
    <w:p w14:paraId="748099DD">
      <w:pPr>
        <w:pStyle w:val="250"/>
        <w:spacing w:before="120" w:after="0"/>
        <w:outlineLvl w:val="4"/>
        <w:rPr>
          <w:rFonts w:hint="eastAsia" w:hAnsi="宋体" w:cs="宋体"/>
          <w:szCs w:val="24"/>
          <w:highlight w:val="none"/>
          <w:shd w:val="clear" w:color="auto" w:fill="FFFFFF"/>
        </w:rPr>
      </w:pPr>
      <w:bookmarkStart w:id="831" w:name="_Toc96505354"/>
      <w:bookmarkStart w:id="832" w:name="_Toc501055680"/>
      <w:bookmarkStart w:id="833" w:name="_Toc38037927"/>
      <w:bookmarkStart w:id="834" w:name="_Toc497298381"/>
      <w:bookmarkStart w:id="835" w:name="_Toc96504965"/>
      <w:bookmarkStart w:id="836" w:name="_Toc489280274"/>
      <w:bookmarkStart w:id="837" w:name="_Toc486580468"/>
      <w:bookmarkStart w:id="838" w:name="_Toc30904"/>
      <w:bookmarkStart w:id="839" w:name="_Toc483581233"/>
      <w:bookmarkStart w:id="840" w:name="_Toc96529976"/>
      <w:bookmarkStart w:id="841" w:name="_Toc96352150"/>
      <w:r>
        <w:rPr>
          <w:rFonts w:hint="eastAsia" w:hAnsi="宋体" w:cs="宋体"/>
          <w:szCs w:val="24"/>
          <w:highlight w:val="none"/>
          <w:shd w:val="clear" w:color="auto" w:fill="FFFFFF"/>
        </w:rPr>
        <w:t>2.2  发包人供应的材料和工程设备</w:t>
      </w:r>
      <w:bookmarkEnd w:id="831"/>
      <w:bookmarkEnd w:id="832"/>
      <w:bookmarkEnd w:id="833"/>
      <w:bookmarkEnd w:id="834"/>
      <w:bookmarkEnd w:id="835"/>
      <w:bookmarkEnd w:id="836"/>
      <w:bookmarkEnd w:id="837"/>
      <w:bookmarkEnd w:id="838"/>
      <w:bookmarkEnd w:id="839"/>
      <w:bookmarkEnd w:id="840"/>
      <w:bookmarkEnd w:id="841"/>
    </w:p>
    <w:p w14:paraId="0FD5319F">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2.2.2  承包人与发包人供应的材料和工程设备的供应商之间的工作界面划分如下：</w:t>
      </w:r>
      <w:r>
        <w:rPr>
          <w:rFonts w:hint="eastAsia" w:ascii="宋体" w:hAnsi="宋体" w:cs="宋体"/>
          <w:sz w:val="24"/>
          <w:highlight w:val="none"/>
          <w:u w:val="single"/>
          <w:shd w:val="clear" w:color="auto" w:fill="FFFFFF"/>
        </w:rPr>
        <w:t xml:space="preserve">  / </w:t>
      </w:r>
    </w:p>
    <w:p w14:paraId="19B1AEAA">
      <w:pPr>
        <w:pStyle w:val="250"/>
        <w:spacing w:before="120" w:after="0"/>
        <w:outlineLvl w:val="4"/>
        <w:rPr>
          <w:rFonts w:hint="eastAsia" w:hAnsi="宋体" w:cs="宋体"/>
          <w:szCs w:val="24"/>
          <w:highlight w:val="none"/>
          <w:shd w:val="clear" w:color="auto" w:fill="FFFFFF"/>
        </w:rPr>
      </w:pPr>
      <w:bookmarkStart w:id="842" w:name="_Toc501055681"/>
      <w:bookmarkStart w:id="843" w:name="_Toc38037928"/>
      <w:bookmarkStart w:id="844" w:name="_Toc96505355"/>
      <w:bookmarkStart w:id="845" w:name="_Toc96504966"/>
      <w:bookmarkStart w:id="846" w:name="_Toc486580470"/>
      <w:bookmarkStart w:id="847" w:name="_Toc96529977"/>
      <w:bookmarkStart w:id="848" w:name="_Toc483581235"/>
      <w:bookmarkStart w:id="849" w:name="_Toc489280276"/>
      <w:bookmarkStart w:id="850" w:name="_Toc497298383"/>
      <w:bookmarkStart w:id="851" w:name="_Toc96352151"/>
      <w:bookmarkStart w:id="852" w:name="_Toc1642"/>
      <w:r>
        <w:rPr>
          <w:rFonts w:hint="eastAsia" w:hAnsi="宋体" w:cs="宋体"/>
          <w:szCs w:val="24"/>
          <w:highlight w:val="none"/>
          <w:shd w:val="clear" w:color="auto" w:fill="FFFFFF"/>
        </w:rPr>
        <w:t>2.3  承包人需要为发包人和监理人提供的现场办公条件和设施</w:t>
      </w:r>
      <w:bookmarkEnd w:id="842"/>
      <w:bookmarkEnd w:id="843"/>
      <w:bookmarkEnd w:id="844"/>
      <w:bookmarkEnd w:id="845"/>
      <w:bookmarkEnd w:id="846"/>
      <w:bookmarkEnd w:id="847"/>
      <w:bookmarkEnd w:id="848"/>
      <w:bookmarkEnd w:id="849"/>
      <w:bookmarkEnd w:id="850"/>
      <w:bookmarkEnd w:id="851"/>
      <w:bookmarkEnd w:id="852"/>
    </w:p>
    <w:p w14:paraId="2A4C6E61">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承包人需要为发包人和监理人提供的现场办公条件和设施及其详细要求：</w:t>
      </w:r>
      <w:r>
        <w:rPr>
          <w:rFonts w:hint="eastAsia" w:ascii="宋体" w:hAnsi="宋体" w:cs="宋体"/>
          <w:sz w:val="24"/>
          <w:highlight w:val="none"/>
          <w:u w:val="single"/>
          <w:shd w:val="clear" w:color="auto" w:fill="FFFFFF"/>
        </w:rPr>
        <w:t xml:space="preserve">     /      </w:t>
      </w:r>
    </w:p>
    <w:p w14:paraId="55422DD2">
      <w:pPr>
        <w:pStyle w:val="249"/>
        <w:spacing w:before="120" w:after="0"/>
        <w:outlineLvl w:val="3"/>
        <w:rPr>
          <w:rFonts w:hint="eastAsia" w:ascii="宋体" w:hAnsi="宋体" w:eastAsia="宋体"/>
          <w:sz w:val="24"/>
          <w:szCs w:val="24"/>
          <w:highlight w:val="none"/>
          <w:shd w:val="clear" w:color="auto" w:fill="FFFFFF"/>
        </w:rPr>
      </w:pPr>
      <w:bookmarkStart w:id="853" w:name="_Toc486580471"/>
      <w:bookmarkStart w:id="854" w:name="_Toc501055682"/>
      <w:bookmarkStart w:id="855" w:name="_Toc18499"/>
      <w:bookmarkStart w:id="856" w:name="_Toc497298384"/>
      <w:bookmarkStart w:id="857" w:name="_Toc96352152"/>
      <w:bookmarkStart w:id="858" w:name="_Toc38037929"/>
      <w:bookmarkStart w:id="859" w:name="_Toc96504967"/>
      <w:bookmarkStart w:id="860" w:name="_Toc489280277"/>
      <w:bookmarkStart w:id="861" w:name="_Toc96529978"/>
      <w:bookmarkStart w:id="862" w:name="_Toc96505356"/>
      <w:bookmarkStart w:id="863" w:name="_Toc483581236"/>
      <w:bookmarkStart w:id="864" w:name="_Toc490331748"/>
      <w:r>
        <w:rPr>
          <w:rFonts w:hint="eastAsia" w:ascii="宋体" w:hAnsi="宋体" w:eastAsia="宋体"/>
          <w:sz w:val="24"/>
          <w:szCs w:val="24"/>
          <w:highlight w:val="none"/>
          <w:shd w:val="clear" w:color="auto" w:fill="FFFFFF"/>
        </w:rPr>
        <w:t>4.质量要求</w:t>
      </w:r>
      <w:bookmarkEnd w:id="853"/>
      <w:bookmarkEnd w:id="854"/>
      <w:bookmarkEnd w:id="855"/>
      <w:bookmarkEnd w:id="856"/>
      <w:bookmarkEnd w:id="857"/>
      <w:bookmarkEnd w:id="858"/>
      <w:bookmarkEnd w:id="859"/>
      <w:bookmarkEnd w:id="860"/>
      <w:bookmarkEnd w:id="861"/>
      <w:bookmarkEnd w:id="862"/>
      <w:bookmarkEnd w:id="863"/>
      <w:bookmarkEnd w:id="864"/>
    </w:p>
    <w:p w14:paraId="4E21AAA4">
      <w:pPr>
        <w:pStyle w:val="250"/>
        <w:spacing w:before="120" w:after="0"/>
        <w:outlineLvl w:val="4"/>
        <w:rPr>
          <w:rFonts w:hint="eastAsia" w:hAnsi="宋体" w:cs="宋体"/>
          <w:szCs w:val="24"/>
          <w:highlight w:val="none"/>
          <w:shd w:val="clear" w:color="auto" w:fill="FFFFFF"/>
        </w:rPr>
      </w:pPr>
      <w:bookmarkStart w:id="865" w:name="_Toc483581237"/>
      <w:bookmarkStart w:id="866" w:name="_Toc486580472"/>
      <w:bookmarkStart w:id="867" w:name="_Toc96352153"/>
      <w:bookmarkStart w:id="868" w:name="_Toc96529979"/>
      <w:bookmarkStart w:id="869" w:name="_Toc489280278"/>
      <w:bookmarkStart w:id="870" w:name="_Toc13149"/>
      <w:bookmarkStart w:id="871" w:name="_Toc96505357"/>
      <w:bookmarkStart w:id="872" w:name="_Toc497298385"/>
      <w:bookmarkStart w:id="873" w:name="_Toc96504968"/>
      <w:bookmarkStart w:id="874" w:name="_Toc38037930"/>
      <w:bookmarkStart w:id="875" w:name="_Toc501055683"/>
      <w:r>
        <w:rPr>
          <w:rFonts w:hint="eastAsia" w:hAnsi="宋体" w:cs="宋体"/>
          <w:szCs w:val="24"/>
          <w:highlight w:val="none"/>
          <w:shd w:val="clear" w:color="auto" w:fill="FFFFFF"/>
        </w:rPr>
        <w:t>4.2  特殊质量要求</w:t>
      </w:r>
      <w:bookmarkEnd w:id="865"/>
      <w:bookmarkEnd w:id="866"/>
      <w:bookmarkEnd w:id="867"/>
      <w:bookmarkEnd w:id="868"/>
      <w:bookmarkEnd w:id="869"/>
      <w:bookmarkEnd w:id="870"/>
      <w:bookmarkEnd w:id="871"/>
      <w:bookmarkEnd w:id="872"/>
      <w:bookmarkEnd w:id="873"/>
      <w:bookmarkEnd w:id="874"/>
      <w:bookmarkEnd w:id="875"/>
    </w:p>
    <w:p w14:paraId="53D128A9">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有关本工程质量方面的特殊要求：</w:t>
      </w:r>
      <w:r>
        <w:rPr>
          <w:rFonts w:hint="eastAsia" w:ascii="宋体" w:hAnsi="宋体" w:cs="宋体"/>
          <w:sz w:val="24"/>
          <w:highlight w:val="none"/>
          <w:u w:val="single"/>
          <w:shd w:val="clear" w:color="auto" w:fill="FFFFFF"/>
        </w:rPr>
        <w:t xml:space="preserve">         /                                    </w:t>
      </w:r>
    </w:p>
    <w:p w14:paraId="07E14BA7">
      <w:pPr>
        <w:pStyle w:val="249"/>
        <w:spacing w:before="120" w:after="0"/>
        <w:outlineLvl w:val="3"/>
        <w:rPr>
          <w:rFonts w:hint="eastAsia" w:ascii="宋体" w:hAnsi="宋体" w:eastAsia="宋体"/>
          <w:sz w:val="24"/>
          <w:szCs w:val="24"/>
          <w:highlight w:val="none"/>
          <w:shd w:val="clear" w:color="auto" w:fill="FFFFFF"/>
        </w:rPr>
      </w:pPr>
      <w:bookmarkStart w:id="876" w:name="_Toc96504969"/>
      <w:bookmarkStart w:id="877" w:name="_Toc486580473"/>
      <w:bookmarkStart w:id="878" w:name="_Toc490331749"/>
      <w:bookmarkStart w:id="879" w:name="_Toc96505358"/>
      <w:bookmarkStart w:id="880" w:name="_Toc501055684"/>
      <w:bookmarkStart w:id="881" w:name="_Toc19402"/>
      <w:bookmarkStart w:id="882" w:name="_Toc96352154"/>
      <w:bookmarkStart w:id="883" w:name="_Toc96529980"/>
      <w:bookmarkStart w:id="884" w:name="_Toc483581238"/>
      <w:bookmarkStart w:id="885" w:name="_Toc38037931"/>
      <w:bookmarkStart w:id="886" w:name="_Toc489280279"/>
      <w:bookmarkStart w:id="887" w:name="_Toc497298386"/>
      <w:r>
        <w:rPr>
          <w:rFonts w:hint="eastAsia" w:ascii="宋体" w:hAnsi="宋体" w:eastAsia="宋体"/>
          <w:sz w:val="24"/>
          <w:szCs w:val="24"/>
          <w:highlight w:val="none"/>
          <w:shd w:val="clear" w:color="auto" w:fill="FFFFFF"/>
        </w:rPr>
        <w:t>5.适用规范和标准</w:t>
      </w:r>
      <w:bookmarkEnd w:id="876"/>
      <w:bookmarkEnd w:id="877"/>
      <w:bookmarkEnd w:id="878"/>
      <w:bookmarkEnd w:id="879"/>
      <w:bookmarkEnd w:id="880"/>
      <w:bookmarkEnd w:id="881"/>
      <w:bookmarkEnd w:id="882"/>
      <w:bookmarkEnd w:id="883"/>
      <w:bookmarkEnd w:id="884"/>
      <w:bookmarkEnd w:id="885"/>
      <w:bookmarkEnd w:id="886"/>
      <w:bookmarkEnd w:id="887"/>
    </w:p>
    <w:p w14:paraId="22E16B76">
      <w:pPr>
        <w:spacing w:after="0" w:line="360" w:lineRule="auto"/>
        <w:ind w:firstLine="720" w:firstLineChars="300"/>
        <w:outlineLvl w:val="4"/>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5.1  适用本工程的国家、行业和地方规范、标准和规程：</w:t>
      </w:r>
      <w:r>
        <w:rPr>
          <w:rFonts w:hint="eastAsia" w:ascii="宋体" w:hAnsi="宋体" w:cs="宋体"/>
          <w:sz w:val="24"/>
          <w:highlight w:val="none"/>
          <w:u w:val="single"/>
        </w:rPr>
        <w:t xml:space="preserve">按现行有效的规范、标准、和规程及相关性文件等 </w:t>
      </w:r>
    </w:p>
    <w:p w14:paraId="2EBBC988">
      <w:pPr>
        <w:pStyle w:val="249"/>
        <w:spacing w:before="120" w:after="0"/>
        <w:outlineLvl w:val="3"/>
        <w:rPr>
          <w:rFonts w:hint="eastAsia" w:ascii="宋体" w:hAnsi="宋体" w:eastAsia="宋体"/>
          <w:sz w:val="24"/>
          <w:szCs w:val="24"/>
          <w:highlight w:val="none"/>
          <w:shd w:val="clear" w:color="auto" w:fill="FFFFFF"/>
        </w:rPr>
      </w:pPr>
      <w:bookmarkStart w:id="888" w:name="_Toc38037932"/>
      <w:bookmarkStart w:id="889" w:name="_Toc497298387"/>
      <w:bookmarkStart w:id="890" w:name="_Toc483581239"/>
      <w:bookmarkStart w:id="891" w:name="_Toc490331750"/>
      <w:bookmarkStart w:id="892" w:name="_Toc489280280"/>
      <w:bookmarkStart w:id="893" w:name="_Toc29252"/>
      <w:bookmarkStart w:id="894" w:name="_Toc96504970"/>
      <w:bookmarkStart w:id="895" w:name="_Toc96352155"/>
      <w:bookmarkStart w:id="896" w:name="_Toc486580474"/>
      <w:bookmarkStart w:id="897" w:name="_Toc501055685"/>
      <w:bookmarkStart w:id="898" w:name="_Toc96505359"/>
      <w:bookmarkStart w:id="899" w:name="_Toc96529981"/>
      <w:r>
        <w:rPr>
          <w:rFonts w:hint="eastAsia" w:ascii="宋体" w:hAnsi="宋体" w:eastAsia="宋体"/>
          <w:sz w:val="24"/>
          <w:szCs w:val="24"/>
          <w:highlight w:val="none"/>
          <w:shd w:val="clear" w:color="auto" w:fill="FFFFFF"/>
        </w:rPr>
        <w:t>6.安全文明施工</w:t>
      </w:r>
      <w:bookmarkEnd w:id="888"/>
      <w:bookmarkEnd w:id="889"/>
      <w:bookmarkEnd w:id="890"/>
      <w:bookmarkEnd w:id="891"/>
      <w:bookmarkEnd w:id="892"/>
      <w:bookmarkEnd w:id="893"/>
      <w:bookmarkEnd w:id="894"/>
      <w:bookmarkEnd w:id="895"/>
      <w:bookmarkEnd w:id="896"/>
      <w:bookmarkEnd w:id="897"/>
      <w:bookmarkEnd w:id="898"/>
      <w:bookmarkEnd w:id="899"/>
    </w:p>
    <w:p w14:paraId="75E8E38C">
      <w:pPr>
        <w:pStyle w:val="250"/>
        <w:spacing w:before="120" w:after="0"/>
        <w:outlineLvl w:val="4"/>
        <w:rPr>
          <w:rFonts w:hint="eastAsia" w:hAnsi="宋体" w:cs="宋体"/>
          <w:szCs w:val="24"/>
          <w:highlight w:val="none"/>
          <w:shd w:val="clear" w:color="auto" w:fill="FFFFFF"/>
        </w:rPr>
      </w:pPr>
      <w:bookmarkStart w:id="900" w:name="_Toc486580475"/>
      <w:bookmarkStart w:id="901" w:name="_Toc96352156"/>
      <w:bookmarkStart w:id="902" w:name="_Toc96504971"/>
      <w:bookmarkStart w:id="903" w:name="_Toc483581240"/>
      <w:bookmarkStart w:id="904" w:name="_Toc30917"/>
      <w:bookmarkStart w:id="905" w:name="_Toc489280281"/>
      <w:bookmarkStart w:id="906" w:name="_Toc96505360"/>
      <w:bookmarkStart w:id="907" w:name="_Toc96529982"/>
      <w:bookmarkStart w:id="908" w:name="_Toc38037933"/>
      <w:bookmarkStart w:id="909" w:name="_Toc501055686"/>
      <w:bookmarkStart w:id="910" w:name="_Toc497298388"/>
      <w:r>
        <w:rPr>
          <w:rFonts w:hint="eastAsia" w:hAnsi="宋体" w:cs="宋体"/>
          <w:szCs w:val="24"/>
          <w:highlight w:val="none"/>
          <w:shd w:val="clear" w:color="auto" w:fill="FFFFFF"/>
        </w:rPr>
        <w:t>6.1  安全防护</w:t>
      </w:r>
      <w:bookmarkEnd w:id="900"/>
      <w:bookmarkEnd w:id="901"/>
      <w:bookmarkEnd w:id="902"/>
      <w:bookmarkEnd w:id="903"/>
      <w:bookmarkEnd w:id="904"/>
      <w:bookmarkEnd w:id="905"/>
      <w:bookmarkEnd w:id="906"/>
      <w:bookmarkEnd w:id="907"/>
      <w:bookmarkEnd w:id="908"/>
      <w:bookmarkEnd w:id="909"/>
      <w:bookmarkEnd w:id="910"/>
    </w:p>
    <w:p w14:paraId="0A271D13">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6.1.2  在整个工程施工期间，承包人应在施工场地（现场）设立、提供和维护并在有关工作完成或竣工后撤除</w:t>
      </w:r>
      <w:bookmarkStart w:id="911" w:name="_Hlk524944452"/>
      <w:r>
        <w:rPr>
          <w:rFonts w:hint="eastAsia" w:ascii="宋体" w:hAnsi="宋体" w:cs="宋体"/>
          <w:sz w:val="24"/>
          <w:highlight w:val="none"/>
          <w:shd w:val="clear" w:color="auto" w:fill="FFFFFF"/>
        </w:rPr>
        <w:t>：</w:t>
      </w:r>
      <w:bookmarkEnd w:id="911"/>
    </w:p>
    <w:p w14:paraId="63E9A19B">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（11）其他要求：</w:t>
      </w:r>
      <w:r>
        <w:rPr>
          <w:rFonts w:hint="eastAsia" w:ascii="宋体" w:hAnsi="宋体" w:cs="宋体"/>
          <w:sz w:val="24"/>
          <w:highlight w:val="none"/>
          <w:u w:val="single"/>
          <w:shd w:val="clear" w:color="auto" w:fill="FFFFFF"/>
        </w:rPr>
        <w:t xml:space="preserve">                       /                                    </w:t>
      </w:r>
    </w:p>
    <w:p w14:paraId="1606D0C9">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6.1.18  安全防护方面的其他要求：</w:t>
      </w:r>
      <w:r>
        <w:rPr>
          <w:rFonts w:hint="eastAsia" w:ascii="宋体" w:hAnsi="宋体" w:cs="宋体"/>
          <w:sz w:val="24"/>
          <w:highlight w:val="none"/>
          <w:u w:val="single"/>
          <w:shd w:val="clear" w:color="auto" w:fill="FFFFFF"/>
        </w:rPr>
        <w:t xml:space="preserve">       /                                    </w:t>
      </w:r>
    </w:p>
    <w:p w14:paraId="7B3974B3">
      <w:pPr>
        <w:pStyle w:val="250"/>
        <w:spacing w:before="120" w:after="0"/>
        <w:outlineLvl w:val="4"/>
        <w:rPr>
          <w:rFonts w:hint="eastAsia" w:hAnsi="宋体" w:cs="宋体"/>
          <w:szCs w:val="24"/>
          <w:highlight w:val="none"/>
          <w:shd w:val="clear" w:color="auto" w:fill="FFFFFF"/>
        </w:rPr>
      </w:pPr>
      <w:bookmarkStart w:id="912" w:name="_Toc486580476"/>
      <w:bookmarkStart w:id="913" w:name="_Toc96529983"/>
      <w:bookmarkStart w:id="914" w:name="_Toc501055687"/>
      <w:bookmarkStart w:id="915" w:name="_Toc23525"/>
      <w:bookmarkStart w:id="916" w:name="_Toc497298389"/>
      <w:bookmarkStart w:id="917" w:name="_Toc96504972"/>
      <w:bookmarkStart w:id="918" w:name="_Toc96505361"/>
      <w:bookmarkStart w:id="919" w:name="_Toc96352157"/>
      <w:bookmarkStart w:id="920" w:name="_Toc38037934"/>
      <w:bookmarkStart w:id="921" w:name="_Toc489280282"/>
      <w:bookmarkStart w:id="922" w:name="_Toc483581241"/>
      <w:r>
        <w:rPr>
          <w:rFonts w:hint="eastAsia" w:hAnsi="宋体" w:cs="宋体"/>
          <w:szCs w:val="24"/>
          <w:highlight w:val="none"/>
          <w:shd w:val="clear" w:color="auto" w:fill="FFFFFF"/>
        </w:rPr>
        <w:t>6.2  临时消防</w:t>
      </w:r>
      <w:bookmarkEnd w:id="912"/>
      <w:bookmarkEnd w:id="913"/>
      <w:bookmarkEnd w:id="914"/>
      <w:bookmarkEnd w:id="915"/>
      <w:bookmarkEnd w:id="916"/>
      <w:bookmarkEnd w:id="917"/>
      <w:bookmarkEnd w:id="918"/>
      <w:bookmarkEnd w:id="919"/>
      <w:bookmarkEnd w:id="920"/>
      <w:bookmarkEnd w:id="921"/>
      <w:bookmarkEnd w:id="922"/>
    </w:p>
    <w:p w14:paraId="7915C324">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6.2.5  临时消防方面的其他要求：</w:t>
      </w:r>
      <w:r>
        <w:rPr>
          <w:rFonts w:hint="eastAsia" w:ascii="宋体" w:hAnsi="宋体" w:cs="宋体"/>
          <w:sz w:val="24"/>
          <w:highlight w:val="none"/>
          <w:u w:val="single"/>
          <w:shd w:val="clear" w:color="auto" w:fill="FFFFFF"/>
        </w:rPr>
        <w:t xml:space="preserve">        /                                    </w:t>
      </w:r>
    </w:p>
    <w:p w14:paraId="312FEA08">
      <w:pPr>
        <w:pStyle w:val="250"/>
        <w:spacing w:before="120" w:after="0"/>
        <w:outlineLvl w:val="4"/>
        <w:rPr>
          <w:rFonts w:hint="eastAsia" w:hAnsi="宋体" w:cs="宋体"/>
          <w:szCs w:val="24"/>
          <w:highlight w:val="none"/>
          <w:shd w:val="clear" w:color="auto" w:fill="FFFFFF"/>
        </w:rPr>
      </w:pPr>
      <w:bookmarkStart w:id="923" w:name="_Toc96504973"/>
      <w:bookmarkStart w:id="924" w:name="_Toc96505362"/>
      <w:bookmarkStart w:id="925" w:name="_Toc24903"/>
      <w:bookmarkStart w:id="926" w:name="_Toc38037935"/>
      <w:bookmarkStart w:id="927" w:name="_Toc501055688"/>
      <w:bookmarkStart w:id="928" w:name="_Toc486580477"/>
      <w:bookmarkStart w:id="929" w:name="_Toc497298390"/>
      <w:bookmarkStart w:id="930" w:name="_Toc96352158"/>
      <w:bookmarkStart w:id="931" w:name="_Toc483581242"/>
      <w:bookmarkStart w:id="932" w:name="_Toc96529984"/>
      <w:bookmarkStart w:id="933" w:name="_Toc489280283"/>
      <w:r>
        <w:rPr>
          <w:rFonts w:hint="eastAsia" w:hAnsi="宋体" w:cs="宋体"/>
          <w:szCs w:val="24"/>
          <w:highlight w:val="none"/>
          <w:shd w:val="clear" w:color="auto" w:fill="FFFFFF"/>
        </w:rPr>
        <w:t>6.3  临时供电</w:t>
      </w:r>
      <w:bookmarkEnd w:id="923"/>
      <w:bookmarkEnd w:id="924"/>
      <w:bookmarkEnd w:id="925"/>
      <w:bookmarkEnd w:id="926"/>
      <w:bookmarkEnd w:id="927"/>
      <w:bookmarkEnd w:id="928"/>
      <w:bookmarkEnd w:id="929"/>
      <w:bookmarkEnd w:id="930"/>
      <w:bookmarkEnd w:id="931"/>
      <w:bookmarkEnd w:id="932"/>
      <w:bookmarkEnd w:id="933"/>
    </w:p>
    <w:p w14:paraId="782C9425">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6.3.6  临时用电方面的其他要求：</w:t>
      </w:r>
      <w:r>
        <w:rPr>
          <w:rFonts w:hint="eastAsia" w:ascii="宋体" w:hAnsi="宋体" w:cs="宋体"/>
          <w:sz w:val="24"/>
          <w:highlight w:val="none"/>
          <w:u w:val="single"/>
          <w:shd w:val="clear" w:color="auto" w:fill="FFFFFF"/>
        </w:rPr>
        <w:t xml:space="preserve">        /                                   </w:t>
      </w:r>
    </w:p>
    <w:p w14:paraId="7B448986">
      <w:pPr>
        <w:pStyle w:val="250"/>
        <w:spacing w:before="120" w:after="0"/>
        <w:outlineLvl w:val="4"/>
        <w:rPr>
          <w:rFonts w:hint="eastAsia" w:hAnsi="宋体" w:cs="宋体"/>
          <w:szCs w:val="24"/>
          <w:highlight w:val="none"/>
          <w:shd w:val="clear" w:color="auto" w:fill="FFFFFF"/>
        </w:rPr>
      </w:pPr>
      <w:bookmarkStart w:id="934" w:name="_Toc489280284"/>
      <w:bookmarkStart w:id="935" w:name="_Toc497298391"/>
      <w:bookmarkStart w:id="936" w:name="_Toc486580478"/>
      <w:bookmarkStart w:id="937" w:name="_Toc96504974"/>
      <w:bookmarkStart w:id="938" w:name="_Toc96529985"/>
      <w:bookmarkStart w:id="939" w:name="_Toc483581243"/>
      <w:bookmarkStart w:id="940" w:name="_Toc96505363"/>
      <w:bookmarkStart w:id="941" w:name="_Toc501055689"/>
      <w:bookmarkStart w:id="942" w:name="_Toc38037936"/>
      <w:bookmarkStart w:id="943" w:name="_Toc96352159"/>
      <w:bookmarkStart w:id="944" w:name="_Toc19663"/>
      <w:r>
        <w:rPr>
          <w:rFonts w:hint="eastAsia" w:hAnsi="宋体" w:cs="宋体"/>
          <w:szCs w:val="24"/>
          <w:highlight w:val="none"/>
          <w:shd w:val="clear" w:color="auto" w:fill="FFFFFF"/>
        </w:rPr>
        <w:t>6.4  劳动保护</w:t>
      </w:r>
      <w:bookmarkEnd w:id="934"/>
      <w:bookmarkEnd w:id="935"/>
      <w:bookmarkEnd w:id="936"/>
      <w:bookmarkEnd w:id="937"/>
      <w:bookmarkEnd w:id="938"/>
      <w:bookmarkEnd w:id="939"/>
      <w:bookmarkEnd w:id="940"/>
      <w:bookmarkEnd w:id="941"/>
      <w:bookmarkEnd w:id="942"/>
      <w:bookmarkEnd w:id="943"/>
      <w:bookmarkEnd w:id="944"/>
    </w:p>
    <w:p w14:paraId="22A83C6D">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6.4.6  劳动保护方面的其他要求：</w:t>
      </w:r>
      <w:r>
        <w:rPr>
          <w:rFonts w:hint="eastAsia" w:ascii="宋体" w:hAnsi="宋体" w:cs="宋体"/>
          <w:sz w:val="24"/>
          <w:highlight w:val="none"/>
          <w:u w:val="single"/>
          <w:shd w:val="clear" w:color="auto" w:fill="FFFFFF"/>
        </w:rPr>
        <w:t xml:space="preserve">        /                                    </w:t>
      </w:r>
    </w:p>
    <w:p w14:paraId="714C0A08">
      <w:pPr>
        <w:pStyle w:val="250"/>
        <w:spacing w:before="120" w:after="0"/>
        <w:outlineLvl w:val="4"/>
        <w:rPr>
          <w:rFonts w:hint="eastAsia" w:hAnsi="宋体" w:cs="宋体"/>
          <w:szCs w:val="24"/>
          <w:highlight w:val="none"/>
          <w:shd w:val="clear" w:color="auto" w:fill="FFFFFF"/>
        </w:rPr>
      </w:pPr>
      <w:bookmarkStart w:id="945" w:name="_Toc96505364"/>
      <w:bookmarkStart w:id="946" w:name="_Toc501055690"/>
      <w:bookmarkStart w:id="947" w:name="_Toc489280285"/>
      <w:bookmarkStart w:id="948" w:name="_Toc96504975"/>
      <w:bookmarkStart w:id="949" w:name="_Toc486580479"/>
      <w:bookmarkStart w:id="950" w:name="_Toc16227"/>
      <w:bookmarkStart w:id="951" w:name="_Toc483581244"/>
      <w:bookmarkStart w:id="952" w:name="_Toc96529986"/>
      <w:bookmarkStart w:id="953" w:name="_Toc38037937"/>
      <w:bookmarkStart w:id="954" w:name="_Toc96352160"/>
      <w:bookmarkStart w:id="955" w:name="_Toc497298392"/>
      <w:r>
        <w:rPr>
          <w:rFonts w:hint="eastAsia" w:hAnsi="宋体" w:cs="宋体"/>
          <w:szCs w:val="24"/>
          <w:highlight w:val="none"/>
          <w:shd w:val="clear" w:color="auto" w:fill="FFFFFF"/>
        </w:rPr>
        <w:t>6.5  脚手架</w:t>
      </w:r>
      <w:bookmarkEnd w:id="945"/>
      <w:bookmarkEnd w:id="946"/>
      <w:bookmarkEnd w:id="947"/>
      <w:bookmarkEnd w:id="948"/>
      <w:bookmarkEnd w:id="949"/>
      <w:bookmarkEnd w:id="950"/>
      <w:bookmarkEnd w:id="951"/>
      <w:bookmarkEnd w:id="952"/>
      <w:bookmarkEnd w:id="953"/>
      <w:bookmarkEnd w:id="954"/>
      <w:bookmarkEnd w:id="955"/>
    </w:p>
    <w:p w14:paraId="62874B89">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6.5.6  脚手架的其他要求：</w:t>
      </w:r>
      <w:r>
        <w:rPr>
          <w:rFonts w:hint="eastAsia" w:ascii="宋体" w:hAnsi="宋体" w:cs="宋体"/>
          <w:sz w:val="24"/>
          <w:highlight w:val="none"/>
          <w:u w:val="single"/>
          <w:shd w:val="clear" w:color="auto" w:fill="FFFFFF"/>
        </w:rPr>
        <w:t xml:space="preserve">             /                                     </w:t>
      </w:r>
    </w:p>
    <w:p w14:paraId="7CDF71FA">
      <w:pPr>
        <w:pStyle w:val="250"/>
        <w:spacing w:before="120" w:after="0"/>
        <w:outlineLvl w:val="4"/>
        <w:rPr>
          <w:rFonts w:hint="eastAsia" w:hAnsi="宋体" w:cs="宋体"/>
          <w:szCs w:val="24"/>
          <w:highlight w:val="none"/>
          <w:shd w:val="clear" w:color="auto" w:fill="FFFFFF"/>
        </w:rPr>
      </w:pPr>
      <w:bookmarkStart w:id="956" w:name="_Toc96529987"/>
      <w:bookmarkStart w:id="957" w:name="_Toc96505365"/>
      <w:bookmarkStart w:id="958" w:name="_Toc486580480"/>
      <w:bookmarkStart w:id="959" w:name="_Toc483581245"/>
      <w:bookmarkStart w:id="960" w:name="_Toc38037938"/>
      <w:bookmarkStart w:id="961" w:name="_Toc96352161"/>
      <w:bookmarkStart w:id="962" w:name="_Toc497298393"/>
      <w:bookmarkStart w:id="963" w:name="_Toc3989"/>
      <w:bookmarkStart w:id="964" w:name="_Toc96504976"/>
      <w:bookmarkStart w:id="965" w:name="_Toc501055691"/>
      <w:bookmarkStart w:id="966" w:name="_Toc489280286"/>
      <w:r>
        <w:rPr>
          <w:rFonts w:hint="eastAsia" w:hAnsi="宋体" w:cs="宋体"/>
          <w:szCs w:val="24"/>
          <w:highlight w:val="none"/>
          <w:shd w:val="clear" w:color="auto" w:fill="FFFFFF"/>
        </w:rPr>
        <w:t>6.6  施工安全措施计划</w:t>
      </w:r>
      <w:bookmarkEnd w:id="956"/>
      <w:bookmarkEnd w:id="957"/>
      <w:bookmarkEnd w:id="958"/>
      <w:bookmarkEnd w:id="959"/>
      <w:bookmarkEnd w:id="960"/>
      <w:bookmarkEnd w:id="961"/>
      <w:bookmarkEnd w:id="962"/>
      <w:bookmarkEnd w:id="963"/>
      <w:bookmarkEnd w:id="964"/>
      <w:bookmarkEnd w:id="965"/>
      <w:bookmarkEnd w:id="966"/>
    </w:p>
    <w:p w14:paraId="166C9914">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6.6.2  施工安全措施计划内容包括：</w:t>
      </w:r>
    </w:p>
    <w:p w14:paraId="6804C654">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（9）其他要求：</w:t>
      </w:r>
      <w:r>
        <w:rPr>
          <w:rFonts w:hint="eastAsia" w:ascii="宋体" w:hAnsi="宋体" w:cs="宋体"/>
          <w:sz w:val="24"/>
          <w:highlight w:val="none"/>
          <w:u w:val="single"/>
          <w:shd w:val="clear" w:color="auto" w:fill="FFFFFF"/>
        </w:rPr>
        <w:t xml:space="preserve">                        /                                    </w:t>
      </w:r>
    </w:p>
    <w:p w14:paraId="66B5B352">
      <w:pPr>
        <w:pStyle w:val="250"/>
        <w:spacing w:before="120" w:after="0"/>
        <w:outlineLvl w:val="4"/>
        <w:rPr>
          <w:rFonts w:hint="eastAsia" w:hAnsi="宋体" w:cs="宋体"/>
          <w:szCs w:val="24"/>
          <w:highlight w:val="none"/>
          <w:shd w:val="clear" w:color="auto" w:fill="FFFFFF"/>
        </w:rPr>
      </w:pPr>
      <w:bookmarkStart w:id="967" w:name="_Toc483581246"/>
      <w:bookmarkStart w:id="968" w:name="_Toc38037939"/>
      <w:bookmarkStart w:id="969" w:name="_Toc489280287"/>
      <w:bookmarkStart w:id="970" w:name="_Toc501055692"/>
      <w:bookmarkStart w:id="971" w:name="_Toc96529988"/>
      <w:bookmarkStart w:id="972" w:name="_Toc96504977"/>
      <w:bookmarkStart w:id="973" w:name="_Toc96352162"/>
      <w:bookmarkStart w:id="974" w:name="_Toc486580481"/>
      <w:bookmarkStart w:id="975" w:name="_Toc96505366"/>
      <w:bookmarkStart w:id="976" w:name="_Toc4321"/>
      <w:bookmarkStart w:id="977" w:name="_Toc497298394"/>
      <w:r>
        <w:rPr>
          <w:rFonts w:hint="eastAsia" w:hAnsi="宋体" w:cs="宋体"/>
          <w:szCs w:val="24"/>
          <w:highlight w:val="none"/>
          <w:shd w:val="clear" w:color="auto" w:fill="FFFFFF"/>
        </w:rPr>
        <w:t>6.7  文明施工</w:t>
      </w:r>
      <w:bookmarkEnd w:id="967"/>
      <w:bookmarkEnd w:id="968"/>
      <w:bookmarkEnd w:id="969"/>
      <w:bookmarkEnd w:id="970"/>
      <w:bookmarkEnd w:id="971"/>
      <w:bookmarkEnd w:id="972"/>
      <w:bookmarkEnd w:id="973"/>
      <w:bookmarkEnd w:id="974"/>
      <w:bookmarkEnd w:id="975"/>
      <w:bookmarkEnd w:id="976"/>
      <w:bookmarkEnd w:id="977"/>
    </w:p>
    <w:p w14:paraId="21D659E5">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6.7.10  成品保护措施计划报监理人审批的时限：</w:t>
      </w:r>
      <w:r>
        <w:rPr>
          <w:rFonts w:hint="eastAsia" w:ascii="宋体" w:hAnsi="宋体" w:cs="宋体"/>
          <w:sz w:val="24"/>
          <w:highlight w:val="none"/>
          <w:u w:val="single"/>
          <w:shd w:val="clear" w:color="auto" w:fill="FFFFFF"/>
        </w:rPr>
        <w:t xml:space="preserve">          /                     </w:t>
      </w:r>
    </w:p>
    <w:p w14:paraId="11F6FFE8">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6.7.11  文明施工方面的其他要求：</w:t>
      </w:r>
      <w:r>
        <w:rPr>
          <w:rFonts w:hint="eastAsia" w:ascii="宋体" w:hAnsi="宋体" w:cs="宋体"/>
          <w:sz w:val="24"/>
          <w:highlight w:val="none"/>
          <w:u w:val="single"/>
          <w:shd w:val="clear" w:color="auto" w:fill="FFFFFF"/>
        </w:rPr>
        <w:t xml:space="preserve">                    /                       </w:t>
      </w:r>
    </w:p>
    <w:p w14:paraId="62D34C1B">
      <w:pPr>
        <w:pStyle w:val="250"/>
        <w:spacing w:before="120" w:after="0"/>
        <w:outlineLvl w:val="4"/>
        <w:rPr>
          <w:rFonts w:hint="eastAsia" w:hAnsi="宋体" w:cs="宋体"/>
          <w:szCs w:val="24"/>
          <w:highlight w:val="none"/>
          <w:shd w:val="clear" w:color="auto" w:fill="FFFFFF"/>
        </w:rPr>
      </w:pPr>
      <w:bookmarkStart w:id="978" w:name="_Toc486580482"/>
      <w:bookmarkStart w:id="979" w:name="_Toc96505367"/>
      <w:bookmarkStart w:id="980" w:name="_Toc96529989"/>
      <w:bookmarkStart w:id="981" w:name="_Toc483581247"/>
      <w:bookmarkStart w:id="982" w:name="_Toc501055693"/>
      <w:bookmarkStart w:id="983" w:name="_Toc14914"/>
      <w:bookmarkStart w:id="984" w:name="_Toc497298395"/>
      <w:bookmarkStart w:id="985" w:name="_Toc38037940"/>
      <w:bookmarkStart w:id="986" w:name="_Toc489280288"/>
      <w:bookmarkStart w:id="987" w:name="_Toc96504978"/>
      <w:bookmarkStart w:id="988" w:name="_Toc96352163"/>
      <w:r>
        <w:rPr>
          <w:rFonts w:hint="eastAsia" w:hAnsi="宋体" w:cs="宋体"/>
          <w:szCs w:val="24"/>
          <w:highlight w:val="none"/>
          <w:shd w:val="clear" w:color="auto" w:fill="FFFFFF"/>
        </w:rPr>
        <w:t>6.8  环境保护</w:t>
      </w:r>
      <w:bookmarkEnd w:id="978"/>
      <w:bookmarkEnd w:id="979"/>
      <w:bookmarkEnd w:id="980"/>
      <w:bookmarkEnd w:id="981"/>
      <w:bookmarkEnd w:id="982"/>
      <w:bookmarkEnd w:id="983"/>
      <w:bookmarkEnd w:id="984"/>
      <w:bookmarkEnd w:id="985"/>
      <w:bookmarkEnd w:id="986"/>
      <w:bookmarkEnd w:id="987"/>
      <w:bookmarkEnd w:id="988"/>
    </w:p>
    <w:p w14:paraId="61142594">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6.8.10  环境保护方面的其他要求：</w:t>
      </w:r>
      <w:r>
        <w:rPr>
          <w:rFonts w:hint="eastAsia" w:ascii="宋体" w:hAnsi="宋体" w:cs="宋体"/>
          <w:sz w:val="24"/>
          <w:highlight w:val="none"/>
          <w:u w:val="single"/>
          <w:shd w:val="clear" w:color="auto" w:fill="FFFFFF"/>
        </w:rPr>
        <w:t xml:space="preserve">                  /                         </w:t>
      </w:r>
    </w:p>
    <w:p w14:paraId="75D6AE1B">
      <w:pPr>
        <w:pStyle w:val="250"/>
        <w:spacing w:before="120" w:after="0"/>
        <w:outlineLvl w:val="4"/>
        <w:rPr>
          <w:rFonts w:hint="eastAsia" w:hAnsi="宋体" w:cs="宋体"/>
          <w:szCs w:val="24"/>
          <w:highlight w:val="none"/>
          <w:shd w:val="clear" w:color="auto" w:fill="FFFFFF"/>
        </w:rPr>
      </w:pPr>
      <w:bookmarkStart w:id="989" w:name="_Toc489280289"/>
      <w:bookmarkStart w:id="990" w:name="_Toc96505368"/>
      <w:bookmarkStart w:id="991" w:name="_Toc501055694"/>
      <w:bookmarkStart w:id="992" w:name="_Toc483581248"/>
      <w:bookmarkStart w:id="993" w:name="_Toc96504979"/>
      <w:bookmarkStart w:id="994" w:name="_Toc486580483"/>
      <w:bookmarkStart w:id="995" w:name="_Toc497298396"/>
      <w:bookmarkStart w:id="996" w:name="_Toc38037941"/>
      <w:bookmarkStart w:id="997" w:name="_Toc96529990"/>
      <w:bookmarkStart w:id="998" w:name="_Toc96352164"/>
      <w:bookmarkStart w:id="999" w:name="_Toc28034"/>
      <w:r>
        <w:rPr>
          <w:rFonts w:hint="eastAsia" w:hAnsi="宋体" w:cs="宋体"/>
          <w:szCs w:val="24"/>
          <w:highlight w:val="none"/>
          <w:shd w:val="clear" w:color="auto" w:fill="FFFFFF"/>
        </w:rPr>
        <w:t>6.9  施工环保措施计划</w:t>
      </w:r>
      <w:bookmarkEnd w:id="989"/>
      <w:bookmarkEnd w:id="990"/>
      <w:bookmarkEnd w:id="991"/>
      <w:bookmarkEnd w:id="992"/>
      <w:bookmarkEnd w:id="993"/>
      <w:bookmarkEnd w:id="994"/>
      <w:bookmarkEnd w:id="995"/>
      <w:bookmarkEnd w:id="996"/>
      <w:bookmarkEnd w:id="997"/>
      <w:bookmarkEnd w:id="998"/>
      <w:bookmarkEnd w:id="999"/>
    </w:p>
    <w:p w14:paraId="17221C91">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6.9.1  施工环保措施计划</w:t>
      </w:r>
      <w:r>
        <w:rPr>
          <w:rStyle w:val="251"/>
          <w:rFonts w:hint="eastAsia" w:ascii="宋体" w:hAnsi="宋体" w:cs="宋体"/>
          <w:sz w:val="24"/>
          <w:highlight w:val="none"/>
          <w:shd w:val="clear" w:color="auto" w:fill="FFFFFF"/>
        </w:rPr>
        <w:t>内容应包括：</w:t>
      </w:r>
    </w:p>
    <w:p w14:paraId="6453375B">
      <w:pPr>
        <w:spacing w:after="0" w:line="360" w:lineRule="auto"/>
        <w:ind w:firstLine="480" w:firstLineChars="200"/>
        <w:rPr>
          <w:rStyle w:val="251"/>
          <w:rFonts w:hint="eastAsia" w:ascii="宋体" w:hAnsi="宋体" w:cs="宋体"/>
          <w:sz w:val="24"/>
          <w:highlight w:val="none"/>
          <w:u w:val="single"/>
          <w:shd w:val="clear" w:color="auto" w:fill="FFFFFF"/>
        </w:rPr>
      </w:pPr>
      <w:r>
        <w:rPr>
          <w:rStyle w:val="251"/>
          <w:rFonts w:hint="eastAsia" w:ascii="宋体" w:hAnsi="宋体" w:cs="宋体"/>
          <w:sz w:val="24"/>
          <w:highlight w:val="none"/>
          <w:shd w:val="clear" w:color="auto" w:fill="FFFFFF"/>
        </w:rPr>
        <w:t>（15）其他要求：</w:t>
      </w:r>
      <w:r>
        <w:rPr>
          <w:rStyle w:val="251"/>
          <w:rFonts w:hint="eastAsia" w:ascii="宋体" w:hAnsi="宋体" w:cs="宋体"/>
          <w:sz w:val="24"/>
          <w:highlight w:val="none"/>
          <w:u w:val="single"/>
          <w:shd w:val="clear" w:color="auto" w:fill="FFFFFF"/>
        </w:rPr>
        <w:t xml:space="preserve">                           /                               </w:t>
      </w:r>
    </w:p>
    <w:p w14:paraId="7B6F80E8">
      <w:pPr>
        <w:keepNext/>
        <w:keepLines/>
        <w:spacing w:before="120" w:beforeLines="50" w:after="0" w:line="360" w:lineRule="auto"/>
        <w:outlineLvl w:val="4"/>
        <w:rPr>
          <w:rFonts w:hint="eastAsia" w:ascii="宋体" w:hAnsi="宋体" w:cs="宋体"/>
          <w:sz w:val="24"/>
          <w:highlight w:val="none"/>
          <w:shd w:val="clear" w:color="auto" w:fill="FFFFFF"/>
        </w:rPr>
      </w:pPr>
      <w:bookmarkStart w:id="1000" w:name="_Toc38037942"/>
      <w:bookmarkStart w:id="1001" w:name="_Toc96504980"/>
      <w:bookmarkStart w:id="1002" w:name="_Toc96505369"/>
      <w:bookmarkStart w:id="1003" w:name="_Toc96352165"/>
      <w:bookmarkStart w:id="1004" w:name="_Toc96529991"/>
      <w:bookmarkStart w:id="1005" w:name="_Toc24584"/>
      <w:r>
        <w:rPr>
          <w:rFonts w:hint="eastAsia" w:ascii="宋体" w:hAnsi="宋体" w:cs="宋体"/>
          <w:sz w:val="24"/>
          <w:highlight w:val="none"/>
          <w:shd w:val="clear" w:color="auto" w:fill="FFFFFF"/>
        </w:rPr>
        <w:t>6.10  施工现场安全生产标准化要求</w:t>
      </w:r>
      <w:bookmarkEnd w:id="1000"/>
      <w:bookmarkEnd w:id="1001"/>
      <w:bookmarkEnd w:id="1002"/>
      <w:bookmarkEnd w:id="1003"/>
      <w:bookmarkEnd w:id="1004"/>
      <w:bookmarkEnd w:id="1005"/>
    </w:p>
    <w:p w14:paraId="7C0BC16C">
      <w:pPr>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shd w:val="clear" w:color="auto" w:fill="FFFFFF"/>
        </w:rPr>
        <w:t xml:space="preserve">6.10.1  </w:t>
      </w:r>
      <w:r>
        <w:rPr>
          <w:rFonts w:hint="eastAsia" w:ascii="宋体" w:hAnsi="宋体" w:cs="宋体"/>
          <w:sz w:val="24"/>
          <w:highlight w:val="none"/>
        </w:rPr>
        <w:t>施工现场安全生产标准化管理目标等级</w:t>
      </w:r>
      <w:r>
        <w:rPr>
          <w:rFonts w:hint="eastAsia" w:ascii="宋体" w:hAnsi="宋体" w:cs="宋体"/>
          <w:sz w:val="24"/>
          <w:highlight w:val="none"/>
          <w:u w:val="single"/>
        </w:rPr>
        <w:t xml:space="preserve">     达标   </w:t>
      </w:r>
      <w:r>
        <w:rPr>
          <w:rFonts w:hint="eastAsia" w:ascii="宋体" w:hAnsi="宋体" w:cs="宋体"/>
          <w:sz w:val="24"/>
          <w:highlight w:val="none"/>
        </w:rPr>
        <w:t>。</w:t>
      </w:r>
    </w:p>
    <w:p w14:paraId="5FFA05F9">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6.10.3  现行施工现场安全生产标准化分级管理标准：《北京市建设工程施工现场安全生产标准化管理图集》（2019版）。</w:t>
      </w:r>
    </w:p>
    <w:p w14:paraId="5EB6AE57">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6.10.4  特殊安全文明施工措施要求：</w:t>
      </w:r>
      <w:r>
        <w:rPr>
          <w:rFonts w:hint="eastAsia" w:ascii="宋体" w:hAnsi="宋体" w:cs="宋体"/>
          <w:sz w:val="24"/>
          <w:highlight w:val="none"/>
          <w:u w:val="single"/>
          <w:shd w:val="clear" w:color="auto" w:fill="FFFFFF"/>
        </w:rPr>
        <w:t xml:space="preserve">           /                             </w:t>
      </w:r>
    </w:p>
    <w:p w14:paraId="0943837B">
      <w:pPr>
        <w:pStyle w:val="249"/>
        <w:spacing w:before="120" w:after="0"/>
        <w:outlineLvl w:val="3"/>
        <w:rPr>
          <w:rFonts w:hint="eastAsia" w:ascii="宋体" w:hAnsi="宋体" w:eastAsia="宋体"/>
          <w:sz w:val="24"/>
          <w:szCs w:val="24"/>
          <w:highlight w:val="none"/>
          <w:shd w:val="clear" w:color="auto" w:fill="FFFFFF"/>
        </w:rPr>
      </w:pPr>
      <w:bookmarkStart w:id="1006" w:name="_Toc490331751"/>
      <w:bookmarkStart w:id="1007" w:name="_Toc497298397"/>
      <w:bookmarkStart w:id="1008" w:name="_Toc96352166"/>
      <w:bookmarkStart w:id="1009" w:name="_Toc96504981"/>
      <w:bookmarkStart w:id="1010" w:name="_Toc483581249"/>
      <w:bookmarkStart w:id="1011" w:name="_Toc96529992"/>
      <w:bookmarkStart w:id="1012" w:name="_Toc486580484"/>
      <w:bookmarkStart w:id="1013" w:name="_Toc96505370"/>
      <w:bookmarkStart w:id="1014" w:name="_Toc489280290"/>
      <w:bookmarkStart w:id="1015" w:name="_Toc501055695"/>
      <w:bookmarkStart w:id="1016" w:name="_Toc21593"/>
      <w:bookmarkStart w:id="1017" w:name="_Toc38037943"/>
      <w:r>
        <w:rPr>
          <w:rFonts w:hint="eastAsia" w:ascii="宋体" w:hAnsi="宋体" w:eastAsia="宋体"/>
          <w:sz w:val="24"/>
          <w:szCs w:val="24"/>
          <w:highlight w:val="none"/>
          <w:shd w:val="clear" w:color="auto" w:fill="FFFFFF"/>
        </w:rPr>
        <w:t>7.治安保卫</w:t>
      </w:r>
      <w:bookmarkEnd w:id="1006"/>
      <w:bookmarkEnd w:id="1007"/>
      <w:bookmarkEnd w:id="1008"/>
      <w:bookmarkEnd w:id="1009"/>
      <w:bookmarkEnd w:id="1010"/>
      <w:bookmarkEnd w:id="1011"/>
      <w:bookmarkEnd w:id="1012"/>
      <w:bookmarkEnd w:id="1013"/>
      <w:bookmarkEnd w:id="1014"/>
      <w:bookmarkEnd w:id="1015"/>
      <w:bookmarkEnd w:id="1016"/>
      <w:bookmarkEnd w:id="1017"/>
    </w:p>
    <w:p w14:paraId="6144F748">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7.7  突发治安事件紧急预案的要求：</w:t>
      </w:r>
      <w:r>
        <w:rPr>
          <w:rFonts w:hint="eastAsia" w:ascii="宋体" w:hAnsi="宋体" w:cs="宋体"/>
          <w:sz w:val="24"/>
          <w:highlight w:val="none"/>
          <w:u w:val="single"/>
          <w:shd w:val="clear" w:color="auto" w:fill="FFFFFF"/>
        </w:rPr>
        <w:t xml:space="preserve">            /                             </w:t>
      </w:r>
    </w:p>
    <w:p w14:paraId="436E95DC">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7.8  治安保卫管理方面的其他要求：</w:t>
      </w:r>
      <w:r>
        <w:rPr>
          <w:rFonts w:hint="eastAsia" w:ascii="宋体" w:hAnsi="宋体" w:cs="宋体"/>
          <w:sz w:val="24"/>
          <w:highlight w:val="none"/>
          <w:u w:val="single"/>
          <w:shd w:val="clear" w:color="auto" w:fill="FFFFFF"/>
        </w:rPr>
        <w:t xml:space="preserve">            /                              </w:t>
      </w:r>
    </w:p>
    <w:p w14:paraId="47C401B2">
      <w:pPr>
        <w:pStyle w:val="249"/>
        <w:spacing w:before="120" w:after="0"/>
        <w:outlineLvl w:val="3"/>
        <w:rPr>
          <w:rFonts w:hint="eastAsia" w:ascii="宋体" w:hAnsi="宋体" w:eastAsia="宋体"/>
          <w:sz w:val="24"/>
          <w:szCs w:val="24"/>
          <w:highlight w:val="none"/>
          <w:shd w:val="clear" w:color="auto" w:fill="FFFFFF"/>
        </w:rPr>
      </w:pPr>
      <w:bookmarkStart w:id="1018" w:name="_Toc96529993"/>
      <w:bookmarkStart w:id="1019" w:name="_Toc497298398"/>
      <w:bookmarkStart w:id="1020" w:name="_Toc96352167"/>
      <w:bookmarkStart w:id="1021" w:name="_Toc483581250"/>
      <w:bookmarkStart w:id="1022" w:name="_Toc38037944"/>
      <w:bookmarkStart w:id="1023" w:name="_Toc96504982"/>
      <w:bookmarkStart w:id="1024" w:name="_Toc96505371"/>
      <w:bookmarkStart w:id="1025" w:name="_Toc486580485"/>
      <w:bookmarkStart w:id="1026" w:name="_Toc489280291"/>
      <w:bookmarkStart w:id="1027" w:name="_Toc501055696"/>
      <w:bookmarkStart w:id="1028" w:name="_Toc428"/>
      <w:bookmarkStart w:id="1029" w:name="_Toc490331752"/>
      <w:r>
        <w:rPr>
          <w:rFonts w:hint="eastAsia" w:ascii="宋体" w:hAnsi="宋体" w:eastAsia="宋体"/>
          <w:sz w:val="24"/>
          <w:szCs w:val="24"/>
          <w:highlight w:val="none"/>
          <w:shd w:val="clear" w:color="auto" w:fill="FFFFFF"/>
        </w:rPr>
        <w:t>8.地上、地下设施和周边建筑物的临时保护</w:t>
      </w:r>
      <w:bookmarkEnd w:id="1018"/>
      <w:bookmarkEnd w:id="1019"/>
      <w:bookmarkEnd w:id="1020"/>
      <w:bookmarkEnd w:id="1021"/>
      <w:bookmarkEnd w:id="1022"/>
      <w:bookmarkEnd w:id="1023"/>
      <w:bookmarkEnd w:id="1024"/>
      <w:bookmarkEnd w:id="1025"/>
      <w:bookmarkEnd w:id="1026"/>
      <w:bookmarkEnd w:id="1027"/>
      <w:bookmarkEnd w:id="1028"/>
      <w:bookmarkEnd w:id="1029"/>
    </w:p>
    <w:p w14:paraId="0C779BE1">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8.3  发包人特别提醒承包人注意以下地上、地下设施和周边建筑物的保护：</w:t>
      </w:r>
      <w:r>
        <w:rPr>
          <w:rFonts w:hint="eastAsia" w:ascii="宋体" w:hAnsi="宋体" w:cs="宋体"/>
          <w:sz w:val="24"/>
          <w:highlight w:val="none"/>
          <w:u w:val="single"/>
          <w:shd w:val="clear" w:color="auto" w:fill="FFFFFF"/>
        </w:rPr>
        <w:t xml:space="preserve">   /     </w:t>
      </w:r>
    </w:p>
    <w:p w14:paraId="36A35B26">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8.4  地上、地下设施和周边建筑物的临时保护的其他要求：</w:t>
      </w:r>
      <w:r>
        <w:rPr>
          <w:rFonts w:hint="eastAsia" w:ascii="宋体" w:hAnsi="宋体" w:cs="宋体"/>
          <w:sz w:val="24"/>
          <w:highlight w:val="none"/>
          <w:u w:val="single"/>
          <w:shd w:val="clear" w:color="auto" w:fill="FFFFFF"/>
        </w:rPr>
        <w:t xml:space="preserve">          /             </w:t>
      </w:r>
    </w:p>
    <w:p w14:paraId="79B2206A">
      <w:pPr>
        <w:pStyle w:val="249"/>
        <w:spacing w:before="120" w:after="0"/>
        <w:outlineLvl w:val="3"/>
        <w:rPr>
          <w:rFonts w:hint="eastAsia" w:ascii="宋体" w:hAnsi="宋体" w:eastAsia="宋体"/>
          <w:sz w:val="24"/>
          <w:szCs w:val="24"/>
          <w:highlight w:val="none"/>
          <w:shd w:val="clear" w:color="auto" w:fill="FFFFFF"/>
        </w:rPr>
      </w:pPr>
      <w:bookmarkStart w:id="1030" w:name="_Toc38037945"/>
      <w:bookmarkStart w:id="1031" w:name="_Toc96505372"/>
      <w:bookmarkStart w:id="1032" w:name="_Toc96352168"/>
      <w:bookmarkStart w:id="1033" w:name="_Toc20747"/>
      <w:bookmarkStart w:id="1034" w:name="_Toc483581251"/>
      <w:bookmarkStart w:id="1035" w:name="_Toc501055697"/>
      <w:bookmarkStart w:id="1036" w:name="_Toc490331753"/>
      <w:bookmarkStart w:id="1037" w:name="_Toc497298399"/>
      <w:bookmarkStart w:id="1038" w:name="_Toc96529994"/>
      <w:bookmarkStart w:id="1039" w:name="_Toc489280292"/>
      <w:bookmarkStart w:id="1040" w:name="_Toc486580486"/>
      <w:bookmarkStart w:id="1041" w:name="_Toc96504983"/>
      <w:r>
        <w:rPr>
          <w:rFonts w:hint="eastAsia" w:ascii="宋体" w:hAnsi="宋体" w:eastAsia="宋体"/>
          <w:sz w:val="24"/>
          <w:szCs w:val="24"/>
          <w:highlight w:val="none"/>
          <w:shd w:val="clear" w:color="auto" w:fill="FFFFFF"/>
        </w:rPr>
        <w:t>9.样品和材料代换</w:t>
      </w:r>
      <w:bookmarkEnd w:id="1030"/>
      <w:bookmarkEnd w:id="1031"/>
      <w:bookmarkEnd w:id="1032"/>
      <w:bookmarkEnd w:id="1033"/>
      <w:bookmarkEnd w:id="1034"/>
      <w:bookmarkEnd w:id="1035"/>
      <w:bookmarkEnd w:id="1036"/>
      <w:bookmarkEnd w:id="1037"/>
      <w:bookmarkEnd w:id="1038"/>
      <w:bookmarkEnd w:id="1039"/>
      <w:bookmarkEnd w:id="1040"/>
      <w:bookmarkEnd w:id="1041"/>
    </w:p>
    <w:p w14:paraId="4ACC4267">
      <w:pPr>
        <w:pStyle w:val="250"/>
        <w:spacing w:before="120" w:after="0"/>
        <w:outlineLvl w:val="4"/>
        <w:rPr>
          <w:rFonts w:hint="eastAsia" w:hAnsi="宋体" w:cs="宋体"/>
          <w:szCs w:val="24"/>
          <w:highlight w:val="none"/>
          <w:shd w:val="clear" w:color="auto" w:fill="FFFFFF"/>
        </w:rPr>
      </w:pPr>
      <w:bookmarkStart w:id="1042" w:name="_Toc96529995"/>
      <w:bookmarkStart w:id="1043" w:name="_Toc483581252"/>
      <w:bookmarkStart w:id="1044" w:name="_Toc96352169"/>
      <w:bookmarkStart w:id="1045" w:name="_Toc96505373"/>
      <w:bookmarkStart w:id="1046" w:name="_Toc38037946"/>
      <w:bookmarkStart w:id="1047" w:name="_Toc497298400"/>
      <w:bookmarkStart w:id="1048" w:name="_Toc96504984"/>
      <w:bookmarkStart w:id="1049" w:name="_Toc489280293"/>
      <w:bookmarkStart w:id="1050" w:name="_Toc486580487"/>
      <w:bookmarkStart w:id="1051" w:name="_Toc14934"/>
      <w:bookmarkStart w:id="1052" w:name="_Toc501055698"/>
      <w:r>
        <w:rPr>
          <w:rFonts w:hint="eastAsia" w:hAnsi="宋体" w:cs="宋体"/>
          <w:szCs w:val="24"/>
          <w:highlight w:val="none"/>
          <w:shd w:val="clear" w:color="auto" w:fill="FFFFFF"/>
        </w:rPr>
        <w:t>9.1  样品</w:t>
      </w:r>
      <w:bookmarkEnd w:id="1042"/>
      <w:bookmarkEnd w:id="1043"/>
      <w:bookmarkEnd w:id="1044"/>
      <w:bookmarkEnd w:id="1045"/>
      <w:bookmarkEnd w:id="1046"/>
      <w:bookmarkEnd w:id="1047"/>
      <w:bookmarkEnd w:id="1048"/>
      <w:bookmarkEnd w:id="1049"/>
      <w:bookmarkEnd w:id="1050"/>
      <w:bookmarkEnd w:id="1051"/>
      <w:bookmarkEnd w:id="1052"/>
    </w:p>
    <w:p w14:paraId="291F56E1">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9.1.1  本工程需要承包人提供样品的材料和工程设备：</w:t>
      </w:r>
      <w:r>
        <w:rPr>
          <w:rFonts w:hint="eastAsia" w:ascii="宋体" w:hAnsi="宋体" w:cs="宋体"/>
          <w:sz w:val="24"/>
          <w:highlight w:val="none"/>
          <w:u w:val="single"/>
          <w:shd w:val="clear" w:color="auto" w:fill="FFFFFF"/>
        </w:rPr>
        <w:t xml:space="preserve">          /                </w:t>
      </w:r>
    </w:p>
    <w:p w14:paraId="15E378D8">
      <w:pPr>
        <w:pStyle w:val="249"/>
        <w:spacing w:before="120" w:after="0"/>
        <w:outlineLvl w:val="3"/>
        <w:rPr>
          <w:rFonts w:hint="eastAsia" w:ascii="宋体" w:hAnsi="宋体" w:eastAsia="宋体"/>
          <w:sz w:val="24"/>
          <w:szCs w:val="24"/>
          <w:highlight w:val="none"/>
          <w:shd w:val="clear" w:color="auto" w:fill="FFFFFF"/>
        </w:rPr>
      </w:pPr>
      <w:bookmarkStart w:id="1053" w:name="_Toc501055699"/>
      <w:bookmarkStart w:id="1054" w:name="_Toc497298401"/>
      <w:bookmarkStart w:id="1055" w:name="_Toc96504985"/>
      <w:bookmarkStart w:id="1056" w:name="_Toc483581253"/>
      <w:bookmarkStart w:id="1057" w:name="_Toc38037947"/>
      <w:bookmarkStart w:id="1058" w:name="_Toc96529996"/>
      <w:bookmarkStart w:id="1059" w:name="_Toc96352170"/>
      <w:bookmarkStart w:id="1060" w:name="_Toc490331754"/>
      <w:bookmarkStart w:id="1061" w:name="_Toc489280294"/>
      <w:bookmarkStart w:id="1062" w:name="_Toc96505374"/>
      <w:bookmarkStart w:id="1063" w:name="_Toc486580488"/>
      <w:bookmarkStart w:id="1064" w:name="_Toc8179"/>
      <w:r>
        <w:rPr>
          <w:rFonts w:hint="eastAsia" w:ascii="宋体" w:hAnsi="宋体" w:eastAsia="宋体"/>
          <w:sz w:val="24"/>
          <w:szCs w:val="24"/>
          <w:highlight w:val="none"/>
          <w:shd w:val="clear" w:color="auto" w:fill="FFFFFF"/>
        </w:rPr>
        <w:t>10.特殊技术标准和要求</w:t>
      </w:r>
      <w:bookmarkEnd w:id="1053"/>
      <w:bookmarkEnd w:id="1054"/>
      <w:bookmarkEnd w:id="1055"/>
      <w:bookmarkEnd w:id="1056"/>
      <w:bookmarkEnd w:id="1057"/>
      <w:bookmarkEnd w:id="1058"/>
      <w:bookmarkEnd w:id="1059"/>
      <w:bookmarkEnd w:id="1060"/>
      <w:bookmarkEnd w:id="1061"/>
      <w:bookmarkEnd w:id="1062"/>
      <w:bookmarkEnd w:id="1063"/>
      <w:bookmarkEnd w:id="1064"/>
    </w:p>
    <w:p w14:paraId="0B99FC7F">
      <w:pPr>
        <w:pStyle w:val="250"/>
        <w:spacing w:before="120" w:after="0"/>
        <w:outlineLvl w:val="4"/>
        <w:rPr>
          <w:rFonts w:hint="eastAsia" w:hAnsi="宋体" w:cs="宋体"/>
          <w:szCs w:val="24"/>
          <w:highlight w:val="none"/>
          <w:shd w:val="clear" w:color="auto" w:fill="FFFFFF"/>
        </w:rPr>
      </w:pPr>
      <w:bookmarkStart w:id="1065" w:name="_Toc486580489"/>
      <w:bookmarkStart w:id="1066" w:name="_Toc96352171"/>
      <w:bookmarkStart w:id="1067" w:name="_Toc501055700"/>
      <w:bookmarkStart w:id="1068" w:name="_Toc497298402"/>
      <w:bookmarkStart w:id="1069" w:name="_Toc489280295"/>
      <w:bookmarkStart w:id="1070" w:name="_Toc483581254"/>
      <w:bookmarkStart w:id="1071" w:name="_Toc96505375"/>
      <w:bookmarkStart w:id="1072" w:name="_Toc96504986"/>
      <w:bookmarkStart w:id="1073" w:name="_Toc21396"/>
      <w:bookmarkStart w:id="1074" w:name="_Toc96529997"/>
      <w:bookmarkStart w:id="1075" w:name="_Toc38037948"/>
      <w:r>
        <w:rPr>
          <w:rFonts w:hint="eastAsia" w:hAnsi="宋体" w:cs="宋体"/>
          <w:szCs w:val="24"/>
          <w:highlight w:val="none"/>
          <w:shd w:val="clear" w:color="auto" w:fill="FFFFFF"/>
        </w:rPr>
        <w:t>10.1  部分材料和工程设备特殊技术要求</w:t>
      </w:r>
      <w:bookmarkEnd w:id="1065"/>
      <w:bookmarkEnd w:id="1066"/>
      <w:bookmarkEnd w:id="1067"/>
      <w:bookmarkEnd w:id="1068"/>
      <w:bookmarkEnd w:id="1069"/>
      <w:bookmarkEnd w:id="1070"/>
      <w:bookmarkEnd w:id="1071"/>
      <w:bookmarkEnd w:id="1072"/>
      <w:bookmarkEnd w:id="1073"/>
      <w:bookmarkEnd w:id="1074"/>
      <w:bookmarkEnd w:id="1075"/>
    </w:p>
    <w:p w14:paraId="068DE37D">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10.1.1 承包人自行施工范围内的部分材料和工程设备相关技术要求：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2773"/>
        <w:gridCol w:w="5517"/>
      </w:tblGrid>
      <w:tr w14:paraId="3A81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481" w:type="pct"/>
            <w:shd w:val="clear" w:color="000000" w:fill="FFFFFF"/>
            <w:noWrap/>
            <w:vAlign w:val="center"/>
          </w:tcPr>
          <w:p w14:paraId="2ED09E57">
            <w:pPr>
              <w:pStyle w:val="252"/>
              <w:spacing w:after="0"/>
              <w:ind w:left="0" w:leftChars="-1" w:hanging="2" w:hangingChars="1"/>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511" w:type="pct"/>
            <w:shd w:val="clear" w:color="000000" w:fill="FFFFFF"/>
            <w:noWrap/>
            <w:vAlign w:val="center"/>
          </w:tcPr>
          <w:p w14:paraId="0BC45F24">
            <w:pPr>
              <w:pStyle w:val="252"/>
              <w:spacing w:after="0"/>
              <w:ind w:left="0" w:leftChars="-1" w:hanging="2" w:hangingChars="1"/>
              <w:jc w:val="center"/>
              <w:rPr>
                <w:rFonts w:hint="eastAsia" w:ascii="宋体" w:hAnsi="宋体" w:cs="宋体"/>
                <w:sz w:val="24"/>
                <w:szCs w:val="24"/>
                <w:highlight w:val="none"/>
              </w:rPr>
            </w:pPr>
            <w:r>
              <w:rPr>
                <w:rFonts w:hint="eastAsia" w:ascii="宋体" w:hAnsi="宋体" w:cs="宋体"/>
                <w:sz w:val="24"/>
                <w:szCs w:val="24"/>
                <w:highlight w:val="none"/>
              </w:rPr>
              <w:t>材料/设备名称</w:t>
            </w:r>
          </w:p>
        </w:tc>
        <w:tc>
          <w:tcPr>
            <w:tcW w:w="3006" w:type="pct"/>
            <w:shd w:val="clear" w:color="000000" w:fill="FFFFFF"/>
            <w:noWrap/>
            <w:vAlign w:val="center"/>
          </w:tcPr>
          <w:p w14:paraId="141C9639">
            <w:pPr>
              <w:pStyle w:val="252"/>
              <w:spacing w:after="0"/>
              <w:ind w:left="0" w:leftChars="-1" w:hanging="2" w:hangingChars="1"/>
              <w:jc w:val="center"/>
              <w:rPr>
                <w:rFonts w:hint="eastAsia" w:ascii="宋体" w:hAnsi="宋体" w:cs="宋体"/>
                <w:sz w:val="24"/>
                <w:szCs w:val="24"/>
                <w:highlight w:val="none"/>
              </w:rPr>
            </w:pPr>
            <w:r>
              <w:rPr>
                <w:rFonts w:hint="eastAsia" w:ascii="宋体" w:hAnsi="宋体" w:cs="宋体"/>
                <w:sz w:val="24"/>
                <w:szCs w:val="24"/>
                <w:highlight w:val="none"/>
              </w:rPr>
              <w:t>参考材料/设备品牌</w:t>
            </w:r>
          </w:p>
        </w:tc>
      </w:tr>
      <w:tr w14:paraId="69D8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81" w:type="pct"/>
            <w:tcBorders>
              <w:bottom w:val="single" w:color="auto" w:sz="4" w:space="0"/>
            </w:tcBorders>
            <w:shd w:val="clear" w:color="000000" w:fill="FFFFFF"/>
            <w:noWrap/>
            <w:vAlign w:val="center"/>
          </w:tcPr>
          <w:p w14:paraId="573A0065">
            <w:pPr>
              <w:pStyle w:val="252"/>
              <w:spacing w:after="0"/>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511" w:type="pct"/>
            <w:tcBorders>
              <w:bottom w:val="single" w:color="auto" w:sz="4" w:space="0"/>
            </w:tcBorders>
            <w:shd w:val="clear" w:color="000000" w:fill="FFFFFF"/>
            <w:noWrap/>
            <w:vAlign w:val="center"/>
          </w:tcPr>
          <w:p w14:paraId="0AEB8E01">
            <w:pPr>
              <w:pStyle w:val="252"/>
              <w:spacing w:after="0"/>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p>
        </w:tc>
        <w:tc>
          <w:tcPr>
            <w:tcW w:w="3006" w:type="pct"/>
            <w:tcBorders>
              <w:bottom w:val="single" w:color="auto" w:sz="4" w:space="0"/>
            </w:tcBorders>
            <w:shd w:val="clear" w:color="000000" w:fill="FFFFFF"/>
            <w:noWrap/>
            <w:vAlign w:val="center"/>
          </w:tcPr>
          <w:p w14:paraId="26AEE24F">
            <w:pPr>
              <w:pStyle w:val="252"/>
              <w:spacing w:after="0"/>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p>
        </w:tc>
      </w:tr>
    </w:tbl>
    <w:p w14:paraId="150DDA64">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u w:val="single"/>
          <w:shd w:val="clear" w:color="auto" w:fill="FFFFFF"/>
        </w:rPr>
        <w:t>备注：1、上述品牌只作为投标参考品牌，供应商响应产品品牌不得低于上述标准。</w:t>
      </w:r>
    </w:p>
    <w:p w14:paraId="0663AC33">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10.1.2  承包人自行施工范围内的材料和工程设备选型允许的偏离：</w:t>
      </w:r>
    </w:p>
    <w:tbl>
      <w:tblPr>
        <w:tblStyle w:val="4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591"/>
        <w:gridCol w:w="1704"/>
        <w:gridCol w:w="1705"/>
        <w:gridCol w:w="2363"/>
      </w:tblGrid>
      <w:tr w14:paraId="2439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0BB2C050">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序号</w:t>
            </w:r>
          </w:p>
        </w:tc>
        <w:tc>
          <w:tcPr>
            <w:tcW w:w="2591" w:type="dxa"/>
            <w:noWrap/>
            <w:vAlign w:val="center"/>
          </w:tcPr>
          <w:p w14:paraId="2275DB1B">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材料和工程设备名称</w:t>
            </w:r>
          </w:p>
        </w:tc>
        <w:tc>
          <w:tcPr>
            <w:tcW w:w="1704" w:type="dxa"/>
            <w:noWrap/>
            <w:vAlign w:val="center"/>
          </w:tcPr>
          <w:p w14:paraId="5084A896">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技术指标</w:t>
            </w:r>
          </w:p>
        </w:tc>
        <w:tc>
          <w:tcPr>
            <w:tcW w:w="1705" w:type="dxa"/>
            <w:noWrap/>
            <w:vAlign w:val="center"/>
          </w:tcPr>
          <w:p w14:paraId="41B0837D">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允许偏离范围</w:t>
            </w:r>
          </w:p>
        </w:tc>
        <w:tc>
          <w:tcPr>
            <w:tcW w:w="2363" w:type="dxa"/>
            <w:noWrap/>
            <w:vAlign w:val="center"/>
          </w:tcPr>
          <w:p w14:paraId="5CA98FA4">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备  注</w:t>
            </w:r>
          </w:p>
        </w:tc>
      </w:tr>
      <w:tr w14:paraId="76C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2F57C8C5">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w:t>
            </w:r>
          </w:p>
        </w:tc>
        <w:tc>
          <w:tcPr>
            <w:tcW w:w="2591" w:type="dxa"/>
            <w:noWrap/>
            <w:vAlign w:val="center"/>
          </w:tcPr>
          <w:p w14:paraId="3C7A6281">
            <w:pPr>
              <w:spacing w:after="0" w:line="360" w:lineRule="auto"/>
              <w:jc w:val="center"/>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w:t>
            </w:r>
          </w:p>
        </w:tc>
        <w:tc>
          <w:tcPr>
            <w:tcW w:w="1704" w:type="dxa"/>
            <w:noWrap/>
            <w:vAlign w:val="center"/>
          </w:tcPr>
          <w:p w14:paraId="38F92ED1">
            <w:pPr>
              <w:spacing w:after="0" w:line="360" w:lineRule="auto"/>
              <w:jc w:val="center"/>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w:t>
            </w:r>
          </w:p>
        </w:tc>
        <w:tc>
          <w:tcPr>
            <w:tcW w:w="1705" w:type="dxa"/>
            <w:noWrap/>
            <w:vAlign w:val="center"/>
          </w:tcPr>
          <w:p w14:paraId="4778078C">
            <w:pPr>
              <w:spacing w:after="0" w:line="360" w:lineRule="auto"/>
              <w:jc w:val="center"/>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w:t>
            </w:r>
          </w:p>
        </w:tc>
        <w:tc>
          <w:tcPr>
            <w:tcW w:w="2363" w:type="dxa"/>
            <w:noWrap/>
            <w:vAlign w:val="center"/>
          </w:tcPr>
          <w:p w14:paraId="660DC75F">
            <w:pPr>
              <w:spacing w:after="0" w:line="360" w:lineRule="auto"/>
              <w:jc w:val="center"/>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w:t>
            </w:r>
          </w:p>
        </w:tc>
      </w:tr>
      <w:tr w14:paraId="4801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79CB274D">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w:t>
            </w:r>
          </w:p>
        </w:tc>
        <w:tc>
          <w:tcPr>
            <w:tcW w:w="2591" w:type="dxa"/>
            <w:noWrap/>
            <w:vAlign w:val="center"/>
          </w:tcPr>
          <w:p w14:paraId="2CF67224">
            <w:pPr>
              <w:spacing w:after="0" w:line="360" w:lineRule="auto"/>
              <w:rPr>
                <w:rFonts w:hint="eastAsia" w:ascii="宋体" w:hAnsi="宋体" w:cs="宋体"/>
                <w:b/>
                <w:sz w:val="24"/>
                <w:highlight w:val="none"/>
                <w:shd w:val="clear" w:color="auto" w:fill="FFFFFF"/>
              </w:rPr>
            </w:pPr>
          </w:p>
        </w:tc>
        <w:tc>
          <w:tcPr>
            <w:tcW w:w="1704" w:type="dxa"/>
            <w:noWrap/>
            <w:vAlign w:val="center"/>
          </w:tcPr>
          <w:p w14:paraId="024228DE">
            <w:pPr>
              <w:spacing w:after="0" w:line="360" w:lineRule="auto"/>
              <w:rPr>
                <w:rFonts w:hint="eastAsia" w:ascii="宋体" w:hAnsi="宋体" w:cs="宋体"/>
                <w:b/>
                <w:sz w:val="24"/>
                <w:highlight w:val="none"/>
                <w:shd w:val="clear" w:color="auto" w:fill="FFFFFF"/>
              </w:rPr>
            </w:pPr>
          </w:p>
        </w:tc>
        <w:tc>
          <w:tcPr>
            <w:tcW w:w="1705" w:type="dxa"/>
            <w:noWrap/>
            <w:vAlign w:val="center"/>
          </w:tcPr>
          <w:p w14:paraId="253471F4">
            <w:pPr>
              <w:spacing w:after="0" w:line="360" w:lineRule="auto"/>
              <w:rPr>
                <w:rFonts w:hint="eastAsia" w:ascii="宋体" w:hAnsi="宋体" w:cs="宋体"/>
                <w:b/>
                <w:sz w:val="24"/>
                <w:highlight w:val="none"/>
                <w:shd w:val="clear" w:color="auto" w:fill="FFFFFF"/>
              </w:rPr>
            </w:pPr>
          </w:p>
        </w:tc>
        <w:tc>
          <w:tcPr>
            <w:tcW w:w="2363" w:type="dxa"/>
            <w:noWrap/>
            <w:vAlign w:val="center"/>
          </w:tcPr>
          <w:p w14:paraId="1E910D25">
            <w:pPr>
              <w:spacing w:after="0" w:line="360" w:lineRule="auto"/>
              <w:rPr>
                <w:rFonts w:hint="eastAsia" w:ascii="宋体" w:hAnsi="宋体" w:cs="宋体"/>
                <w:b/>
                <w:sz w:val="24"/>
                <w:highlight w:val="none"/>
                <w:shd w:val="clear" w:color="auto" w:fill="FFFFFF"/>
              </w:rPr>
            </w:pPr>
          </w:p>
        </w:tc>
      </w:tr>
      <w:tr w14:paraId="29EA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45132EEC">
            <w:pPr>
              <w:spacing w:after="0" w:line="360" w:lineRule="auto"/>
              <w:jc w:val="center"/>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w:t>
            </w:r>
          </w:p>
        </w:tc>
        <w:tc>
          <w:tcPr>
            <w:tcW w:w="2591" w:type="dxa"/>
            <w:noWrap/>
            <w:vAlign w:val="center"/>
          </w:tcPr>
          <w:p w14:paraId="3422063A">
            <w:pPr>
              <w:spacing w:after="0" w:line="360" w:lineRule="auto"/>
              <w:rPr>
                <w:rFonts w:hint="eastAsia" w:ascii="宋体" w:hAnsi="宋体" w:cs="宋体"/>
                <w:b/>
                <w:sz w:val="24"/>
                <w:highlight w:val="none"/>
                <w:shd w:val="clear" w:color="auto" w:fill="FFFFFF"/>
              </w:rPr>
            </w:pPr>
          </w:p>
        </w:tc>
        <w:tc>
          <w:tcPr>
            <w:tcW w:w="1704" w:type="dxa"/>
            <w:noWrap/>
            <w:vAlign w:val="center"/>
          </w:tcPr>
          <w:p w14:paraId="18126E34">
            <w:pPr>
              <w:spacing w:after="0" w:line="360" w:lineRule="auto"/>
              <w:rPr>
                <w:rFonts w:hint="eastAsia" w:ascii="宋体" w:hAnsi="宋体" w:cs="宋体"/>
                <w:b/>
                <w:sz w:val="24"/>
                <w:highlight w:val="none"/>
                <w:shd w:val="clear" w:color="auto" w:fill="FFFFFF"/>
              </w:rPr>
            </w:pPr>
          </w:p>
        </w:tc>
        <w:tc>
          <w:tcPr>
            <w:tcW w:w="1705" w:type="dxa"/>
            <w:noWrap/>
            <w:vAlign w:val="center"/>
          </w:tcPr>
          <w:p w14:paraId="4C4F772E">
            <w:pPr>
              <w:spacing w:after="0" w:line="360" w:lineRule="auto"/>
              <w:rPr>
                <w:rFonts w:hint="eastAsia" w:ascii="宋体" w:hAnsi="宋体" w:cs="宋体"/>
                <w:b/>
                <w:sz w:val="24"/>
                <w:highlight w:val="none"/>
                <w:shd w:val="clear" w:color="auto" w:fill="FFFFFF"/>
              </w:rPr>
            </w:pPr>
          </w:p>
        </w:tc>
        <w:tc>
          <w:tcPr>
            <w:tcW w:w="2363" w:type="dxa"/>
            <w:noWrap/>
            <w:vAlign w:val="center"/>
          </w:tcPr>
          <w:p w14:paraId="1D9A0236">
            <w:pPr>
              <w:spacing w:after="0" w:line="360" w:lineRule="auto"/>
              <w:rPr>
                <w:rFonts w:hint="eastAsia" w:ascii="宋体" w:hAnsi="宋体" w:cs="宋体"/>
                <w:b/>
                <w:sz w:val="24"/>
                <w:highlight w:val="none"/>
                <w:shd w:val="clear" w:color="auto" w:fill="FFFFFF"/>
              </w:rPr>
            </w:pPr>
          </w:p>
        </w:tc>
      </w:tr>
      <w:tr w14:paraId="6FC3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6CCCD641">
            <w:pPr>
              <w:spacing w:after="0" w:line="360" w:lineRule="auto"/>
              <w:jc w:val="center"/>
              <w:rPr>
                <w:rFonts w:hint="eastAsia" w:ascii="宋体" w:hAnsi="宋体" w:cs="宋体"/>
                <w:sz w:val="24"/>
                <w:highlight w:val="none"/>
                <w:shd w:val="clear" w:color="auto" w:fill="FFFFFF"/>
              </w:rPr>
            </w:pPr>
          </w:p>
        </w:tc>
        <w:tc>
          <w:tcPr>
            <w:tcW w:w="2591" w:type="dxa"/>
            <w:noWrap/>
            <w:vAlign w:val="center"/>
          </w:tcPr>
          <w:p w14:paraId="41C71024">
            <w:pPr>
              <w:spacing w:after="0" w:line="360" w:lineRule="auto"/>
              <w:rPr>
                <w:rFonts w:hint="eastAsia" w:ascii="宋体" w:hAnsi="宋体" w:cs="宋体"/>
                <w:b/>
                <w:sz w:val="24"/>
                <w:highlight w:val="none"/>
                <w:shd w:val="clear" w:color="auto" w:fill="FFFFFF"/>
              </w:rPr>
            </w:pPr>
          </w:p>
        </w:tc>
        <w:tc>
          <w:tcPr>
            <w:tcW w:w="1704" w:type="dxa"/>
            <w:noWrap/>
            <w:vAlign w:val="center"/>
          </w:tcPr>
          <w:p w14:paraId="5AD2C8E4">
            <w:pPr>
              <w:spacing w:after="0" w:line="360" w:lineRule="auto"/>
              <w:rPr>
                <w:rFonts w:hint="eastAsia" w:ascii="宋体" w:hAnsi="宋体" w:cs="宋体"/>
                <w:b/>
                <w:sz w:val="24"/>
                <w:highlight w:val="none"/>
                <w:shd w:val="clear" w:color="auto" w:fill="FFFFFF"/>
              </w:rPr>
            </w:pPr>
          </w:p>
        </w:tc>
        <w:tc>
          <w:tcPr>
            <w:tcW w:w="1705" w:type="dxa"/>
            <w:noWrap/>
            <w:vAlign w:val="center"/>
          </w:tcPr>
          <w:p w14:paraId="3097EA3B">
            <w:pPr>
              <w:spacing w:after="0" w:line="360" w:lineRule="auto"/>
              <w:rPr>
                <w:rFonts w:hint="eastAsia" w:ascii="宋体" w:hAnsi="宋体" w:cs="宋体"/>
                <w:b/>
                <w:sz w:val="24"/>
                <w:highlight w:val="none"/>
                <w:shd w:val="clear" w:color="auto" w:fill="FFFFFF"/>
              </w:rPr>
            </w:pPr>
          </w:p>
        </w:tc>
        <w:tc>
          <w:tcPr>
            <w:tcW w:w="2363" w:type="dxa"/>
            <w:noWrap/>
            <w:vAlign w:val="center"/>
          </w:tcPr>
          <w:p w14:paraId="43FD9B56">
            <w:pPr>
              <w:spacing w:after="0" w:line="360" w:lineRule="auto"/>
              <w:rPr>
                <w:rFonts w:hint="eastAsia" w:ascii="宋体" w:hAnsi="宋体" w:cs="宋体"/>
                <w:b/>
                <w:sz w:val="24"/>
                <w:highlight w:val="none"/>
                <w:shd w:val="clear" w:color="auto" w:fill="FFFFFF"/>
              </w:rPr>
            </w:pPr>
          </w:p>
        </w:tc>
      </w:tr>
    </w:tbl>
    <w:p w14:paraId="30735DEA">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10.1.3  本工程施工现场所用混凝土或砂浆的供应方式为</w:t>
      </w:r>
      <w:r>
        <w:rPr>
          <w:rFonts w:hint="eastAsia" w:ascii="宋体" w:hAnsi="宋体" w:cs="宋体"/>
          <w:sz w:val="24"/>
          <w:highlight w:val="none"/>
          <w:u w:val="single"/>
        </w:rPr>
        <w:t>预拌混凝土、预拌砂浆</w:t>
      </w:r>
    </w:p>
    <w:p w14:paraId="01942A2A">
      <w:pPr>
        <w:pStyle w:val="250"/>
        <w:spacing w:before="120" w:after="0"/>
        <w:outlineLvl w:val="4"/>
        <w:rPr>
          <w:rFonts w:hint="eastAsia" w:hAnsi="宋体" w:cs="宋体"/>
          <w:szCs w:val="24"/>
          <w:highlight w:val="none"/>
          <w:shd w:val="clear" w:color="auto" w:fill="FFFFFF"/>
        </w:rPr>
      </w:pPr>
      <w:bookmarkStart w:id="1076" w:name="_Toc96529998"/>
      <w:bookmarkStart w:id="1077" w:name="_Toc501055701"/>
      <w:bookmarkStart w:id="1078" w:name="_Toc96352172"/>
      <w:bookmarkStart w:id="1079" w:name="_Toc483581255"/>
      <w:bookmarkStart w:id="1080" w:name="_Toc497298403"/>
      <w:bookmarkStart w:id="1081" w:name="_Toc489280296"/>
      <w:bookmarkStart w:id="1082" w:name="_Toc38037949"/>
      <w:bookmarkStart w:id="1083" w:name="_Toc96505376"/>
      <w:bookmarkStart w:id="1084" w:name="_Toc96504987"/>
      <w:bookmarkStart w:id="1085" w:name="_Toc486580490"/>
      <w:bookmarkStart w:id="1086" w:name="_Toc28793"/>
      <w:r>
        <w:rPr>
          <w:rFonts w:hint="eastAsia" w:hAnsi="宋体" w:cs="宋体"/>
          <w:szCs w:val="24"/>
          <w:highlight w:val="none"/>
          <w:shd w:val="clear" w:color="auto" w:fill="FFFFFF"/>
        </w:rPr>
        <w:t>10.2  进口材料和工程设备</w:t>
      </w:r>
      <w:bookmarkEnd w:id="1076"/>
      <w:bookmarkEnd w:id="1077"/>
      <w:bookmarkEnd w:id="1078"/>
      <w:bookmarkEnd w:id="1079"/>
      <w:bookmarkEnd w:id="1080"/>
      <w:bookmarkEnd w:id="1081"/>
      <w:bookmarkEnd w:id="1082"/>
      <w:bookmarkEnd w:id="1083"/>
      <w:bookmarkEnd w:id="1084"/>
      <w:bookmarkEnd w:id="1085"/>
      <w:bookmarkEnd w:id="1086"/>
    </w:p>
    <w:p w14:paraId="2F37EA9E">
      <w:pPr>
        <w:spacing w:after="0"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10.2.1  本工程需要进口的材料和工程设备：</w:t>
      </w:r>
      <w:r>
        <w:rPr>
          <w:rFonts w:hint="eastAsia" w:ascii="宋体" w:hAnsi="宋体" w:cs="宋体"/>
          <w:sz w:val="24"/>
          <w:highlight w:val="none"/>
          <w:u w:val="single"/>
          <w:shd w:val="clear" w:color="auto" w:fill="FFFFFF"/>
        </w:rPr>
        <w:t xml:space="preserve">           /                       </w:t>
      </w:r>
    </w:p>
    <w:p w14:paraId="0F6DFA76">
      <w:pPr>
        <w:spacing w:after="0"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10.2.2  上述进口材料和工程设备采购、进口、报关、清关、商检、境内运输（包括保险）、保管的责任以及费用承担方式划分：</w:t>
      </w:r>
      <w:r>
        <w:rPr>
          <w:rFonts w:hint="eastAsia" w:ascii="宋体" w:hAnsi="宋体" w:cs="宋体"/>
          <w:sz w:val="24"/>
          <w:highlight w:val="none"/>
          <w:u w:val="single"/>
          <w:shd w:val="clear" w:color="auto" w:fill="FFFFFF"/>
        </w:rPr>
        <w:t xml:space="preserve">              /                         </w:t>
      </w:r>
    </w:p>
    <w:p w14:paraId="6AAE2534">
      <w:pPr>
        <w:pStyle w:val="250"/>
        <w:spacing w:before="120" w:after="0"/>
        <w:outlineLvl w:val="4"/>
        <w:rPr>
          <w:rFonts w:hint="eastAsia" w:hAnsi="宋体" w:cs="宋体"/>
          <w:szCs w:val="24"/>
          <w:highlight w:val="none"/>
          <w:shd w:val="clear" w:color="auto" w:fill="FFFFFF"/>
        </w:rPr>
      </w:pPr>
      <w:bookmarkStart w:id="1087" w:name="_Toc96352173"/>
      <w:bookmarkStart w:id="1088" w:name="_Toc7975"/>
      <w:bookmarkStart w:id="1089" w:name="_Toc96505377"/>
      <w:bookmarkStart w:id="1090" w:name="_Toc38037950"/>
      <w:bookmarkStart w:id="1091" w:name="_Toc96504988"/>
      <w:bookmarkStart w:id="1092" w:name="_Toc497298404"/>
      <w:bookmarkStart w:id="1093" w:name="_Toc501055702"/>
      <w:bookmarkStart w:id="1094" w:name="_Toc96529999"/>
      <w:bookmarkStart w:id="1095" w:name="_Toc486580491"/>
      <w:bookmarkStart w:id="1096" w:name="_Toc483581256"/>
      <w:bookmarkStart w:id="1097" w:name="_Toc489280297"/>
      <w:r>
        <w:rPr>
          <w:rFonts w:hint="eastAsia" w:hAnsi="宋体" w:cs="宋体"/>
          <w:szCs w:val="24"/>
          <w:highlight w:val="none"/>
          <w:shd w:val="clear" w:color="auto" w:fill="FFFFFF"/>
        </w:rPr>
        <w:t>10.3  新技术、新工艺和新材料</w:t>
      </w:r>
      <w:bookmarkEnd w:id="1087"/>
      <w:bookmarkEnd w:id="1088"/>
      <w:bookmarkEnd w:id="1089"/>
      <w:bookmarkEnd w:id="1090"/>
      <w:bookmarkEnd w:id="1091"/>
      <w:bookmarkEnd w:id="1092"/>
      <w:bookmarkEnd w:id="1093"/>
      <w:bookmarkEnd w:id="1094"/>
      <w:bookmarkEnd w:id="1095"/>
      <w:bookmarkEnd w:id="1096"/>
      <w:bookmarkEnd w:id="1097"/>
    </w:p>
    <w:p w14:paraId="5CCA2392">
      <w:pPr>
        <w:spacing w:after="0" w:line="360" w:lineRule="auto"/>
        <w:ind w:firstLine="480" w:firstLineChars="200"/>
        <w:outlineLvl w:val="5"/>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本工程涉及的新技术、新工艺和新材料及相应使用和操作说明：</w:t>
      </w:r>
      <w:r>
        <w:rPr>
          <w:rFonts w:hint="eastAsia" w:ascii="宋体" w:hAnsi="宋体" w:cs="宋体"/>
          <w:sz w:val="24"/>
          <w:highlight w:val="none"/>
          <w:u w:val="single"/>
          <w:shd w:val="clear" w:color="auto" w:fill="FFFFFF"/>
        </w:rPr>
        <w:t xml:space="preserve">     /              </w:t>
      </w:r>
    </w:p>
    <w:p w14:paraId="61BF8B57">
      <w:pPr>
        <w:pStyle w:val="250"/>
        <w:spacing w:before="120" w:after="0"/>
        <w:outlineLvl w:val="4"/>
        <w:rPr>
          <w:rFonts w:hint="eastAsia" w:hAnsi="宋体" w:cs="宋体"/>
          <w:szCs w:val="24"/>
          <w:highlight w:val="none"/>
          <w:shd w:val="clear" w:color="auto" w:fill="FFFFFF"/>
        </w:rPr>
      </w:pPr>
      <w:bookmarkStart w:id="1098" w:name="_Toc96530000"/>
      <w:bookmarkStart w:id="1099" w:name="_Toc486580492"/>
      <w:bookmarkStart w:id="1100" w:name="_Toc25564"/>
      <w:bookmarkStart w:id="1101" w:name="_Toc483581257"/>
      <w:bookmarkStart w:id="1102" w:name="_Toc38037951"/>
      <w:bookmarkStart w:id="1103" w:name="_Toc497298405"/>
      <w:bookmarkStart w:id="1104" w:name="_Toc501055703"/>
      <w:bookmarkStart w:id="1105" w:name="_Toc96352174"/>
      <w:bookmarkStart w:id="1106" w:name="_Toc96504989"/>
      <w:bookmarkStart w:id="1107" w:name="_Toc489280298"/>
      <w:bookmarkStart w:id="1108" w:name="_Toc96505378"/>
      <w:r>
        <w:rPr>
          <w:rFonts w:hint="eastAsia" w:hAnsi="宋体" w:cs="宋体"/>
          <w:szCs w:val="24"/>
          <w:highlight w:val="none"/>
          <w:shd w:val="clear" w:color="auto" w:fill="FFFFFF"/>
        </w:rPr>
        <w:t>10.4  其他特殊技术要求</w:t>
      </w:r>
      <w:bookmarkEnd w:id="1098"/>
      <w:bookmarkEnd w:id="1099"/>
      <w:bookmarkEnd w:id="1100"/>
      <w:bookmarkEnd w:id="1101"/>
      <w:bookmarkEnd w:id="1102"/>
      <w:bookmarkEnd w:id="1103"/>
      <w:bookmarkEnd w:id="1104"/>
      <w:bookmarkEnd w:id="1105"/>
      <w:bookmarkEnd w:id="1106"/>
      <w:bookmarkEnd w:id="1107"/>
      <w:bookmarkEnd w:id="1108"/>
    </w:p>
    <w:p w14:paraId="276FA9A1">
      <w:pPr>
        <w:spacing w:after="0" w:line="360" w:lineRule="auto"/>
        <w:ind w:firstLine="480" w:firstLineChars="200"/>
        <w:outlineLvl w:val="5"/>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本工程的特殊技术要求：</w:t>
      </w:r>
      <w:r>
        <w:rPr>
          <w:rFonts w:hint="eastAsia" w:ascii="宋体" w:hAnsi="宋体" w:cs="宋体"/>
          <w:sz w:val="24"/>
          <w:highlight w:val="none"/>
          <w:u w:val="single"/>
          <w:shd w:val="clear" w:color="auto" w:fill="FFFFFF"/>
        </w:rPr>
        <w:t xml:space="preserve">                    /                                 </w:t>
      </w:r>
    </w:p>
    <w:p w14:paraId="4AA3D00A">
      <w:pPr>
        <w:pStyle w:val="249"/>
        <w:spacing w:before="120" w:after="0"/>
        <w:outlineLvl w:val="3"/>
        <w:rPr>
          <w:rFonts w:hint="eastAsia" w:ascii="宋体" w:hAnsi="宋体" w:eastAsia="宋体"/>
          <w:sz w:val="24"/>
          <w:szCs w:val="24"/>
          <w:highlight w:val="none"/>
          <w:shd w:val="clear" w:color="auto" w:fill="FFFFFF"/>
        </w:rPr>
      </w:pPr>
      <w:bookmarkStart w:id="1109" w:name="_Toc490331755"/>
      <w:bookmarkStart w:id="1110" w:name="_Toc19761"/>
      <w:bookmarkStart w:id="1111" w:name="_Toc489280299"/>
      <w:bookmarkStart w:id="1112" w:name="_Toc501055704"/>
      <w:bookmarkStart w:id="1113" w:name="_Toc497298406"/>
      <w:bookmarkStart w:id="1114" w:name="_Toc486580493"/>
      <w:bookmarkStart w:id="1115" w:name="_Toc96352175"/>
      <w:bookmarkStart w:id="1116" w:name="_Toc96504990"/>
      <w:bookmarkStart w:id="1117" w:name="_Toc96530001"/>
      <w:bookmarkStart w:id="1118" w:name="_Toc96505379"/>
      <w:bookmarkStart w:id="1119" w:name="_Toc38037952"/>
      <w:bookmarkStart w:id="1120" w:name="_Toc483581258"/>
      <w:r>
        <w:rPr>
          <w:rFonts w:hint="eastAsia" w:ascii="宋体" w:hAnsi="宋体" w:eastAsia="宋体"/>
          <w:sz w:val="24"/>
          <w:szCs w:val="24"/>
          <w:highlight w:val="none"/>
          <w:shd w:val="clear" w:color="auto" w:fill="FFFFFF"/>
        </w:rPr>
        <w:t>11.进度报告和进度例会</w:t>
      </w:r>
      <w:bookmarkEnd w:id="1109"/>
      <w:bookmarkEnd w:id="1110"/>
      <w:bookmarkEnd w:id="1111"/>
      <w:bookmarkEnd w:id="1112"/>
      <w:bookmarkEnd w:id="1113"/>
      <w:bookmarkEnd w:id="1114"/>
      <w:bookmarkEnd w:id="1115"/>
      <w:bookmarkEnd w:id="1116"/>
      <w:bookmarkEnd w:id="1117"/>
      <w:bookmarkEnd w:id="1118"/>
      <w:bookmarkEnd w:id="1119"/>
      <w:bookmarkEnd w:id="1120"/>
    </w:p>
    <w:p w14:paraId="458C53E5">
      <w:pPr>
        <w:pStyle w:val="250"/>
        <w:spacing w:before="120" w:after="0"/>
        <w:outlineLvl w:val="4"/>
        <w:rPr>
          <w:rFonts w:hint="eastAsia" w:hAnsi="宋体" w:cs="宋体"/>
          <w:szCs w:val="24"/>
          <w:highlight w:val="none"/>
          <w:shd w:val="clear" w:color="auto" w:fill="FFFFFF"/>
        </w:rPr>
      </w:pPr>
      <w:bookmarkStart w:id="1121" w:name="_Toc38037953"/>
      <w:bookmarkStart w:id="1122" w:name="_Toc96504991"/>
      <w:bookmarkStart w:id="1123" w:name="_Toc501055705"/>
      <w:bookmarkStart w:id="1124" w:name="_Toc96530002"/>
      <w:bookmarkStart w:id="1125" w:name="_Toc497298407"/>
      <w:bookmarkStart w:id="1126" w:name="_Toc7745"/>
      <w:bookmarkStart w:id="1127" w:name="_Toc483581259"/>
      <w:bookmarkStart w:id="1128" w:name="_Toc486580494"/>
      <w:bookmarkStart w:id="1129" w:name="_Toc96505380"/>
      <w:bookmarkStart w:id="1130" w:name="_Toc96352176"/>
      <w:bookmarkStart w:id="1131" w:name="_Toc489280300"/>
      <w:r>
        <w:rPr>
          <w:rFonts w:hint="eastAsia" w:hAnsi="宋体" w:cs="宋体"/>
          <w:szCs w:val="24"/>
          <w:highlight w:val="none"/>
          <w:shd w:val="clear" w:color="auto" w:fill="FFFFFF"/>
        </w:rPr>
        <w:t>11.1  进度报告</w:t>
      </w:r>
      <w:bookmarkEnd w:id="1121"/>
      <w:bookmarkEnd w:id="1122"/>
      <w:bookmarkEnd w:id="1123"/>
      <w:bookmarkEnd w:id="1124"/>
      <w:bookmarkEnd w:id="1125"/>
      <w:bookmarkEnd w:id="1126"/>
      <w:bookmarkEnd w:id="1127"/>
      <w:bookmarkEnd w:id="1128"/>
      <w:bookmarkEnd w:id="1129"/>
      <w:bookmarkEnd w:id="1130"/>
      <w:bookmarkEnd w:id="1131"/>
    </w:p>
    <w:p w14:paraId="57A2CD27">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11.1.7  有关进度报告的其他要求：</w:t>
      </w:r>
      <w:r>
        <w:rPr>
          <w:rFonts w:hint="eastAsia" w:ascii="宋体" w:hAnsi="宋体" w:cs="宋体"/>
          <w:sz w:val="24"/>
          <w:highlight w:val="none"/>
          <w:u w:val="single"/>
          <w:shd w:val="clear" w:color="auto" w:fill="FFFFFF"/>
        </w:rPr>
        <w:t xml:space="preserve">              /                             </w:t>
      </w:r>
    </w:p>
    <w:p w14:paraId="5BF8FD2E">
      <w:pPr>
        <w:pStyle w:val="250"/>
        <w:spacing w:before="120" w:after="0"/>
        <w:outlineLvl w:val="4"/>
        <w:rPr>
          <w:rFonts w:hint="eastAsia" w:hAnsi="宋体" w:cs="宋体"/>
          <w:szCs w:val="24"/>
          <w:highlight w:val="none"/>
          <w:shd w:val="clear" w:color="auto" w:fill="FFFFFF"/>
        </w:rPr>
      </w:pPr>
      <w:bookmarkStart w:id="1132" w:name="_Toc10649"/>
      <w:bookmarkStart w:id="1133" w:name="_Toc497298408"/>
      <w:bookmarkStart w:id="1134" w:name="_Toc96352177"/>
      <w:bookmarkStart w:id="1135" w:name="_Toc96530003"/>
      <w:bookmarkStart w:id="1136" w:name="_Toc486580495"/>
      <w:bookmarkStart w:id="1137" w:name="_Toc96504992"/>
      <w:bookmarkStart w:id="1138" w:name="_Toc96505381"/>
      <w:bookmarkStart w:id="1139" w:name="_Toc489280301"/>
      <w:bookmarkStart w:id="1140" w:name="_Toc483581260"/>
      <w:bookmarkStart w:id="1141" w:name="_Toc38037954"/>
      <w:bookmarkStart w:id="1142" w:name="_Toc501055706"/>
      <w:r>
        <w:rPr>
          <w:rFonts w:hint="eastAsia" w:hAnsi="宋体" w:cs="宋体"/>
          <w:szCs w:val="24"/>
          <w:highlight w:val="none"/>
          <w:shd w:val="clear" w:color="auto" w:fill="FFFFFF"/>
        </w:rPr>
        <w:t>11.2  进度例会</w:t>
      </w:r>
      <w:bookmarkEnd w:id="1132"/>
      <w:bookmarkEnd w:id="1133"/>
      <w:bookmarkEnd w:id="1134"/>
      <w:bookmarkEnd w:id="1135"/>
      <w:bookmarkEnd w:id="1136"/>
      <w:bookmarkEnd w:id="1137"/>
      <w:bookmarkEnd w:id="1138"/>
      <w:bookmarkEnd w:id="1139"/>
      <w:bookmarkEnd w:id="1140"/>
      <w:bookmarkEnd w:id="1141"/>
      <w:bookmarkEnd w:id="1142"/>
    </w:p>
    <w:p w14:paraId="684489B4">
      <w:pPr>
        <w:spacing w:after="0" w:line="360" w:lineRule="auto"/>
        <w:ind w:firstLine="480" w:firstLineChars="200"/>
        <w:rPr>
          <w:rFonts w:hint="eastAsia" w:ascii="宋体" w:hAnsi="宋体" w:cs="宋体"/>
          <w:sz w:val="24"/>
          <w:highlight w:val="none"/>
          <w:u w:val="single"/>
          <w:shd w:val="clear" w:color="auto" w:fill="FFFFFF"/>
        </w:rPr>
      </w:pPr>
      <w:r>
        <w:rPr>
          <w:rFonts w:hint="eastAsia" w:ascii="宋体" w:hAnsi="宋体" w:cs="宋体"/>
          <w:sz w:val="24"/>
          <w:highlight w:val="none"/>
          <w:shd w:val="clear" w:color="auto" w:fill="FFFFFF"/>
        </w:rPr>
        <w:t>11.2.4  有关进度例会的其他要求：</w:t>
      </w:r>
      <w:r>
        <w:rPr>
          <w:rFonts w:hint="eastAsia" w:ascii="宋体" w:hAnsi="宋体" w:cs="宋体"/>
          <w:sz w:val="24"/>
          <w:highlight w:val="none"/>
          <w:u w:val="single"/>
          <w:shd w:val="clear" w:color="auto" w:fill="FFFFFF"/>
        </w:rPr>
        <w:t xml:space="preserve">               /                            </w:t>
      </w:r>
    </w:p>
    <w:p w14:paraId="66DD7E0E">
      <w:pPr>
        <w:pStyle w:val="249"/>
        <w:spacing w:before="120" w:after="0"/>
        <w:outlineLvl w:val="3"/>
        <w:rPr>
          <w:rFonts w:hint="eastAsia" w:ascii="宋体" w:hAnsi="宋体" w:eastAsia="宋体"/>
          <w:sz w:val="24"/>
          <w:szCs w:val="24"/>
          <w:highlight w:val="none"/>
          <w:shd w:val="clear" w:color="auto" w:fill="FFFFFF"/>
        </w:rPr>
      </w:pPr>
      <w:bookmarkStart w:id="1143" w:name="_Toc38037955"/>
      <w:bookmarkStart w:id="1144" w:name="_Toc489280302"/>
      <w:bookmarkStart w:id="1145" w:name="_Toc23276"/>
      <w:bookmarkStart w:id="1146" w:name="_Toc483581261"/>
      <w:bookmarkStart w:id="1147" w:name="_Toc497298409"/>
      <w:bookmarkStart w:id="1148" w:name="_Toc96505382"/>
      <w:bookmarkStart w:id="1149" w:name="_Toc96352178"/>
      <w:bookmarkStart w:id="1150" w:name="_Toc486580496"/>
      <w:bookmarkStart w:id="1151" w:name="_Toc96530004"/>
      <w:bookmarkStart w:id="1152" w:name="_Toc490331756"/>
      <w:bookmarkStart w:id="1153" w:name="_Toc96504993"/>
      <w:bookmarkStart w:id="1154" w:name="_Toc501055707"/>
      <w:r>
        <w:rPr>
          <w:rFonts w:hint="eastAsia" w:ascii="宋体" w:hAnsi="宋体" w:eastAsia="宋体"/>
          <w:sz w:val="24"/>
          <w:szCs w:val="24"/>
          <w:highlight w:val="none"/>
          <w:shd w:val="clear" w:color="auto" w:fill="FFFFFF"/>
        </w:rPr>
        <w:t>12.试验和检验</w:t>
      </w:r>
      <w:bookmarkEnd w:id="1143"/>
      <w:bookmarkEnd w:id="1144"/>
      <w:bookmarkEnd w:id="1145"/>
      <w:bookmarkEnd w:id="1146"/>
      <w:bookmarkEnd w:id="1147"/>
      <w:bookmarkEnd w:id="1148"/>
      <w:bookmarkEnd w:id="1149"/>
      <w:bookmarkEnd w:id="1150"/>
      <w:bookmarkEnd w:id="1151"/>
      <w:bookmarkEnd w:id="1152"/>
      <w:bookmarkEnd w:id="1153"/>
      <w:bookmarkEnd w:id="1154"/>
    </w:p>
    <w:p w14:paraId="5FD3EE1D">
      <w:pPr>
        <w:snapToGrid w:val="0"/>
        <w:spacing w:after="0" w:line="360" w:lineRule="auto"/>
        <w:rPr>
          <w:rFonts w:hint="eastAsia" w:ascii="宋体" w:hAnsi="宋体" w:cs="宋体"/>
          <w:sz w:val="24"/>
          <w:highlight w:val="none"/>
          <w:shd w:val="clear" w:color="auto" w:fill="FFFFFF"/>
        </w:rPr>
      </w:pPr>
      <w:bookmarkStart w:id="1155" w:name="_Toc486580497"/>
      <w:bookmarkStart w:id="1156" w:name="_Toc483581262"/>
      <w:r>
        <w:rPr>
          <w:rFonts w:hint="eastAsia" w:ascii="宋体" w:hAnsi="宋体" w:cs="宋体"/>
          <w:sz w:val="24"/>
          <w:highlight w:val="none"/>
          <w:shd w:val="clear" w:color="auto" w:fill="FFFFFF"/>
        </w:rPr>
        <w:t>12.1  本工程发包人委托检测单位进行试验和检验的其他材料、工程设备和工艺：</w:t>
      </w:r>
      <w:r>
        <w:rPr>
          <w:rFonts w:hint="eastAsia" w:ascii="宋体" w:hAnsi="宋体" w:cs="宋体"/>
          <w:sz w:val="24"/>
          <w:highlight w:val="none"/>
          <w:u w:val="single"/>
          <w:shd w:val="clear" w:color="auto" w:fill="FFFFFF"/>
        </w:rPr>
        <w:t xml:space="preserve">     /                                                 </w:t>
      </w:r>
    </w:p>
    <w:p w14:paraId="5BCFE7FB">
      <w:pPr>
        <w:snapToGrid w:val="0"/>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12.3  本工程需要承包人进行试验和检验的材料、工程设备和工艺：</w:t>
      </w:r>
      <w:r>
        <w:rPr>
          <w:rFonts w:hint="eastAsia" w:ascii="宋体" w:hAnsi="宋体" w:cs="宋体"/>
          <w:sz w:val="24"/>
          <w:highlight w:val="none"/>
          <w:u w:val="single"/>
        </w:rPr>
        <w:t>国家和北京市现行规范标准规定必须进行试验和检验的材料、工程设备和工艺。</w:t>
      </w:r>
    </w:p>
    <w:p w14:paraId="491FBE8E">
      <w:pPr>
        <w:pStyle w:val="25"/>
        <w:snapToGrid w:val="0"/>
        <w:spacing w:after="0" w:line="360" w:lineRule="auto"/>
        <w:ind w:left="426" w:leftChars="203"/>
        <w:jc w:val="left"/>
        <w:rPr>
          <w:rFonts w:hint="eastAsia" w:ascii="宋体" w:eastAsia="宋体" w:cs="宋体"/>
          <w:color w:val="auto"/>
          <w:highlight w:val="none"/>
          <w:u w:val="single"/>
          <w:shd w:val="clear" w:color="auto" w:fill="FFFFFF"/>
        </w:rPr>
      </w:pPr>
      <w:r>
        <w:rPr>
          <w:rFonts w:hint="eastAsia" w:ascii="宋体" w:eastAsia="宋体" w:cs="宋体"/>
          <w:color w:val="auto"/>
          <w:highlight w:val="none"/>
          <w:shd w:val="clear" w:color="auto" w:fill="FFFFFF"/>
        </w:rPr>
        <w:t>12.4  本工程需要由监理人和承包人共同进行试验和检验的材料、工程设备和工艺：</w:t>
      </w:r>
      <w:r>
        <w:rPr>
          <w:rFonts w:hint="eastAsia" w:ascii="宋体" w:eastAsia="宋体" w:cs="宋体"/>
          <w:color w:val="auto"/>
          <w:highlight w:val="none"/>
          <w:u w:val="single"/>
          <w:shd w:val="clear" w:color="auto" w:fill="FFFFFF"/>
        </w:rPr>
        <w:t xml:space="preserve"> / </w:t>
      </w:r>
    </w:p>
    <w:p w14:paraId="1370E062">
      <w:pPr>
        <w:snapToGrid w:val="0"/>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12.8  涉及结构安全的试块、试件以及有关材料检测的质量检测单位：</w:t>
      </w:r>
      <w:r>
        <w:rPr>
          <w:rFonts w:hint="eastAsia" w:ascii="宋体" w:hAnsi="宋体" w:cs="宋体"/>
          <w:sz w:val="24"/>
          <w:highlight w:val="none"/>
          <w:u w:val="single"/>
        </w:rPr>
        <w:t xml:space="preserve">建设单位所在地              </w:t>
      </w:r>
    </w:p>
    <w:p w14:paraId="7DFE1E4E">
      <w:pPr>
        <w:pStyle w:val="249"/>
        <w:spacing w:before="120" w:after="0"/>
        <w:outlineLvl w:val="3"/>
        <w:rPr>
          <w:rFonts w:hint="eastAsia" w:ascii="宋体" w:hAnsi="宋体" w:eastAsia="宋体"/>
          <w:sz w:val="24"/>
          <w:szCs w:val="24"/>
          <w:highlight w:val="none"/>
          <w:shd w:val="clear" w:color="auto" w:fill="FFFFFF"/>
        </w:rPr>
      </w:pPr>
      <w:bookmarkStart w:id="1157" w:name="_Toc38037956"/>
      <w:bookmarkStart w:id="1158" w:name="_Toc96352179"/>
      <w:bookmarkStart w:id="1159" w:name="_Toc489280303"/>
      <w:bookmarkStart w:id="1160" w:name="_Toc8210"/>
      <w:bookmarkStart w:id="1161" w:name="_Toc497298410"/>
      <w:bookmarkStart w:id="1162" w:name="_Toc96530005"/>
      <w:bookmarkStart w:id="1163" w:name="_Toc96504994"/>
      <w:bookmarkStart w:id="1164" w:name="_Toc490331757"/>
      <w:bookmarkStart w:id="1165" w:name="_Toc501055708"/>
      <w:bookmarkStart w:id="1166" w:name="_Toc96505383"/>
      <w:r>
        <w:rPr>
          <w:rFonts w:hint="eastAsia" w:ascii="宋体" w:hAnsi="宋体" w:eastAsia="宋体"/>
          <w:sz w:val="24"/>
          <w:szCs w:val="24"/>
          <w:highlight w:val="none"/>
          <w:shd w:val="clear" w:color="auto" w:fill="FFFFFF"/>
        </w:rPr>
        <w:t>13.计日工</w:t>
      </w:r>
      <w:bookmarkEnd w:id="1155"/>
      <w:bookmarkEnd w:id="1156"/>
      <w:bookmarkEnd w:id="1157"/>
      <w:bookmarkEnd w:id="1158"/>
      <w:bookmarkEnd w:id="1159"/>
      <w:bookmarkEnd w:id="1160"/>
      <w:bookmarkEnd w:id="1161"/>
      <w:bookmarkEnd w:id="1162"/>
      <w:bookmarkEnd w:id="1163"/>
      <w:bookmarkEnd w:id="1164"/>
      <w:bookmarkEnd w:id="1165"/>
      <w:bookmarkEnd w:id="1166"/>
    </w:p>
    <w:p w14:paraId="30CEF622">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13.7  关于计日工的其他约定：</w:t>
      </w:r>
      <w:r>
        <w:rPr>
          <w:rFonts w:hint="eastAsia" w:ascii="宋体" w:hAnsi="宋体" w:cs="宋体"/>
          <w:sz w:val="24"/>
          <w:highlight w:val="none"/>
          <w:u w:val="single"/>
          <w:shd w:val="clear" w:color="auto" w:fill="FFFFFF"/>
        </w:rPr>
        <w:t xml:space="preserve">            /                           </w:t>
      </w:r>
    </w:p>
    <w:p w14:paraId="708B733F">
      <w:pPr>
        <w:pStyle w:val="249"/>
        <w:spacing w:before="120" w:after="0"/>
        <w:outlineLvl w:val="3"/>
        <w:rPr>
          <w:rFonts w:hint="eastAsia" w:ascii="宋体" w:hAnsi="宋体" w:eastAsia="宋体"/>
          <w:sz w:val="24"/>
          <w:szCs w:val="24"/>
          <w:highlight w:val="none"/>
          <w:shd w:val="clear" w:color="auto" w:fill="FFFFFF"/>
        </w:rPr>
      </w:pPr>
      <w:bookmarkStart w:id="1167" w:name="_Toc497298411"/>
      <w:bookmarkStart w:id="1168" w:name="_Toc2993"/>
      <w:bookmarkStart w:id="1169" w:name="_Toc486580498"/>
      <w:bookmarkStart w:id="1170" w:name="_Toc489280304"/>
      <w:bookmarkStart w:id="1171" w:name="_Toc490331758"/>
      <w:bookmarkStart w:id="1172" w:name="_Toc96352180"/>
      <w:bookmarkStart w:id="1173" w:name="_Toc483581263"/>
      <w:bookmarkStart w:id="1174" w:name="_Toc96505384"/>
      <w:bookmarkStart w:id="1175" w:name="_Toc96530006"/>
      <w:bookmarkStart w:id="1176" w:name="_Toc38037957"/>
      <w:bookmarkStart w:id="1177" w:name="_Toc96504995"/>
      <w:bookmarkStart w:id="1178" w:name="_Toc501055709"/>
      <w:r>
        <w:rPr>
          <w:rFonts w:hint="eastAsia" w:ascii="宋体" w:hAnsi="宋体" w:eastAsia="宋体"/>
          <w:sz w:val="24"/>
          <w:szCs w:val="24"/>
          <w:highlight w:val="none"/>
          <w:shd w:val="clear" w:color="auto" w:fill="FFFFFF"/>
        </w:rPr>
        <w:t>14.计量与支付</w:t>
      </w:r>
      <w:bookmarkEnd w:id="1167"/>
      <w:bookmarkEnd w:id="1168"/>
      <w:bookmarkEnd w:id="1169"/>
      <w:bookmarkEnd w:id="1170"/>
      <w:bookmarkEnd w:id="1171"/>
      <w:bookmarkEnd w:id="1172"/>
      <w:bookmarkEnd w:id="1173"/>
      <w:bookmarkEnd w:id="1174"/>
      <w:bookmarkEnd w:id="1175"/>
      <w:bookmarkEnd w:id="1176"/>
      <w:bookmarkEnd w:id="1177"/>
      <w:bookmarkEnd w:id="1178"/>
    </w:p>
    <w:p w14:paraId="1FA03911">
      <w:pPr>
        <w:pStyle w:val="250"/>
        <w:spacing w:before="120" w:after="0"/>
        <w:outlineLvl w:val="4"/>
        <w:rPr>
          <w:rFonts w:hint="eastAsia" w:hAnsi="宋体" w:cs="宋体"/>
          <w:szCs w:val="24"/>
          <w:highlight w:val="none"/>
          <w:shd w:val="clear" w:color="auto" w:fill="FFFFFF"/>
        </w:rPr>
      </w:pPr>
      <w:bookmarkStart w:id="1179" w:name="_Toc96530007"/>
      <w:bookmarkStart w:id="1180" w:name="_Toc1099"/>
      <w:bookmarkStart w:id="1181" w:name="_Toc497298412"/>
      <w:bookmarkStart w:id="1182" w:name="_Toc486580499"/>
      <w:bookmarkStart w:id="1183" w:name="_Toc489280305"/>
      <w:bookmarkStart w:id="1184" w:name="_Toc96352181"/>
      <w:bookmarkStart w:id="1185" w:name="_Toc501055710"/>
      <w:bookmarkStart w:id="1186" w:name="_Toc483581264"/>
      <w:bookmarkStart w:id="1187" w:name="_Toc96505385"/>
      <w:bookmarkStart w:id="1188" w:name="_Toc96504996"/>
      <w:bookmarkStart w:id="1189" w:name="_Toc38037958"/>
      <w:r>
        <w:rPr>
          <w:rFonts w:hint="eastAsia" w:hAnsi="宋体" w:cs="宋体"/>
          <w:szCs w:val="24"/>
          <w:highlight w:val="none"/>
          <w:shd w:val="clear" w:color="auto" w:fill="FFFFFF"/>
        </w:rPr>
        <w:t>14.2  其他约定</w:t>
      </w:r>
      <w:bookmarkEnd w:id="1179"/>
      <w:bookmarkEnd w:id="1180"/>
      <w:bookmarkEnd w:id="1181"/>
      <w:bookmarkEnd w:id="1182"/>
      <w:bookmarkEnd w:id="1183"/>
      <w:bookmarkEnd w:id="1184"/>
      <w:bookmarkEnd w:id="1185"/>
      <w:bookmarkEnd w:id="1186"/>
      <w:bookmarkEnd w:id="1187"/>
      <w:bookmarkEnd w:id="1188"/>
      <w:bookmarkEnd w:id="1189"/>
    </w:p>
    <w:p w14:paraId="6550936E">
      <w:pPr>
        <w:spacing w:after="0"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其他约定内容：</w:t>
      </w:r>
      <w:r>
        <w:rPr>
          <w:rFonts w:hint="eastAsia" w:ascii="宋体" w:hAnsi="宋体" w:cs="宋体"/>
          <w:sz w:val="24"/>
          <w:highlight w:val="none"/>
          <w:u w:val="single"/>
          <w:shd w:val="clear" w:color="auto" w:fill="FFFFFF"/>
        </w:rPr>
        <w:t xml:space="preserve">              /                              </w:t>
      </w:r>
    </w:p>
    <w:p w14:paraId="65B07242">
      <w:pPr>
        <w:pStyle w:val="249"/>
        <w:spacing w:before="120" w:after="0"/>
        <w:outlineLvl w:val="3"/>
        <w:rPr>
          <w:rFonts w:hint="eastAsia" w:ascii="宋体" w:hAnsi="宋体" w:eastAsia="宋体"/>
          <w:sz w:val="24"/>
          <w:szCs w:val="24"/>
          <w:highlight w:val="none"/>
          <w:shd w:val="clear" w:color="auto" w:fill="FFFFFF"/>
        </w:rPr>
      </w:pPr>
      <w:bookmarkStart w:id="1190" w:name="_Toc486580500"/>
      <w:bookmarkStart w:id="1191" w:name="_Toc497298413"/>
      <w:bookmarkStart w:id="1192" w:name="_Toc96352182"/>
      <w:bookmarkStart w:id="1193" w:name="_Toc38037959"/>
      <w:bookmarkStart w:id="1194" w:name="_Toc501055711"/>
      <w:bookmarkStart w:id="1195" w:name="_Toc96504997"/>
      <w:bookmarkStart w:id="1196" w:name="_Toc25100"/>
      <w:bookmarkStart w:id="1197" w:name="_Toc96530008"/>
      <w:bookmarkStart w:id="1198" w:name="_Toc483581265"/>
      <w:bookmarkStart w:id="1199" w:name="_Toc96505386"/>
      <w:bookmarkStart w:id="1200" w:name="_Toc489280306"/>
      <w:bookmarkStart w:id="1201" w:name="_Toc490331759"/>
      <w:r>
        <w:rPr>
          <w:rFonts w:hint="eastAsia" w:ascii="宋体" w:hAnsi="宋体" w:eastAsia="宋体"/>
          <w:sz w:val="24"/>
          <w:szCs w:val="24"/>
          <w:highlight w:val="none"/>
          <w:shd w:val="clear" w:color="auto" w:fill="FFFFFF"/>
        </w:rPr>
        <w:t>15.竣工验收和工程移交</w:t>
      </w:r>
      <w:bookmarkEnd w:id="1190"/>
      <w:bookmarkEnd w:id="1191"/>
      <w:bookmarkEnd w:id="1192"/>
      <w:bookmarkEnd w:id="1193"/>
      <w:bookmarkEnd w:id="1194"/>
      <w:bookmarkEnd w:id="1195"/>
      <w:bookmarkEnd w:id="1196"/>
      <w:bookmarkEnd w:id="1197"/>
      <w:bookmarkEnd w:id="1198"/>
      <w:bookmarkEnd w:id="1199"/>
      <w:bookmarkEnd w:id="1200"/>
      <w:bookmarkEnd w:id="1201"/>
    </w:p>
    <w:p w14:paraId="54B79731">
      <w:pPr>
        <w:pStyle w:val="250"/>
        <w:spacing w:before="120" w:after="0"/>
        <w:outlineLvl w:val="4"/>
        <w:rPr>
          <w:rFonts w:hint="eastAsia" w:hAnsi="宋体" w:cs="宋体"/>
          <w:szCs w:val="24"/>
          <w:highlight w:val="none"/>
          <w:shd w:val="clear" w:color="auto" w:fill="FFFFFF"/>
        </w:rPr>
      </w:pPr>
      <w:bookmarkStart w:id="1202" w:name="_Toc96504998"/>
      <w:bookmarkStart w:id="1203" w:name="_Toc501055712"/>
      <w:bookmarkStart w:id="1204" w:name="_Toc38037960"/>
      <w:bookmarkStart w:id="1205" w:name="_Toc17486"/>
      <w:bookmarkStart w:id="1206" w:name="_Toc96505387"/>
      <w:bookmarkStart w:id="1207" w:name="_Toc489280307"/>
      <w:bookmarkStart w:id="1208" w:name="_Toc96352183"/>
      <w:bookmarkStart w:id="1209" w:name="_Toc497298414"/>
      <w:bookmarkStart w:id="1210" w:name="_Toc96530009"/>
      <w:bookmarkStart w:id="1211" w:name="_Toc483581266"/>
      <w:bookmarkStart w:id="1212" w:name="_Toc486580501"/>
      <w:r>
        <w:rPr>
          <w:rFonts w:hint="eastAsia" w:hAnsi="宋体" w:cs="宋体"/>
          <w:szCs w:val="24"/>
          <w:highlight w:val="none"/>
          <w:shd w:val="clear" w:color="auto" w:fill="FFFFFF"/>
        </w:rPr>
        <w:t>15.2  竣工验收申请报告</w:t>
      </w:r>
      <w:bookmarkEnd w:id="1202"/>
      <w:bookmarkEnd w:id="1203"/>
      <w:bookmarkEnd w:id="1204"/>
      <w:bookmarkEnd w:id="1205"/>
      <w:bookmarkEnd w:id="1206"/>
      <w:bookmarkEnd w:id="1207"/>
      <w:bookmarkEnd w:id="1208"/>
      <w:bookmarkEnd w:id="1209"/>
      <w:bookmarkEnd w:id="1210"/>
      <w:bookmarkEnd w:id="1211"/>
      <w:bookmarkEnd w:id="1212"/>
    </w:p>
    <w:p w14:paraId="3D497837">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15.2.3  竣工验收申请报告应当按合同条款附上下列内容：</w:t>
      </w:r>
    </w:p>
    <w:p w14:paraId="3E6CB1F9">
      <w:pPr>
        <w:spacing w:after="0"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（7）其他要求：</w:t>
      </w:r>
      <w:r>
        <w:rPr>
          <w:rFonts w:hint="eastAsia" w:ascii="宋体" w:hAnsi="宋体" w:cs="宋体"/>
          <w:sz w:val="24"/>
          <w:highlight w:val="none"/>
          <w:u w:val="single"/>
          <w:shd w:val="clear" w:color="auto" w:fill="FFFFFF"/>
        </w:rPr>
        <w:t xml:space="preserve">              /                         </w:t>
      </w:r>
    </w:p>
    <w:p w14:paraId="22A7ACC3">
      <w:pPr>
        <w:widowControl/>
        <w:wordWrap w:val="0"/>
        <w:spacing w:after="0" w:line="360" w:lineRule="auto"/>
        <w:jc w:val="left"/>
        <w:rPr>
          <w:rFonts w:hint="eastAsia" w:ascii="宋体" w:hAnsi="宋体" w:cs="宋体"/>
          <w:b/>
          <w:sz w:val="36"/>
          <w:szCs w:val="36"/>
          <w:highlight w:val="none"/>
        </w:rPr>
      </w:pPr>
      <w:bookmarkStart w:id="1213" w:name="_Toc497298415"/>
      <w:bookmarkStart w:id="1214" w:name="_Toc490331760"/>
      <w:bookmarkStart w:id="1215" w:name="_Toc96505388"/>
      <w:bookmarkStart w:id="1216" w:name="_Toc501055713"/>
      <w:bookmarkStart w:id="1217" w:name="_Toc96504999"/>
      <w:bookmarkStart w:id="1218" w:name="_Toc29804"/>
      <w:bookmarkStart w:id="1219" w:name="_Toc38037961"/>
      <w:bookmarkStart w:id="1220" w:name="_Toc96530010"/>
      <w:bookmarkStart w:id="1221" w:name="_Toc96352184"/>
      <w:bookmarkStart w:id="1222" w:name="_Toc489280308"/>
      <w:bookmarkStart w:id="1223" w:name="_Toc483581267"/>
      <w:bookmarkStart w:id="1224" w:name="_Toc486580502"/>
      <w:r>
        <w:rPr>
          <w:rFonts w:hint="eastAsia" w:ascii="宋体" w:hAnsi="宋体" w:cs="宋体"/>
          <w:sz w:val="24"/>
          <w:highlight w:val="none"/>
          <w:shd w:val="clear" w:color="auto" w:fill="FFFFFF"/>
        </w:rPr>
        <w:t>16.需要补充的其他要求</w:t>
      </w:r>
      <w:bookmarkEnd w:id="768"/>
      <w:bookmarkEnd w:id="769"/>
      <w:bookmarkEnd w:id="1213"/>
      <w:bookmarkEnd w:id="1214"/>
      <w:bookmarkEnd w:id="1215"/>
      <w:bookmarkEnd w:id="1216"/>
      <w:bookmarkEnd w:id="1217"/>
      <w:bookmarkEnd w:id="1218"/>
      <w:bookmarkEnd w:id="1219"/>
      <w:bookmarkEnd w:id="1220"/>
      <w:bookmarkEnd w:id="1221"/>
      <w:bookmarkEnd w:id="1222"/>
      <w:bookmarkEnd w:id="1223"/>
      <w:bookmarkEnd w:id="1224"/>
    </w:p>
    <w:p w14:paraId="7B113B9F">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0" w:footer="992" w:gutter="0"/>
          <w:cols w:space="720" w:num="1"/>
          <w:docGrid w:linePitch="462" w:charSpace="0"/>
        </w:sectPr>
      </w:pPr>
    </w:p>
    <w:p w14:paraId="72867511">
      <w:pPr>
        <w:wordWrap w:val="0"/>
        <w:spacing w:after="0" w:line="360" w:lineRule="auto"/>
        <w:jc w:val="center"/>
        <w:outlineLvl w:val="0"/>
        <w:rPr>
          <w:rFonts w:hint="eastAsia" w:ascii="宋体" w:hAnsi="宋体" w:cs="宋体"/>
          <w:b/>
          <w:sz w:val="36"/>
          <w:szCs w:val="36"/>
          <w:highlight w:val="none"/>
        </w:rPr>
      </w:pPr>
      <w:bookmarkStart w:id="1225" w:name="_Toc7375"/>
      <w:r>
        <w:rPr>
          <w:rFonts w:hint="eastAsia" w:ascii="宋体" w:hAnsi="宋体" w:cs="宋体"/>
          <w:b/>
          <w:sz w:val="36"/>
          <w:szCs w:val="36"/>
          <w:highlight w:val="none"/>
        </w:rPr>
        <w:t>第五章   合同草案条款</w:t>
      </w:r>
      <w:bookmarkEnd w:id="1225"/>
    </w:p>
    <w:p w14:paraId="399BA8AB">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说明：</w:t>
      </w:r>
    </w:p>
    <w:p w14:paraId="3B26A495">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1.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采购人应积极配合供应商获得政府采购合同融资贷款，无特殊原因，应在收到供应商因融资需要发起的变更收款账户申请后10个工作日内确认通过。</w:t>
      </w:r>
    </w:p>
    <w:p w14:paraId="10C17D9C">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2.采购人应严格按照要求，在中标、成交通知书发出之日起30日内签订采购合同，鼓励采购人在线签订电子合同，完善电子签章管理、合同审核等配套内控机制，进一步缩短合同签订期限。</w:t>
      </w:r>
    </w:p>
    <w:p w14:paraId="0B50B35B">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3.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0D2DE876">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4.合同条款中应规定，乙方完全遵守《中华人民共和国妇女权益保障法》中关于“劳动和社会保障权益”的有关要求。</w:t>
      </w:r>
    </w:p>
    <w:p w14:paraId="6A57BD07">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5.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FDE9F9A">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6.政府采购合同设定首付款支付方式的，首付款支付比例原则上不低于合同金额的30%；对于中小企业，首付款支付比例原则上不低于合同金额的50%。</w:t>
      </w:r>
    </w:p>
    <w:p w14:paraId="0CCC9F9D">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7.政府采购合同应当约定资金支付的方式、时间和条件，明确逾期支付资金的违约责任。</w:t>
      </w:r>
    </w:p>
    <w:p w14:paraId="01CFF470">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p>
    <w:p w14:paraId="6382B3E6">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8.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3CE67A7">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9.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p>
    <w:p w14:paraId="42CB8A7E">
      <w:pPr>
        <w:tabs>
          <w:tab w:val="left" w:pos="900"/>
          <w:tab w:val="left" w:pos="1080"/>
        </w:tabs>
        <w:wordWrap w:val="0"/>
        <w:snapToGrid w:val="0"/>
        <w:spacing w:after="0" w:line="360" w:lineRule="auto"/>
        <w:rPr>
          <w:rFonts w:ascii="宋体" w:hAnsi="宋体" w:cs="宋体"/>
          <w:kern w:val="0"/>
          <w:sz w:val="18"/>
          <w:szCs w:val="18"/>
          <w:highlight w:val="none"/>
        </w:rPr>
      </w:pPr>
    </w:p>
    <w:p w14:paraId="7F320D49">
      <w:pPr>
        <w:pStyle w:val="17"/>
        <w:spacing w:before="34" w:after="0" w:line="351" w:lineRule="auto"/>
        <w:ind w:left="23" w:firstLine="1"/>
        <w:rPr>
          <w:rFonts w:hint="eastAsia" w:cs="宋体"/>
          <w:spacing w:val="-3"/>
          <w:highlight w:val="none"/>
        </w:rPr>
      </w:pPr>
    </w:p>
    <w:p w14:paraId="0EC91E20">
      <w:pPr>
        <w:pStyle w:val="17"/>
        <w:spacing w:before="34" w:after="0" w:line="351" w:lineRule="auto"/>
        <w:ind w:left="23" w:firstLine="1"/>
        <w:rPr>
          <w:rFonts w:hint="eastAsia" w:cs="宋体"/>
          <w:spacing w:val="-3"/>
          <w:highlight w:val="none"/>
        </w:rPr>
      </w:pPr>
      <w:r>
        <w:rPr>
          <w:rFonts w:hint="eastAsia" w:cs="宋体"/>
          <w:spacing w:val="-3"/>
          <w:highlight w:val="none"/>
        </w:rPr>
        <w:br w:type="page"/>
      </w:r>
      <w:r>
        <w:rPr>
          <w:rFonts w:hint="eastAsia" w:cs="宋体"/>
          <w:spacing w:val="-3"/>
          <w:highlight w:val="none"/>
        </w:rPr>
        <w:t>版本号：GAJ-GCWXGZ-1.0</w:t>
      </w:r>
    </w:p>
    <w:p w14:paraId="1F3A0AFA">
      <w:pPr>
        <w:pStyle w:val="17"/>
        <w:spacing w:before="34" w:after="0" w:line="351" w:lineRule="auto"/>
        <w:ind w:left="23" w:firstLine="1"/>
        <w:rPr>
          <w:rFonts w:hint="eastAsia" w:cs="宋体"/>
          <w:spacing w:val="-3"/>
          <w:highlight w:val="none"/>
        </w:rPr>
      </w:pPr>
      <w:r>
        <w:rPr>
          <w:rFonts w:hint="eastAsia" w:cs="宋体"/>
          <w:spacing w:val="-3"/>
          <w:highlight w:val="none"/>
        </w:rPr>
        <w:t>（BF-2001-0202） 乙种本</w:t>
      </w:r>
    </w:p>
    <w:p w14:paraId="723C6D88">
      <w:pPr>
        <w:spacing w:after="0" w:line="281" w:lineRule="auto"/>
        <w:rPr>
          <w:rFonts w:hint="eastAsia" w:ascii="宋体" w:hAnsi="宋体" w:cs="宋体"/>
          <w:highlight w:val="none"/>
        </w:rPr>
      </w:pPr>
    </w:p>
    <w:p w14:paraId="555B1F5C">
      <w:pPr>
        <w:spacing w:after="0" w:line="281" w:lineRule="auto"/>
        <w:rPr>
          <w:rFonts w:hint="eastAsia" w:ascii="宋体" w:hAnsi="宋体" w:cs="宋体"/>
          <w:highlight w:val="none"/>
        </w:rPr>
      </w:pPr>
    </w:p>
    <w:p w14:paraId="7721944D">
      <w:pPr>
        <w:spacing w:after="0" w:line="282" w:lineRule="auto"/>
        <w:rPr>
          <w:rFonts w:hint="eastAsia" w:ascii="宋体" w:hAnsi="宋体" w:cs="宋体"/>
          <w:highlight w:val="none"/>
        </w:rPr>
      </w:pPr>
    </w:p>
    <w:p w14:paraId="0F26054F">
      <w:pPr>
        <w:spacing w:after="0" w:line="282" w:lineRule="auto"/>
        <w:rPr>
          <w:rFonts w:hint="eastAsia" w:ascii="宋体" w:hAnsi="宋体" w:cs="宋体"/>
          <w:highlight w:val="none"/>
        </w:rPr>
      </w:pPr>
    </w:p>
    <w:p w14:paraId="4297B382">
      <w:pPr>
        <w:pStyle w:val="17"/>
        <w:spacing w:before="139" w:after="0" w:line="223" w:lineRule="auto"/>
        <w:ind w:left="110"/>
        <w:rPr>
          <w:rFonts w:hint="eastAsia" w:cs="宋体"/>
          <w:b/>
          <w:bCs/>
          <w:spacing w:val="5"/>
          <w:sz w:val="43"/>
          <w:szCs w:val="43"/>
          <w:highlight w:val="none"/>
        </w:rPr>
      </w:pPr>
      <w:r>
        <w:rPr>
          <w:rFonts w:hint="eastAsia" w:cs="宋体"/>
          <w:b/>
          <w:bCs/>
          <w:spacing w:val="5"/>
          <w:sz w:val="43"/>
          <w:szCs w:val="43"/>
          <w:highlight w:val="none"/>
        </w:rPr>
        <w:t>北京市房屋建筑修缮及装修工程施工合同</w:t>
      </w:r>
    </w:p>
    <w:p w14:paraId="417170D0">
      <w:pPr>
        <w:pStyle w:val="17"/>
        <w:spacing w:before="139" w:after="0" w:line="223" w:lineRule="auto"/>
        <w:ind w:left="110"/>
        <w:jc w:val="center"/>
        <w:rPr>
          <w:rFonts w:hint="eastAsia" w:cs="宋体"/>
          <w:sz w:val="30"/>
          <w:szCs w:val="30"/>
          <w:highlight w:val="none"/>
        </w:rPr>
      </w:pPr>
      <w:r>
        <w:rPr>
          <w:rFonts w:hint="eastAsia" w:cs="宋体"/>
          <w:b/>
          <w:bCs/>
          <w:spacing w:val="5"/>
          <w:sz w:val="43"/>
          <w:szCs w:val="43"/>
          <w:highlight w:val="none"/>
        </w:rPr>
        <w:t>（房屋修缮施工）</w:t>
      </w:r>
    </w:p>
    <w:p w14:paraId="4DCF5845">
      <w:pPr>
        <w:spacing w:after="0" w:line="261" w:lineRule="auto"/>
        <w:rPr>
          <w:rFonts w:hint="eastAsia" w:ascii="宋体" w:hAnsi="宋体" w:cs="宋体"/>
          <w:highlight w:val="none"/>
        </w:rPr>
      </w:pPr>
    </w:p>
    <w:p w14:paraId="125EF3B2">
      <w:pPr>
        <w:spacing w:after="0" w:line="261" w:lineRule="auto"/>
        <w:rPr>
          <w:rFonts w:hint="eastAsia" w:ascii="宋体" w:hAnsi="宋体" w:cs="宋体"/>
          <w:highlight w:val="none"/>
        </w:rPr>
      </w:pPr>
    </w:p>
    <w:p w14:paraId="4DF8FEE2">
      <w:pPr>
        <w:spacing w:after="0" w:line="261" w:lineRule="auto"/>
        <w:rPr>
          <w:rFonts w:hint="eastAsia" w:ascii="宋体" w:hAnsi="宋体" w:cs="宋体"/>
          <w:highlight w:val="none"/>
        </w:rPr>
      </w:pPr>
    </w:p>
    <w:p w14:paraId="42034255">
      <w:pPr>
        <w:spacing w:after="0" w:line="261" w:lineRule="auto"/>
        <w:rPr>
          <w:rFonts w:hint="eastAsia" w:ascii="宋体" w:hAnsi="宋体" w:cs="宋体"/>
          <w:highlight w:val="none"/>
        </w:rPr>
      </w:pPr>
    </w:p>
    <w:p w14:paraId="012122C5">
      <w:pPr>
        <w:spacing w:after="0" w:line="261" w:lineRule="auto"/>
        <w:rPr>
          <w:rFonts w:hint="eastAsia" w:ascii="宋体" w:hAnsi="宋体" w:cs="宋体"/>
          <w:highlight w:val="none"/>
        </w:rPr>
      </w:pPr>
    </w:p>
    <w:p w14:paraId="73231F49">
      <w:pPr>
        <w:spacing w:after="0" w:line="261" w:lineRule="auto"/>
        <w:rPr>
          <w:rFonts w:hint="eastAsia" w:ascii="宋体" w:hAnsi="宋体" w:cs="宋体"/>
          <w:highlight w:val="none"/>
        </w:rPr>
      </w:pPr>
    </w:p>
    <w:p w14:paraId="07E2B936">
      <w:pPr>
        <w:spacing w:after="0" w:line="261" w:lineRule="auto"/>
        <w:rPr>
          <w:rFonts w:hint="eastAsia" w:ascii="宋体" w:hAnsi="宋体" w:cs="宋体"/>
          <w:highlight w:val="none"/>
        </w:rPr>
      </w:pPr>
    </w:p>
    <w:p w14:paraId="766E7BCF">
      <w:pPr>
        <w:pStyle w:val="17"/>
        <w:tabs>
          <w:tab w:val="left" w:pos="6310"/>
          <w:tab w:val="left" w:pos="6314"/>
          <w:tab w:val="clear" w:pos="567"/>
        </w:tabs>
        <w:spacing w:before="92" w:after="0" w:line="405" w:lineRule="auto"/>
        <w:ind w:left="1145" w:right="2020" w:hanging="1"/>
        <w:rPr>
          <w:rFonts w:hint="eastAsia" w:cs="宋体"/>
          <w:highlight w:val="none"/>
        </w:rPr>
      </w:pPr>
      <w:r>
        <w:rPr>
          <w:rFonts w:hint="eastAsia" w:cs="宋体"/>
          <w:spacing w:val="-6"/>
          <w:highlight w:val="none"/>
        </w:rPr>
        <w:t>工程名称：</w:t>
      </w:r>
      <w:r>
        <w:rPr>
          <w:rFonts w:hint="eastAsia" w:cs="宋体"/>
          <w:highlight w:val="none"/>
          <w:u w:val="single"/>
        </w:rPr>
        <w:tab/>
      </w:r>
    </w:p>
    <w:p w14:paraId="66252D7C">
      <w:pPr>
        <w:pStyle w:val="17"/>
        <w:tabs>
          <w:tab w:val="left" w:pos="6310"/>
          <w:tab w:val="left" w:pos="6314"/>
          <w:tab w:val="clear" w:pos="567"/>
        </w:tabs>
        <w:spacing w:before="92" w:after="0" w:line="405" w:lineRule="auto"/>
        <w:ind w:left="1145" w:right="2020" w:hanging="1"/>
        <w:rPr>
          <w:rFonts w:hint="eastAsia" w:cs="宋体"/>
          <w:highlight w:val="none"/>
        </w:rPr>
      </w:pPr>
      <w:r>
        <w:rPr>
          <w:rFonts w:hint="eastAsia" w:cs="宋体"/>
          <w:spacing w:val="-3"/>
          <w:highlight w:val="none"/>
        </w:rPr>
        <w:t>发包人名称：</w:t>
      </w:r>
      <w:r>
        <w:rPr>
          <w:rFonts w:hint="eastAsia" w:cs="宋体"/>
          <w:highlight w:val="none"/>
          <w:u w:val="single"/>
        </w:rPr>
        <w:tab/>
      </w:r>
    </w:p>
    <w:p w14:paraId="37CC50D2">
      <w:pPr>
        <w:pStyle w:val="17"/>
        <w:tabs>
          <w:tab w:val="left" w:pos="6310"/>
          <w:tab w:val="left" w:pos="6314"/>
          <w:tab w:val="clear" w:pos="567"/>
        </w:tabs>
        <w:spacing w:before="92" w:after="0" w:line="405" w:lineRule="auto"/>
        <w:ind w:left="1145" w:right="2020" w:hanging="1"/>
        <w:rPr>
          <w:rFonts w:hint="eastAsia" w:cs="宋体"/>
          <w:highlight w:val="none"/>
        </w:rPr>
      </w:pPr>
      <w:r>
        <w:rPr>
          <w:rFonts w:hint="eastAsia" w:cs="宋体"/>
          <w:spacing w:val="-2"/>
          <w:highlight w:val="none"/>
        </w:rPr>
        <w:t>承包人名称：</w:t>
      </w:r>
      <w:r>
        <w:rPr>
          <w:rFonts w:hint="eastAsia" w:cs="宋体"/>
          <w:highlight w:val="none"/>
          <w:u w:val="single"/>
        </w:rPr>
        <w:tab/>
      </w:r>
      <w:r>
        <w:rPr>
          <w:rFonts w:hint="eastAsia" w:cs="宋体"/>
          <w:highlight w:val="none"/>
          <w:u w:val="single"/>
        </w:rPr>
        <w:tab/>
      </w:r>
    </w:p>
    <w:p w14:paraId="21B4400B">
      <w:pPr>
        <w:pStyle w:val="17"/>
        <w:tabs>
          <w:tab w:val="left" w:pos="6310"/>
          <w:tab w:val="left" w:pos="6314"/>
          <w:tab w:val="clear" w:pos="567"/>
        </w:tabs>
        <w:spacing w:before="92" w:after="0" w:line="405" w:lineRule="auto"/>
        <w:ind w:left="1145" w:right="2020" w:hanging="1"/>
        <w:rPr>
          <w:rFonts w:hint="eastAsia" w:cs="宋体"/>
          <w:highlight w:val="none"/>
        </w:rPr>
      </w:pPr>
      <w:r>
        <w:rPr>
          <w:rFonts w:hint="eastAsia" w:cs="宋体"/>
          <w:spacing w:val="-5"/>
          <w:highlight w:val="none"/>
        </w:rPr>
        <w:t>合同编号：</w:t>
      </w:r>
    </w:p>
    <w:p w14:paraId="3916FC37">
      <w:pPr>
        <w:spacing w:after="0" w:line="265" w:lineRule="auto"/>
        <w:rPr>
          <w:rFonts w:hint="eastAsia" w:ascii="宋体" w:hAnsi="宋体" w:cs="宋体"/>
          <w:highlight w:val="none"/>
        </w:rPr>
      </w:pPr>
    </w:p>
    <w:p w14:paraId="11DD7E7A">
      <w:pPr>
        <w:spacing w:after="0" w:line="265" w:lineRule="auto"/>
        <w:rPr>
          <w:rFonts w:hint="eastAsia" w:ascii="宋体" w:hAnsi="宋体" w:cs="宋体"/>
          <w:highlight w:val="none"/>
        </w:rPr>
      </w:pPr>
    </w:p>
    <w:p w14:paraId="7A913875">
      <w:pPr>
        <w:spacing w:after="0" w:line="265" w:lineRule="auto"/>
        <w:rPr>
          <w:rFonts w:hint="eastAsia" w:ascii="宋体" w:hAnsi="宋体" w:cs="宋体"/>
          <w:highlight w:val="none"/>
        </w:rPr>
      </w:pPr>
    </w:p>
    <w:p w14:paraId="768C37E1">
      <w:pPr>
        <w:spacing w:after="0" w:line="265" w:lineRule="auto"/>
        <w:rPr>
          <w:rFonts w:hint="eastAsia" w:ascii="宋体" w:hAnsi="宋体" w:cs="宋体"/>
          <w:highlight w:val="none"/>
        </w:rPr>
      </w:pPr>
    </w:p>
    <w:p w14:paraId="1392C7B3">
      <w:pPr>
        <w:spacing w:after="0" w:line="265" w:lineRule="auto"/>
        <w:rPr>
          <w:rFonts w:hint="eastAsia" w:ascii="宋体" w:hAnsi="宋体" w:cs="宋体"/>
          <w:highlight w:val="none"/>
        </w:rPr>
      </w:pPr>
    </w:p>
    <w:p w14:paraId="43FABEDE">
      <w:pPr>
        <w:pStyle w:val="17"/>
        <w:spacing w:before="92" w:after="0" w:line="158" w:lineRule="auto"/>
        <w:ind w:left="2782"/>
        <w:rPr>
          <w:rFonts w:hint="eastAsia" w:cs="宋体"/>
          <w:spacing w:val="-2"/>
          <w:highlight w:val="none"/>
        </w:rPr>
      </w:pPr>
    </w:p>
    <w:p w14:paraId="41AFF351">
      <w:pPr>
        <w:pStyle w:val="17"/>
        <w:spacing w:before="92" w:after="0" w:line="158" w:lineRule="auto"/>
        <w:ind w:left="2782"/>
        <w:rPr>
          <w:rFonts w:hint="eastAsia" w:cs="宋体"/>
          <w:spacing w:val="-2"/>
          <w:highlight w:val="none"/>
        </w:rPr>
      </w:pPr>
    </w:p>
    <w:p w14:paraId="413CDAA9">
      <w:pPr>
        <w:pStyle w:val="17"/>
        <w:spacing w:before="92" w:after="0" w:line="158" w:lineRule="auto"/>
        <w:ind w:left="2782"/>
        <w:rPr>
          <w:rFonts w:hint="eastAsia" w:cs="宋体"/>
          <w:highlight w:val="none"/>
        </w:rPr>
      </w:pPr>
      <w:r>
        <w:rPr>
          <w:rFonts w:hint="eastAsia" w:cs="宋体"/>
          <w:spacing w:val="-2"/>
          <w:highlight w:val="none"/>
        </w:rPr>
        <w:t>北京市工商行政管理局</w:t>
      </w:r>
    </w:p>
    <w:p w14:paraId="48C61B84">
      <w:pPr>
        <w:pStyle w:val="17"/>
        <w:spacing w:before="1" w:after="0" w:line="193" w:lineRule="auto"/>
        <w:ind w:left="6770"/>
        <w:rPr>
          <w:rFonts w:hint="eastAsia" w:cs="宋体"/>
          <w:highlight w:val="none"/>
        </w:rPr>
      </w:pPr>
      <w:r>
        <w:rPr>
          <w:rFonts w:hint="eastAsia" w:cs="宋体"/>
          <w:spacing w:val="-6"/>
          <w:highlight w:val="none"/>
        </w:rPr>
        <w:t>监制</w:t>
      </w:r>
    </w:p>
    <w:p w14:paraId="59874C31">
      <w:pPr>
        <w:pStyle w:val="17"/>
        <w:spacing w:before="90" w:after="0" w:line="220" w:lineRule="auto"/>
        <w:ind w:left="2362"/>
        <w:rPr>
          <w:rFonts w:hint="eastAsia" w:cs="宋体"/>
          <w:highlight w:val="none"/>
        </w:rPr>
      </w:pPr>
      <w:r>
        <w:rPr>
          <w:rFonts w:hint="eastAsia" w:cs="宋体"/>
          <w:spacing w:val="-2"/>
          <w:highlight w:val="none"/>
        </w:rPr>
        <w:t>北京市国土资源和房屋管理局</w:t>
      </w:r>
    </w:p>
    <w:p w14:paraId="750EA6DC">
      <w:pPr>
        <w:pStyle w:val="17"/>
        <w:spacing w:before="290" w:after="0" w:line="220" w:lineRule="auto"/>
        <w:ind w:left="3389"/>
        <w:rPr>
          <w:rFonts w:hint="eastAsia" w:cs="宋体"/>
          <w:highlight w:val="none"/>
        </w:rPr>
      </w:pPr>
      <w:r>
        <w:rPr>
          <w:rFonts w:hint="eastAsia" w:cs="宋体"/>
          <w:spacing w:val="-3"/>
          <w:highlight w:val="none"/>
        </w:rPr>
        <w:t>二〇〇一年八月</w:t>
      </w:r>
    </w:p>
    <w:p w14:paraId="3DE1298C">
      <w:pPr>
        <w:spacing w:after="0" w:line="220" w:lineRule="auto"/>
        <w:rPr>
          <w:rFonts w:hint="eastAsia" w:ascii="宋体" w:hAnsi="宋体" w:cs="宋体"/>
          <w:highlight w:val="none"/>
        </w:rPr>
        <w:sectPr>
          <w:pgSz w:w="11905" w:h="16838"/>
          <w:pgMar w:top="1474" w:right="1474" w:bottom="1474" w:left="1474" w:header="850" w:footer="992" w:gutter="0"/>
          <w:cols w:space="720" w:num="1"/>
        </w:sectPr>
      </w:pPr>
    </w:p>
    <w:p w14:paraId="422C6E70">
      <w:pPr>
        <w:tabs>
          <w:tab w:val="left" w:pos="360"/>
        </w:tabs>
        <w:snapToGrid w:val="0"/>
        <w:spacing w:after="0" w:line="360" w:lineRule="auto"/>
        <w:jc w:val="center"/>
        <w:outlineLvl w:val="1"/>
        <w:rPr>
          <w:rFonts w:hint="eastAsia" w:ascii="宋体" w:hAnsi="宋体" w:cs="宋体"/>
          <w:b/>
          <w:bCs/>
          <w:sz w:val="28"/>
          <w:szCs w:val="28"/>
          <w:highlight w:val="none"/>
        </w:rPr>
      </w:pPr>
      <w:r>
        <w:rPr>
          <w:rFonts w:hint="eastAsia" w:ascii="宋体" w:hAnsi="宋体" w:cs="宋体"/>
          <w:b/>
          <w:bCs/>
          <w:sz w:val="28"/>
          <w:szCs w:val="28"/>
          <w:highlight w:val="none"/>
        </w:rPr>
        <w:t>第一部分  协议书</w:t>
      </w:r>
    </w:p>
    <w:p w14:paraId="293346F2">
      <w:pPr>
        <w:spacing w:after="0" w:line="360" w:lineRule="auto"/>
        <w:rPr>
          <w:rFonts w:hint="eastAsia" w:ascii="宋体" w:hAnsi="宋体" w:cs="宋体"/>
          <w:sz w:val="24"/>
          <w:highlight w:val="none"/>
        </w:rPr>
      </w:pPr>
      <w:r>
        <w:rPr>
          <w:rFonts w:hint="eastAsia" w:ascii="宋体" w:hAnsi="宋体" w:cs="宋体"/>
          <w:sz w:val="24"/>
          <w:highlight w:val="none"/>
        </w:rPr>
        <w:t xml:space="preserve">发包人（全称）：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572619DD">
      <w:pPr>
        <w:spacing w:after="0" w:line="360" w:lineRule="auto"/>
        <w:rPr>
          <w:rFonts w:hint="eastAsia" w:ascii="宋体" w:hAnsi="宋体" w:cs="宋体"/>
          <w:sz w:val="24"/>
          <w:highlight w:val="none"/>
        </w:rPr>
      </w:pPr>
      <w:r>
        <w:rPr>
          <w:rFonts w:hint="eastAsia" w:ascii="宋体" w:hAnsi="宋体" w:cs="宋体"/>
          <w:sz w:val="24"/>
          <w:highlight w:val="none"/>
        </w:rPr>
        <w:t xml:space="preserve">承包人（全称）：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0CDBD317">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依照《中华人民共和国民法典》《中华人民共和国建筑法》《建设工程质量管理条例》及其他有关法律、行政法规，遵循平等、自愿、公平和诚实信用的原则，双方就本房屋建筑修缮及装修工程施工事项协商一致，订立本合同。</w:t>
      </w:r>
    </w:p>
    <w:p w14:paraId="1991B60F">
      <w:pPr>
        <w:spacing w:after="0" w:line="360" w:lineRule="auto"/>
        <w:rPr>
          <w:rFonts w:hint="eastAsia" w:ascii="宋体" w:hAnsi="宋体" w:cs="宋体"/>
          <w:sz w:val="24"/>
          <w:highlight w:val="none"/>
        </w:rPr>
      </w:pPr>
      <w:r>
        <w:rPr>
          <w:rFonts w:hint="eastAsia" w:ascii="宋体" w:hAnsi="宋体" w:cs="宋体"/>
          <w:sz w:val="24"/>
          <w:highlight w:val="none"/>
        </w:rPr>
        <w:t>一、工程概况</w:t>
      </w:r>
    </w:p>
    <w:p w14:paraId="0B3B40B8">
      <w:pPr>
        <w:spacing w:after="0" w:line="360" w:lineRule="auto"/>
        <w:ind w:firstLine="420"/>
        <w:rPr>
          <w:rFonts w:hint="eastAsia" w:ascii="宋体" w:hAnsi="宋体" w:cs="宋体"/>
          <w:sz w:val="24"/>
          <w:highlight w:val="none"/>
          <w:u w:val="single"/>
        </w:rPr>
      </w:pPr>
      <w:r>
        <w:rPr>
          <w:rFonts w:hint="eastAsia" w:ascii="宋体" w:hAnsi="宋体" w:cs="宋体"/>
          <w:sz w:val="24"/>
          <w:highlight w:val="none"/>
        </w:rPr>
        <w:t>工程名称：</w:t>
      </w:r>
      <w:r>
        <w:rPr>
          <w:rFonts w:hint="eastAsia" w:ascii="宋体" w:hAnsi="宋体" w:cs="宋体"/>
          <w:sz w:val="24"/>
          <w:highlight w:val="none"/>
          <w:u w:val="single"/>
        </w:rPr>
        <w:t xml:space="preserve">                      </w:t>
      </w:r>
    </w:p>
    <w:p w14:paraId="0DEC5CF9">
      <w:pPr>
        <w:spacing w:after="0" w:line="360" w:lineRule="auto"/>
        <w:ind w:firstLine="420"/>
        <w:rPr>
          <w:rFonts w:hint="eastAsia" w:ascii="宋体" w:hAnsi="宋体" w:cs="宋体"/>
          <w:sz w:val="24"/>
          <w:highlight w:val="none"/>
        </w:rPr>
      </w:pPr>
      <w:r>
        <w:rPr>
          <w:rFonts w:hint="eastAsia" w:ascii="宋体" w:hAnsi="宋体" w:cs="宋体"/>
          <w:sz w:val="24"/>
          <w:highlight w:val="none"/>
        </w:rPr>
        <w:t>工程地点：</w:t>
      </w:r>
      <w:r>
        <w:rPr>
          <w:rFonts w:hint="eastAsia" w:ascii="宋体" w:hAnsi="宋体" w:cs="宋体"/>
          <w:sz w:val="24"/>
          <w:highlight w:val="none"/>
          <w:u w:val="single"/>
        </w:rPr>
        <w:t xml:space="preserve">                      </w:t>
      </w:r>
      <w:r>
        <w:rPr>
          <w:rFonts w:hint="eastAsia" w:ascii="宋体" w:hAnsi="宋体" w:cs="宋体"/>
          <w:sz w:val="24"/>
          <w:highlight w:val="none"/>
        </w:rPr>
        <w:tab/>
      </w:r>
      <w:r>
        <w:rPr>
          <w:rFonts w:hint="eastAsia" w:ascii="宋体" w:hAnsi="宋体" w:cs="宋体"/>
          <w:sz w:val="24"/>
          <w:highlight w:val="none"/>
        </w:rPr>
        <w:tab/>
      </w:r>
    </w:p>
    <w:p w14:paraId="756B917D">
      <w:pPr>
        <w:spacing w:after="0" w:line="360" w:lineRule="auto"/>
        <w:ind w:firstLine="420"/>
        <w:rPr>
          <w:rFonts w:hint="eastAsia" w:ascii="宋体" w:hAnsi="宋体" w:cs="宋体"/>
          <w:sz w:val="24"/>
          <w:highlight w:val="none"/>
          <w:u w:val="single"/>
        </w:rPr>
      </w:pPr>
      <w:r>
        <w:rPr>
          <w:rFonts w:hint="eastAsia" w:ascii="宋体" w:hAnsi="宋体" w:cs="宋体"/>
          <w:sz w:val="24"/>
          <w:highlight w:val="none"/>
        </w:rPr>
        <w:t>资金来源：</w:t>
      </w:r>
      <w:r>
        <w:rPr>
          <w:rFonts w:hint="eastAsia" w:ascii="宋体" w:hAnsi="宋体" w:cs="宋体"/>
          <w:sz w:val="24"/>
          <w:highlight w:val="none"/>
          <w:u w:val="single"/>
        </w:rPr>
        <w:t xml:space="preserve">          财政拨款</w:t>
      </w:r>
      <w:r>
        <w:rPr>
          <w:rFonts w:hint="eastAsia" w:ascii="宋体" w:hAnsi="宋体" w:cs="宋体"/>
          <w:sz w:val="24"/>
          <w:highlight w:val="none"/>
          <w:u w:val="single"/>
        </w:rPr>
        <w:tab/>
      </w:r>
    </w:p>
    <w:p w14:paraId="6EE27E5F">
      <w:pPr>
        <w:spacing w:after="0" w:line="360" w:lineRule="auto"/>
        <w:ind w:firstLine="420"/>
        <w:rPr>
          <w:rFonts w:hint="eastAsia" w:ascii="宋体" w:hAnsi="宋体" w:cs="宋体"/>
          <w:sz w:val="24"/>
          <w:highlight w:val="none"/>
        </w:rPr>
      </w:pPr>
      <w:r>
        <w:rPr>
          <w:rFonts w:hint="eastAsia" w:ascii="宋体" w:hAnsi="宋体" w:cs="宋体"/>
          <w:sz w:val="24"/>
          <w:highlight w:val="none"/>
        </w:rPr>
        <w:t>工程内容及性质：</w:t>
      </w:r>
      <w:r>
        <w:rPr>
          <w:rFonts w:hint="eastAsia" w:ascii="宋体" w:hAnsi="宋体" w:cs="宋体"/>
          <w:sz w:val="24"/>
          <w:highlight w:val="none"/>
          <w:u w:val="single"/>
        </w:rPr>
        <w:t xml:space="preserve">                      </w:t>
      </w:r>
    </w:p>
    <w:p w14:paraId="4F32E4EC">
      <w:pPr>
        <w:spacing w:after="0" w:line="360" w:lineRule="auto"/>
        <w:ind w:firstLine="420"/>
        <w:rPr>
          <w:rFonts w:hint="eastAsia" w:ascii="宋体" w:hAnsi="宋体" w:cs="宋体"/>
          <w:sz w:val="24"/>
          <w:highlight w:val="none"/>
          <w:u w:val="single"/>
        </w:rPr>
      </w:pPr>
      <w:r>
        <w:rPr>
          <w:rFonts w:hint="eastAsia" w:ascii="宋体" w:hAnsi="宋体" w:cs="宋体"/>
          <w:sz w:val="24"/>
          <w:highlight w:val="none"/>
        </w:rPr>
        <w:t>工程立项批准文号：</w:t>
      </w:r>
      <w:r>
        <w:rPr>
          <w:rFonts w:hint="eastAsia" w:ascii="宋体" w:hAnsi="宋体" w:cs="宋体"/>
          <w:sz w:val="24"/>
          <w:highlight w:val="none"/>
          <w:u w:val="single"/>
        </w:rPr>
        <w:t xml:space="preserve">                      </w:t>
      </w:r>
    </w:p>
    <w:p w14:paraId="5F8771D5">
      <w:pPr>
        <w:spacing w:after="0" w:line="360" w:lineRule="auto"/>
        <w:rPr>
          <w:rFonts w:hint="eastAsia" w:ascii="宋体" w:hAnsi="宋体" w:cs="宋体"/>
          <w:sz w:val="24"/>
          <w:highlight w:val="none"/>
        </w:rPr>
      </w:pPr>
      <w:r>
        <w:rPr>
          <w:rFonts w:hint="eastAsia" w:ascii="宋体" w:hAnsi="宋体" w:cs="宋体"/>
          <w:sz w:val="24"/>
          <w:highlight w:val="none"/>
        </w:rPr>
        <w:t>二、工程承包范围及方式</w:t>
      </w:r>
    </w:p>
    <w:p w14:paraId="6DD64E8C">
      <w:pPr>
        <w:spacing w:after="0" w:line="360" w:lineRule="auto"/>
        <w:ind w:firstLine="420"/>
        <w:rPr>
          <w:rFonts w:hint="eastAsia" w:ascii="宋体" w:hAnsi="宋体" w:cs="宋体"/>
          <w:sz w:val="24"/>
          <w:highlight w:val="none"/>
        </w:rPr>
      </w:pPr>
      <w:r>
        <w:rPr>
          <w:rFonts w:hint="eastAsia" w:ascii="宋体" w:hAnsi="宋体" w:cs="宋体"/>
          <w:sz w:val="24"/>
          <w:highlight w:val="none"/>
        </w:rPr>
        <w:t>承包范围： 图纸及工程量清单范围内的等全部工程，以及虽未列明但与本项目相关的其他工程。</w:t>
      </w:r>
    </w:p>
    <w:p w14:paraId="423CF894">
      <w:pPr>
        <w:spacing w:after="0" w:line="360" w:lineRule="auto"/>
        <w:ind w:firstLine="420"/>
        <w:rPr>
          <w:rFonts w:hint="eastAsia" w:ascii="宋体" w:hAnsi="宋体" w:cs="宋体"/>
          <w:sz w:val="24"/>
          <w:highlight w:val="none"/>
        </w:rPr>
      </w:pPr>
      <w:r>
        <w:rPr>
          <w:rFonts w:hint="eastAsia" w:ascii="宋体" w:hAnsi="宋体" w:cs="宋体"/>
          <w:sz w:val="24"/>
          <w:highlight w:val="none"/>
        </w:rPr>
        <w:t>承包方式：包工包料</w:t>
      </w:r>
    </w:p>
    <w:p w14:paraId="69834734">
      <w:pPr>
        <w:spacing w:after="0" w:line="360" w:lineRule="auto"/>
        <w:rPr>
          <w:rFonts w:hint="eastAsia" w:ascii="宋体" w:hAnsi="宋体" w:cs="宋体"/>
          <w:sz w:val="24"/>
          <w:highlight w:val="none"/>
        </w:rPr>
      </w:pPr>
      <w:r>
        <w:rPr>
          <w:rFonts w:hint="eastAsia" w:ascii="宋体" w:hAnsi="宋体" w:cs="宋体"/>
          <w:sz w:val="24"/>
          <w:highlight w:val="none"/>
        </w:rPr>
        <w:t>三、合同工期</w:t>
      </w:r>
    </w:p>
    <w:p w14:paraId="42249F0F">
      <w:pPr>
        <w:spacing w:after="0" w:line="360" w:lineRule="auto"/>
        <w:ind w:firstLine="420"/>
        <w:rPr>
          <w:rFonts w:hint="eastAsia" w:ascii="宋体" w:hAnsi="宋体" w:cs="宋体"/>
          <w:sz w:val="24"/>
          <w:highlight w:val="none"/>
        </w:rPr>
      </w:pPr>
      <w:r>
        <w:rPr>
          <w:rFonts w:hint="eastAsia" w:ascii="宋体" w:hAnsi="宋体" w:cs="宋体"/>
          <w:sz w:val="24"/>
          <w:highlight w:val="none"/>
        </w:rPr>
        <w:t>计划开工日期：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日（以发包人书面通知的开工日期为准）</w:t>
      </w:r>
    </w:p>
    <w:p w14:paraId="4CE0C6FA">
      <w:pPr>
        <w:spacing w:after="0" w:line="360" w:lineRule="auto"/>
        <w:ind w:firstLine="420"/>
        <w:rPr>
          <w:rFonts w:hint="eastAsia" w:ascii="宋体" w:hAnsi="宋体" w:cs="宋体"/>
          <w:sz w:val="24"/>
          <w:highlight w:val="none"/>
        </w:rPr>
      </w:pPr>
      <w:r>
        <w:rPr>
          <w:rFonts w:hint="eastAsia" w:ascii="宋体" w:hAnsi="宋体" w:cs="宋体"/>
          <w:sz w:val="24"/>
          <w:highlight w:val="none"/>
        </w:rPr>
        <w:t>计划竣工日期：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 合同工期总日历天数：</w:t>
      </w:r>
      <w:r>
        <w:rPr>
          <w:rFonts w:hint="eastAsia" w:ascii="宋体" w:hAnsi="宋体" w:cs="宋体"/>
          <w:sz w:val="24"/>
          <w:highlight w:val="none"/>
          <w:u w:val="single"/>
        </w:rPr>
        <w:t xml:space="preserve">      </w:t>
      </w:r>
      <w:r>
        <w:rPr>
          <w:rFonts w:hint="eastAsia" w:ascii="宋体" w:hAnsi="宋体" w:cs="宋体"/>
          <w:sz w:val="24"/>
          <w:highlight w:val="none"/>
        </w:rPr>
        <w:t>天。</w:t>
      </w:r>
    </w:p>
    <w:p w14:paraId="0C90AACD">
      <w:pPr>
        <w:spacing w:after="0" w:line="360" w:lineRule="auto"/>
        <w:rPr>
          <w:rFonts w:hint="eastAsia" w:ascii="宋体" w:hAnsi="宋体" w:cs="宋体"/>
          <w:sz w:val="24"/>
          <w:highlight w:val="none"/>
        </w:rPr>
      </w:pPr>
      <w:r>
        <w:rPr>
          <w:rFonts w:hint="eastAsia" w:ascii="宋体" w:hAnsi="宋体" w:cs="宋体"/>
          <w:sz w:val="24"/>
          <w:highlight w:val="none"/>
        </w:rPr>
        <w:t>四、质量标准</w:t>
      </w:r>
    </w:p>
    <w:p w14:paraId="46CEC40B">
      <w:pPr>
        <w:spacing w:after="0" w:line="360" w:lineRule="auto"/>
        <w:ind w:firstLine="420"/>
        <w:rPr>
          <w:rFonts w:hint="eastAsia" w:ascii="宋体" w:hAnsi="宋体" w:cs="宋体"/>
          <w:sz w:val="24"/>
          <w:highlight w:val="none"/>
        </w:rPr>
      </w:pPr>
      <w:r>
        <w:rPr>
          <w:rFonts w:hint="eastAsia" w:ascii="宋体" w:hAnsi="宋体" w:cs="宋体"/>
          <w:sz w:val="24"/>
          <w:highlight w:val="none"/>
        </w:rPr>
        <w:t>工程质量标准：合格</w:t>
      </w:r>
    </w:p>
    <w:p w14:paraId="3A4EC181">
      <w:pPr>
        <w:spacing w:after="0" w:line="360" w:lineRule="auto"/>
        <w:rPr>
          <w:rFonts w:hint="eastAsia" w:ascii="宋体" w:hAnsi="宋体" w:cs="宋体"/>
          <w:sz w:val="24"/>
          <w:highlight w:val="none"/>
        </w:rPr>
      </w:pPr>
      <w:r>
        <w:rPr>
          <w:rFonts w:hint="eastAsia" w:ascii="宋体" w:hAnsi="宋体" w:cs="宋体"/>
          <w:sz w:val="24"/>
          <w:highlight w:val="none"/>
        </w:rPr>
        <w:t>五、合同总价</w:t>
      </w:r>
    </w:p>
    <w:p w14:paraId="267D2996">
      <w:pPr>
        <w:spacing w:after="0" w:line="360" w:lineRule="auto"/>
        <w:ind w:firstLine="420"/>
        <w:rPr>
          <w:rFonts w:hint="eastAsia" w:ascii="宋体" w:hAnsi="宋体" w:cs="宋体"/>
          <w:sz w:val="24"/>
          <w:highlight w:val="none"/>
        </w:rPr>
      </w:pPr>
      <w:r>
        <w:rPr>
          <w:rFonts w:hint="eastAsia" w:ascii="宋体" w:hAnsi="宋体" w:cs="宋体"/>
          <w:sz w:val="24"/>
          <w:highlight w:val="none"/>
        </w:rPr>
        <w:t>合同暂估价（含税）￥ ：</w:t>
      </w:r>
      <w:r>
        <w:rPr>
          <w:rFonts w:hint="eastAsia" w:ascii="宋体" w:hAnsi="宋体" w:cs="宋体"/>
          <w:sz w:val="24"/>
          <w:highlight w:val="none"/>
          <w:u w:val="single"/>
        </w:rPr>
        <w:t xml:space="preserve">      </w:t>
      </w:r>
      <w:r>
        <w:rPr>
          <w:rFonts w:hint="eastAsia" w:ascii="宋体" w:hAnsi="宋体" w:cs="宋体"/>
          <w:sz w:val="24"/>
          <w:highlight w:val="none"/>
        </w:rPr>
        <w:t>元</w:t>
      </w:r>
    </w:p>
    <w:p w14:paraId="08D48E1A">
      <w:pPr>
        <w:spacing w:after="0" w:line="360" w:lineRule="auto"/>
        <w:ind w:firstLine="420"/>
        <w:rPr>
          <w:rFonts w:hint="eastAsia" w:ascii="宋体" w:hAnsi="宋体" w:cs="宋体"/>
          <w:sz w:val="24"/>
          <w:highlight w:val="none"/>
        </w:rPr>
      </w:pPr>
      <w:r>
        <w:rPr>
          <w:rFonts w:hint="eastAsia" w:ascii="宋体" w:hAnsi="宋体" w:cs="宋体"/>
          <w:sz w:val="24"/>
          <w:highlight w:val="none"/>
        </w:rPr>
        <w:t>金额大写（人民币）：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A373565">
      <w:pPr>
        <w:spacing w:after="0" w:line="360" w:lineRule="auto"/>
        <w:rPr>
          <w:rFonts w:hint="eastAsia" w:ascii="宋体" w:hAnsi="宋体" w:cs="宋体"/>
          <w:sz w:val="24"/>
          <w:highlight w:val="none"/>
        </w:rPr>
      </w:pPr>
      <w:r>
        <w:rPr>
          <w:rFonts w:hint="eastAsia" w:ascii="宋体" w:hAnsi="宋体" w:cs="宋体"/>
          <w:sz w:val="24"/>
          <w:highlight w:val="none"/>
        </w:rPr>
        <w:t>六、合同文件的组成</w:t>
      </w:r>
    </w:p>
    <w:p w14:paraId="5CC51718">
      <w:pPr>
        <w:spacing w:after="0" w:line="360" w:lineRule="auto"/>
        <w:rPr>
          <w:rFonts w:hint="eastAsia" w:ascii="宋体" w:hAnsi="宋体" w:cs="宋体"/>
          <w:sz w:val="24"/>
          <w:highlight w:val="none"/>
        </w:rPr>
      </w:pPr>
      <w:r>
        <w:rPr>
          <w:rFonts w:hint="eastAsia" w:ascii="宋体" w:hAnsi="宋体" w:cs="宋体"/>
          <w:sz w:val="24"/>
          <w:highlight w:val="none"/>
        </w:rPr>
        <w:t>本合同组成文件包括（根据项目实际勾选）：</w:t>
      </w:r>
    </w:p>
    <w:p w14:paraId="5A309435">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 本合同协议书</w:t>
      </w:r>
    </w:p>
    <w:p w14:paraId="7ED76866">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 中标通知书</w:t>
      </w:r>
    </w:p>
    <w:p w14:paraId="17CBD7D1">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xml:space="preserve">(  ) 投标书及其附件 </w:t>
      </w:r>
    </w:p>
    <w:p w14:paraId="3D7751E7">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 本合同合同条款</w:t>
      </w:r>
    </w:p>
    <w:p w14:paraId="062554F8">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 标准、规范及有关技术文件</w:t>
      </w:r>
    </w:p>
    <w:p w14:paraId="68494B5E">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xml:space="preserve">(  ) 施工图纸及作法说明 </w:t>
      </w:r>
      <w:r>
        <w:rPr>
          <w:rFonts w:hint="eastAsia" w:ascii="宋体" w:hAnsi="宋体" w:cs="宋体"/>
          <w:sz w:val="24"/>
          <w:highlight w:val="none"/>
        </w:rPr>
        <w:tab/>
      </w:r>
    </w:p>
    <w:p w14:paraId="028D7F6D">
      <w:pPr>
        <w:spacing w:after="0" w:line="360" w:lineRule="auto"/>
        <w:ind w:firstLine="420"/>
        <w:rPr>
          <w:rFonts w:hint="eastAsia" w:ascii="宋体" w:hAnsi="宋体" w:cs="宋体"/>
          <w:sz w:val="24"/>
          <w:highlight w:val="none"/>
        </w:rPr>
      </w:pPr>
      <w:r>
        <w:rPr>
          <w:rFonts w:hint="eastAsia" w:ascii="宋体" w:hAnsi="宋体" w:cs="宋体"/>
          <w:sz w:val="24"/>
          <w:highlight w:val="none"/>
        </w:rPr>
        <w:t>(  ) 工程量清单</w:t>
      </w:r>
    </w:p>
    <w:p w14:paraId="772A3B4E">
      <w:pPr>
        <w:spacing w:after="0" w:line="360" w:lineRule="auto"/>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  ) 工程报价单或预算书</w:t>
      </w:r>
    </w:p>
    <w:p w14:paraId="2E94C173">
      <w:pPr>
        <w:spacing w:after="0" w:line="360" w:lineRule="auto"/>
        <w:ind w:firstLine="420"/>
        <w:rPr>
          <w:rFonts w:hint="eastAsia" w:ascii="宋体" w:hAnsi="宋体" w:cs="宋体"/>
          <w:sz w:val="24"/>
          <w:highlight w:val="none"/>
        </w:rPr>
      </w:pPr>
      <w:r>
        <w:rPr>
          <w:rFonts w:hint="eastAsia" w:ascii="宋体" w:hAnsi="宋体" w:cs="宋体"/>
          <w:sz w:val="24"/>
          <w:highlight w:val="none"/>
        </w:rPr>
        <w:t>双方就本工程签订的洽商、变更等书面协议或文件视为本合同的组成部分。</w:t>
      </w:r>
    </w:p>
    <w:p w14:paraId="313D926B">
      <w:pPr>
        <w:spacing w:after="0" w:line="360" w:lineRule="auto"/>
        <w:rPr>
          <w:rFonts w:hint="eastAsia" w:ascii="宋体" w:hAnsi="宋体" w:cs="宋体"/>
          <w:sz w:val="24"/>
          <w:highlight w:val="none"/>
        </w:rPr>
      </w:pPr>
      <w:r>
        <w:rPr>
          <w:rFonts w:hint="eastAsia" w:ascii="宋体" w:hAnsi="宋体" w:cs="宋体"/>
          <w:sz w:val="24"/>
          <w:highlight w:val="none"/>
        </w:rPr>
        <w:t>七、本协议书中有关词语含义与本合同第二部分《合同条款》分别赋予它们的定义相同。</w:t>
      </w:r>
    </w:p>
    <w:p w14:paraId="7B8A1466">
      <w:pPr>
        <w:spacing w:after="0" w:line="360" w:lineRule="auto"/>
        <w:rPr>
          <w:rFonts w:hint="eastAsia" w:ascii="宋体" w:hAnsi="宋体" w:cs="宋体"/>
          <w:sz w:val="24"/>
          <w:highlight w:val="none"/>
        </w:rPr>
      </w:pPr>
      <w:r>
        <w:rPr>
          <w:rFonts w:hint="eastAsia" w:ascii="宋体" w:hAnsi="宋体" w:cs="宋体"/>
          <w:sz w:val="24"/>
          <w:highlight w:val="none"/>
        </w:rPr>
        <w:t>八、承包人向发包人承诺按照合同约定进行施工、竣工并在质量保修期内承担工程质量保修责任。</w:t>
      </w:r>
    </w:p>
    <w:p w14:paraId="1190BF71">
      <w:pPr>
        <w:spacing w:after="0" w:line="360" w:lineRule="auto"/>
        <w:rPr>
          <w:rFonts w:hint="eastAsia" w:ascii="宋体" w:hAnsi="宋体" w:cs="宋体"/>
          <w:sz w:val="24"/>
          <w:highlight w:val="none"/>
        </w:rPr>
      </w:pPr>
      <w:r>
        <w:rPr>
          <w:rFonts w:hint="eastAsia" w:ascii="宋体" w:hAnsi="宋体" w:cs="宋体"/>
          <w:sz w:val="24"/>
          <w:highlight w:val="none"/>
        </w:rPr>
        <w:t>九、发包人向承包人承诺按照合同约定的期限和方式支付合同价款及其他应支付的款项。</w:t>
      </w:r>
    </w:p>
    <w:p w14:paraId="62829900">
      <w:pPr>
        <w:spacing w:after="0" w:line="360" w:lineRule="auto"/>
        <w:rPr>
          <w:rFonts w:hint="eastAsia" w:ascii="宋体" w:hAnsi="宋体" w:cs="宋体"/>
          <w:sz w:val="24"/>
          <w:highlight w:val="none"/>
        </w:rPr>
      </w:pPr>
      <w:r>
        <w:rPr>
          <w:rFonts w:hint="eastAsia" w:ascii="宋体" w:hAnsi="宋体" w:cs="宋体"/>
          <w:sz w:val="24"/>
          <w:highlight w:val="none"/>
        </w:rPr>
        <w:t>十、合同生效</w:t>
      </w:r>
    </w:p>
    <w:p w14:paraId="3A4203AE">
      <w:pPr>
        <w:spacing w:after="0" w:line="360" w:lineRule="auto"/>
        <w:rPr>
          <w:rFonts w:hint="eastAsia" w:ascii="宋体" w:hAnsi="宋体" w:cs="宋体"/>
          <w:sz w:val="24"/>
          <w:highlight w:val="none"/>
        </w:rPr>
      </w:pPr>
      <w:r>
        <w:rPr>
          <w:rFonts w:hint="eastAsia" w:ascii="宋体" w:hAnsi="宋体" w:cs="宋体"/>
          <w:sz w:val="24"/>
          <w:highlight w:val="none"/>
        </w:rPr>
        <w:t>本合同自双方法定代表人或授权代表签字（或签章）并加盖公章（或合同专用章）后生效。</w:t>
      </w:r>
    </w:p>
    <w:p w14:paraId="38A53633">
      <w:pPr>
        <w:spacing w:after="0" w:line="360" w:lineRule="auto"/>
        <w:rPr>
          <w:rFonts w:hint="eastAsia" w:ascii="宋体" w:hAnsi="宋体" w:cs="宋体"/>
          <w:sz w:val="24"/>
          <w:highlight w:val="none"/>
        </w:rPr>
      </w:pPr>
    </w:p>
    <w:p w14:paraId="6756973F">
      <w:pPr>
        <w:spacing w:after="0" w:line="360" w:lineRule="auto"/>
        <w:rPr>
          <w:rFonts w:hint="eastAsia" w:ascii="宋体" w:hAnsi="宋体" w:cs="宋体"/>
          <w:sz w:val="24"/>
          <w:highlight w:val="none"/>
        </w:rPr>
      </w:pPr>
      <w:r>
        <w:rPr>
          <w:rFonts w:hint="eastAsia" w:ascii="宋体" w:hAnsi="宋体" w:cs="宋体"/>
          <w:sz w:val="24"/>
          <w:highlight w:val="none"/>
        </w:rPr>
        <w:t>发包人：（盖章）                   承包人：（盖章）</w:t>
      </w:r>
    </w:p>
    <w:p w14:paraId="7415D628">
      <w:pPr>
        <w:spacing w:after="0" w:line="360" w:lineRule="auto"/>
        <w:rPr>
          <w:rFonts w:hint="eastAsia" w:ascii="宋体" w:hAnsi="宋体" w:cs="宋体"/>
          <w:sz w:val="24"/>
          <w:highlight w:val="none"/>
        </w:rPr>
      </w:pPr>
      <w:r>
        <w:rPr>
          <w:rFonts w:hint="eastAsia" w:ascii="宋体" w:hAnsi="宋体" w:cs="宋体"/>
          <w:sz w:val="24"/>
          <w:highlight w:val="none"/>
        </w:rPr>
        <w:t>法定代表人或授权代表：             法定代表人或授权代表：</w:t>
      </w:r>
    </w:p>
    <w:p w14:paraId="5ADCD2E3">
      <w:pPr>
        <w:spacing w:after="0" w:line="360" w:lineRule="auto"/>
        <w:rPr>
          <w:rFonts w:hint="eastAsia" w:ascii="宋体" w:hAnsi="宋体" w:cs="宋体"/>
          <w:sz w:val="24"/>
          <w:highlight w:val="none"/>
        </w:rPr>
      </w:pPr>
      <w:r>
        <w:rPr>
          <w:rFonts w:hint="eastAsia" w:ascii="宋体" w:hAnsi="宋体" w:cs="宋体"/>
          <w:sz w:val="24"/>
          <w:highlight w:val="none"/>
        </w:rPr>
        <w:t>（签字或签章）                     （签字或签章）</w:t>
      </w:r>
    </w:p>
    <w:p w14:paraId="23805365">
      <w:pPr>
        <w:spacing w:after="0" w:line="360" w:lineRule="auto"/>
        <w:rPr>
          <w:rFonts w:hint="eastAsia" w:ascii="宋体" w:hAnsi="宋体" w:cs="宋体"/>
          <w:sz w:val="24"/>
          <w:highlight w:val="none"/>
        </w:rPr>
      </w:pPr>
      <w:r>
        <w:rPr>
          <w:rFonts w:hint="eastAsia" w:ascii="宋体" w:hAnsi="宋体" w:cs="宋体"/>
          <w:sz w:val="24"/>
          <w:highlight w:val="none"/>
        </w:rPr>
        <w:t xml:space="preserve">住所：                             住所：                  </w:t>
      </w:r>
    </w:p>
    <w:p w14:paraId="436879E8">
      <w:pPr>
        <w:spacing w:after="0" w:line="360" w:lineRule="auto"/>
        <w:rPr>
          <w:rFonts w:hint="eastAsia" w:ascii="宋体" w:hAnsi="宋体" w:cs="宋体"/>
          <w:sz w:val="24"/>
          <w:highlight w:val="none"/>
        </w:rPr>
      </w:pPr>
      <w:r>
        <w:rPr>
          <w:rFonts w:hint="eastAsia" w:ascii="宋体" w:hAnsi="宋体" w:cs="宋体"/>
          <w:sz w:val="24"/>
          <w:highlight w:val="none"/>
        </w:rPr>
        <w:t xml:space="preserve">电话：                             电话：                   </w:t>
      </w:r>
    </w:p>
    <w:p w14:paraId="32E65188">
      <w:pPr>
        <w:spacing w:after="0" w:line="360" w:lineRule="auto"/>
        <w:rPr>
          <w:rFonts w:hint="eastAsia" w:ascii="宋体" w:hAnsi="宋体" w:cs="宋体"/>
          <w:sz w:val="24"/>
          <w:highlight w:val="none"/>
        </w:rPr>
      </w:pPr>
      <w:r>
        <w:rPr>
          <w:rFonts w:hint="eastAsia" w:ascii="宋体" w:hAnsi="宋体" w:cs="宋体"/>
          <w:sz w:val="24"/>
          <w:highlight w:val="none"/>
        </w:rPr>
        <w:t>日期：      年     月    日        日期：      年     月    日</w:t>
      </w:r>
    </w:p>
    <w:p w14:paraId="28A3D202">
      <w:pPr>
        <w:spacing w:after="0" w:line="360" w:lineRule="auto"/>
        <w:ind w:left="3780" w:firstLine="420"/>
        <w:rPr>
          <w:rFonts w:hint="eastAsia" w:ascii="宋体" w:hAnsi="宋体" w:cs="宋体"/>
          <w:sz w:val="24"/>
          <w:highlight w:val="none"/>
        </w:rPr>
      </w:pPr>
      <w:r>
        <w:rPr>
          <w:rFonts w:hint="eastAsia" w:ascii="宋体" w:hAnsi="宋体" w:cs="宋体"/>
          <w:sz w:val="24"/>
          <w:highlight w:val="none"/>
        </w:rPr>
        <w:t xml:space="preserve">统一社会信用代码：              </w:t>
      </w:r>
    </w:p>
    <w:p w14:paraId="6D41E399">
      <w:pPr>
        <w:spacing w:after="0" w:line="360" w:lineRule="auto"/>
        <w:ind w:left="3780" w:firstLine="420"/>
        <w:rPr>
          <w:rFonts w:hint="eastAsia" w:ascii="宋体" w:hAnsi="宋体" w:cs="宋体"/>
          <w:sz w:val="24"/>
          <w:highlight w:val="none"/>
        </w:rPr>
      </w:pPr>
      <w:r>
        <w:rPr>
          <w:rFonts w:hint="eastAsia" w:ascii="宋体" w:hAnsi="宋体" w:cs="宋体"/>
          <w:sz w:val="24"/>
          <w:highlight w:val="none"/>
        </w:rPr>
        <w:t xml:space="preserve">开户行：              </w:t>
      </w:r>
    </w:p>
    <w:p w14:paraId="6B5EA152">
      <w:pPr>
        <w:spacing w:after="0" w:line="360" w:lineRule="auto"/>
        <w:ind w:left="3780" w:firstLine="420"/>
        <w:rPr>
          <w:rFonts w:hint="eastAsia" w:ascii="宋体" w:hAnsi="宋体" w:cs="宋体"/>
          <w:sz w:val="24"/>
          <w:highlight w:val="none"/>
        </w:rPr>
      </w:pPr>
      <w:r>
        <w:rPr>
          <w:rFonts w:hint="eastAsia" w:ascii="宋体" w:hAnsi="宋体" w:cs="宋体"/>
          <w:sz w:val="24"/>
          <w:highlight w:val="none"/>
        </w:rPr>
        <w:t xml:space="preserve">账号：                </w:t>
      </w:r>
    </w:p>
    <w:p w14:paraId="633F2D40">
      <w:pPr>
        <w:spacing w:after="0" w:line="360" w:lineRule="auto"/>
        <w:ind w:left="3780" w:firstLine="420"/>
        <w:rPr>
          <w:rFonts w:hint="eastAsia" w:ascii="宋体" w:hAnsi="宋体" w:cs="宋体"/>
          <w:sz w:val="24"/>
          <w:highlight w:val="none"/>
        </w:rPr>
      </w:pPr>
    </w:p>
    <w:p w14:paraId="06300A77">
      <w:pPr>
        <w:spacing w:after="0" w:line="360" w:lineRule="auto"/>
        <w:ind w:left="3780" w:firstLine="420"/>
        <w:rPr>
          <w:rFonts w:hint="eastAsia" w:ascii="宋体" w:hAnsi="宋体" w:cs="宋体"/>
          <w:sz w:val="24"/>
          <w:highlight w:val="none"/>
        </w:rPr>
      </w:pPr>
    </w:p>
    <w:p w14:paraId="1908CAE2">
      <w:pPr>
        <w:tabs>
          <w:tab w:val="left" w:pos="360"/>
        </w:tabs>
        <w:snapToGrid w:val="0"/>
        <w:spacing w:after="0" w:line="360" w:lineRule="auto"/>
        <w:jc w:val="center"/>
        <w:outlineLvl w:val="1"/>
        <w:rPr>
          <w:rFonts w:hint="eastAsia" w:ascii="宋体" w:hAnsi="宋体" w:cs="宋体"/>
          <w:b/>
          <w:bCs/>
          <w:sz w:val="28"/>
          <w:szCs w:val="28"/>
          <w:highlight w:val="none"/>
        </w:rPr>
        <w:sectPr>
          <w:headerReference r:id="rId14" w:type="default"/>
          <w:footerReference r:id="rId15" w:type="default"/>
          <w:pgSz w:w="11905" w:h="16838"/>
          <w:pgMar w:top="1474" w:right="1474" w:bottom="1474" w:left="1474" w:header="850" w:footer="992" w:gutter="0"/>
          <w:cols w:space="720" w:num="1"/>
        </w:sectPr>
      </w:pPr>
    </w:p>
    <w:p w14:paraId="30A8C50D">
      <w:pPr>
        <w:tabs>
          <w:tab w:val="left" w:pos="360"/>
        </w:tabs>
        <w:snapToGrid w:val="0"/>
        <w:spacing w:after="0" w:line="360" w:lineRule="auto"/>
        <w:jc w:val="center"/>
        <w:outlineLvl w:val="1"/>
        <w:rPr>
          <w:rFonts w:hint="eastAsia" w:ascii="宋体" w:hAnsi="宋体" w:cs="宋体"/>
          <w:b/>
          <w:bCs/>
          <w:sz w:val="28"/>
          <w:szCs w:val="28"/>
          <w:highlight w:val="none"/>
        </w:rPr>
      </w:pPr>
      <w:r>
        <w:rPr>
          <w:rFonts w:hint="eastAsia" w:ascii="宋体" w:hAnsi="宋体" w:cs="宋体"/>
          <w:b/>
          <w:bCs/>
          <w:sz w:val="28"/>
          <w:szCs w:val="28"/>
          <w:highlight w:val="none"/>
        </w:rPr>
        <w:t>第二部分  合同条款</w:t>
      </w:r>
    </w:p>
    <w:p w14:paraId="332FE89F">
      <w:pPr>
        <w:pStyle w:val="17"/>
        <w:spacing w:after="0" w:line="360" w:lineRule="auto"/>
        <w:ind w:firstLine="420"/>
        <w:rPr>
          <w:rFonts w:hint="eastAsia" w:cs="宋体"/>
          <w:highlight w:val="none"/>
        </w:rPr>
      </w:pPr>
      <w:r>
        <w:rPr>
          <w:rFonts w:hint="eastAsia" w:cs="宋体"/>
          <w:highlight w:val="none"/>
        </w:rPr>
        <w:t>第1条  词语定义</w:t>
      </w:r>
    </w:p>
    <w:p w14:paraId="5BDE5287">
      <w:pPr>
        <w:pStyle w:val="17"/>
        <w:spacing w:after="0" w:line="360" w:lineRule="auto"/>
        <w:ind w:firstLine="420"/>
        <w:rPr>
          <w:rFonts w:hint="eastAsia" w:cs="宋体"/>
          <w:highlight w:val="none"/>
        </w:rPr>
      </w:pPr>
      <w:r>
        <w:rPr>
          <w:rFonts w:hint="eastAsia" w:cs="宋体"/>
          <w:highlight w:val="none"/>
        </w:rPr>
        <w:t>下列词语除双方另有约定、补充、修改外，应具有本条所赋予的定义：</w:t>
      </w:r>
    </w:p>
    <w:p w14:paraId="47F0C04D">
      <w:pPr>
        <w:pStyle w:val="17"/>
        <w:spacing w:after="0" w:line="360" w:lineRule="auto"/>
        <w:ind w:firstLine="420"/>
        <w:rPr>
          <w:rFonts w:hint="eastAsia" w:cs="宋体"/>
          <w:highlight w:val="none"/>
        </w:rPr>
      </w:pPr>
      <w:r>
        <w:rPr>
          <w:rFonts w:hint="eastAsia" w:cs="宋体"/>
          <w:highlight w:val="none"/>
        </w:rPr>
        <w:t>1．1  合同条款：指发包人与承包人根据法律、行政法规规定，结合具体工 程实际，经协商达成一致意见的条款。</w:t>
      </w:r>
    </w:p>
    <w:p w14:paraId="4472E162">
      <w:pPr>
        <w:pStyle w:val="17"/>
        <w:spacing w:after="0" w:line="360" w:lineRule="auto"/>
        <w:ind w:firstLine="420"/>
        <w:rPr>
          <w:rFonts w:hint="eastAsia" w:cs="宋体"/>
          <w:highlight w:val="none"/>
        </w:rPr>
      </w:pPr>
      <w:r>
        <w:rPr>
          <w:rFonts w:hint="eastAsia" w:cs="宋体"/>
          <w:highlight w:val="none"/>
        </w:rPr>
        <w:t>1．2  发包人：指在协议书中约定，具有工程发包主体资格和支付工程价款 能力的当事人以及取得该当事人资格的合法继承人。</w:t>
      </w:r>
    </w:p>
    <w:p w14:paraId="460E48A2">
      <w:pPr>
        <w:pStyle w:val="17"/>
        <w:spacing w:after="0" w:line="360" w:lineRule="auto"/>
        <w:ind w:firstLine="420"/>
        <w:rPr>
          <w:rFonts w:hint="eastAsia" w:cs="宋体"/>
          <w:highlight w:val="none"/>
        </w:rPr>
      </w:pPr>
      <w:r>
        <w:rPr>
          <w:rFonts w:hint="eastAsia" w:cs="宋体"/>
          <w:highlight w:val="none"/>
        </w:rPr>
        <w:t>1．3  承包人：指在协议书中约定，被发包人接受的具有工程施工承包主体 资格的当事人以及取得该当事人资格的合法继承人。</w:t>
      </w:r>
    </w:p>
    <w:p w14:paraId="05FA26F6">
      <w:pPr>
        <w:pStyle w:val="17"/>
        <w:spacing w:after="0" w:line="360" w:lineRule="auto"/>
        <w:ind w:firstLine="420"/>
        <w:rPr>
          <w:rFonts w:hint="eastAsia" w:cs="宋体"/>
          <w:highlight w:val="none"/>
        </w:rPr>
      </w:pPr>
      <w:r>
        <w:rPr>
          <w:rFonts w:hint="eastAsia" w:cs="宋体"/>
          <w:highlight w:val="none"/>
        </w:rPr>
        <w:t>1．4  项目经理：指承包人在合同条款中指定的负责施工管理和合同履行的代表。</w:t>
      </w:r>
    </w:p>
    <w:p w14:paraId="0C2E233F">
      <w:pPr>
        <w:pStyle w:val="17"/>
        <w:spacing w:after="0" w:line="360" w:lineRule="auto"/>
        <w:ind w:firstLine="420"/>
        <w:rPr>
          <w:rFonts w:hint="eastAsia" w:cs="宋体"/>
          <w:highlight w:val="none"/>
        </w:rPr>
      </w:pPr>
      <w:r>
        <w:rPr>
          <w:rFonts w:hint="eastAsia" w:cs="宋体"/>
          <w:highlight w:val="none"/>
        </w:rPr>
        <w:t>1．5  设计单位：指发包人委托的负责本工程设计并取得相应工程设计资质等级证书的单位。</w:t>
      </w:r>
    </w:p>
    <w:p w14:paraId="05D37578">
      <w:pPr>
        <w:pStyle w:val="17"/>
        <w:spacing w:after="0" w:line="360" w:lineRule="auto"/>
        <w:ind w:firstLine="420"/>
        <w:rPr>
          <w:rFonts w:hint="eastAsia" w:cs="宋体"/>
          <w:highlight w:val="none"/>
        </w:rPr>
      </w:pPr>
      <w:r>
        <w:rPr>
          <w:rFonts w:hint="eastAsia" w:cs="宋体"/>
          <w:highlight w:val="none"/>
        </w:rPr>
        <w:t>1．6  监理单位：指发包人委托的负责本工程监理并取得相应工程监理资质 等级证书的单位。</w:t>
      </w:r>
    </w:p>
    <w:p w14:paraId="19FC0356">
      <w:pPr>
        <w:pStyle w:val="17"/>
        <w:spacing w:after="0" w:line="360" w:lineRule="auto"/>
        <w:ind w:firstLine="420"/>
        <w:rPr>
          <w:rFonts w:hint="eastAsia" w:cs="宋体"/>
          <w:highlight w:val="none"/>
        </w:rPr>
      </w:pPr>
      <w:r>
        <w:rPr>
          <w:rFonts w:hint="eastAsia" w:cs="宋体"/>
          <w:highlight w:val="none"/>
        </w:rPr>
        <w:t>1．7  工程师：指本工程监理单位委派的总监理工程师或发包人指定的履行 本合同的代表，其具体身份和职权由发包人承包人在合同条款中约定。</w:t>
      </w:r>
    </w:p>
    <w:p w14:paraId="413C7020">
      <w:pPr>
        <w:pStyle w:val="17"/>
        <w:spacing w:after="0" w:line="360" w:lineRule="auto"/>
        <w:ind w:firstLine="420"/>
        <w:rPr>
          <w:rFonts w:hint="eastAsia" w:cs="宋体"/>
          <w:highlight w:val="none"/>
        </w:rPr>
      </w:pPr>
      <w:r>
        <w:rPr>
          <w:rFonts w:hint="eastAsia" w:cs="宋体"/>
          <w:highlight w:val="none"/>
        </w:rPr>
        <w:t>1．8  工程：指发包人承包人在协议书中约定的承包范围内的工程。</w:t>
      </w:r>
    </w:p>
    <w:p w14:paraId="698EF508">
      <w:pPr>
        <w:pStyle w:val="17"/>
        <w:spacing w:after="0" w:line="360" w:lineRule="auto"/>
        <w:ind w:firstLine="420"/>
        <w:rPr>
          <w:rFonts w:hint="eastAsia" w:cs="宋体"/>
          <w:highlight w:val="none"/>
        </w:rPr>
      </w:pPr>
      <w:r>
        <w:rPr>
          <w:rFonts w:hint="eastAsia" w:cs="宋体"/>
          <w:highlight w:val="none"/>
        </w:rPr>
        <w:t>1．9  合同价款：指发包人承包人在协议书中约定，发包人用以支付承包人 按照合同约定完成承包范围内全部工程并承担质量保修责任的款项。</w:t>
      </w:r>
    </w:p>
    <w:p w14:paraId="6C10F13D">
      <w:pPr>
        <w:pStyle w:val="17"/>
        <w:spacing w:after="0" w:line="360" w:lineRule="auto"/>
        <w:ind w:firstLine="420"/>
        <w:rPr>
          <w:rFonts w:hint="eastAsia" w:cs="宋体"/>
          <w:highlight w:val="none"/>
        </w:rPr>
      </w:pPr>
      <w:r>
        <w:rPr>
          <w:rFonts w:hint="eastAsia" w:cs="宋体"/>
          <w:highlight w:val="none"/>
        </w:rPr>
        <w:t>1．10  追加合同价款：指在合同履行中发生需要增加合同价款的情况，经 发包人确认后按计算合同价款的方法增加的合同价款。</w:t>
      </w:r>
    </w:p>
    <w:p w14:paraId="142B559B">
      <w:pPr>
        <w:pStyle w:val="17"/>
        <w:spacing w:after="0" w:line="360" w:lineRule="auto"/>
        <w:ind w:firstLine="420"/>
        <w:rPr>
          <w:rFonts w:hint="eastAsia" w:cs="宋体"/>
          <w:highlight w:val="none"/>
        </w:rPr>
      </w:pPr>
      <w:r>
        <w:rPr>
          <w:rFonts w:hint="eastAsia" w:cs="宋体"/>
          <w:highlight w:val="none"/>
        </w:rPr>
        <w:t>1．11  费用：指不包含在合同价款之内的应当由发包人或承包人承担的经 济支出。</w:t>
      </w:r>
    </w:p>
    <w:p w14:paraId="1EFF3C93">
      <w:pPr>
        <w:pStyle w:val="17"/>
        <w:spacing w:after="0" w:line="360" w:lineRule="auto"/>
        <w:ind w:firstLine="420"/>
        <w:rPr>
          <w:rFonts w:hint="eastAsia" w:cs="宋体"/>
          <w:highlight w:val="none"/>
        </w:rPr>
      </w:pPr>
      <w:r>
        <w:rPr>
          <w:rFonts w:hint="eastAsia" w:cs="宋体"/>
          <w:highlight w:val="none"/>
        </w:rPr>
        <w:t>1．12  工期：指发包人承包人在协议书中约定，按总日历天数（包括法定 节假日）计算的承包天数。</w:t>
      </w:r>
    </w:p>
    <w:p w14:paraId="2DC894F8">
      <w:pPr>
        <w:pStyle w:val="17"/>
        <w:spacing w:after="0" w:line="360" w:lineRule="auto"/>
        <w:ind w:firstLine="420"/>
        <w:rPr>
          <w:rFonts w:hint="eastAsia" w:cs="宋体"/>
          <w:highlight w:val="none"/>
        </w:rPr>
      </w:pPr>
      <w:r>
        <w:rPr>
          <w:rFonts w:hint="eastAsia" w:cs="宋体"/>
          <w:highlight w:val="none"/>
        </w:rPr>
        <w:t>1．13  开工日期：指发包人承包人在协议书中约定，承包人开始施工的绝 对或相对的日期。</w:t>
      </w:r>
    </w:p>
    <w:p w14:paraId="710C6921">
      <w:pPr>
        <w:pStyle w:val="17"/>
        <w:spacing w:after="0" w:line="360" w:lineRule="auto"/>
        <w:ind w:firstLine="420"/>
        <w:rPr>
          <w:rFonts w:hint="eastAsia" w:cs="宋体"/>
          <w:highlight w:val="none"/>
        </w:rPr>
      </w:pPr>
      <w:r>
        <w:rPr>
          <w:rFonts w:hint="eastAsia" w:cs="宋体"/>
          <w:highlight w:val="none"/>
        </w:rPr>
        <w:t>1．14  竣工日期：指发包人承包人在协议书中约定，承包人完成承包范围内工程的绝对或相对的日期。</w:t>
      </w:r>
    </w:p>
    <w:p w14:paraId="5BBB7CE9">
      <w:pPr>
        <w:pStyle w:val="17"/>
        <w:spacing w:after="0" w:line="360" w:lineRule="auto"/>
        <w:ind w:firstLine="420"/>
        <w:rPr>
          <w:rFonts w:hint="eastAsia" w:cs="宋体"/>
          <w:highlight w:val="none"/>
        </w:rPr>
      </w:pPr>
      <w:r>
        <w:rPr>
          <w:rFonts w:hint="eastAsia" w:cs="宋体"/>
          <w:highlight w:val="none"/>
        </w:rPr>
        <w:t>1．15  图纸及作法说明：指由发包人提供或由承包人提供并经发包人批准， 用以满足承包人施工需要的所有图纸及作法说明（包括原工程竣工图及供本工程 使用的施工图及相应文字说明）。</w:t>
      </w:r>
    </w:p>
    <w:p w14:paraId="46C74CBF">
      <w:pPr>
        <w:pStyle w:val="17"/>
        <w:spacing w:after="0" w:line="360" w:lineRule="auto"/>
        <w:ind w:firstLine="420"/>
        <w:rPr>
          <w:rFonts w:hint="eastAsia" w:cs="宋体"/>
          <w:highlight w:val="none"/>
        </w:rPr>
      </w:pPr>
      <w:r>
        <w:rPr>
          <w:rFonts w:hint="eastAsia" w:cs="宋体"/>
          <w:highlight w:val="none"/>
        </w:rPr>
        <w:t>1．16  施工场地：指由发包人提供的用于工程施工的场所以及发包人在图 纸中具体指定的供施工使用的任何其他场所。</w:t>
      </w:r>
    </w:p>
    <w:p w14:paraId="10CC7802">
      <w:pPr>
        <w:pStyle w:val="17"/>
        <w:spacing w:after="0" w:line="360" w:lineRule="auto"/>
        <w:ind w:firstLine="420"/>
        <w:rPr>
          <w:rFonts w:hint="eastAsia" w:cs="宋体"/>
          <w:highlight w:val="none"/>
        </w:rPr>
      </w:pPr>
      <w:r>
        <w:rPr>
          <w:rFonts w:hint="eastAsia" w:cs="宋体"/>
          <w:highlight w:val="none"/>
        </w:rPr>
        <w:t>1．17  书面形式；指合同书、信件和数据电文（包括电报、电传、传真、 电子数据交换和电子邮件）等可以有形地表现所载内容的形式。</w:t>
      </w:r>
    </w:p>
    <w:p w14:paraId="12C8663B">
      <w:pPr>
        <w:pStyle w:val="17"/>
        <w:spacing w:after="0" w:line="360" w:lineRule="auto"/>
        <w:ind w:firstLine="420"/>
        <w:rPr>
          <w:rFonts w:hint="eastAsia" w:cs="宋体"/>
          <w:highlight w:val="none"/>
        </w:rPr>
      </w:pPr>
      <w:r>
        <w:rPr>
          <w:rFonts w:hint="eastAsia" w:cs="宋体"/>
          <w:highlight w:val="none"/>
        </w:rPr>
        <w:t>1．18  违约责任：指合同一方不履行合同义务或履行合同义务不符合约定 所应承担的责任。</w:t>
      </w:r>
    </w:p>
    <w:p w14:paraId="73C0BDE5">
      <w:pPr>
        <w:pStyle w:val="17"/>
        <w:spacing w:after="0" w:line="360" w:lineRule="auto"/>
        <w:ind w:firstLine="420"/>
        <w:rPr>
          <w:rFonts w:hint="eastAsia" w:cs="宋体"/>
          <w:highlight w:val="none"/>
        </w:rPr>
      </w:pPr>
      <w:r>
        <w:rPr>
          <w:rFonts w:hint="eastAsia" w:cs="宋体"/>
          <w:highlight w:val="none"/>
        </w:rPr>
        <w:t>1．19  索赔：指在合同履行过程中，对于并非自己的过错，而应由对方承 担责任的情况造成的实际损失，向对方提出经济补偿和（或）工期顺延的要求。</w:t>
      </w:r>
    </w:p>
    <w:p w14:paraId="6B5A71B4">
      <w:pPr>
        <w:pStyle w:val="17"/>
        <w:spacing w:after="0" w:line="360" w:lineRule="auto"/>
        <w:ind w:firstLine="420"/>
        <w:rPr>
          <w:rFonts w:hint="eastAsia" w:cs="宋体"/>
          <w:highlight w:val="none"/>
        </w:rPr>
      </w:pPr>
      <w:r>
        <w:rPr>
          <w:rFonts w:hint="eastAsia" w:cs="宋体"/>
          <w:highlight w:val="none"/>
        </w:rPr>
        <w:t>1．20  不可抗力：指不能预见，不能避免并不能克服的影响本合同履行的 客观情况。</w:t>
      </w:r>
    </w:p>
    <w:p w14:paraId="7EF439C0">
      <w:pPr>
        <w:pStyle w:val="17"/>
        <w:spacing w:after="0" w:line="360" w:lineRule="auto"/>
        <w:ind w:firstLine="420"/>
        <w:rPr>
          <w:rFonts w:hint="eastAsia" w:cs="宋体"/>
          <w:highlight w:val="none"/>
        </w:rPr>
      </w:pPr>
      <w:r>
        <w:rPr>
          <w:rFonts w:hint="eastAsia" w:cs="宋体"/>
          <w:highlight w:val="none"/>
        </w:rPr>
        <w:t>1．21  小时或天：本合同中规定按小时计算时间的，从事件有效开始时计 算（不扣除休息时间）；规定按天计算时间的，开始当天不计入，从次日开始计 算。时限的最后一天是休息日或其他法定节假日的，以节假日次日为时限的最后 一天，但竣工日期除外。时限的最后一天的截止时间为当日24时。</w:t>
      </w:r>
    </w:p>
    <w:p w14:paraId="45A62FAD">
      <w:pPr>
        <w:pStyle w:val="17"/>
        <w:spacing w:after="0" w:line="360" w:lineRule="auto"/>
        <w:ind w:firstLine="420"/>
        <w:rPr>
          <w:rFonts w:hint="eastAsia" w:cs="宋体"/>
          <w:highlight w:val="none"/>
        </w:rPr>
      </w:pPr>
      <w:r>
        <w:rPr>
          <w:rFonts w:hint="eastAsia" w:cs="宋体"/>
          <w:highlight w:val="none"/>
        </w:rPr>
        <w:t>第2条 合同文件及解释顺序</w:t>
      </w:r>
    </w:p>
    <w:p w14:paraId="3EA36AEC">
      <w:pPr>
        <w:pStyle w:val="17"/>
        <w:spacing w:after="0" w:line="360" w:lineRule="auto"/>
        <w:ind w:firstLine="420"/>
        <w:rPr>
          <w:rFonts w:hint="eastAsia" w:cs="宋体"/>
          <w:highlight w:val="none"/>
        </w:rPr>
      </w:pPr>
      <w:r>
        <w:rPr>
          <w:rFonts w:hint="eastAsia" w:cs="宋体"/>
          <w:highlight w:val="none"/>
        </w:rPr>
        <w:t>2．1  本合同文件相互解释、互为说明。双方约定组成本合同的文件及优先 解释顺序如下：</w:t>
      </w:r>
    </w:p>
    <w:p w14:paraId="20E0212B">
      <w:pPr>
        <w:pStyle w:val="17"/>
        <w:spacing w:after="0" w:line="360" w:lineRule="auto"/>
        <w:ind w:firstLine="420"/>
        <w:rPr>
          <w:rFonts w:hint="eastAsia" w:cs="宋体"/>
          <w:highlight w:val="none"/>
        </w:rPr>
      </w:pPr>
      <w:r>
        <w:rPr>
          <w:rFonts w:hint="eastAsia" w:cs="宋体"/>
          <w:highlight w:val="none"/>
        </w:rPr>
        <w:t>（1）合同协议书；</w:t>
      </w:r>
    </w:p>
    <w:p w14:paraId="78CF6806">
      <w:pPr>
        <w:pStyle w:val="17"/>
        <w:spacing w:after="0" w:line="360" w:lineRule="auto"/>
        <w:ind w:firstLine="420"/>
        <w:rPr>
          <w:rFonts w:hint="eastAsia" w:cs="宋体"/>
          <w:highlight w:val="none"/>
        </w:rPr>
      </w:pPr>
      <w:r>
        <w:rPr>
          <w:rFonts w:hint="eastAsia" w:cs="宋体"/>
          <w:highlight w:val="none"/>
        </w:rPr>
        <w:t>（2）本合同条款；</w:t>
      </w:r>
    </w:p>
    <w:p w14:paraId="3C96C198">
      <w:pPr>
        <w:pStyle w:val="17"/>
        <w:spacing w:after="0" w:line="360" w:lineRule="auto"/>
        <w:ind w:firstLine="420"/>
        <w:rPr>
          <w:rFonts w:hint="eastAsia" w:cs="宋体"/>
          <w:highlight w:val="none"/>
        </w:rPr>
      </w:pPr>
      <w:r>
        <w:rPr>
          <w:rFonts w:hint="eastAsia" w:cs="宋体"/>
          <w:highlight w:val="none"/>
        </w:rPr>
        <w:t>（3）工程报价单或预算书；</w:t>
      </w:r>
    </w:p>
    <w:p w14:paraId="14876B25">
      <w:pPr>
        <w:pStyle w:val="17"/>
        <w:spacing w:after="0" w:line="360" w:lineRule="auto"/>
        <w:ind w:firstLine="420"/>
        <w:rPr>
          <w:rFonts w:hint="eastAsia" w:cs="宋体"/>
          <w:highlight w:val="none"/>
        </w:rPr>
      </w:pPr>
      <w:r>
        <w:rPr>
          <w:rFonts w:hint="eastAsia" w:cs="宋体"/>
          <w:highlight w:val="none"/>
        </w:rPr>
        <w:t>（4）施工图纸及作法说明 ；</w:t>
      </w:r>
    </w:p>
    <w:p w14:paraId="3787A33B">
      <w:pPr>
        <w:pStyle w:val="17"/>
        <w:spacing w:after="0" w:line="360" w:lineRule="auto"/>
        <w:ind w:firstLine="420"/>
        <w:rPr>
          <w:rFonts w:hint="eastAsia" w:cs="宋体"/>
          <w:highlight w:val="none"/>
        </w:rPr>
      </w:pPr>
      <w:r>
        <w:rPr>
          <w:rFonts w:hint="eastAsia" w:cs="宋体"/>
          <w:highlight w:val="none"/>
        </w:rPr>
        <w:t>（5）工程量清单；</w:t>
      </w:r>
    </w:p>
    <w:p w14:paraId="7F58EE0F">
      <w:pPr>
        <w:pStyle w:val="17"/>
        <w:spacing w:after="0" w:line="360" w:lineRule="auto"/>
        <w:ind w:firstLine="420"/>
        <w:rPr>
          <w:rFonts w:hint="eastAsia" w:cs="宋体"/>
          <w:highlight w:val="none"/>
        </w:rPr>
      </w:pPr>
      <w:r>
        <w:rPr>
          <w:rFonts w:hint="eastAsia" w:cs="宋体"/>
          <w:highlight w:val="none"/>
        </w:rPr>
        <w:t>（6）其它合同文件。</w:t>
      </w:r>
    </w:p>
    <w:p w14:paraId="6F12E930">
      <w:pPr>
        <w:pStyle w:val="17"/>
        <w:spacing w:after="0" w:line="360" w:lineRule="auto"/>
        <w:ind w:firstLine="420"/>
        <w:rPr>
          <w:rFonts w:hint="eastAsia" w:cs="宋体"/>
          <w:highlight w:val="none"/>
        </w:rPr>
      </w:pPr>
      <w:r>
        <w:rPr>
          <w:rFonts w:hint="eastAsia" w:cs="宋体"/>
          <w:highlight w:val="none"/>
        </w:rPr>
        <w:t>2．2  当合同文件内容含糊不清或不一致时，在不影响工程正常进行的情况下， 由双方协商解决。实行监理的工程可请监理工程师做出解释。协商不成或不同意 监理工程师做出的解释，按本合同条款第16．6款的约定处理。</w:t>
      </w:r>
    </w:p>
    <w:p w14:paraId="75DC7554">
      <w:pPr>
        <w:pStyle w:val="17"/>
        <w:spacing w:after="0" w:line="360" w:lineRule="auto"/>
        <w:ind w:firstLine="420"/>
        <w:rPr>
          <w:rFonts w:hint="eastAsia" w:cs="宋体"/>
          <w:highlight w:val="none"/>
        </w:rPr>
      </w:pPr>
      <w:r>
        <w:rPr>
          <w:rFonts w:hint="eastAsia" w:cs="宋体"/>
          <w:highlight w:val="none"/>
        </w:rPr>
        <w:t>第3条 语言文字及运用的法律、法规、标准和规范</w:t>
      </w:r>
    </w:p>
    <w:p w14:paraId="6AEF7620">
      <w:pPr>
        <w:pStyle w:val="17"/>
        <w:spacing w:after="0" w:line="360" w:lineRule="auto"/>
        <w:ind w:firstLine="420"/>
        <w:rPr>
          <w:rFonts w:hint="eastAsia" w:cs="宋体"/>
          <w:highlight w:val="none"/>
        </w:rPr>
      </w:pPr>
      <w:r>
        <w:rPr>
          <w:rFonts w:hint="eastAsia" w:cs="宋体"/>
          <w:highlight w:val="none"/>
        </w:rPr>
        <w:t>3．1  本合同文件使用汉语语言文字书写、解释和说明。</w:t>
      </w:r>
    </w:p>
    <w:p w14:paraId="7BDD0927">
      <w:pPr>
        <w:pStyle w:val="17"/>
        <w:spacing w:after="0" w:line="360" w:lineRule="auto"/>
        <w:ind w:firstLine="420"/>
        <w:rPr>
          <w:rFonts w:hint="eastAsia" w:cs="宋体"/>
          <w:highlight w:val="none"/>
        </w:rPr>
      </w:pPr>
      <w:r>
        <w:rPr>
          <w:rFonts w:hint="eastAsia" w:cs="宋体"/>
          <w:highlight w:val="none"/>
        </w:rPr>
        <w:t>3．2  国家法律、法规、部门规章及本市地方性法规和相关规定对本合同具 有约束力；国家标准、规范和本市有关部门颁发的标准和规范适用于本工程。结 合本工程特点，需进一步明示的法律、法规、标准、规范及相关规定的有：民法 典、建筑法、建设工程质量管理条例、建设工程安全生产管理条例、绿色建筑工 程验收规范等国家和北京市的相关法律、法规及工程建设标准强制性条文相关部 分的规定。执行国家及北京市有关标准、规范，当国家和地方的规定指示不一致 时，应执行其中最高标准。</w:t>
      </w:r>
    </w:p>
    <w:p w14:paraId="154F4DF7">
      <w:pPr>
        <w:pStyle w:val="17"/>
        <w:spacing w:after="0" w:line="360" w:lineRule="auto"/>
        <w:ind w:firstLine="420"/>
        <w:rPr>
          <w:rFonts w:hint="eastAsia" w:cs="宋体"/>
          <w:highlight w:val="none"/>
        </w:rPr>
      </w:pPr>
      <w:r>
        <w:rPr>
          <w:rFonts w:hint="eastAsia" w:cs="宋体"/>
          <w:highlight w:val="none"/>
        </w:rPr>
        <w:t>3．3  国内没有相关标准、规范的部分：  /   应由发包人在  /   日内，提 出技术要求；承包人在  /   日内按发包人要求提出施工工艺，经发包人认可后 执行。发包人要求使用国外标准、规范的，应负责提供中文译本。购买、翻译标 准、规范或制定施工工艺的费用，由发包人承担。</w:t>
      </w:r>
    </w:p>
    <w:p w14:paraId="7AB9FC4F">
      <w:pPr>
        <w:pStyle w:val="17"/>
        <w:spacing w:after="0" w:line="360" w:lineRule="auto"/>
        <w:ind w:firstLine="420"/>
        <w:rPr>
          <w:rFonts w:hint="eastAsia" w:cs="宋体"/>
          <w:highlight w:val="none"/>
        </w:rPr>
      </w:pPr>
      <w:r>
        <w:rPr>
          <w:rFonts w:hint="eastAsia" w:cs="宋体"/>
          <w:highlight w:val="none"/>
        </w:rPr>
        <w:t>第4条  工程师及项目经理</w:t>
      </w:r>
    </w:p>
    <w:p w14:paraId="63806B4C">
      <w:pPr>
        <w:pStyle w:val="17"/>
        <w:spacing w:after="0" w:line="360" w:lineRule="auto"/>
        <w:ind w:firstLine="420"/>
        <w:rPr>
          <w:rFonts w:hint="eastAsia" w:cs="宋体"/>
          <w:highlight w:val="none"/>
        </w:rPr>
      </w:pPr>
      <w:r>
        <w:rPr>
          <w:rFonts w:hint="eastAsia" w:cs="宋体"/>
          <w:highlight w:val="none"/>
        </w:rPr>
        <w:t>4．1  发包人委托对本工程进行工程监理，监理工程师姓名职务，其职权主要内容：负责施工范围内所有工程技术、组 织设计、施工方案、使用材料和施工质量的检验。发包人应在实施监理前将受委 托的监理单位及监理工程师等详细内容和权限以书面形式通知承包人。</w:t>
      </w:r>
    </w:p>
    <w:p w14:paraId="730518E5">
      <w:pPr>
        <w:pStyle w:val="17"/>
        <w:spacing w:after="0" w:line="360" w:lineRule="auto"/>
        <w:ind w:firstLine="420"/>
        <w:rPr>
          <w:rFonts w:hint="eastAsia" w:cs="宋体"/>
          <w:highlight w:val="none"/>
        </w:rPr>
      </w:pPr>
      <w:r>
        <w:rPr>
          <w:rFonts w:hint="eastAsia" w:cs="宋体"/>
          <w:highlight w:val="none"/>
        </w:rPr>
        <w:t>4．2  发包人派驻施工场地的工程师姓名：</w:t>
      </w:r>
      <w:r>
        <w:rPr>
          <w:rFonts w:hint="eastAsia" w:cs="宋体"/>
          <w:highlight w:val="none"/>
          <w:u w:val="single"/>
        </w:rPr>
        <w:t xml:space="preserve">     </w:t>
      </w:r>
      <w:r>
        <w:rPr>
          <w:rFonts w:hint="eastAsia" w:cs="宋体"/>
          <w:highlight w:val="none"/>
        </w:rPr>
        <w:t xml:space="preserve"> 职务：</w:t>
      </w:r>
      <w:r>
        <w:rPr>
          <w:rFonts w:hint="eastAsia" w:cs="宋体"/>
          <w:highlight w:val="none"/>
          <w:u w:val="single"/>
        </w:rPr>
        <w:t xml:space="preserve">         </w:t>
      </w:r>
      <w:r>
        <w:rPr>
          <w:rFonts w:hint="eastAsia" w:cs="宋体"/>
          <w:highlight w:val="none"/>
        </w:rPr>
        <w:t xml:space="preserve">      </w:t>
      </w:r>
    </w:p>
    <w:p w14:paraId="225FD9A6">
      <w:pPr>
        <w:pStyle w:val="17"/>
        <w:spacing w:after="0" w:line="360" w:lineRule="auto"/>
        <w:ind w:firstLine="420"/>
        <w:rPr>
          <w:rFonts w:hint="eastAsia" w:cs="宋体"/>
          <w:highlight w:val="none"/>
        </w:rPr>
      </w:pPr>
      <w:r>
        <w:rPr>
          <w:rFonts w:hint="eastAsia" w:cs="宋体"/>
          <w:highlight w:val="none"/>
        </w:rPr>
        <w:t>（1）本工程如实行监理，发包人派驻工程师的职权不得与监理工程师交叉， 其具体职权：_负责有关单位的组织协调、审查施工组织设计和技术方案、签署 设计变更及洽商文件、参加工地例会、工程竣工验收。</w:t>
      </w:r>
    </w:p>
    <w:p w14:paraId="6DE62F4F">
      <w:pPr>
        <w:pStyle w:val="17"/>
        <w:spacing w:after="0" w:line="360" w:lineRule="auto"/>
        <w:ind w:firstLine="420"/>
        <w:rPr>
          <w:rFonts w:hint="eastAsia" w:cs="宋体"/>
          <w:highlight w:val="none"/>
        </w:rPr>
      </w:pPr>
      <w:r>
        <w:rPr>
          <w:rFonts w:hint="eastAsia" w:cs="宋体"/>
          <w:highlight w:val="none"/>
        </w:rPr>
        <w:t>（2）本工程如不实行监理，发包人派驻的工程师应负责本合同全面履行。</w:t>
      </w:r>
    </w:p>
    <w:p w14:paraId="669FB9EB">
      <w:pPr>
        <w:pStyle w:val="17"/>
        <w:spacing w:after="0" w:line="360" w:lineRule="auto"/>
        <w:ind w:firstLine="420"/>
        <w:rPr>
          <w:rFonts w:hint="eastAsia" w:cs="宋体"/>
          <w:highlight w:val="none"/>
        </w:rPr>
      </w:pPr>
      <w:r>
        <w:rPr>
          <w:rFonts w:hint="eastAsia" w:cs="宋体"/>
          <w:highlight w:val="none"/>
        </w:rPr>
        <w:t>4．3  承包人委派施工场地的项目经理姓名：职务：项目经理</w:t>
      </w:r>
    </w:p>
    <w:p w14:paraId="1613397F">
      <w:pPr>
        <w:pStyle w:val="17"/>
        <w:spacing w:after="0" w:line="360" w:lineRule="auto"/>
        <w:ind w:firstLine="420"/>
        <w:rPr>
          <w:rFonts w:hint="eastAsia" w:cs="宋体"/>
          <w:highlight w:val="none"/>
        </w:rPr>
      </w:pPr>
      <w:r>
        <w:rPr>
          <w:rFonts w:hint="eastAsia" w:cs="宋体"/>
          <w:highlight w:val="none"/>
        </w:rPr>
        <w:t>4．4  项目经理具体职权：_项目经理全权代表承包人，所作出的一切行为 均对承包人发生法律效力，项目经理应专职于本工程，不得兼职于其他工程或其他职务。项目经理忽视工程质量、进度、安全等或难以胜任者，发包人有权要求 承包人更换项目经理，但承包人的履约责任不能免除。</w:t>
      </w:r>
    </w:p>
    <w:p w14:paraId="4A64FB57">
      <w:pPr>
        <w:pStyle w:val="17"/>
        <w:spacing w:after="0" w:line="360" w:lineRule="auto"/>
        <w:ind w:firstLine="420"/>
        <w:rPr>
          <w:rFonts w:hint="eastAsia" w:cs="宋体"/>
          <w:highlight w:val="none"/>
        </w:rPr>
      </w:pPr>
      <w:r>
        <w:rPr>
          <w:rFonts w:hint="eastAsia" w:cs="宋体"/>
          <w:highlight w:val="none"/>
        </w:rPr>
        <w:t>第5条  发包人工作</w:t>
      </w:r>
    </w:p>
    <w:p w14:paraId="40822F46">
      <w:pPr>
        <w:pStyle w:val="17"/>
        <w:spacing w:after="0" w:line="360" w:lineRule="auto"/>
        <w:ind w:firstLine="420"/>
        <w:rPr>
          <w:rFonts w:hint="eastAsia" w:cs="宋体"/>
          <w:highlight w:val="none"/>
        </w:rPr>
      </w:pPr>
      <w:r>
        <w:rPr>
          <w:rFonts w:hint="eastAsia" w:cs="宋体"/>
          <w:highlight w:val="none"/>
        </w:rPr>
        <w:t>5．1  在开工前  /   天，向承包人提供图纸及作法说明  /   份，组织设计 单位和承包人对图纸及作法说明进行技术交底。如使用国外图纸的，其翻译等费 用由发包人承担。</w:t>
      </w:r>
    </w:p>
    <w:p w14:paraId="0476543A">
      <w:pPr>
        <w:pStyle w:val="17"/>
        <w:spacing w:after="0" w:line="360" w:lineRule="auto"/>
        <w:ind w:firstLine="420"/>
        <w:rPr>
          <w:rFonts w:hint="eastAsia" w:cs="宋体"/>
          <w:highlight w:val="none"/>
        </w:rPr>
      </w:pPr>
      <w:r>
        <w:rPr>
          <w:rFonts w:hint="eastAsia" w:cs="宋体"/>
          <w:highlight w:val="none"/>
        </w:rPr>
        <w:t xml:space="preserve">5．2  在开工前  3   天，全部腾空或部分腾空被修缮或装修的房屋，清除 施工场地内各种障碍物，对只能部分腾空的房屋或施工场地滞留的家具、设备、 陈设及其他物品采取保护措施。提供施工场地及施工通道的范围：  /  </w:t>
      </w:r>
    </w:p>
    <w:p w14:paraId="46542CF5">
      <w:pPr>
        <w:pStyle w:val="17"/>
        <w:spacing w:after="0" w:line="360" w:lineRule="auto"/>
        <w:ind w:firstLine="420"/>
        <w:rPr>
          <w:rFonts w:hint="eastAsia" w:cs="宋体"/>
          <w:highlight w:val="none"/>
        </w:rPr>
      </w:pPr>
      <w:r>
        <w:rPr>
          <w:rFonts w:hint="eastAsia" w:cs="宋体"/>
          <w:highlight w:val="none"/>
        </w:rPr>
        <w:t>5．3  向承包人提供地质和各种管线资料，并保证其真实性。</w:t>
      </w:r>
    </w:p>
    <w:p w14:paraId="3795DB21">
      <w:pPr>
        <w:pStyle w:val="17"/>
        <w:spacing w:after="0" w:line="360" w:lineRule="auto"/>
        <w:ind w:firstLine="420"/>
        <w:rPr>
          <w:rFonts w:hint="eastAsia" w:cs="宋体"/>
          <w:highlight w:val="none"/>
        </w:rPr>
      </w:pPr>
      <w:r>
        <w:rPr>
          <w:rFonts w:hint="eastAsia" w:cs="宋体"/>
          <w:highlight w:val="none"/>
        </w:rPr>
        <w:t>5．4  负责办理施工所涉及的各种申请、批件手续，向承包人提供施工所需水、电、气、电讯设备等，并说明使用注意事项及其他要求。</w:t>
      </w:r>
    </w:p>
    <w:p w14:paraId="59C827E7">
      <w:pPr>
        <w:pStyle w:val="17"/>
        <w:spacing w:after="0" w:line="360" w:lineRule="auto"/>
        <w:ind w:firstLine="420"/>
        <w:rPr>
          <w:rFonts w:hint="eastAsia" w:cs="宋体"/>
          <w:highlight w:val="none"/>
        </w:rPr>
      </w:pPr>
      <w:r>
        <w:rPr>
          <w:rFonts w:hint="eastAsia" w:cs="宋体"/>
          <w:highlight w:val="none"/>
        </w:rPr>
        <w:t>5．5  协调做好施工场地保卫、消防、垃圾处理工作，协调好周围邻里关系。</w:t>
      </w:r>
    </w:p>
    <w:p w14:paraId="538A0CF2">
      <w:pPr>
        <w:pStyle w:val="17"/>
        <w:spacing w:after="0" w:line="360" w:lineRule="auto"/>
        <w:ind w:firstLine="420"/>
        <w:rPr>
          <w:rFonts w:hint="eastAsia" w:cs="宋体"/>
          <w:highlight w:val="none"/>
        </w:rPr>
      </w:pPr>
      <w:r>
        <w:rPr>
          <w:rFonts w:hint="eastAsia" w:cs="宋体"/>
          <w:highlight w:val="none"/>
        </w:rPr>
        <w:t>5．6  结构修缮或设备及设备管线更新改造工程应有相应的图纸及作法说明， 并报有关部门审批。非结构修缮或设备及设备管线更新改造工程，如需拆改原建  筑结构、设备及设备管线，应向有关部门办理审批手续。</w:t>
      </w:r>
    </w:p>
    <w:p w14:paraId="12FE6A4D">
      <w:pPr>
        <w:pStyle w:val="17"/>
        <w:spacing w:after="0" w:line="360" w:lineRule="auto"/>
        <w:ind w:firstLine="420"/>
        <w:rPr>
          <w:rFonts w:hint="eastAsia" w:cs="宋体"/>
          <w:highlight w:val="none"/>
        </w:rPr>
      </w:pPr>
      <w:r>
        <w:rPr>
          <w:rFonts w:hint="eastAsia" w:cs="宋体"/>
          <w:highlight w:val="none"/>
        </w:rPr>
        <w:t>5．7  发包人应完成5.2、5.3、5.4、5.5、5.6各项工作或其他工作，发包 人可将其部分工作委托承包人办理，其具体内容：  /   并承担相应费用。</w:t>
      </w:r>
    </w:p>
    <w:p w14:paraId="4F357CA0">
      <w:pPr>
        <w:pStyle w:val="17"/>
        <w:spacing w:after="0" w:line="360" w:lineRule="auto"/>
        <w:ind w:firstLine="420"/>
        <w:rPr>
          <w:rFonts w:hint="eastAsia" w:cs="宋体"/>
          <w:highlight w:val="none"/>
        </w:rPr>
      </w:pPr>
      <w:r>
        <w:rPr>
          <w:rFonts w:hint="eastAsia" w:cs="宋体"/>
          <w:highlight w:val="none"/>
        </w:rPr>
        <w:t>5．8  发包人对工程质量、进度进行验收和检查，按约定拨付工程款，办理 竣工验收结算和其他各项事宜。</w:t>
      </w:r>
    </w:p>
    <w:p w14:paraId="471BF793">
      <w:pPr>
        <w:pStyle w:val="17"/>
        <w:spacing w:after="0" w:line="360" w:lineRule="auto"/>
        <w:ind w:firstLine="420"/>
        <w:rPr>
          <w:rFonts w:hint="eastAsia" w:cs="宋体"/>
          <w:highlight w:val="none"/>
        </w:rPr>
      </w:pPr>
      <w:r>
        <w:rPr>
          <w:rFonts w:hint="eastAsia" w:cs="宋体"/>
          <w:highlight w:val="none"/>
        </w:rPr>
        <w:t>第6条  承包人工作</w:t>
      </w:r>
    </w:p>
    <w:p w14:paraId="4A070214">
      <w:pPr>
        <w:pStyle w:val="17"/>
        <w:spacing w:after="0" w:line="360" w:lineRule="auto"/>
        <w:ind w:firstLine="420"/>
        <w:rPr>
          <w:rFonts w:hint="eastAsia" w:cs="宋体"/>
          <w:highlight w:val="none"/>
        </w:rPr>
      </w:pPr>
      <w:r>
        <w:rPr>
          <w:rFonts w:hint="eastAsia" w:cs="宋体"/>
          <w:highlight w:val="none"/>
        </w:rPr>
        <w:t>6．1  承包人按双方约定的时间参加图纸及作法说明交底会或发包人组织的 其他会议，拟定施工组织设计和进度计划，交工程师审定。</w:t>
      </w:r>
    </w:p>
    <w:p w14:paraId="3C423970">
      <w:pPr>
        <w:pStyle w:val="17"/>
        <w:spacing w:after="0" w:line="360" w:lineRule="auto"/>
        <w:ind w:firstLine="420"/>
        <w:rPr>
          <w:rFonts w:hint="eastAsia" w:cs="宋体"/>
          <w:highlight w:val="none"/>
        </w:rPr>
      </w:pPr>
      <w:r>
        <w:rPr>
          <w:rFonts w:hint="eastAsia" w:cs="宋体"/>
          <w:highlight w:val="none"/>
        </w:rPr>
        <w:t>6．2  严格按照标准、规范、图纸及作法说明、安全操作规程、消防安全规 定、环保规定认真组织施工，做好施工场地安全、保卫、消防、清洁工作；做好 质量验收记录；参加竣工验收；编制工程结算。</w:t>
      </w:r>
    </w:p>
    <w:p w14:paraId="534ABC36">
      <w:pPr>
        <w:pStyle w:val="17"/>
        <w:spacing w:after="0" w:line="360" w:lineRule="auto"/>
        <w:ind w:firstLine="420"/>
        <w:rPr>
          <w:rFonts w:hint="eastAsia" w:cs="宋体"/>
          <w:highlight w:val="none"/>
        </w:rPr>
      </w:pPr>
      <w:r>
        <w:rPr>
          <w:rFonts w:hint="eastAsia" w:cs="宋体"/>
          <w:highlight w:val="none"/>
        </w:rPr>
        <w:t>6．3  按照有关规定，妥善保护好周围建筑物、设备及设备管线、古树名木 及施工场地内不易移动的家具、设备、陈设不受损坏。处理好因施工带来的扰民 问题及周围单位、住户关系。</w:t>
      </w:r>
    </w:p>
    <w:p w14:paraId="30B01D5E">
      <w:pPr>
        <w:pStyle w:val="17"/>
        <w:spacing w:after="0" w:line="360" w:lineRule="auto"/>
        <w:ind w:firstLine="420"/>
        <w:rPr>
          <w:rFonts w:hint="eastAsia" w:cs="宋体"/>
          <w:highlight w:val="none"/>
        </w:rPr>
      </w:pPr>
      <w:r>
        <w:rPr>
          <w:rFonts w:hint="eastAsia" w:cs="宋体"/>
          <w:highlight w:val="none"/>
        </w:rPr>
        <w:t>6．4  不得超出图纸及作法说明的规定或发包人要求，随意拆改原建筑结构 或设备及设备管线。</w:t>
      </w:r>
    </w:p>
    <w:p w14:paraId="50756B7D">
      <w:pPr>
        <w:pStyle w:val="17"/>
        <w:spacing w:after="0" w:line="360" w:lineRule="auto"/>
        <w:ind w:firstLine="420"/>
        <w:rPr>
          <w:rFonts w:hint="eastAsia" w:cs="宋体"/>
          <w:highlight w:val="none"/>
        </w:rPr>
      </w:pPr>
      <w:r>
        <w:rPr>
          <w:rFonts w:hint="eastAsia" w:cs="宋体"/>
          <w:highlight w:val="none"/>
        </w:rPr>
        <w:t>6．5  工程竣工未交付发包人之前，负责对施工场地原有建筑物及家具、设 备、陈设和成品的保护工作。</w:t>
      </w:r>
    </w:p>
    <w:p w14:paraId="78996C12">
      <w:pPr>
        <w:pStyle w:val="17"/>
        <w:spacing w:after="0" w:line="360" w:lineRule="auto"/>
        <w:ind w:firstLine="420"/>
        <w:rPr>
          <w:rFonts w:hint="eastAsia" w:cs="宋体"/>
          <w:highlight w:val="none"/>
        </w:rPr>
      </w:pPr>
      <w:r>
        <w:rPr>
          <w:rFonts w:hint="eastAsia" w:cs="宋体"/>
          <w:highlight w:val="none"/>
        </w:rPr>
        <w:t>6．6  凡因承包人原因，违反6.2、6.3、6.4、6.5款的规定，造成损坏和罚 款等费用，均由承包人承担。</w:t>
      </w:r>
    </w:p>
    <w:p w14:paraId="5B5AFD77">
      <w:pPr>
        <w:pStyle w:val="17"/>
        <w:spacing w:after="0" w:line="360" w:lineRule="auto"/>
        <w:ind w:firstLine="420"/>
        <w:rPr>
          <w:rFonts w:hint="eastAsia" w:cs="宋体"/>
          <w:highlight w:val="none"/>
        </w:rPr>
      </w:pPr>
      <w:r>
        <w:rPr>
          <w:rFonts w:hint="eastAsia" w:cs="宋体"/>
          <w:highlight w:val="none"/>
        </w:rPr>
        <w:t>6．7  协助发包人完成5．7款约定的其他各项工作。</w:t>
      </w:r>
    </w:p>
    <w:p w14:paraId="455E0ABE">
      <w:pPr>
        <w:pStyle w:val="17"/>
        <w:spacing w:after="0" w:line="360" w:lineRule="auto"/>
        <w:ind w:firstLine="420"/>
        <w:rPr>
          <w:rFonts w:hint="eastAsia" w:cs="宋体"/>
          <w:highlight w:val="none"/>
        </w:rPr>
      </w:pPr>
      <w:r>
        <w:rPr>
          <w:rFonts w:hint="eastAsia" w:cs="宋体"/>
          <w:highlight w:val="none"/>
        </w:rPr>
        <w:t>第7条  施工进度与工期</w:t>
      </w:r>
    </w:p>
    <w:p w14:paraId="4FD2CD0B">
      <w:pPr>
        <w:pStyle w:val="17"/>
        <w:spacing w:after="0" w:line="360" w:lineRule="auto"/>
        <w:ind w:firstLine="420"/>
        <w:rPr>
          <w:rFonts w:hint="eastAsia" w:cs="宋体"/>
          <w:highlight w:val="none"/>
        </w:rPr>
      </w:pPr>
      <w:r>
        <w:rPr>
          <w:rFonts w:hint="eastAsia" w:cs="宋体"/>
          <w:highlight w:val="none"/>
        </w:rPr>
        <w:t>7．1  承包人向工程师提供施工组织设计和工程进度计划内容和时间：开工  前3天，工程师在收到后  3   天内予以确认或提出修改意见。承包人按照经确认  的施工组织设计和工程进度计划组织施工。因发包人原因导致工程不能按期开工， 工期顺延。因承包人原因，不能按期开工，应以书面形式向工程师提出延期开工  的理由和申请，工程师应在48小时以内给予答复，工程师不同意的，工期不予顺  延。</w:t>
      </w:r>
    </w:p>
    <w:p w14:paraId="024A56C3">
      <w:pPr>
        <w:pStyle w:val="17"/>
        <w:spacing w:after="0" w:line="360" w:lineRule="auto"/>
        <w:ind w:firstLine="420"/>
        <w:rPr>
          <w:rFonts w:hint="eastAsia" w:cs="宋体"/>
          <w:highlight w:val="none"/>
        </w:rPr>
      </w:pPr>
      <w:r>
        <w:rPr>
          <w:rFonts w:hint="eastAsia" w:cs="宋体"/>
          <w:highlight w:val="none"/>
        </w:rPr>
        <w:t>7．2  工程师认为确有必要暂停施工时，应当以书面形式要求承包人暂停施 工，并在提出要求后48小时内提出处理意见，承包人应按照工程师要求停止施工， 并妥善保护已完工程。在实施工程师的处理意见后，可以书面形式提出复工要求。 工程师应在48小时以内给予答复。因发包人原因造成停工的，工期顺延；因承包 人原因造成停工，由承包人承担发生的费用，工期不予顺延。</w:t>
      </w:r>
    </w:p>
    <w:p w14:paraId="4B590507">
      <w:pPr>
        <w:pStyle w:val="17"/>
        <w:spacing w:after="0" w:line="360" w:lineRule="auto"/>
        <w:ind w:firstLine="420"/>
        <w:rPr>
          <w:rFonts w:hint="eastAsia" w:cs="宋体"/>
          <w:highlight w:val="none"/>
        </w:rPr>
      </w:pPr>
      <w:r>
        <w:rPr>
          <w:rFonts w:hint="eastAsia" w:cs="宋体"/>
          <w:highlight w:val="none"/>
        </w:rPr>
        <w:t>7．3  因发包人未按合同约定履行义务或因设计变更增加工程量，非承包人 原因停水、停电、停气7天内累计超过8小时，以及不可抗力等致使工程不能正常 进行造成停工，工期延误的，经工程师认定，工期顺延。</w:t>
      </w:r>
    </w:p>
    <w:p w14:paraId="44C48850">
      <w:pPr>
        <w:pStyle w:val="17"/>
        <w:spacing w:after="0" w:line="360" w:lineRule="auto"/>
        <w:ind w:firstLine="420"/>
        <w:rPr>
          <w:rFonts w:hint="eastAsia" w:cs="宋体"/>
          <w:highlight w:val="none"/>
        </w:rPr>
      </w:pPr>
      <w:r>
        <w:rPr>
          <w:rFonts w:hint="eastAsia" w:cs="宋体"/>
          <w:highlight w:val="none"/>
        </w:rPr>
        <w:t>7．4  承包人应按协议书约定的竣工日期或工程师同意顺延的工期竣工。因 承包人原因不能按时竣工的，应承担违约责任。</w:t>
      </w:r>
    </w:p>
    <w:p w14:paraId="492BFEB4">
      <w:pPr>
        <w:pStyle w:val="17"/>
        <w:spacing w:after="0" w:line="360" w:lineRule="auto"/>
        <w:ind w:firstLine="420"/>
        <w:rPr>
          <w:rFonts w:hint="eastAsia" w:cs="宋体"/>
          <w:highlight w:val="none"/>
        </w:rPr>
      </w:pPr>
      <w:r>
        <w:rPr>
          <w:rFonts w:hint="eastAsia" w:cs="宋体"/>
          <w:highlight w:val="none"/>
        </w:rPr>
        <w:t>第8条  质量检验与隐蔽工程验收</w:t>
      </w:r>
    </w:p>
    <w:p w14:paraId="606A3895">
      <w:pPr>
        <w:pStyle w:val="17"/>
        <w:spacing w:after="0" w:line="360" w:lineRule="auto"/>
        <w:ind w:firstLine="420"/>
        <w:rPr>
          <w:rFonts w:hint="eastAsia" w:cs="宋体"/>
          <w:highlight w:val="none"/>
        </w:rPr>
      </w:pPr>
      <w:r>
        <w:rPr>
          <w:rFonts w:hint="eastAsia" w:cs="宋体"/>
          <w:highlight w:val="none"/>
        </w:rPr>
        <w:t>8．1  工程质量应达到协议书约定的标准，质量评定标准以国家或行业质量 评定标准为依据。因承包人原因工程质量达不到协议书的质量标准，承包人承担 违约责任。</w:t>
      </w:r>
    </w:p>
    <w:p w14:paraId="72A727D0">
      <w:pPr>
        <w:pStyle w:val="17"/>
        <w:spacing w:after="0" w:line="360" w:lineRule="auto"/>
        <w:ind w:firstLine="420"/>
        <w:rPr>
          <w:rFonts w:hint="eastAsia" w:cs="宋体"/>
          <w:highlight w:val="none"/>
        </w:rPr>
      </w:pPr>
      <w:r>
        <w:rPr>
          <w:rFonts w:hint="eastAsia" w:cs="宋体"/>
          <w:highlight w:val="none"/>
        </w:rPr>
        <w:t>发包人要求制作样板及样板间的，样板及样板间作为质量评定验收实物依据。</w:t>
      </w:r>
    </w:p>
    <w:p w14:paraId="7366F432">
      <w:pPr>
        <w:pStyle w:val="17"/>
        <w:spacing w:after="0" w:line="360" w:lineRule="auto"/>
        <w:ind w:firstLine="420"/>
        <w:rPr>
          <w:rFonts w:hint="eastAsia" w:cs="宋体"/>
          <w:highlight w:val="none"/>
        </w:rPr>
      </w:pPr>
      <w:r>
        <w:rPr>
          <w:rFonts w:hint="eastAsia" w:cs="宋体"/>
          <w:highlight w:val="none"/>
        </w:rPr>
        <w:t>样板及样板间应按图纸及作法说明要求制作，经工程师验收合格后双方共同封存， 其制作费用由发包人承担。</w:t>
      </w:r>
    </w:p>
    <w:p w14:paraId="2B01FB46">
      <w:pPr>
        <w:pStyle w:val="17"/>
        <w:spacing w:after="0" w:line="360" w:lineRule="auto"/>
        <w:ind w:firstLine="420"/>
        <w:rPr>
          <w:rFonts w:hint="eastAsia" w:cs="宋体"/>
          <w:highlight w:val="none"/>
        </w:rPr>
      </w:pPr>
      <w:r>
        <w:rPr>
          <w:rFonts w:hint="eastAsia" w:cs="宋体"/>
          <w:highlight w:val="none"/>
        </w:rPr>
        <w:t>8．2  双方约定隐蔽工程或中间验收部位为：/。隐蔽工程和中间验 收部位达到验收条件时，承包人在自检之后的48小时内通知工程师组织验收。承 包人准备验收记录，验收合格并由工程师在验收记录上签字后，承包人可以隐蔽 和继续施工。承包人未经工程师参加验收而自行隐蔽的，发包人可以认为该部位 不合格，对该部位工程量不予认可。</w:t>
      </w:r>
    </w:p>
    <w:p w14:paraId="230BDBE8">
      <w:pPr>
        <w:pStyle w:val="17"/>
        <w:spacing w:after="0" w:line="360" w:lineRule="auto"/>
        <w:ind w:firstLine="420"/>
        <w:rPr>
          <w:rFonts w:hint="eastAsia" w:cs="宋体"/>
          <w:highlight w:val="none"/>
        </w:rPr>
      </w:pPr>
      <w:r>
        <w:rPr>
          <w:rFonts w:hint="eastAsia" w:cs="宋体"/>
          <w:highlight w:val="none"/>
        </w:rPr>
        <w:t>8．3  承包人应按照标准、规范、图纸及作法说明，样板间以及工程师依据 合同发出的指令，随时接受工程师检查，并为检查提供便利条件。</w:t>
      </w:r>
    </w:p>
    <w:p w14:paraId="2860F489">
      <w:pPr>
        <w:pStyle w:val="17"/>
        <w:spacing w:after="0" w:line="360" w:lineRule="auto"/>
        <w:ind w:firstLine="420"/>
        <w:rPr>
          <w:rFonts w:hint="eastAsia" w:cs="宋体"/>
          <w:highlight w:val="none"/>
        </w:rPr>
      </w:pPr>
      <w:r>
        <w:rPr>
          <w:rFonts w:hint="eastAsia" w:cs="宋体"/>
          <w:highlight w:val="none"/>
        </w:rPr>
        <w:t>8．4  凡工程质量达不到协议书标准的部分，工程师一经发现，应要求承包 人拆除或重新施工，承包人应按工程师要求拆除或重新施工，直到符合约定的标 准。因承包人原因造成质量达不到约定的标准（含隐蔽工程复检部分），承包人 应承担因此而发生的拆除、剥离、开孔、返修、重做的费用，工期不予顺延。</w:t>
      </w:r>
    </w:p>
    <w:p w14:paraId="76FCC727">
      <w:pPr>
        <w:pStyle w:val="17"/>
        <w:spacing w:after="0" w:line="360" w:lineRule="auto"/>
        <w:ind w:firstLine="420"/>
        <w:rPr>
          <w:rFonts w:hint="eastAsia" w:cs="宋体"/>
          <w:highlight w:val="none"/>
        </w:rPr>
      </w:pPr>
      <w:r>
        <w:rPr>
          <w:rFonts w:hint="eastAsia" w:cs="宋体"/>
          <w:highlight w:val="none"/>
        </w:rPr>
        <w:t>8．5  凡因发包人提供的材料不合格、工程师指令失误，而造成工程质量达 不到约定标准，或隐蔽工程要求复检仍为合格的，工期顺延。</w:t>
      </w:r>
    </w:p>
    <w:p w14:paraId="0EF57B45">
      <w:pPr>
        <w:pStyle w:val="17"/>
        <w:spacing w:after="0" w:line="360" w:lineRule="auto"/>
        <w:ind w:firstLine="420"/>
        <w:rPr>
          <w:rFonts w:hint="eastAsia" w:cs="宋体"/>
          <w:highlight w:val="none"/>
        </w:rPr>
      </w:pPr>
      <w:r>
        <w:rPr>
          <w:rFonts w:hint="eastAsia" w:cs="宋体"/>
          <w:highlight w:val="none"/>
        </w:rPr>
        <w:t>8．6  双方对工程质量有争议，由双方同意的工程质量检测机构鉴定，所需 费用及由此造成的损失，由责任方承担。双方均有责任的，由双方根据其责任分 别承担。</w:t>
      </w:r>
    </w:p>
    <w:p w14:paraId="30308825">
      <w:pPr>
        <w:pStyle w:val="17"/>
        <w:spacing w:after="0" w:line="360" w:lineRule="auto"/>
        <w:ind w:firstLine="420"/>
        <w:rPr>
          <w:rFonts w:hint="eastAsia" w:cs="宋体"/>
          <w:highlight w:val="none"/>
        </w:rPr>
      </w:pPr>
      <w:r>
        <w:rPr>
          <w:rFonts w:hint="eastAsia" w:cs="宋体"/>
          <w:highlight w:val="none"/>
        </w:rPr>
        <w:t>第9条  试车</w:t>
      </w:r>
    </w:p>
    <w:p w14:paraId="0C5D9323">
      <w:pPr>
        <w:pStyle w:val="17"/>
        <w:spacing w:after="0" w:line="360" w:lineRule="auto"/>
        <w:ind w:firstLine="420"/>
        <w:rPr>
          <w:rFonts w:hint="eastAsia" w:cs="宋体"/>
          <w:highlight w:val="none"/>
        </w:rPr>
      </w:pPr>
      <w:r>
        <w:rPr>
          <w:rFonts w:hint="eastAsia" w:cs="宋体"/>
          <w:highlight w:val="none"/>
        </w:rPr>
        <w:t xml:space="preserve">9．1  双方约定需要试车的内容及范围应与承包工程范围相一致。具体内容 范围及费用计算：   /   </w:t>
      </w:r>
    </w:p>
    <w:p w14:paraId="4BF4738B">
      <w:pPr>
        <w:pStyle w:val="17"/>
        <w:spacing w:after="0" w:line="360" w:lineRule="auto"/>
        <w:ind w:firstLine="420"/>
        <w:rPr>
          <w:rFonts w:hint="eastAsia" w:cs="宋体"/>
          <w:highlight w:val="none"/>
        </w:rPr>
      </w:pPr>
      <w:r>
        <w:rPr>
          <w:rFonts w:hint="eastAsia" w:cs="宋体"/>
          <w:highlight w:val="none"/>
        </w:rPr>
        <w:t>9．2  设备维修、拆改、安装工程具备单机无负荷试车条件，由承包人组织  试车。具备无负荷联动试车条件的，由发包人组织试车。凡具备试车条件的，组  织试车一方应在试车前48小时以书面形式通知对方，并共同为试车提供便利条件。 试车合格后，在试车记录上共同签字。在规定时间内未能按时参加试车的一方应  承认试车记录。</w:t>
      </w:r>
    </w:p>
    <w:p w14:paraId="5ED3D002">
      <w:pPr>
        <w:pStyle w:val="17"/>
        <w:spacing w:after="0" w:line="360" w:lineRule="auto"/>
        <w:ind w:firstLine="420"/>
        <w:rPr>
          <w:rFonts w:hint="eastAsia" w:cs="宋体"/>
          <w:highlight w:val="none"/>
        </w:rPr>
      </w:pPr>
      <w:r>
        <w:rPr>
          <w:rFonts w:hint="eastAsia" w:cs="宋体"/>
          <w:highlight w:val="none"/>
        </w:rPr>
        <w:t>9．3  因设计原因或因发包人负责采购的原因，致使试车达不到验收要求， 应该修改设计或重新购置设备。承包人协助拆除或重新施工，工期相应顺延，承 包人不就此向发包人提出其他索赔主张。</w:t>
      </w:r>
    </w:p>
    <w:p w14:paraId="1B400FE8">
      <w:pPr>
        <w:pStyle w:val="17"/>
        <w:spacing w:after="0" w:line="360" w:lineRule="auto"/>
        <w:ind w:firstLine="420"/>
        <w:rPr>
          <w:rFonts w:hint="eastAsia" w:cs="宋体"/>
          <w:highlight w:val="none"/>
        </w:rPr>
      </w:pPr>
      <w:r>
        <w:rPr>
          <w:rFonts w:hint="eastAsia" w:cs="宋体"/>
          <w:highlight w:val="none"/>
        </w:rPr>
        <w:t>9．4  因承包人施工原因或因承包人负责采购设备原因，致使试车达不到验 收要求的，由承包人负责重新施工或购置设备的各项费用，工期不予顺延。</w:t>
      </w:r>
    </w:p>
    <w:p w14:paraId="297D9F4F">
      <w:pPr>
        <w:pStyle w:val="17"/>
        <w:spacing w:after="0" w:line="360" w:lineRule="auto"/>
        <w:ind w:firstLine="420"/>
        <w:rPr>
          <w:rFonts w:hint="eastAsia" w:cs="宋体"/>
          <w:highlight w:val="none"/>
        </w:rPr>
      </w:pPr>
      <w:r>
        <w:rPr>
          <w:rFonts w:hint="eastAsia" w:cs="宋体"/>
          <w:highlight w:val="none"/>
        </w:rPr>
        <w:t>9．5  工程师在试车后不在试车记录上签字，试车结束后24小时，视为工程 师已认可试车记录，承包人可继续施工或办理竣工手续。</w:t>
      </w:r>
    </w:p>
    <w:p w14:paraId="1C83D5AF">
      <w:pPr>
        <w:pStyle w:val="17"/>
        <w:spacing w:after="0" w:line="360" w:lineRule="auto"/>
        <w:ind w:firstLine="420"/>
        <w:rPr>
          <w:rFonts w:hint="eastAsia" w:cs="宋体"/>
          <w:highlight w:val="none"/>
        </w:rPr>
      </w:pPr>
      <w:r>
        <w:rPr>
          <w:rFonts w:hint="eastAsia" w:cs="宋体"/>
          <w:highlight w:val="none"/>
        </w:rPr>
        <w:t>第10条  安全生产</w:t>
      </w:r>
    </w:p>
    <w:p w14:paraId="6679FC6C">
      <w:pPr>
        <w:pStyle w:val="17"/>
        <w:spacing w:after="0" w:line="360" w:lineRule="auto"/>
        <w:ind w:firstLine="420"/>
        <w:rPr>
          <w:rFonts w:hint="eastAsia" w:cs="宋体"/>
          <w:highlight w:val="none"/>
        </w:rPr>
      </w:pPr>
      <w:r>
        <w:rPr>
          <w:rFonts w:hint="eastAsia" w:cs="宋体"/>
          <w:highlight w:val="none"/>
        </w:rPr>
        <w:t>10．1  承包人应当严格遵守安全生产的有关管理规定，严格按照安全生产  及防火规范组织施工，做好现场设备管线、通道等防护围栏，在危险地段安装警  示牌或警示灯，随时接受行业安全检查人员依法实施的监督检查。在动力设备、 输电线路、地下管道、密封防震车间、易燃易爆地段、有放射毒害环境、不停止  使用建筑以及在临街交通要道附近施工的，施工前应向工程师提出安全防护措施， 经工程师认可后实施，防护措施费用已包含在合同费用中。</w:t>
      </w:r>
    </w:p>
    <w:p w14:paraId="4887D75E">
      <w:pPr>
        <w:pStyle w:val="17"/>
        <w:spacing w:after="0" w:line="360" w:lineRule="auto"/>
        <w:ind w:firstLine="420"/>
        <w:rPr>
          <w:rFonts w:hint="eastAsia" w:cs="宋体"/>
          <w:highlight w:val="none"/>
        </w:rPr>
      </w:pPr>
      <w:r>
        <w:rPr>
          <w:rFonts w:hint="eastAsia" w:cs="宋体"/>
          <w:highlight w:val="none"/>
        </w:rPr>
        <w:t>10．2  发生重大伤亡事故及其他安全事故，由承包人承担全部责任。承包   人应按有关规定立即上报有关部门并通知工程师，同时按政府有关部门要求处理。</w:t>
      </w:r>
    </w:p>
    <w:p w14:paraId="63C610DD">
      <w:pPr>
        <w:pStyle w:val="17"/>
        <w:spacing w:after="0" w:line="360" w:lineRule="auto"/>
        <w:ind w:firstLine="420"/>
        <w:rPr>
          <w:rFonts w:hint="eastAsia" w:cs="宋体"/>
          <w:highlight w:val="none"/>
        </w:rPr>
      </w:pPr>
      <w:r>
        <w:rPr>
          <w:rFonts w:hint="eastAsia" w:cs="宋体"/>
          <w:highlight w:val="none"/>
        </w:rPr>
        <w:t>第11条  材料设备供应</w:t>
      </w:r>
    </w:p>
    <w:p w14:paraId="0503192A">
      <w:pPr>
        <w:pStyle w:val="17"/>
        <w:spacing w:after="0" w:line="360" w:lineRule="auto"/>
        <w:ind w:firstLine="420"/>
        <w:rPr>
          <w:rFonts w:hint="eastAsia" w:cs="宋体"/>
          <w:highlight w:val="none"/>
        </w:rPr>
      </w:pPr>
      <w:r>
        <w:rPr>
          <w:rFonts w:hint="eastAsia" w:cs="宋体"/>
          <w:highlight w:val="none"/>
        </w:rPr>
        <w:t>11．1  由承包人负责采购和供应的材料、设备，应符合质量和设计要求， 并提供产品合格证书。因承包人供应的材料、设备质量不合格或不符合设计要求， 给工程造成损失的，承包人应承担责任。</w:t>
      </w:r>
    </w:p>
    <w:p w14:paraId="0C33CEAE">
      <w:pPr>
        <w:pStyle w:val="17"/>
        <w:spacing w:after="0" w:line="360" w:lineRule="auto"/>
        <w:ind w:firstLine="420"/>
        <w:rPr>
          <w:rFonts w:hint="eastAsia" w:cs="宋体"/>
          <w:highlight w:val="none"/>
        </w:rPr>
      </w:pPr>
      <w:r>
        <w:rPr>
          <w:rFonts w:hint="eastAsia" w:cs="宋体"/>
          <w:highlight w:val="none"/>
        </w:rPr>
        <w:t>11．2  承包人应提供材料、设备的样品或样本，经承发包双方验收后共同 封存，做为材料供应和竣工验收的实物标准。凡材料不符合样品或样本的，由承 包人承担责任。</w:t>
      </w:r>
    </w:p>
    <w:p w14:paraId="6F7D5755">
      <w:pPr>
        <w:pStyle w:val="17"/>
        <w:spacing w:after="0" w:line="360" w:lineRule="auto"/>
        <w:ind w:firstLine="420"/>
        <w:rPr>
          <w:rFonts w:hint="eastAsia" w:cs="宋体"/>
          <w:highlight w:val="none"/>
        </w:rPr>
      </w:pPr>
      <w:r>
        <w:rPr>
          <w:rFonts w:hint="eastAsia" w:cs="宋体"/>
          <w:highlight w:val="none"/>
        </w:rPr>
        <w:t>第12条  合同价款与交付</w:t>
      </w:r>
    </w:p>
    <w:p w14:paraId="5DD62B4B">
      <w:pPr>
        <w:pStyle w:val="17"/>
        <w:spacing w:after="0" w:line="360" w:lineRule="auto"/>
        <w:ind w:firstLine="420"/>
        <w:rPr>
          <w:rFonts w:hint="eastAsia" w:cs="宋体"/>
          <w:highlight w:val="none"/>
        </w:rPr>
      </w:pPr>
      <w:r>
        <w:rPr>
          <w:rFonts w:hint="eastAsia" w:cs="宋体"/>
          <w:highlight w:val="none"/>
        </w:rPr>
        <w:t>12．1  合同价款由发包人承包人依据工程预算书在协议书内约定。</w:t>
      </w:r>
    </w:p>
    <w:p w14:paraId="7923A9AD">
      <w:pPr>
        <w:pStyle w:val="17"/>
        <w:spacing w:after="0" w:line="360" w:lineRule="auto"/>
        <w:ind w:firstLine="420"/>
        <w:rPr>
          <w:rFonts w:hint="eastAsia" w:cs="宋体"/>
          <w:highlight w:val="none"/>
        </w:rPr>
      </w:pPr>
      <w:r>
        <w:rPr>
          <w:rFonts w:hint="eastAsia" w:cs="宋体"/>
          <w:highlight w:val="none"/>
        </w:rPr>
        <w:t>12．2  双方约定，本合同价款采用固定价格合同方式确定。</w:t>
      </w:r>
    </w:p>
    <w:p w14:paraId="6F8B7565">
      <w:pPr>
        <w:pStyle w:val="17"/>
        <w:spacing w:after="0" w:line="360" w:lineRule="auto"/>
        <w:ind w:firstLine="420"/>
        <w:rPr>
          <w:rFonts w:hint="eastAsia" w:cs="宋体"/>
          <w:highlight w:val="none"/>
        </w:rPr>
      </w:pPr>
      <w:r>
        <w:rPr>
          <w:rFonts w:hint="eastAsia" w:cs="宋体"/>
          <w:highlight w:val="none"/>
        </w:rPr>
        <w:t>固定价格合同。合同价款中包括风险范围及计算方法：   /    在约定 的风险范围内，合同价款不再调整。风险范围以外的合同价款调整方法   /   。</w:t>
      </w:r>
    </w:p>
    <w:p w14:paraId="284ECE69">
      <w:pPr>
        <w:pStyle w:val="17"/>
        <w:spacing w:after="0" w:line="360" w:lineRule="auto"/>
        <w:ind w:firstLine="420"/>
        <w:rPr>
          <w:rFonts w:hint="eastAsia" w:cs="宋体"/>
          <w:highlight w:val="none"/>
        </w:rPr>
      </w:pPr>
      <w:r>
        <w:rPr>
          <w:rFonts w:hint="eastAsia" w:cs="宋体"/>
          <w:highlight w:val="none"/>
        </w:rPr>
        <w:t>合同签订后14日内，待财政资金到位，发包人支付承包人合同价款的50%（含全部安全措施费用）作为工程预付款，即人民币：  ，小写（￥元）。</w:t>
      </w:r>
    </w:p>
    <w:p w14:paraId="54DA3AD9">
      <w:pPr>
        <w:pStyle w:val="17"/>
        <w:spacing w:after="0" w:line="360" w:lineRule="auto"/>
        <w:ind w:firstLine="420"/>
        <w:rPr>
          <w:rFonts w:hint="eastAsia" w:cs="宋体"/>
          <w:highlight w:val="none"/>
        </w:rPr>
      </w:pPr>
      <w:r>
        <w:rPr>
          <w:rFonts w:hint="eastAsia" w:cs="宋体"/>
          <w:highlight w:val="none"/>
        </w:rPr>
        <w:t>本工程竣工验收合格后，发包人按照政府采购相关付款流程向承包人支付至合同金额的100%。最终合同金额不超过《工程预算评审报告》中的审定金额。</w:t>
      </w:r>
    </w:p>
    <w:p w14:paraId="15E557DA">
      <w:pPr>
        <w:pStyle w:val="17"/>
        <w:spacing w:after="0" w:line="360" w:lineRule="auto"/>
        <w:ind w:firstLine="420"/>
        <w:rPr>
          <w:rFonts w:hint="eastAsia" w:cs="宋体"/>
          <w:highlight w:val="none"/>
        </w:rPr>
      </w:pPr>
      <w:r>
        <w:rPr>
          <w:rFonts w:hint="eastAsia" w:cs="宋体"/>
          <w:highlight w:val="none"/>
        </w:rPr>
        <w:t>承包人以银行保函的形式同时向发包人缴纳合同金额的3%作为质量保证金， 缺陷责任期满后14日内发包人无息返还。</w:t>
      </w:r>
    </w:p>
    <w:p w14:paraId="5EEBE265">
      <w:pPr>
        <w:pStyle w:val="17"/>
        <w:spacing w:after="0" w:line="360" w:lineRule="auto"/>
        <w:ind w:firstLine="420"/>
        <w:rPr>
          <w:rFonts w:hint="eastAsia" w:cs="宋体"/>
          <w:highlight w:val="none"/>
        </w:rPr>
      </w:pPr>
      <w:r>
        <w:rPr>
          <w:rFonts w:hint="eastAsia" w:cs="宋体"/>
          <w:highlight w:val="none"/>
        </w:rPr>
        <w:t>注： 每次付款前，承包人应当先行提交符合发包人要求的正规发票。</w:t>
      </w:r>
    </w:p>
    <w:p w14:paraId="3F86E79E">
      <w:pPr>
        <w:pStyle w:val="17"/>
        <w:spacing w:after="0" w:line="360" w:lineRule="auto"/>
        <w:ind w:firstLine="420"/>
        <w:rPr>
          <w:rFonts w:hint="eastAsia" w:cs="宋体"/>
          <w:highlight w:val="none"/>
        </w:rPr>
      </w:pPr>
      <w:r>
        <w:rPr>
          <w:rFonts w:hint="eastAsia" w:cs="宋体"/>
          <w:highlight w:val="none"/>
        </w:rPr>
        <w:t>本工程执行建设部《建设工程工程量清单计价规范》（2024）计价计量规范；北京市《房屋修缮工程工程量计算标准》（2023-北京）；北京市现行的预算定额、费用标准及参照同期造价信息（或项目实施期间的相关市场价格）。</w:t>
      </w:r>
    </w:p>
    <w:p w14:paraId="7C8C469A">
      <w:pPr>
        <w:pStyle w:val="17"/>
        <w:spacing w:after="0" w:line="360" w:lineRule="auto"/>
        <w:ind w:firstLine="420"/>
        <w:rPr>
          <w:rFonts w:hint="eastAsia" w:cs="宋体"/>
          <w:highlight w:val="none"/>
        </w:rPr>
      </w:pPr>
      <w:r>
        <w:rPr>
          <w:rFonts w:hint="eastAsia" w:cs="宋体"/>
          <w:highlight w:val="none"/>
        </w:rPr>
        <w:t>合同约定的付款时间及付款金额等内容以发包人获得经费审批为准，经费未及时审批及拨款的，发包人可根据经费批复情况调整付款时间及金额，且不视为发包人违约，承包人不得据此暂停施工。</w:t>
      </w:r>
    </w:p>
    <w:p w14:paraId="720828EC">
      <w:pPr>
        <w:pStyle w:val="17"/>
        <w:spacing w:after="0" w:line="360" w:lineRule="auto"/>
        <w:ind w:firstLine="420"/>
        <w:rPr>
          <w:rFonts w:hint="eastAsia" w:cs="宋体"/>
          <w:highlight w:val="none"/>
        </w:rPr>
      </w:pPr>
      <w:r>
        <w:rPr>
          <w:rFonts w:hint="eastAsia" w:cs="宋体"/>
          <w:highlight w:val="none"/>
        </w:rPr>
        <w:t>第13条  工程变更</w:t>
      </w:r>
    </w:p>
    <w:p w14:paraId="2FCC4F32">
      <w:pPr>
        <w:pStyle w:val="17"/>
        <w:spacing w:after="0" w:line="360" w:lineRule="auto"/>
        <w:ind w:firstLine="420"/>
        <w:rPr>
          <w:rFonts w:hint="eastAsia" w:cs="宋体"/>
          <w:highlight w:val="none"/>
        </w:rPr>
      </w:pPr>
      <w:r>
        <w:rPr>
          <w:rFonts w:hint="eastAsia" w:cs="宋体"/>
          <w:highlight w:val="none"/>
        </w:rPr>
        <w:t>13．1  因发包人原因，需要对图纸及作法说明、工程量进行变更的，工程 师应以书面形式通知承包人。承包人应按照工程师的通知及要求进行相应变更。 因变更导致合同价款增减及给承包人造成的损失，由发包人承担，工期顺延。</w:t>
      </w:r>
    </w:p>
    <w:p w14:paraId="0D5E8FBF">
      <w:pPr>
        <w:pStyle w:val="17"/>
        <w:spacing w:after="0" w:line="360" w:lineRule="auto"/>
        <w:ind w:firstLine="420"/>
        <w:rPr>
          <w:rFonts w:hint="eastAsia" w:cs="宋体"/>
          <w:highlight w:val="none"/>
        </w:rPr>
      </w:pPr>
      <w:r>
        <w:rPr>
          <w:rFonts w:hint="eastAsia" w:cs="宋体"/>
          <w:highlight w:val="none"/>
        </w:rPr>
        <w:t>13．2  承包人不得对图纸及作法说明进行变更，因承包人擅自变更所发生的费用和由此导致发包人直接损失，由承包人承担。工期不予顺延。承包人提出 合理化建议涉及的设计、材料作法和设备变更，须经工程师同意。未经工程师同 意而擅自变更的，应承担相应费用，并赔偿发包人损失。</w:t>
      </w:r>
    </w:p>
    <w:p w14:paraId="79AA667E">
      <w:pPr>
        <w:pStyle w:val="17"/>
        <w:spacing w:after="0" w:line="360" w:lineRule="auto"/>
        <w:ind w:firstLine="420"/>
        <w:rPr>
          <w:rFonts w:hint="eastAsia" w:cs="宋体"/>
          <w:highlight w:val="none"/>
        </w:rPr>
      </w:pPr>
      <w:r>
        <w:rPr>
          <w:rFonts w:hint="eastAsia" w:cs="宋体"/>
          <w:highlight w:val="none"/>
        </w:rPr>
        <w:t>13．3  工程发生设计变更，双方均应积极办理变更洽商手续，并应按变更 洽商履行合同。</w:t>
      </w:r>
    </w:p>
    <w:p w14:paraId="617347F9">
      <w:pPr>
        <w:pStyle w:val="17"/>
        <w:spacing w:after="0" w:line="360" w:lineRule="auto"/>
        <w:ind w:firstLine="420"/>
        <w:rPr>
          <w:rFonts w:hint="eastAsia" w:cs="宋体"/>
          <w:highlight w:val="none"/>
        </w:rPr>
      </w:pPr>
      <w:r>
        <w:rPr>
          <w:rFonts w:hint="eastAsia" w:cs="宋体"/>
          <w:highlight w:val="none"/>
        </w:rPr>
        <w:t>13．4  承包人在设计变更确认后14天内，对涉及合同价款变更内容提出工 程价款变更报告，报经工程师确认，工程师在收到变更合同价款报告后14天内给 予确认或提出处理意见。</w:t>
      </w:r>
    </w:p>
    <w:p w14:paraId="0C36FEC0">
      <w:pPr>
        <w:pStyle w:val="17"/>
        <w:spacing w:after="0" w:line="360" w:lineRule="auto"/>
        <w:ind w:firstLine="420"/>
        <w:rPr>
          <w:rFonts w:hint="eastAsia" w:cs="宋体"/>
          <w:highlight w:val="none"/>
        </w:rPr>
      </w:pPr>
      <w:r>
        <w:rPr>
          <w:rFonts w:hint="eastAsia" w:cs="宋体"/>
          <w:highlight w:val="none"/>
        </w:rPr>
        <w:t>第14条  工程验收与结算</w:t>
      </w:r>
    </w:p>
    <w:p w14:paraId="761F0B69">
      <w:pPr>
        <w:pStyle w:val="17"/>
        <w:spacing w:after="0" w:line="360" w:lineRule="auto"/>
        <w:ind w:firstLine="420"/>
        <w:rPr>
          <w:rFonts w:hint="eastAsia" w:cs="宋体"/>
          <w:highlight w:val="none"/>
        </w:rPr>
      </w:pPr>
      <w:r>
        <w:rPr>
          <w:rFonts w:hint="eastAsia" w:cs="宋体"/>
          <w:highlight w:val="none"/>
        </w:rPr>
        <w:t>14．1  工程具备验收条件，承包人按国家和本市有关竣工验收规定，向发 包人提供完整的竣工资料的内容及时间：工程竣工验收合格后14日内，免费提供 完整的竣工图纸及竣工资料叁份。</w:t>
      </w:r>
    </w:p>
    <w:p w14:paraId="7E008904">
      <w:pPr>
        <w:pStyle w:val="17"/>
        <w:spacing w:after="0" w:line="360" w:lineRule="auto"/>
        <w:ind w:firstLine="420"/>
        <w:rPr>
          <w:rFonts w:hint="eastAsia" w:cs="宋体"/>
          <w:highlight w:val="none"/>
        </w:rPr>
      </w:pPr>
      <w:r>
        <w:rPr>
          <w:rFonts w:hint="eastAsia" w:cs="宋体"/>
          <w:highlight w:val="none"/>
        </w:rPr>
        <w:t>14．2  承包人应当于工程具备竣工验收条件后</w:t>
      </w:r>
      <w:r>
        <w:rPr>
          <w:rFonts w:hint="eastAsia" w:cs="宋体"/>
          <w:highlight w:val="none"/>
          <w:u w:val="single"/>
        </w:rPr>
        <w:t xml:space="preserve">        </w:t>
      </w:r>
      <w:r>
        <w:rPr>
          <w:rFonts w:hint="eastAsia" w:cs="宋体"/>
          <w:highlight w:val="none"/>
        </w:rPr>
        <w:t>日内向发包人提交竣 工验收报告，发包人在收到竣工验收报告后14天内组织验收，并在验收后7天内 给予确认或提出修改意见，承包人按要求修改，并承担因自身原因造成的修改费 用。</w:t>
      </w:r>
    </w:p>
    <w:p w14:paraId="11654C98">
      <w:pPr>
        <w:pStyle w:val="17"/>
        <w:spacing w:after="0" w:line="360" w:lineRule="auto"/>
        <w:ind w:firstLine="420"/>
        <w:rPr>
          <w:rFonts w:hint="eastAsia" w:cs="宋体"/>
          <w:highlight w:val="none"/>
        </w:rPr>
      </w:pPr>
      <w:r>
        <w:rPr>
          <w:rFonts w:hint="eastAsia" w:cs="宋体"/>
          <w:highlight w:val="none"/>
        </w:rPr>
        <w:t>14．3  竣工验收日期以验收通过的日期或承包人按发包人要求修改后通过 竣工验收日期为准。因特殊原因，双方约定或发包人要求部分单位工程或工程部 位甩项竣工的，双方另行签订甩项协议。</w:t>
      </w:r>
    </w:p>
    <w:p w14:paraId="2318A3CE">
      <w:pPr>
        <w:pStyle w:val="17"/>
        <w:spacing w:after="0" w:line="360" w:lineRule="auto"/>
        <w:ind w:firstLine="420"/>
        <w:rPr>
          <w:rFonts w:hint="eastAsia" w:cs="宋体"/>
          <w:highlight w:val="none"/>
        </w:rPr>
      </w:pPr>
      <w:r>
        <w:rPr>
          <w:rFonts w:hint="eastAsia" w:cs="宋体"/>
          <w:highlight w:val="none"/>
        </w:rPr>
        <w:t>14．4  工程未经验收或竣工验收未通过的，承包人不得交工，发包人不得使用。因发包人强行使用致使工程发生质量问题及对建筑物造成的损坏及其他问 题由发包人承担。</w:t>
      </w:r>
    </w:p>
    <w:p w14:paraId="4C2080AE">
      <w:pPr>
        <w:pStyle w:val="17"/>
        <w:spacing w:after="0" w:line="360" w:lineRule="auto"/>
        <w:ind w:firstLine="420"/>
        <w:rPr>
          <w:rFonts w:hint="eastAsia" w:cs="宋体"/>
          <w:highlight w:val="none"/>
        </w:rPr>
      </w:pPr>
      <w:r>
        <w:rPr>
          <w:rFonts w:hint="eastAsia" w:cs="宋体"/>
          <w:highlight w:val="none"/>
        </w:rPr>
        <w:t>14．5  工程竣工验收报告经发包人认可后14天内，承包人向发包人递交竣 工结算报告及结算资料。双方按照协议书约定的合同价款及在合同条款中约定的 合同价款调整内容进行竣工结算。</w:t>
      </w:r>
    </w:p>
    <w:p w14:paraId="13BBE91C">
      <w:pPr>
        <w:pStyle w:val="17"/>
        <w:spacing w:after="0" w:line="360" w:lineRule="auto"/>
        <w:ind w:firstLine="420"/>
        <w:rPr>
          <w:rFonts w:hint="eastAsia" w:cs="宋体"/>
          <w:highlight w:val="none"/>
        </w:rPr>
      </w:pPr>
      <w:r>
        <w:rPr>
          <w:rFonts w:hint="eastAsia" w:cs="宋体"/>
          <w:highlight w:val="none"/>
        </w:rPr>
        <w:t>14．6  工程竣工验收报告经发包人认可后14天内，承包人未能向发包人递 交完整的竣工结算报告及资料，造成工程竣工结算不能正常进行或不能支付竣工 结算款，发包人要求交付工程的，承包人应当交付，没有要求交付的，承包人应当承担保管费用。</w:t>
      </w:r>
    </w:p>
    <w:p w14:paraId="0FA98569">
      <w:pPr>
        <w:pStyle w:val="17"/>
        <w:spacing w:after="0" w:line="360" w:lineRule="auto"/>
        <w:ind w:firstLine="420"/>
        <w:rPr>
          <w:rFonts w:hint="eastAsia" w:cs="宋体"/>
          <w:highlight w:val="none"/>
        </w:rPr>
      </w:pPr>
      <w:r>
        <w:rPr>
          <w:rFonts w:hint="eastAsia" w:cs="宋体"/>
          <w:highlight w:val="none"/>
        </w:rPr>
        <w:t>14．7  双方对竣工结算有争议的，按本合同条款第16．6款的约定处理。</w:t>
      </w:r>
    </w:p>
    <w:p w14:paraId="02735F97">
      <w:pPr>
        <w:pStyle w:val="17"/>
        <w:spacing w:after="0" w:line="360" w:lineRule="auto"/>
        <w:ind w:firstLine="420"/>
        <w:rPr>
          <w:rFonts w:hint="eastAsia" w:cs="宋体"/>
          <w:highlight w:val="none"/>
        </w:rPr>
      </w:pPr>
      <w:r>
        <w:rPr>
          <w:rFonts w:hint="eastAsia" w:cs="宋体"/>
          <w:highlight w:val="none"/>
        </w:rPr>
        <w:t>第15条  质量保修</w:t>
      </w:r>
    </w:p>
    <w:p w14:paraId="68C3913D">
      <w:pPr>
        <w:pStyle w:val="17"/>
        <w:spacing w:after="0" w:line="360" w:lineRule="auto"/>
        <w:ind w:firstLine="420"/>
        <w:rPr>
          <w:rFonts w:hint="eastAsia" w:cs="宋体"/>
          <w:highlight w:val="none"/>
        </w:rPr>
      </w:pPr>
      <w:r>
        <w:rPr>
          <w:rFonts w:hint="eastAsia" w:cs="宋体"/>
          <w:highlight w:val="none"/>
        </w:rPr>
        <w:t>15．1  缺陷责任期：24个月， 自竣工验收合格之日起开始计算。</w:t>
      </w:r>
    </w:p>
    <w:p w14:paraId="0AE25D90">
      <w:pPr>
        <w:pStyle w:val="17"/>
        <w:spacing w:after="0" w:line="360" w:lineRule="auto"/>
        <w:ind w:firstLine="420"/>
        <w:rPr>
          <w:rFonts w:hint="eastAsia" w:cs="宋体"/>
          <w:highlight w:val="none"/>
        </w:rPr>
      </w:pPr>
      <w:r>
        <w:rPr>
          <w:rFonts w:hint="eastAsia" w:cs="宋体"/>
          <w:highlight w:val="none"/>
        </w:rPr>
        <w:t>15．2  双方约定在竣工验收前签订工程保修书的时间和要求：与合同同时  签订工程保修书，工程保修书（附件三）作为本合同附件。承包人应当按照法律、 法规、部门规章和本市关于质量保修的规定；对已交付工程在质量保修期内承担 质量保修责任。</w:t>
      </w:r>
    </w:p>
    <w:p w14:paraId="0BCD6969">
      <w:pPr>
        <w:pStyle w:val="17"/>
        <w:spacing w:after="0" w:line="360" w:lineRule="auto"/>
        <w:ind w:firstLine="420"/>
        <w:rPr>
          <w:rFonts w:hint="eastAsia" w:cs="宋体"/>
          <w:highlight w:val="none"/>
        </w:rPr>
      </w:pPr>
      <w:r>
        <w:rPr>
          <w:rFonts w:hint="eastAsia" w:cs="宋体"/>
          <w:highlight w:val="none"/>
        </w:rPr>
        <w:t>第16条  违约责任、索赔和争议解决方式</w:t>
      </w:r>
    </w:p>
    <w:p w14:paraId="4C09345D">
      <w:pPr>
        <w:pStyle w:val="17"/>
        <w:spacing w:after="0" w:line="360" w:lineRule="auto"/>
        <w:ind w:firstLine="420"/>
        <w:rPr>
          <w:rFonts w:hint="eastAsia" w:cs="宋体"/>
          <w:highlight w:val="none"/>
        </w:rPr>
      </w:pPr>
      <w:r>
        <w:rPr>
          <w:rFonts w:hint="eastAsia" w:cs="宋体"/>
          <w:highlight w:val="none"/>
        </w:rPr>
        <w:t>16．1  发包人未按约定拨付工程款和工程结算款，应承担的违约责任：  /</w:t>
      </w:r>
    </w:p>
    <w:p w14:paraId="704BEDBB">
      <w:pPr>
        <w:pStyle w:val="17"/>
        <w:spacing w:after="0" w:line="360" w:lineRule="auto"/>
        <w:ind w:firstLine="420"/>
        <w:rPr>
          <w:rFonts w:hint="eastAsia" w:cs="宋体"/>
          <w:highlight w:val="none"/>
        </w:rPr>
      </w:pPr>
      <w:r>
        <w:rPr>
          <w:rFonts w:hint="eastAsia" w:cs="宋体"/>
          <w:highlight w:val="none"/>
        </w:rPr>
        <w:t>双方还约定发包人应承担的其他违约责任：因发包人原因导致工期延长的， 承包人仅有权就工期进行索赔，不得就费用主张索赔。</w:t>
      </w:r>
    </w:p>
    <w:p w14:paraId="51A27BAF">
      <w:pPr>
        <w:pStyle w:val="17"/>
        <w:spacing w:after="0" w:line="360" w:lineRule="auto"/>
        <w:ind w:firstLine="420"/>
        <w:rPr>
          <w:rFonts w:hint="eastAsia" w:cs="宋体"/>
          <w:highlight w:val="none"/>
        </w:rPr>
      </w:pPr>
      <w:r>
        <w:rPr>
          <w:rFonts w:hint="eastAsia" w:cs="宋体"/>
          <w:highlight w:val="none"/>
        </w:rPr>
        <w:t>16．2  承包人未按本合同约定按时竣工，应承担的违约责任：发包人按合 同总价的0.2‰／ 日历天累计扣除承包人的工期违约金，直到工程竣工为止。如 由此导致发包人需向监理人额外支付监理酬金的，发包人有权从应付承包人的工 程款中扣除。</w:t>
      </w:r>
    </w:p>
    <w:p w14:paraId="18B8148F">
      <w:pPr>
        <w:pStyle w:val="17"/>
        <w:spacing w:after="0" w:line="360" w:lineRule="auto"/>
        <w:ind w:firstLine="420"/>
        <w:rPr>
          <w:rFonts w:hint="eastAsia" w:cs="宋体"/>
          <w:highlight w:val="none"/>
        </w:rPr>
      </w:pPr>
      <w:r>
        <w:rPr>
          <w:rFonts w:hint="eastAsia" w:cs="宋体"/>
          <w:highlight w:val="none"/>
        </w:rPr>
        <w:t xml:space="preserve">双方还约定承包人应承担的其他违约责任：                </w:t>
      </w:r>
    </w:p>
    <w:p w14:paraId="7410001C">
      <w:pPr>
        <w:pStyle w:val="17"/>
        <w:spacing w:after="0" w:line="360" w:lineRule="auto"/>
        <w:ind w:firstLine="420"/>
        <w:rPr>
          <w:rFonts w:hint="eastAsia" w:cs="宋体"/>
          <w:highlight w:val="none"/>
        </w:rPr>
      </w:pPr>
      <w:r>
        <w:rPr>
          <w:rFonts w:hint="eastAsia" w:cs="宋体"/>
          <w:highlight w:val="none"/>
        </w:rPr>
        <w:t>16．3  一方违约后，另一方要求违约方继续履行合同时，违约方除承担违 约责任外仍应继续履行合同。</w:t>
      </w:r>
    </w:p>
    <w:p w14:paraId="0DCD0150">
      <w:pPr>
        <w:pStyle w:val="17"/>
        <w:spacing w:after="0" w:line="360" w:lineRule="auto"/>
        <w:ind w:firstLine="420"/>
        <w:rPr>
          <w:rFonts w:hint="eastAsia" w:cs="宋体"/>
          <w:highlight w:val="none"/>
        </w:rPr>
      </w:pPr>
      <w:r>
        <w:rPr>
          <w:rFonts w:hint="eastAsia" w:cs="宋体"/>
          <w:highlight w:val="none"/>
        </w:rPr>
        <w:t>16．4  当一方向另一方提出索赔时，要有正当的理由和索赔证据。</w:t>
      </w:r>
    </w:p>
    <w:p w14:paraId="18889D5C">
      <w:pPr>
        <w:pStyle w:val="17"/>
        <w:spacing w:after="0" w:line="360" w:lineRule="auto"/>
        <w:ind w:firstLine="420"/>
        <w:rPr>
          <w:rFonts w:hint="eastAsia" w:cs="宋体"/>
          <w:highlight w:val="none"/>
        </w:rPr>
      </w:pPr>
      <w:r>
        <w:rPr>
          <w:rFonts w:hint="eastAsia" w:cs="宋体"/>
          <w:highlight w:val="none"/>
        </w:rPr>
        <w:t>16．5  当索赔事件发生后14天内，提出索赔一方向对方提出索赔意见及要 求延长工期或经济损失赔偿报告及相关资料。对方在收到索赔报告后14天内给予 答复或要求进一步补充证据，在规定时向内未作答复或进一步提出要求，视为索 赔已经认可。</w:t>
      </w:r>
    </w:p>
    <w:p w14:paraId="0A337CBE">
      <w:pPr>
        <w:pStyle w:val="17"/>
        <w:spacing w:after="0" w:line="360" w:lineRule="auto"/>
        <w:ind w:firstLine="420"/>
        <w:rPr>
          <w:rFonts w:hint="eastAsia" w:cs="宋体"/>
          <w:highlight w:val="none"/>
        </w:rPr>
      </w:pPr>
      <w:r>
        <w:rPr>
          <w:rFonts w:hint="eastAsia" w:cs="宋体"/>
          <w:highlight w:val="none"/>
        </w:rPr>
        <w:t>16．6  发包人承包人在履行合同时发生争议，双方协商；协商不成的，双 方约定同意采用以下其中第（3）种方式解决争议。</w:t>
      </w:r>
    </w:p>
    <w:p w14:paraId="20B6AB51">
      <w:pPr>
        <w:pStyle w:val="17"/>
        <w:spacing w:after="0" w:line="360" w:lineRule="auto"/>
        <w:ind w:firstLine="420"/>
        <w:rPr>
          <w:rFonts w:hint="eastAsia" w:cs="宋体"/>
          <w:highlight w:val="none"/>
        </w:rPr>
      </w:pPr>
      <w:r>
        <w:rPr>
          <w:rFonts w:hint="eastAsia" w:cs="宋体"/>
          <w:highlight w:val="none"/>
        </w:rPr>
        <w:t>（1）提请北京仲裁委员会仲裁。</w:t>
      </w:r>
    </w:p>
    <w:p w14:paraId="1194FA54">
      <w:pPr>
        <w:pStyle w:val="17"/>
        <w:spacing w:after="0" w:line="360" w:lineRule="auto"/>
        <w:ind w:firstLine="420"/>
        <w:rPr>
          <w:rFonts w:hint="eastAsia" w:cs="宋体"/>
          <w:highlight w:val="none"/>
        </w:rPr>
      </w:pPr>
      <w:r>
        <w:rPr>
          <w:rFonts w:hint="eastAsia" w:cs="宋体"/>
          <w:highlight w:val="none"/>
        </w:rPr>
        <w:t>（2）提请/仲裁委员会仲裁。</w:t>
      </w:r>
    </w:p>
    <w:p w14:paraId="526E23B3">
      <w:pPr>
        <w:pStyle w:val="17"/>
        <w:spacing w:after="0" w:line="360" w:lineRule="auto"/>
        <w:ind w:firstLine="420"/>
        <w:rPr>
          <w:rFonts w:hint="eastAsia" w:cs="宋体"/>
          <w:highlight w:val="none"/>
        </w:rPr>
      </w:pPr>
      <w:r>
        <w:rPr>
          <w:rFonts w:hint="eastAsia" w:cs="宋体"/>
          <w:highlight w:val="none"/>
        </w:rPr>
        <w:t>（3）向工程所在地人民法院提起诉讼。</w:t>
      </w:r>
    </w:p>
    <w:p w14:paraId="0E3AF6B6">
      <w:pPr>
        <w:pStyle w:val="17"/>
        <w:spacing w:after="0" w:line="360" w:lineRule="auto"/>
        <w:ind w:firstLine="420"/>
        <w:rPr>
          <w:rFonts w:hint="eastAsia" w:cs="宋体"/>
          <w:highlight w:val="none"/>
        </w:rPr>
      </w:pPr>
      <w:r>
        <w:rPr>
          <w:rFonts w:hint="eastAsia" w:cs="宋体"/>
          <w:highlight w:val="none"/>
        </w:rPr>
        <w:t>16．7  发生争议后，除非出现单方违约导致合同无法履行、双方协议停止施工、调解要求停止施工且双方接受、仲裁机构或法院要求停止施工的情况外，双方都应继续履行合同。</w:t>
      </w:r>
    </w:p>
    <w:p w14:paraId="5F62EC8B">
      <w:pPr>
        <w:pStyle w:val="17"/>
        <w:spacing w:after="0" w:line="360" w:lineRule="auto"/>
        <w:ind w:firstLine="420"/>
        <w:rPr>
          <w:rFonts w:hint="eastAsia" w:cs="宋体"/>
          <w:highlight w:val="none"/>
        </w:rPr>
      </w:pPr>
      <w:r>
        <w:rPr>
          <w:rFonts w:hint="eastAsia" w:cs="宋体"/>
          <w:highlight w:val="none"/>
        </w:rPr>
        <w:t>第17条  合同解除</w:t>
      </w:r>
    </w:p>
    <w:p w14:paraId="075C4696">
      <w:pPr>
        <w:pStyle w:val="17"/>
        <w:spacing w:after="0" w:line="360" w:lineRule="auto"/>
        <w:ind w:firstLine="420"/>
        <w:rPr>
          <w:rFonts w:hint="eastAsia" w:cs="宋体"/>
          <w:highlight w:val="none"/>
        </w:rPr>
      </w:pPr>
      <w:r>
        <w:rPr>
          <w:rFonts w:hint="eastAsia" w:cs="宋体"/>
          <w:highlight w:val="none"/>
        </w:rPr>
        <w:t>17．1  发包人承包人协商一致，可以解除合同。</w:t>
      </w:r>
    </w:p>
    <w:p w14:paraId="7EA58014">
      <w:pPr>
        <w:pStyle w:val="17"/>
        <w:spacing w:after="0" w:line="360" w:lineRule="auto"/>
        <w:ind w:firstLine="420"/>
        <w:rPr>
          <w:rFonts w:hint="eastAsia" w:cs="宋体"/>
          <w:highlight w:val="none"/>
        </w:rPr>
      </w:pPr>
      <w:r>
        <w:rPr>
          <w:rFonts w:hint="eastAsia" w:cs="宋体"/>
          <w:highlight w:val="none"/>
        </w:rPr>
        <w:t>17．2  承包人将工程全部转包给他人或肢解以后以分包名义转包给他人， 发包人有权解除合同。</w:t>
      </w:r>
    </w:p>
    <w:p w14:paraId="7C8290E3">
      <w:pPr>
        <w:pStyle w:val="17"/>
        <w:spacing w:after="0" w:line="360" w:lineRule="auto"/>
        <w:ind w:firstLine="420"/>
        <w:rPr>
          <w:rFonts w:hint="eastAsia" w:cs="宋体"/>
          <w:highlight w:val="none"/>
        </w:rPr>
      </w:pPr>
      <w:r>
        <w:rPr>
          <w:rFonts w:hint="eastAsia" w:cs="宋体"/>
          <w:highlight w:val="none"/>
        </w:rPr>
        <w:t>17．3  有下列情形之一的，发包人承包人可以解除合同。</w:t>
      </w:r>
    </w:p>
    <w:p w14:paraId="343C0A2B">
      <w:pPr>
        <w:pStyle w:val="17"/>
        <w:spacing w:after="0" w:line="360" w:lineRule="auto"/>
        <w:ind w:firstLine="420"/>
        <w:rPr>
          <w:rFonts w:hint="eastAsia" w:cs="宋体"/>
          <w:highlight w:val="none"/>
        </w:rPr>
      </w:pPr>
      <w:r>
        <w:rPr>
          <w:rFonts w:hint="eastAsia" w:cs="宋体"/>
          <w:highlight w:val="none"/>
        </w:rPr>
        <w:t>（1）双方约定，结合本工程特点，发生不可抗力致使合同无法履行；</w:t>
      </w:r>
    </w:p>
    <w:p w14:paraId="446589BC">
      <w:pPr>
        <w:pStyle w:val="17"/>
        <w:spacing w:after="0" w:line="360" w:lineRule="auto"/>
        <w:ind w:firstLine="420"/>
        <w:rPr>
          <w:rFonts w:hint="eastAsia" w:cs="宋体"/>
          <w:highlight w:val="none"/>
        </w:rPr>
      </w:pPr>
      <w:r>
        <w:rPr>
          <w:rFonts w:hint="eastAsia" w:cs="宋体"/>
          <w:highlight w:val="none"/>
        </w:rPr>
        <w:t>（2）因一方违约致使合同无法履行；</w:t>
      </w:r>
    </w:p>
    <w:p w14:paraId="5C291B99">
      <w:pPr>
        <w:pStyle w:val="17"/>
        <w:spacing w:after="0" w:line="360" w:lineRule="auto"/>
        <w:ind w:firstLine="420"/>
        <w:rPr>
          <w:rFonts w:hint="eastAsia" w:cs="宋体"/>
          <w:highlight w:val="none"/>
        </w:rPr>
      </w:pPr>
      <w:r>
        <w:rPr>
          <w:rFonts w:hint="eastAsia" w:cs="宋体"/>
          <w:highlight w:val="none"/>
        </w:rPr>
        <w:t>（3）双方约定，其他导致合同解除的原因。</w:t>
      </w:r>
    </w:p>
    <w:p w14:paraId="667EAF40">
      <w:pPr>
        <w:pStyle w:val="17"/>
        <w:spacing w:after="0" w:line="360" w:lineRule="auto"/>
        <w:ind w:firstLine="420"/>
        <w:rPr>
          <w:rFonts w:hint="eastAsia" w:cs="宋体"/>
          <w:highlight w:val="none"/>
        </w:rPr>
      </w:pPr>
      <w:r>
        <w:rPr>
          <w:rFonts w:hint="eastAsia" w:cs="宋体"/>
          <w:highlight w:val="none"/>
        </w:rPr>
        <w:t>17．5  一方依据合同约定要求解除合同，应以书面形式向对方发出解除合 同通知，通知到达时合同解除。对解除合同有争议的，按本合同条款第16．6款 的约定处理。</w:t>
      </w:r>
    </w:p>
    <w:p w14:paraId="64A5E83A">
      <w:pPr>
        <w:pStyle w:val="17"/>
        <w:spacing w:after="0" w:line="360" w:lineRule="auto"/>
        <w:ind w:firstLine="420"/>
        <w:rPr>
          <w:rFonts w:hint="eastAsia" w:cs="宋体"/>
          <w:highlight w:val="none"/>
        </w:rPr>
      </w:pPr>
      <w:r>
        <w:rPr>
          <w:rFonts w:hint="eastAsia" w:cs="宋体"/>
          <w:highlight w:val="none"/>
        </w:rPr>
        <w:t>17．6  合同解除后，承包人应妥善做好已完工程和已购材料、设备的保护 和移交工作；按发包人要求将自有机械和人员撤出施工场地，发包人应为撤出提 供便利条件。已经订货的材料、设备由订货方负责退货或解除订货合同。不能退 还的货款和因退货、解除订货合同发生的费用，如因发包人过错解除合同的由发 包人承担，非因发包人过错解除合同的全部损失及责任均由承包人承担，因未及 时退货造成损失由责任方承担。除此之外，有过错的一方应当赔偿因合同解除给 对方造成的损失。</w:t>
      </w:r>
    </w:p>
    <w:p w14:paraId="0C1B0ADB">
      <w:pPr>
        <w:pStyle w:val="17"/>
        <w:spacing w:after="0" w:line="360" w:lineRule="auto"/>
        <w:ind w:firstLine="420"/>
        <w:rPr>
          <w:rFonts w:hint="eastAsia" w:cs="宋体"/>
          <w:highlight w:val="none"/>
        </w:rPr>
      </w:pPr>
      <w:r>
        <w:rPr>
          <w:rFonts w:hint="eastAsia" w:cs="宋体"/>
          <w:highlight w:val="none"/>
        </w:rPr>
        <w:t>17．7  合同解除后，不影响双方在合同中约定的结算和清理条款的效力。</w:t>
      </w:r>
    </w:p>
    <w:p w14:paraId="6DECFAAC">
      <w:pPr>
        <w:pStyle w:val="17"/>
        <w:spacing w:after="0" w:line="360" w:lineRule="auto"/>
        <w:ind w:firstLine="420"/>
        <w:rPr>
          <w:rFonts w:hint="eastAsia" w:cs="宋体"/>
          <w:highlight w:val="none"/>
        </w:rPr>
      </w:pPr>
      <w:r>
        <w:rPr>
          <w:rFonts w:hint="eastAsia" w:cs="宋体"/>
          <w:highlight w:val="none"/>
        </w:rPr>
        <w:t>第18条  不可抗力</w:t>
      </w:r>
    </w:p>
    <w:p w14:paraId="5ECC1F43">
      <w:pPr>
        <w:pStyle w:val="17"/>
        <w:spacing w:after="0" w:line="360" w:lineRule="auto"/>
        <w:ind w:firstLine="420"/>
        <w:rPr>
          <w:rFonts w:hint="eastAsia" w:cs="宋体"/>
          <w:highlight w:val="none"/>
        </w:rPr>
      </w:pPr>
      <w:r>
        <w:rPr>
          <w:rFonts w:hint="eastAsia" w:cs="宋体"/>
          <w:highlight w:val="none"/>
        </w:rPr>
        <w:t>18．1  双方结合本工程对于不可抗力的约定：执行国家有关规定</w:t>
      </w:r>
    </w:p>
    <w:p w14:paraId="12E652B8">
      <w:pPr>
        <w:pStyle w:val="17"/>
        <w:spacing w:after="0" w:line="360" w:lineRule="auto"/>
        <w:ind w:firstLine="420"/>
        <w:rPr>
          <w:rFonts w:hint="eastAsia" w:cs="宋体"/>
          <w:highlight w:val="none"/>
        </w:rPr>
      </w:pPr>
      <w:r>
        <w:rPr>
          <w:rFonts w:hint="eastAsia" w:cs="宋体"/>
          <w:highlight w:val="none"/>
        </w:rPr>
        <w:t>18．2  不可抗力事件发生后，承包人应立即通知工程师，并在力所能及的 条件下迅速采取措施，尽力减少损失，发包人应协助承包人采取措施。工程师认 为应当暂停施工的，承包人应暂停施工。不可抗力事件结束后48小时内承包人向 工程师通报受灾情况和损失情况，及预计清理和修复的费用。不可抗力事件持续 发生，承包人应当每隔7天向工程师报告一次受灾情况。不可抗力事件结束后14天内，承包人向工程师提交清理和修复费用的正式报告及有关资料。</w:t>
      </w:r>
    </w:p>
    <w:p w14:paraId="236B0314">
      <w:pPr>
        <w:pStyle w:val="17"/>
        <w:spacing w:after="0" w:line="360" w:lineRule="auto"/>
        <w:ind w:firstLine="420"/>
        <w:rPr>
          <w:rFonts w:hint="eastAsia" w:cs="宋体"/>
          <w:highlight w:val="none"/>
        </w:rPr>
      </w:pPr>
      <w:r>
        <w:rPr>
          <w:rFonts w:hint="eastAsia" w:cs="宋体"/>
          <w:highlight w:val="none"/>
        </w:rPr>
        <w:t>18．3  因不可抗力事件导致的费用及延误的工期由双方按以下方法分别承 担：</w:t>
      </w:r>
    </w:p>
    <w:p w14:paraId="2DEFA9F9">
      <w:pPr>
        <w:pStyle w:val="17"/>
        <w:spacing w:after="0" w:line="360" w:lineRule="auto"/>
        <w:ind w:firstLine="420"/>
        <w:rPr>
          <w:rFonts w:hint="eastAsia" w:cs="宋体"/>
          <w:highlight w:val="none"/>
        </w:rPr>
      </w:pPr>
      <w:r>
        <w:rPr>
          <w:rFonts w:hint="eastAsia" w:cs="宋体"/>
          <w:highlight w:val="none"/>
        </w:rPr>
        <w:t>（1）工程本身的损害、因工程损害导致第三人人员伤亡和财产损失以及运至施工场地用于施工的材料和待安装的设备损害，由发包人承担；</w:t>
      </w:r>
    </w:p>
    <w:p w14:paraId="5C40E169">
      <w:pPr>
        <w:pStyle w:val="17"/>
        <w:spacing w:after="0" w:line="360" w:lineRule="auto"/>
        <w:ind w:firstLine="420"/>
        <w:rPr>
          <w:rFonts w:hint="eastAsia" w:cs="宋体"/>
          <w:highlight w:val="none"/>
        </w:rPr>
      </w:pPr>
      <w:r>
        <w:rPr>
          <w:rFonts w:hint="eastAsia" w:cs="宋体"/>
          <w:highlight w:val="none"/>
        </w:rPr>
        <w:t>（2）发包人承包人人员伤亡由其所在单位负责，并承担相应费用；</w:t>
      </w:r>
    </w:p>
    <w:p w14:paraId="6849FB3D">
      <w:pPr>
        <w:pStyle w:val="17"/>
        <w:spacing w:after="0" w:line="360" w:lineRule="auto"/>
        <w:ind w:firstLine="420"/>
        <w:rPr>
          <w:rFonts w:hint="eastAsia" w:cs="宋体"/>
          <w:highlight w:val="none"/>
        </w:rPr>
      </w:pPr>
      <w:r>
        <w:rPr>
          <w:rFonts w:hint="eastAsia" w:cs="宋体"/>
          <w:highlight w:val="none"/>
        </w:rPr>
        <w:t>（3）承包人机械设备损坏及停工损失，由承包人承担；</w:t>
      </w:r>
    </w:p>
    <w:p w14:paraId="4D2F4372">
      <w:pPr>
        <w:pStyle w:val="17"/>
        <w:spacing w:after="0" w:line="360" w:lineRule="auto"/>
        <w:ind w:firstLine="420"/>
        <w:rPr>
          <w:rFonts w:hint="eastAsia" w:cs="宋体"/>
          <w:highlight w:val="none"/>
        </w:rPr>
      </w:pPr>
      <w:r>
        <w:rPr>
          <w:rFonts w:hint="eastAsia" w:cs="宋体"/>
          <w:highlight w:val="none"/>
        </w:rPr>
        <w:t>（4）停工期间，承包人应工程师要求留在施工场地的必要管理人员及保卫人员的费用由发包人承担；</w:t>
      </w:r>
    </w:p>
    <w:p w14:paraId="21F358EA">
      <w:pPr>
        <w:pStyle w:val="17"/>
        <w:spacing w:after="0" w:line="360" w:lineRule="auto"/>
        <w:ind w:firstLine="420"/>
        <w:rPr>
          <w:rFonts w:hint="eastAsia" w:cs="宋体"/>
          <w:highlight w:val="none"/>
        </w:rPr>
      </w:pPr>
      <w:r>
        <w:rPr>
          <w:rFonts w:hint="eastAsia" w:cs="宋体"/>
          <w:highlight w:val="none"/>
        </w:rPr>
        <w:t>（5）工程所需清理、修复费用，由发包人承担；</w:t>
      </w:r>
    </w:p>
    <w:p w14:paraId="3F99CC7F">
      <w:pPr>
        <w:pStyle w:val="17"/>
        <w:spacing w:after="0" w:line="360" w:lineRule="auto"/>
        <w:ind w:firstLine="420"/>
        <w:rPr>
          <w:rFonts w:hint="eastAsia" w:cs="宋体"/>
          <w:highlight w:val="none"/>
        </w:rPr>
      </w:pPr>
      <w:r>
        <w:rPr>
          <w:rFonts w:hint="eastAsia" w:cs="宋体"/>
          <w:highlight w:val="none"/>
        </w:rPr>
        <w:t>（6）延误的工期相应顺延。</w:t>
      </w:r>
    </w:p>
    <w:p w14:paraId="441C82B0">
      <w:pPr>
        <w:pStyle w:val="17"/>
        <w:spacing w:after="0" w:line="360" w:lineRule="auto"/>
        <w:ind w:firstLine="420"/>
        <w:rPr>
          <w:rFonts w:hint="eastAsia" w:cs="宋体"/>
          <w:highlight w:val="none"/>
        </w:rPr>
      </w:pPr>
      <w:r>
        <w:rPr>
          <w:rFonts w:hint="eastAsia" w:cs="宋体"/>
          <w:highlight w:val="none"/>
        </w:rPr>
        <w:t>尽管有上述约定，由于承包人原因导致损害损失或导致损失扩大的，应由承包人承担。</w:t>
      </w:r>
    </w:p>
    <w:p w14:paraId="35BC7372">
      <w:pPr>
        <w:pStyle w:val="17"/>
        <w:spacing w:after="0" w:line="360" w:lineRule="auto"/>
        <w:ind w:firstLine="420"/>
        <w:rPr>
          <w:rFonts w:hint="eastAsia" w:cs="宋体"/>
          <w:highlight w:val="none"/>
        </w:rPr>
      </w:pPr>
      <w:r>
        <w:rPr>
          <w:rFonts w:hint="eastAsia" w:cs="宋体"/>
          <w:highlight w:val="none"/>
        </w:rPr>
        <w:t>18．4  因合同一方迟延履行合同后发生的不可抗力的，不能免除迟延履行方的相应责任。</w:t>
      </w:r>
    </w:p>
    <w:p w14:paraId="0A649141">
      <w:pPr>
        <w:pStyle w:val="17"/>
        <w:spacing w:after="0" w:line="360" w:lineRule="auto"/>
        <w:ind w:firstLine="420"/>
        <w:rPr>
          <w:rFonts w:hint="eastAsia" w:cs="宋体"/>
          <w:highlight w:val="none"/>
        </w:rPr>
      </w:pPr>
      <w:r>
        <w:rPr>
          <w:rFonts w:hint="eastAsia" w:cs="宋体"/>
          <w:highlight w:val="none"/>
        </w:rPr>
        <w:t>第19条  补充条款</w:t>
      </w:r>
    </w:p>
    <w:p w14:paraId="0874AEDD">
      <w:pPr>
        <w:pStyle w:val="17"/>
        <w:spacing w:after="0" w:line="360" w:lineRule="auto"/>
        <w:ind w:firstLine="420"/>
        <w:rPr>
          <w:rFonts w:hint="eastAsia" w:cs="宋体"/>
          <w:highlight w:val="none"/>
        </w:rPr>
      </w:pPr>
      <w:r>
        <w:rPr>
          <w:rFonts w:hint="eastAsia" w:cs="宋体"/>
          <w:highlight w:val="none"/>
        </w:rPr>
        <w:t>19.1 发包人协调有关单位配合施工事宜。</w:t>
      </w:r>
    </w:p>
    <w:p w14:paraId="5FEA8AB6">
      <w:pPr>
        <w:pStyle w:val="17"/>
        <w:spacing w:after="0" w:line="360" w:lineRule="auto"/>
        <w:ind w:firstLine="420"/>
        <w:rPr>
          <w:rFonts w:hint="eastAsia" w:cs="宋体"/>
          <w:highlight w:val="none"/>
        </w:rPr>
      </w:pPr>
      <w:r>
        <w:rPr>
          <w:rFonts w:hint="eastAsia" w:cs="宋体"/>
          <w:highlight w:val="none"/>
        </w:rPr>
        <w:t>19.2 承包人必须服从工程师的管理，搞好现场文明、安全施工。</w:t>
      </w:r>
    </w:p>
    <w:p w14:paraId="01EBA817">
      <w:pPr>
        <w:pStyle w:val="17"/>
        <w:spacing w:after="0" w:line="360" w:lineRule="auto"/>
        <w:ind w:firstLine="420"/>
        <w:rPr>
          <w:rFonts w:hint="eastAsia" w:cs="宋体"/>
          <w:highlight w:val="none"/>
        </w:rPr>
      </w:pPr>
      <w:r>
        <w:rPr>
          <w:rFonts w:hint="eastAsia" w:cs="宋体"/>
          <w:highlight w:val="none"/>
        </w:rPr>
        <w:t>19.3 承包人负责工程材料设备的采购，所购材料符合国家验收标准。</w:t>
      </w:r>
    </w:p>
    <w:p w14:paraId="49387392">
      <w:pPr>
        <w:pStyle w:val="17"/>
        <w:spacing w:after="0" w:line="360" w:lineRule="auto"/>
        <w:ind w:firstLine="420"/>
        <w:rPr>
          <w:rFonts w:hint="eastAsia" w:cs="宋体"/>
          <w:highlight w:val="none"/>
        </w:rPr>
      </w:pPr>
      <w:r>
        <w:rPr>
          <w:rFonts w:hint="eastAsia" w:cs="宋体"/>
          <w:highlight w:val="none"/>
        </w:rPr>
        <w:t>19.4 本工程质保期详见附件三。保修期内，由承包人原因造成的缺陷，承包人应负责按发包发人的要求进行维修，并承担鉴定及维修费用。</w:t>
      </w:r>
    </w:p>
    <w:p w14:paraId="51169FDC">
      <w:pPr>
        <w:pStyle w:val="17"/>
        <w:spacing w:after="0" w:line="360" w:lineRule="auto"/>
        <w:ind w:firstLine="420"/>
        <w:rPr>
          <w:rFonts w:hint="eastAsia" w:cs="宋体"/>
          <w:highlight w:val="none"/>
        </w:rPr>
      </w:pPr>
      <w:r>
        <w:rPr>
          <w:rFonts w:hint="eastAsia" w:cs="宋体"/>
          <w:highlight w:val="none"/>
        </w:rPr>
        <w:t>19.5承包人应遵守《北京市公安局房屋维修改造项目施工企业合作协议》约定内容。</w:t>
      </w:r>
    </w:p>
    <w:p w14:paraId="43E7921C">
      <w:pPr>
        <w:pStyle w:val="17"/>
        <w:spacing w:after="0" w:line="360" w:lineRule="auto"/>
        <w:ind w:firstLine="420"/>
        <w:rPr>
          <w:rFonts w:hint="eastAsia" w:cs="宋体"/>
          <w:highlight w:val="none"/>
        </w:rPr>
      </w:pPr>
      <w:r>
        <w:rPr>
          <w:rFonts w:hint="eastAsia" w:cs="宋体"/>
          <w:highlight w:val="none"/>
        </w:rPr>
        <w:t>19.6未尽事宜，双方协商解决。</w:t>
      </w:r>
    </w:p>
    <w:p w14:paraId="71793DB5">
      <w:pPr>
        <w:pStyle w:val="17"/>
        <w:spacing w:after="0" w:line="360" w:lineRule="auto"/>
        <w:ind w:firstLine="420"/>
        <w:rPr>
          <w:rFonts w:hint="eastAsia" w:cs="宋体"/>
          <w:highlight w:val="none"/>
        </w:rPr>
      </w:pPr>
      <w:r>
        <w:rPr>
          <w:rFonts w:hint="eastAsia" w:cs="宋体"/>
          <w:highlight w:val="none"/>
        </w:rPr>
        <w:t>第20条  合同终止</w:t>
      </w:r>
    </w:p>
    <w:p w14:paraId="6F2412DB">
      <w:pPr>
        <w:pStyle w:val="17"/>
        <w:spacing w:after="0" w:line="360" w:lineRule="auto"/>
        <w:ind w:firstLine="420"/>
        <w:rPr>
          <w:rFonts w:hint="eastAsia" w:cs="宋体"/>
          <w:highlight w:val="none"/>
        </w:rPr>
      </w:pPr>
      <w:r>
        <w:rPr>
          <w:rFonts w:hint="eastAsia" w:cs="宋体"/>
          <w:highlight w:val="none"/>
        </w:rPr>
        <w:t>20．1  双方履行合同全部义务，竣工结算价款支付完毕，承包人向发包人交付竣工工程并履行完毕质量保修义务后，本合同即告终止。</w:t>
      </w:r>
    </w:p>
    <w:p w14:paraId="5B341F98">
      <w:pPr>
        <w:pStyle w:val="17"/>
        <w:spacing w:after="0" w:line="360" w:lineRule="auto"/>
        <w:ind w:firstLine="420"/>
        <w:rPr>
          <w:rFonts w:hint="eastAsia" w:cs="宋体"/>
          <w:highlight w:val="none"/>
        </w:rPr>
      </w:pPr>
      <w:r>
        <w:rPr>
          <w:rFonts w:hint="eastAsia" w:cs="宋体"/>
          <w:highlight w:val="none"/>
        </w:rPr>
        <w:t>20．2  合同权利义务终止后，双方应当遵循诚实信用的原则、履行通知、协助、保密等义务。</w:t>
      </w:r>
    </w:p>
    <w:p w14:paraId="3F7A0FB5">
      <w:pPr>
        <w:pStyle w:val="17"/>
        <w:spacing w:after="0" w:line="360" w:lineRule="auto"/>
        <w:ind w:firstLine="420"/>
        <w:rPr>
          <w:rFonts w:hint="eastAsia" w:cs="宋体"/>
          <w:highlight w:val="none"/>
        </w:rPr>
      </w:pPr>
      <w:r>
        <w:rPr>
          <w:rFonts w:hint="eastAsia" w:cs="宋体"/>
          <w:highlight w:val="none"/>
        </w:rPr>
        <w:t>第21条  合同份数</w:t>
      </w:r>
    </w:p>
    <w:p w14:paraId="3FB36F21">
      <w:pPr>
        <w:pStyle w:val="17"/>
        <w:spacing w:after="0" w:line="360" w:lineRule="auto"/>
        <w:ind w:firstLine="420"/>
        <w:rPr>
          <w:rFonts w:hint="eastAsia" w:cs="宋体"/>
          <w:highlight w:val="none"/>
        </w:rPr>
      </w:pPr>
      <w:r>
        <w:rPr>
          <w:rFonts w:hint="eastAsia" w:cs="宋体"/>
          <w:highlight w:val="none"/>
        </w:rPr>
        <w:t>21．1  本合同一式陆份，具有同等效力，由发包人承包人双方分别保存叁份 。</w:t>
      </w:r>
    </w:p>
    <w:p w14:paraId="5C7C12A1">
      <w:pPr>
        <w:pStyle w:val="17"/>
        <w:spacing w:after="0" w:line="360" w:lineRule="auto"/>
        <w:ind w:firstLine="420"/>
        <w:rPr>
          <w:rFonts w:hint="eastAsia" w:cs="宋体"/>
          <w:highlight w:val="none"/>
        </w:rPr>
      </w:pPr>
      <w:r>
        <w:rPr>
          <w:rFonts w:hint="eastAsia" w:cs="宋体"/>
          <w:highlight w:val="none"/>
        </w:rPr>
        <w:t>附件</w:t>
      </w:r>
    </w:p>
    <w:p w14:paraId="1EC8672B">
      <w:pPr>
        <w:pStyle w:val="17"/>
        <w:spacing w:after="0" w:line="360" w:lineRule="auto"/>
        <w:ind w:firstLine="420"/>
        <w:rPr>
          <w:rFonts w:hint="eastAsia" w:cs="宋体"/>
          <w:highlight w:val="none"/>
        </w:rPr>
      </w:pPr>
      <w:r>
        <w:rPr>
          <w:rFonts w:hint="eastAsia" w:cs="宋体"/>
          <w:highlight w:val="none"/>
        </w:rPr>
        <w:t>附件一：安全生产协议</w:t>
      </w:r>
    </w:p>
    <w:p w14:paraId="20861A2A">
      <w:pPr>
        <w:pStyle w:val="17"/>
        <w:spacing w:after="0" w:line="360" w:lineRule="auto"/>
        <w:ind w:firstLine="420"/>
        <w:rPr>
          <w:rFonts w:hint="eastAsia" w:cs="宋体"/>
          <w:highlight w:val="none"/>
        </w:rPr>
      </w:pPr>
      <w:r>
        <w:rPr>
          <w:rFonts w:hint="eastAsia" w:cs="宋体"/>
          <w:highlight w:val="none"/>
        </w:rPr>
        <w:t>附件二：工程建设项目廉政责任书</w:t>
      </w:r>
    </w:p>
    <w:p w14:paraId="7CA49DDA">
      <w:pPr>
        <w:pStyle w:val="17"/>
        <w:spacing w:after="0" w:line="360" w:lineRule="auto"/>
        <w:ind w:firstLine="420"/>
        <w:rPr>
          <w:rFonts w:hint="eastAsia" w:cs="宋体"/>
          <w:highlight w:val="none"/>
        </w:rPr>
      </w:pPr>
      <w:r>
        <w:rPr>
          <w:rFonts w:hint="eastAsia" w:cs="宋体"/>
          <w:highlight w:val="none"/>
        </w:rPr>
        <w:t>附件三：工程质量保修书</w:t>
      </w:r>
    </w:p>
    <w:p w14:paraId="0D45235A">
      <w:pPr>
        <w:pStyle w:val="17"/>
        <w:spacing w:after="0" w:line="360" w:lineRule="auto"/>
        <w:ind w:firstLine="420"/>
        <w:rPr>
          <w:rFonts w:hint="eastAsia" w:cs="宋体"/>
          <w:sz w:val="21"/>
          <w:szCs w:val="21"/>
          <w:highlight w:val="none"/>
        </w:rPr>
      </w:pPr>
      <w:r>
        <w:rPr>
          <w:rFonts w:hint="eastAsia" w:cs="宋体"/>
          <w:highlight w:val="none"/>
        </w:rPr>
        <w:t>附件四：合同保密协议</w:t>
      </w:r>
    </w:p>
    <w:p w14:paraId="2BE5B5B4">
      <w:pPr>
        <w:spacing w:after="0" w:line="248" w:lineRule="auto"/>
        <w:rPr>
          <w:rFonts w:hint="eastAsia" w:ascii="宋体" w:hAnsi="宋体" w:cs="宋体"/>
          <w:highlight w:val="none"/>
        </w:rPr>
      </w:pPr>
    </w:p>
    <w:p w14:paraId="4FE21074">
      <w:pPr>
        <w:spacing w:after="0" w:line="248" w:lineRule="auto"/>
        <w:rPr>
          <w:rFonts w:hint="eastAsia" w:ascii="宋体" w:hAnsi="宋体" w:cs="宋体"/>
          <w:highlight w:val="none"/>
        </w:rPr>
      </w:pPr>
    </w:p>
    <w:p w14:paraId="608ACC37">
      <w:pPr>
        <w:tabs>
          <w:tab w:val="left" w:pos="360"/>
        </w:tabs>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附件一：安全生产协议</w:t>
      </w:r>
    </w:p>
    <w:p w14:paraId="33AA77A2">
      <w:pPr>
        <w:pStyle w:val="17"/>
        <w:spacing w:after="0" w:line="225" w:lineRule="auto"/>
        <w:jc w:val="center"/>
        <w:rPr>
          <w:rFonts w:hint="eastAsia" w:cs="宋体"/>
          <w:sz w:val="28"/>
          <w:szCs w:val="28"/>
          <w:highlight w:val="none"/>
        </w:rPr>
      </w:pPr>
      <w:r>
        <w:rPr>
          <w:rFonts w:hint="eastAsia" w:cs="宋体"/>
          <w:b/>
          <w:bCs/>
          <w:spacing w:val="3"/>
          <w:sz w:val="28"/>
          <w:szCs w:val="28"/>
          <w:highlight w:val="none"/>
        </w:rPr>
        <w:t>安全生产协议</w:t>
      </w:r>
    </w:p>
    <w:p w14:paraId="53BA7869">
      <w:pPr>
        <w:pStyle w:val="17"/>
        <w:spacing w:after="0" w:line="360" w:lineRule="auto"/>
        <w:rPr>
          <w:rFonts w:hint="eastAsia" w:cs="宋体"/>
          <w:highlight w:val="none"/>
        </w:rPr>
      </w:pPr>
      <w:r>
        <w:rPr>
          <w:rFonts w:hint="eastAsia" w:cs="宋体"/>
          <w:highlight w:val="none"/>
        </w:rPr>
        <w:t>发包人（全称）：北京市公安局海淀分局</w:t>
      </w:r>
    </w:p>
    <w:p w14:paraId="51696DAC">
      <w:pPr>
        <w:pStyle w:val="17"/>
        <w:spacing w:after="0" w:line="360" w:lineRule="auto"/>
        <w:rPr>
          <w:rFonts w:hint="eastAsia" w:cs="宋体"/>
          <w:highlight w:val="none"/>
        </w:rPr>
      </w:pPr>
      <w:r>
        <w:rPr>
          <w:rFonts w:hint="eastAsia" w:cs="宋体"/>
          <w:highlight w:val="none"/>
        </w:rPr>
        <w:t xml:space="preserve">承包人（全称）：                     </w:t>
      </w:r>
    </w:p>
    <w:p w14:paraId="503A2332">
      <w:pPr>
        <w:pStyle w:val="17"/>
        <w:spacing w:after="0" w:line="360" w:lineRule="auto"/>
        <w:ind w:firstLine="420"/>
        <w:rPr>
          <w:rFonts w:hint="eastAsia" w:cs="宋体"/>
          <w:highlight w:val="none"/>
        </w:rPr>
      </w:pPr>
      <w:r>
        <w:rPr>
          <w:rFonts w:hint="eastAsia" w:cs="宋体"/>
          <w:highlight w:val="none"/>
        </w:rPr>
        <w:t>为贯彻“安全第一、预防为主 ”的方针，确保：工程的施工安全，依照国家、北京市的有关法规和政策，甲、乙双方经充分协调，特签订本安全生产协议书。</w:t>
      </w:r>
    </w:p>
    <w:p w14:paraId="6A429777">
      <w:pPr>
        <w:pStyle w:val="17"/>
        <w:spacing w:after="0" w:line="360" w:lineRule="auto"/>
        <w:ind w:firstLine="420"/>
        <w:rPr>
          <w:rFonts w:hint="eastAsia" w:cs="宋体"/>
          <w:highlight w:val="none"/>
        </w:rPr>
      </w:pPr>
      <w:r>
        <w:rPr>
          <w:rFonts w:hint="eastAsia" w:cs="宋体"/>
          <w:highlight w:val="none"/>
        </w:rPr>
        <w:t>一、本安全生产协议书作为本合同的附件，与本合同具有同等效力。</w:t>
      </w:r>
    </w:p>
    <w:p w14:paraId="1508D83C">
      <w:pPr>
        <w:pStyle w:val="17"/>
        <w:spacing w:after="0" w:line="360" w:lineRule="auto"/>
        <w:ind w:firstLine="420"/>
        <w:rPr>
          <w:rFonts w:hint="eastAsia" w:cs="宋体"/>
          <w:highlight w:val="none"/>
        </w:rPr>
      </w:pPr>
      <w:r>
        <w:rPr>
          <w:rFonts w:hint="eastAsia" w:cs="宋体"/>
          <w:highlight w:val="none"/>
        </w:rPr>
        <w:t>二、承包人的法定代表人、项目经理、安全生产负责人、工地的现场安全员应对本工程安全生产工作各负其责。</w:t>
      </w:r>
    </w:p>
    <w:p w14:paraId="27DC3F64">
      <w:pPr>
        <w:pStyle w:val="17"/>
        <w:spacing w:after="0" w:line="360" w:lineRule="auto"/>
        <w:ind w:firstLine="420"/>
        <w:rPr>
          <w:rFonts w:hint="eastAsia" w:cs="宋体"/>
          <w:highlight w:val="none"/>
        </w:rPr>
      </w:pPr>
      <w:r>
        <w:rPr>
          <w:rFonts w:hint="eastAsia" w:cs="宋体"/>
          <w:highlight w:val="none"/>
        </w:rPr>
        <w:t>三、根据《北京市建设工程文明安全施工管理规定》的有关要求，发包人有权审查承包人安全管理体制是否符合市、区政府及有关主管部门的规定，有权向承包人提出安全施工的要求以及日常施工现场的督促检查。</w:t>
      </w:r>
    </w:p>
    <w:p w14:paraId="0CADA77E">
      <w:pPr>
        <w:pStyle w:val="17"/>
        <w:spacing w:after="0" w:line="360" w:lineRule="auto"/>
        <w:ind w:firstLine="420"/>
        <w:rPr>
          <w:rFonts w:hint="eastAsia" w:cs="宋体"/>
          <w:highlight w:val="none"/>
        </w:rPr>
      </w:pPr>
      <w:r>
        <w:rPr>
          <w:rFonts w:hint="eastAsia" w:cs="宋体"/>
          <w:highlight w:val="none"/>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14:paraId="040F2700">
      <w:pPr>
        <w:pStyle w:val="17"/>
        <w:spacing w:after="0" w:line="360" w:lineRule="auto"/>
        <w:ind w:firstLine="420"/>
        <w:rPr>
          <w:rFonts w:hint="eastAsia" w:cs="宋体"/>
          <w:highlight w:val="none"/>
        </w:rPr>
      </w:pPr>
      <w:r>
        <w:rPr>
          <w:rFonts w:hint="eastAsia" w:cs="宋体"/>
          <w:highlight w:val="none"/>
        </w:rPr>
        <w:t>五、承包人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p>
    <w:p w14:paraId="33F6B1B4">
      <w:pPr>
        <w:pStyle w:val="17"/>
        <w:spacing w:after="0" w:line="360" w:lineRule="auto"/>
        <w:ind w:firstLine="420"/>
        <w:rPr>
          <w:rFonts w:hint="eastAsia" w:cs="宋体"/>
          <w:highlight w:val="none"/>
        </w:rPr>
      </w:pPr>
      <w:r>
        <w:rPr>
          <w:rFonts w:hint="eastAsia" w:cs="宋体"/>
          <w:highlight w:val="none"/>
        </w:rPr>
        <w:t>六、承包人施工人员的电工、焊工、起重吊运指挥、挂勾工等特殊专业必须按国家《特种作业人员安全技术培训考核管理规定》持有劳动部门签发的有效操作证件上岗，严禁无证、违章操作；施工机具中的受压容器、电气设备必须具有符合安全要求的保护设施。</w:t>
      </w:r>
    </w:p>
    <w:p w14:paraId="2255D859">
      <w:pPr>
        <w:pStyle w:val="17"/>
        <w:spacing w:after="0" w:line="360" w:lineRule="auto"/>
        <w:ind w:firstLine="420"/>
        <w:rPr>
          <w:rFonts w:hint="eastAsia" w:cs="宋体"/>
          <w:highlight w:val="none"/>
        </w:rPr>
      </w:pPr>
      <w:r>
        <w:rPr>
          <w:rFonts w:hint="eastAsia" w:cs="宋体"/>
          <w:highlight w:val="none"/>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部门联系，采取有效保护措施，在施工过程中造成的地下管线和地表构造物的损坏，由承包人承担全部责任。</w:t>
      </w:r>
    </w:p>
    <w:p w14:paraId="6862ACF0">
      <w:pPr>
        <w:pStyle w:val="17"/>
        <w:spacing w:after="0" w:line="360" w:lineRule="auto"/>
        <w:ind w:firstLine="420"/>
        <w:rPr>
          <w:rFonts w:hint="eastAsia" w:cs="宋体"/>
          <w:highlight w:val="none"/>
        </w:rPr>
      </w:pPr>
      <w:r>
        <w:rPr>
          <w:rFonts w:hint="eastAsia" w:cs="宋体"/>
          <w:highlight w:val="none"/>
        </w:rPr>
        <w:t>八、承包人在施工过程中，应认真组织审核图纸，并严格按审核后的图纸及相应的国家有关标准施工，不允许随意改变施工工艺和工法，否则出现的任何施工质量和安全问题都将由承包人承担全部责任。</w:t>
      </w:r>
    </w:p>
    <w:p w14:paraId="12E87597">
      <w:pPr>
        <w:pStyle w:val="17"/>
        <w:spacing w:after="0" w:line="360" w:lineRule="auto"/>
        <w:ind w:firstLine="420"/>
        <w:rPr>
          <w:rFonts w:hint="eastAsia" w:cs="宋体"/>
          <w:highlight w:val="none"/>
        </w:rPr>
      </w:pPr>
      <w:r>
        <w:rPr>
          <w:rFonts w:hint="eastAsia" w:cs="宋体"/>
          <w:highlight w:val="none"/>
        </w:rPr>
        <w:t>九、若在施工过程中发生人员伤亡（含刑事案件）、火灾、爆炸等事故，承包人必须立即按有关规定及时上报发包人及其政府主管部门，事故责任以及事故损失均由承包人负责。</w:t>
      </w:r>
    </w:p>
    <w:p w14:paraId="79BBFC9C">
      <w:pPr>
        <w:pStyle w:val="17"/>
        <w:spacing w:after="0" w:line="360" w:lineRule="auto"/>
        <w:ind w:firstLine="420"/>
        <w:rPr>
          <w:rFonts w:hint="eastAsia" w:cs="宋体"/>
          <w:highlight w:val="none"/>
        </w:rPr>
      </w:pPr>
      <w:r>
        <w:rPr>
          <w:rFonts w:hint="eastAsia" w:cs="宋体"/>
          <w:highlight w:val="none"/>
        </w:rPr>
        <w:t>十、承包人在合同签订之后，应尽快自觉配合发包人有关部门办理开工报告手续。</w:t>
      </w:r>
    </w:p>
    <w:p w14:paraId="18C1F922">
      <w:pPr>
        <w:pStyle w:val="17"/>
        <w:spacing w:after="0" w:line="360" w:lineRule="auto"/>
        <w:ind w:firstLine="420"/>
        <w:rPr>
          <w:rFonts w:hint="eastAsia" w:cs="宋体"/>
          <w:highlight w:val="none"/>
        </w:rPr>
      </w:pPr>
      <w:r>
        <w:rPr>
          <w:rFonts w:hint="eastAsia" w:cs="宋体"/>
          <w:highlight w:val="none"/>
        </w:rPr>
        <w:t>十一、本协议未尽事宜，依据有关法规，规章处理，法规、规章没有明确规定的，经双方协商处理解决。</w:t>
      </w:r>
    </w:p>
    <w:p w14:paraId="44D7F2ED">
      <w:pPr>
        <w:pStyle w:val="17"/>
        <w:spacing w:after="0" w:line="360" w:lineRule="auto"/>
        <w:ind w:firstLine="420"/>
        <w:rPr>
          <w:rFonts w:hint="eastAsia" w:cs="宋体"/>
          <w:highlight w:val="none"/>
        </w:rPr>
      </w:pPr>
      <w:r>
        <w:rPr>
          <w:rFonts w:hint="eastAsia" w:cs="宋体"/>
          <w:highlight w:val="none"/>
        </w:rPr>
        <w:t>十二、本协议为本工程施工合同的附件， 自双方签署之日起生效。</w:t>
      </w:r>
    </w:p>
    <w:p w14:paraId="2AF49A2F">
      <w:pPr>
        <w:pStyle w:val="17"/>
        <w:spacing w:after="0" w:line="360" w:lineRule="auto"/>
        <w:rPr>
          <w:rFonts w:hint="eastAsia" w:cs="宋体"/>
          <w:highlight w:val="none"/>
        </w:rPr>
      </w:pPr>
      <w:r>
        <w:rPr>
          <w:rFonts w:hint="eastAsia" w:cs="宋体"/>
          <w:highlight w:val="none"/>
        </w:rPr>
        <w:t>发包人（公章）：                      承包人（公章）：</w:t>
      </w:r>
    </w:p>
    <w:p w14:paraId="0195308A">
      <w:pPr>
        <w:pStyle w:val="17"/>
        <w:spacing w:after="0" w:line="360" w:lineRule="auto"/>
        <w:rPr>
          <w:rFonts w:hint="eastAsia" w:cs="宋体"/>
          <w:highlight w:val="none"/>
        </w:rPr>
      </w:pPr>
    </w:p>
    <w:p w14:paraId="1790891D">
      <w:pPr>
        <w:pStyle w:val="17"/>
        <w:spacing w:after="0" w:line="360" w:lineRule="auto"/>
        <w:rPr>
          <w:rFonts w:hint="eastAsia" w:ascii="宋体" w:hAnsi="宋体" w:cs="宋体"/>
          <w:highlight w:val="none"/>
        </w:rPr>
      </w:pPr>
      <w:r>
        <w:rPr>
          <w:rFonts w:hint="eastAsia" w:cs="宋体"/>
          <w:highlight w:val="none"/>
        </w:rPr>
        <w:t>日期：      年    月  日             日期：       年      月     日</w:t>
      </w:r>
    </w:p>
    <w:p w14:paraId="5B045E0F">
      <w:pPr>
        <w:tabs>
          <w:tab w:val="left" w:pos="360"/>
        </w:tabs>
        <w:snapToGrid w:val="0"/>
        <w:spacing w:after="0" w:line="360" w:lineRule="auto"/>
        <w:outlineLvl w:val="2"/>
        <w:rPr>
          <w:rFonts w:hint="eastAsia" w:ascii="宋体" w:hAnsi="宋体" w:cs="宋体"/>
          <w:sz w:val="24"/>
          <w:highlight w:val="none"/>
        </w:rPr>
        <w:sectPr>
          <w:pgSz w:w="11905" w:h="16838"/>
          <w:pgMar w:top="1474" w:right="1474" w:bottom="1474" w:left="1474" w:header="850" w:footer="992" w:gutter="0"/>
          <w:cols w:space="720" w:num="1"/>
        </w:sectPr>
      </w:pPr>
    </w:p>
    <w:p w14:paraId="3AAA9EE8">
      <w:pPr>
        <w:tabs>
          <w:tab w:val="left" w:pos="360"/>
        </w:tabs>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附件二：工程建设项目廉政责任书</w:t>
      </w:r>
    </w:p>
    <w:p w14:paraId="4BCC5718">
      <w:pPr>
        <w:pStyle w:val="17"/>
        <w:spacing w:after="0" w:line="225" w:lineRule="auto"/>
        <w:jc w:val="center"/>
        <w:rPr>
          <w:rFonts w:hint="eastAsia" w:cs="宋体"/>
          <w:b/>
          <w:bCs/>
          <w:spacing w:val="3"/>
          <w:sz w:val="28"/>
          <w:szCs w:val="28"/>
          <w:highlight w:val="none"/>
        </w:rPr>
      </w:pPr>
      <w:r>
        <w:rPr>
          <w:rFonts w:hint="eastAsia" w:cs="宋体"/>
          <w:b/>
          <w:bCs/>
          <w:spacing w:val="3"/>
          <w:sz w:val="28"/>
          <w:szCs w:val="28"/>
          <w:highlight w:val="none"/>
        </w:rPr>
        <w:t>工程建设项目廉政责任书</w:t>
      </w:r>
    </w:p>
    <w:p w14:paraId="4BA0CBCF">
      <w:pPr>
        <w:pStyle w:val="17"/>
        <w:spacing w:after="0" w:line="440" w:lineRule="exact"/>
        <w:rPr>
          <w:rFonts w:hint="eastAsia" w:cs="宋体"/>
          <w:highlight w:val="none"/>
        </w:rPr>
      </w:pPr>
      <w:r>
        <w:rPr>
          <w:rFonts w:hint="eastAsia" w:cs="宋体"/>
          <w:highlight w:val="none"/>
        </w:rPr>
        <w:t>工程项目名称：</w:t>
      </w:r>
      <w:r>
        <w:rPr>
          <w:rFonts w:hint="eastAsia" w:cs="宋体"/>
          <w:highlight w:val="none"/>
        </w:rPr>
        <w:tab/>
      </w:r>
    </w:p>
    <w:p w14:paraId="1CFC9E65">
      <w:pPr>
        <w:pStyle w:val="17"/>
        <w:spacing w:after="0" w:line="440" w:lineRule="exact"/>
        <w:rPr>
          <w:rFonts w:hint="eastAsia" w:cs="宋体"/>
          <w:highlight w:val="none"/>
        </w:rPr>
      </w:pPr>
      <w:r>
        <w:rPr>
          <w:rFonts w:hint="eastAsia" w:cs="宋体"/>
          <w:highlight w:val="none"/>
        </w:rPr>
        <w:t>项目地址：</w:t>
      </w:r>
      <w:r>
        <w:rPr>
          <w:rFonts w:hint="eastAsia" w:cs="宋体"/>
          <w:highlight w:val="none"/>
        </w:rPr>
        <w:tab/>
      </w:r>
    </w:p>
    <w:p w14:paraId="3342F068">
      <w:pPr>
        <w:pStyle w:val="17"/>
        <w:spacing w:after="0" w:line="440" w:lineRule="exact"/>
        <w:rPr>
          <w:rFonts w:hint="eastAsia" w:cs="宋体"/>
          <w:highlight w:val="none"/>
        </w:rPr>
      </w:pPr>
      <w:r>
        <w:rPr>
          <w:rFonts w:hint="eastAsia" w:cs="宋体"/>
          <w:highlight w:val="none"/>
        </w:rPr>
        <w:t>发包人（全称）：</w:t>
      </w:r>
      <w:r>
        <w:rPr>
          <w:rFonts w:hint="eastAsia" w:cs="宋体"/>
          <w:highlight w:val="none"/>
        </w:rPr>
        <w:tab/>
      </w:r>
    </w:p>
    <w:p w14:paraId="2B839CD3">
      <w:pPr>
        <w:pStyle w:val="17"/>
        <w:spacing w:after="0" w:line="440" w:lineRule="exact"/>
        <w:rPr>
          <w:rFonts w:hint="eastAsia" w:cs="宋体"/>
          <w:highlight w:val="none"/>
        </w:rPr>
      </w:pPr>
      <w:r>
        <w:rPr>
          <w:rFonts w:hint="eastAsia" w:cs="宋体"/>
          <w:highlight w:val="none"/>
        </w:rPr>
        <w:t xml:space="preserve">承包人（全称）：                        </w:t>
      </w:r>
    </w:p>
    <w:p w14:paraId="78FB7034">
      <w:pPr>
        <w:pStyle w:val="17"/>
        <w:spacing w:after="0" w:line="440" w:lineRule="exact"/>
        <w:ind w:firstLine="420"/>
        <w:rPr>
          <w:rFonts w:hint="eastAsia" w:cs="宋体"/>
          <w:highlight w:val="none"/>
        </w:rPr>
      </w:pPr>
      <w:r>
        <w:rPr>
          <w:rFonts w:hint="eastAsia" w:cs="宋体"/>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2C73301C">
      <w:pPr>
        <w:pStyle w:val="17"/>
        <w:spacing w:after="0" w:line="440" w:lineRule="exact"/>
        <w:ind w:firstLine="420"/>
        <w:rPr>
          <w:rFonts w:hint="eastAsia" w:cs="宋体"/>
          <w:highlight w:val="none"/>
        </w:rPr>
      </w:pPr>
      <w:r>
        <w:rPr>
          <w:rFonts w:hint="eastAsia" w:cs="宋体"/>
          <w:highlight w:val="none"/>
        </w:rPr>
        <w:t>第一条  承发包双方的责任</w:t>
      </w:r>
    </w:p>
    <w:p w14:paraId="52410C86">
      <w:pPr>
        <w:pStyle w:val="17"/>
        <w:spacing w:after="0" w:line="440" w:lineRule="exact"/>
        <w:ind w:firstLine="420"/>
        <w:rPr>
          <w:rFonts w:hint="eastAsia" w:cs="宋体"/>
          <w:highlight w:val="none"/>
        </w:rPr>
      </w:pPr>
      <w:r>
        <w:rPr>
          <w:rFonts w:hint="eastAsia" w:cs="宋体"/>
          <w:highlight w:val="none"/>
        </w:rPr>
        <w:t>（一）应严格遵守国家关于市场准入、工程建设、施工安装和市场活动等有关法律、法规，相关政策，以及廉政建设的各项规定。</w:t>
      </w:r>
    </w:p>
    <w:p w14:paraId="005DC051">
      <w:pPr>
        <w:pStyle w:val="17"/>
        <w:spacing w:after="0" w:line="440" w:lineRule="exact"/>
        <w:ind w:firstLine="420"/>
        <w:rPr>
          <w:rFonts w:hint="eastAsia" w:cs="宋体"/>
          <w:highlight w:val="none"/>
        </w:rPr>
      </w:pPr>
      <w:r>
        <w:rPr>
          <w:rFonts w:hint="eastAsia" w:cs="宋体"/>
          <w:highlight w:val="none"/>
        </w:rPr>
        <w:t>（二）严格执行建设工程项目承发包合同文件，自觉按合同办事。</w:t>
      </w:r>
    </w:p>
    <w:p w14:paraId="227A4A8E">
      <w:pPr>
        <w:pStyle w:val="17"/>
        <w:spacing w:after="0" w:line="440" w:lineRule="exact"/>
        <w:ind w:firstLine="420"/>
        <w:rPr>
          <w:rFonts w:hint="eastAsia" w:cs="宋体"/>
          <w:highlight w:val="none"/>
        </w:rPr>
      </w:pPr>
      <w:r>
        <w:rPr>
          <w:rFonts w:hint="eastAsia" w:cs="宋体"/>
          <w:highlight w:val="none"/>
        </w:rPr>
        <w:t>（三）业务活动必须坚持公开、公平、公正、诚信、透明的原则（除法律法规另有规定者外），不得为获取不正当的利益，损害国家、集体和对方利益，不得违反工程建设管理、施工安装的规章制度。</w:t>
      </w:r>
    </w:p>
    <w:p w14:paraId="6FDAD30C">
      <w:pPr>
        <w:pStyle w:val="17"/>
        <w:spacing w:after="0" w:line="440" w:lineRule="exact"/>
        <w:ind w:firstLine="420"/>
        <w:rPr>
          <w:rFonts w:hint="eastAsia" w:cs="宋体"/>
          <w:highlight w:val="none"/>
        </w:rPr>
      </w:pPr>
      <w:r>
        <w:rPr>
          <w:rFonts w:hint="eastAsia" w:cs="宋体"/>
          <w:highlight w:val="none"/>
        </w:rPr>
        <w:t>（四）发现对方在业务活动中有违规、违纪、违法行为的，应及时提醒对方，情节严重的，应向其上级主管部门或纪检监察、司法等有关机关举报。</w:t>
      </w:r>
    </w:p>
    <w:p w14:paraId="754E735C">
      <w:pPr>
        <w:pStyle w:val="17"/>
        <w:spacing w:after="0" w:line="440" w:lineRule="exact"/>
        <w:ind w:firstLine="420"/>
        <w:rPr>
          <w:rFonts w:hint="eastAsia" w:cs="宋体"/>
          <w:highlight w:val="none"/>
        </w:rPr>
      </w:pPr>
      <w:r>
        <w:rPr>
          <w:rFonts w:hint="eastAsia" w:cs="宋体"/>
          <w:highlight w:val="none"/>
        </w:rPr>
        <w:t>第二条  发包人的责任</w:t>
      </w:r>
    </w:p>
    <w:p w14:paraId="7B3FC1DA">
      <w:pPr>
        <w:pStyle w:val="17"/>
        <w:spacing w:after="0" w:line="440" w:lineRule="exact"/>
        <w:ind w:firstLine="420"/>
        <w:rPr>
          <w:rFonts w:hint="eastAsia" w:cs="宋体"/>
          <w:highlight w:val="none"/>
        </w:rPr>
      </w:pPr>
      <w:r>
        <w:rPr>
          <w:rFonts w:hint="eastAsia" w:cs="宋体"/>
          <w:highlight w:val="none"/>
        </w:rPr>
        <w:t>发包人的领导和从事该建设工程项目的工作人员，在工程建设的事前、事中、事后应遵守以下规定：</w:t>
      </w:r>
    </w:p>
    <w:p w14:paraId="248702B3">
      <w:pPr>
        <w:pStyle w:val="17"/>
        <w:spacing w:after="0" w:line="440" w:lineRule="exact"/>
        <w:ind w:firstLine="420"/>
        <w:rPr>
          <w:rFonts w:hint="eastAsia" w:cs="宋体"/>
          <w:highlight w:val="none"/>
        </w:rPr>
      </w:pPr>
      <w:r>
        <w:rPr>
          <w:rFonts w:hint="eastAsia" w:cs="宋体"/>
          <w:highlight w:val="none"/>
        </w:rPr>
        <w:t>（一）不准向承包人和相关单位索要或接受回扣、礼金、有价证券、贵重物品和好处费、感谢费等。</w:t>
      </w:r>
    </w:p>
    <w:p w14:paraId="2326A20D">
      <w:pPr>
        <w:pStyle w:val="17"/>
        <w:spacing w:after="0" w:line="440" w:lineRule="exact"/>
        <w:ind w:firstLine="420"/>
        <w:rPr>
          <w:rFonts w:hint="eastAsia" w:cs="宋体"/>
          <w:highlight w:val="none"/>
        </w:rPr>
      </w:pPr>
      <w:r>
        <w:rPr>
          <w:rFonts w:hint="eastAsia" w:cs="宋体"/>
          <w:highlight w:val="none"/>
        </w:rPr>
        <w:t>（二）不准在承包人和相关单位报销任何应由发包人或个人支付的费用。</w:t>
      </w:r>
    </w:p>
    <w:p w14:paraId="5EB9E7A1">
      <w:pPr>
        <w:pStyle w:val="17"/>
        <w:spacing w:after="0" w:line="440" w:lineRule="exact"/>
        <w:ind w:firstLine="420"/>
        <w:rPr>
          <w:rFonts w:hint="eastAsia" w:cs="宋体"/>
          <w:highlight w:val="none"/>
        </w:rPr>
      </w:pPr>
      <w:r>
        <w:rPr>
          <w:rFonts w:hint="eastAsia" w:cs="宋体"/>
          <w:highlight w:val="none"/>
        </w:rPr>
        <w:t>（三）不准要求、暗示或接受承包人和相关单位为个人装修住房、婚丧嫁娶、配偶子女的工作安排以及出国（境）、旅游等提供方便。</w:t>
      </w:r>
    </w:p>
    <w:p w14:paraId="54955EF3">
      <w:pPr>
        <w:pStyle w:val="17"/>
        <w:spacing w:after="0" w:line="440" w:lineRule="exact"/>
        <w:ind w:firstLine="420"/>
        <w:rPr>
          <w:rFonts w:hint="eastAsia" w:cs="宋体"/>
          <w:highlight w:val="none"/>
        </w:rPr>
      </w:pPr>
      <w:r>
        <w:rPr>
          <w:rFonts w:hint="eastAsia" w:cs="宋体"/>
          <w:highlight w:val="none"/>
        </w:rPr>
        <w:t>（四）不准参加有可能影响公正执行公务的承包人和相关单位的宴请和健身、娱乐等活动。</w:t>
      </w:r>
    </w:p>
    <w:p w14:paraId="61E7679B">
      <w:pPr>
        <w:pStyle w:val="17"/>
        <w:spacing w:after="0" w:line="440" w:lineRule="exact"/>
        <w:ind w:firstLine="420"/>
        <w:rPr>
          <w:rFonts w:hint="eastAsia" w:cs="宋体"/>
          <w:highlight w:val="none"/>
        </w:rPr>
      </w:pPr>
      <w:r>
        <w:rPr>
          <w:rFonts w:hint="eastAsia" w:cs="宋体"/>
          <w:highlight w:val="none"/>
        </w:rPr>
        <w:t>（五）不准向承包人介绍或为配偶、子女、亲属参与同发包人项目工程施工合同有关的设备、材料、工程分包、劳务等经济活动。不得以任何理由向承包人和相关单位推荐分包单位和要求承包人购买项目工程施工合同规定以外的材料、设备等。</w:t>
      </w:r>
    </w:p>
    <w:p w14:paraId="1ED1B4B7">
      <w:pPr>
        <w:pStyle w:val="17"/>
        <w:spacing w:after="0" w:line="440" w:lineRule="exact"/>
        <w:ind w:firstLine="420"/>
        <w:rPr>
          <w:rFonts w:hint="eastAsia" w:cs="宋体"/>
          <w:highlight w:val="none"/>
        </w:rPr>
      </w:pPr>
      <w:r>
        <w:rPr>
          <w:rFonts w:hint="eastAsia" w:cs="宋体"/>
          <w:highlight w:val="none"/>
        </w:rPr>
        <w:t>第三条  承包人的责任</w:t>
      </w:r>
    </w:p>
    <w:p w14:paraId="5C8344BA">
      <w:pPr>
        <w:pStyle w:val="17"/>
        <w:spacing w:after="0" w:line="440" w:lineRule="exact"/>
        <w:ind w:firstLine="420"/>
        <w:rPr>
          <w:rFonts w:hint="eastAsia" w:cs="宋体"/>
          <w:highlight w:val="none"/>
        </w:rPr>
      </w:pPr>
      <w:r>
        <w:rPr>
          <w:rFonts w:hint="eastAsia" w:cs="宋体"/>
          <w:highlight w:val="none"/>
        </w:rPr>
        <w:t>应与发包人保持正常的业务交往，按照有关法律法规和程序开展业务工作，严格执行工程建设的有关方针、政策，尤其是有关建筑施工安装的强制性标准和规范，并遵守以下规定：</w:t>
      </w:r>
    </w:p>
    <w:p w14:paraId="6605351B">
      <w:pPr>
        <w:pStyle w:val="17"/>
        <w:spacing w:after="0" w:line="440" w:lineRule="exact"/>
        <w:ind w:firstLine="420"/>
        <w:rPr>
          <w:rFonts w:hint="eastAsia" w:cs="宋体"/>
          <w:highlight w:val="none"/>
        </w:rPr>
      </w:pPr>
      <w:r>
        <w:rPr>
          <w:rFonts w:hint="eastAsia" w:cs="宋体"/>
          <w:highlight w:val="none"/>
        </w:rPr>
        <w:t>（一）不准以任何理由向发包人、相关单位及其工作人员索要、接受或赠送礼金、有价证券、贵重物品和回扣、好处费、感谢费等。</w:t>
      </w:r>
    </w:p>
    <w:p w14:paraId="07930F0F">
      <w:pPr>
        <w:pStyle w:val="17"/>
        <w:spacing w:after="0" w:line="440" w:lineRule="exact"/>
        <w:ind w:firstLine="420"/>
        <w:rPr>
          <w:rFonts w:hint="eastAsia" w:cs="宋体"/>
          <w:highlight w:val="none"/>
        </w:rPr>
      </w:pPr>
      <w:r>
        <w:rPr>
          <w:rFonts w:hint="eastAsia" w:cs="宋体"/>
          <w:highlight w:val="none"/>
        </w:rPr>
        <w:t>（二）不准以任何理由为发包人和相关单位报销应由对方或个人支付的费用。</w:t>
      </w:r>
    </w:p>
    <w:p w14:paraId="132A80F1">
      <w:pPr>
        <w:pStyle w:val="17"/>
        <w:spacing w:after="0" w:line="440" w:lineRule="exact"/>
        <w:ind w:firstLine="420"/>
        <w:rPr>
          <w:rFonts w:hint="eastAsia" w:cs="宋体"/>
          <w:highlight w:val="none"/>
        </w:rPr>
      </w:pPr>
      <w:r>
        <w:rPr>
          <w:rFonts w:hint="eastAsia" w:cs="宋体"/>
          <w:highlight w:val="none"/>
        </w:rPr>
        <w:t>（三）不准接受或暗示为发包人、相关单位或个人装修住房、婚丧嫁娶、配偶子女的工作安排以及出国（境）、旅游等提供方便。</w:t>
      </w:r>
    </w:p>
    <w:p w14:paraId="33657BC3">
      <w:pPr>
        <w:pStyle w:val="17"/>
        <w:spacing w:after="0" w:line="440" w:lineRule="exact"/>
        <w:ind w:firstLine="420"/>
        <w:rPr>
          <w:rFonts w:hint="eastAsia" w:cs="宋体"/>
          <w:highlight w:val="none"/>
        </w:rPr>
      </w:pPr>
      <w:r>
        <w:rPr>
          <w:rFonts w:hint="eastAsia" w:cs="宋体"/>
          <w:highlight w:val="none"/>
        </w:rPr>
        <w:t>（四）不准以任何理由为发包人、相关单位或个人组织有可能影响公正执行公务的宴请、健身、娱乐等活动。</w:t>
      </w:r>
    </w:p>
    <w:p w14:paraId="6E02C5B6">
      <w:pPr>
        <w:pStyle w:val="17"/>
        <w:spacing w:after="0" w:line="440" w:lineRule="exact"/>
        <w:ind w:firstLine="420"/>
        <w:rPr>
          <w:rFonts w:hint="eastAsia" w:cs="宋体"/>
          <w:highlight w:val="none"/>
        </w:rPr>
      </w:pPr>
      <w:r>
        <w:rPr>
          <w:rFonts w:hint="eastAsia" w:cs="宋体"/>
          <w:highlight w:val="none"/>
        </w:rPr>
        <w:t>第四条  违约责任</w:t>
      </w:r>
    </w:p>
    <w:p w14:paraId="775BCCC8">
      <w:pPr>
        <w:pStyle w:val="17"/>
        <w:spacing w:after="0" w:line="440" w:lineRule="exact"/>
        <w:ind w:firstLine="420"/>
        <w:rPr>
          <w:rFonts w:hint="eastAsia" w:cs="宋体"/>
          <w:highlight w:val="none"/>
        </w:rPr>
      </w:pPr>
      <w:r>
        <w:rPr>
          <w:rFonts w:hint="eastAsia" w:cs="宋体"/>
          <w:highlight w:val="none"/>
        </w:rPr>
        <w:t>（一）发包人工作人员有违反本责任书第一、二条责任行为的，按照管理权限，依据有关法律法规和规定给予党纪、政纪处分或组织处理；涉嫌犯罪，移交司法机关追究刑事责任；给承包人单位造成经济损失的，应予以赔偿。</w:t>
      </w:r>
    </w:p>
    <w:p w14:paraId="083C835B">
      <w:pPr>
        <w:pStyle w:val="17"/>
        <w:spacing w:after="0" w:line="440" w:lineRule="exact"/>
        <w:ind w:firstLine="420"/>
        <w:rPr>
          <w:rFonts w:hint="eastAsia" w:cs="宋体"/>
          <w:highlight w:val="none"/>
        </w:rPr>
      </w:pPr>
      <w:r>
        <w:rPr>
          <w:rFonts w:hint="eastAsia" w:cs="宋体"/>
          <w:highlight w:val="none"/>
        </w:rPr>
        <w:t>（二）承包人工作人员有违反本责任书第一、三条责任行为的，按照管理权限，依据有关法律法规和规定给予党纪、政纪处分或组织处理；涉嬚犯罪的，移交司法机关追究刑事责任；给发包人单位造成经济损失的，应予以赔偿。</w:t>
      </w:r>
    </w:p>
    <w:p w14:paraId="771A8711">
      <w:pPr>
        <w:pStyle w:val="17"/>
        <w:spacing w:after="0" w:line="440" w:lineRule="exact"/>
        <w:ind w:firstLine="420"/>
        <w:rPr>
          <w:rFonts w:hint="eastAsia" w:cs="宋体"/>
          <w:highlight w:val="none"/>
        </w:rPr>
      </w:pPr>
      <w:r>
        <w:rPr>
          <w:rFonts w:hint="eastAsia" w:cs="宋体"/>
          <w:highlight w:val="none"/>
        </w:rPr>
        <w:t>第五条  本责任书作为工程施工合同的附件，与工程施工合同具有同等法律效力。经双方签署后立即生效。</w:t>
      </w:r>
    </w:p>
    <w:p w14:paraId="3678129E">
      <w:pPr>
        <w:pStyle w:val="17"/>
        <w:spacing w:after="0" w:line="440" w:lineRule="exact"/>
        <w:ind w:firstLine="420"/>
        <w:rPr>
          <w:rFonts w:hint="eastAsia" w:cs="宋体"/>
          <w:highlight w:val="none"/>
        </w:rPr>
      </w:pPr>
      <w:r>
        <w:rPr>
          <w:rFonts w:hint="eastAsia" w:cs="宋体"/>
          <w:highlight w:val="none"/>
        </w:rPr>
        <w:t>第六条  本责任书的有效期为双方签署之日起至该工程项目竣工验收合格时止。</w:t>
      </w:r>
    </w:p>
    <w:p w14:paraId="45947F43">
      <w:pPr>
        <w:pStyle w:val="17"/>
        <w:spacing w:after="0" w:line="440" w:lineRule="exact"/>
        <w:rPr>
          <w:rFonts w:hint="eastAsia" w:cs="宋体"/>
          <w:highlight w:val="none"/>
        </w:rPr>
      </w:pPr>
      <w:r>
        <w:rPr>
          <w:rFonts w:hint="eastAsia" w:cs="宋体"/>
          <w:highlight w:val="none"/>
        </w:rPr>
        <w:t>发包人（公章）：                       承包人（公章）：</w:t>
      </w:r>
    </w:p>
    <w:p w14:paraId="339B20AC">
      <w:pPr>
        <w:pStyle w:val="17"/>
        <w:spacing w:after="0" w:line="440" w:lineRule="exact"/>
        <w:rPr>
          <w:rFonts w:hint="eastAsia" w:cs="宋体"/>
          <w:highlight w:val="none"/>
        </w:rPr>
      </w:pPr>
      <w:r>
        <w:rPr>
          <w:rFonts w:hint="eastAsia" w:cs="宋体"/>
          <w:highlight w:val="none"/>
        </w:rPr>
        <w:t>日期：      年     月    日            日期：      年    月   日</w:t>
      </w:r>
    </w:p>
    <w:p w14:paraId="6D9DB7B9">
      <w:pPr>
        <w:pStyle w:val="17"/>
        <w:spacing w:after="0" w:line="360" w:lineRule="auto"/>
        <w:rPr>
          <w:rFonts w:hint="eastAsia" w:cs="宋体"/>
          <w:sz w:val="21"/>
          <w:szCs w:val="21"/>
          <w:highlight w:val="none"/>
        </w:rPr>
        <w:sectPr>
          <w:pgSz w:w="11905" w:h="16838"/>
          <w:pgMar w:top="1474" w:right="1474" w:bottom="1474" w:left="1474" w:header="850" w:footer="992" w:gutter="0"/>
          <w:cols w:space="720" w:num="1"/>
        </w:sectPr>
      </w:pPr>
    </w:p>
    <w:p w14:paraId="3496BEC7">
      <w:pPr>
        <w:tabs>
          <w:tab w:val="left" w:pos="360"/>
        </w:tabs>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附件三：工程质量保修书</w:t>
      </w:r>
    </w:p>
    <w:p w14:paraId="06BEBFB1">
      <w:pPr>
        <w:pStyle w:val="17"/>
        <w:spacing w:after="0" w:line="225" w:lineRule="auto"/>
        <w:jc w:val="center"/>
        <w:rPr>
          <w:rFonts w:hint="eastAsia" w:cs="宋体"/>
          <w:b/>
          <w:bCs/>
          <w:spacing w:val="3"/>
          <w:sz w:val="28"/>
          <w:szCs w:val="28"/>
          <w:highlight w:val="none"/>
        </w:rPr>
      </w:pPr>
      <w:r>
        <w:rPr>
          <w:rFonts w:hint="eastAsia" w:cs="宋体"/>
          <w:b/>
          <w:bCs/>
          <w:spacing w:val="3"/>
          <w:sz w:val="28"/>
          <w:szCs w:val="28"/>
          <w:highlight w:val="none"/>
        </w:rPr>
        <w:t>工程质量保修书</w:t>
      </w:r>
    </w:p>
    <w:p w14:paraId="3ABF3EC6">
      <w:pPr>
        <w:pStyle w:val="17"/>
        <w:spacing w:after="0" w:line="360" w:lineRule="auto"/>
        <w:rPr>
          <w:rFonts w:hint="eastAsia" w:cs="宋体"/>
          <w:highlight w:val="none"/>
        </w:rPr>
      </w:pPr>
      <w:r>
        <w:rPr>
          <w:rFonts w:hint="eastAsia" w:cs="宋体"/>
          <w:highlight w:val="none"/>
        </w:rPr>
        <w:t>发包人(全称)：北京市公安局海淀分局</w:t>
      </w:r>
    </w:p>
    <w:p w14:paraId="38BF4118">
      <w:pPr>
        <w:pStyle w:val="17"/>
        <w:spacing w:after="0" w:line="360" w:lineRule="auto"/>
        <w:rPr>
          <w:rFonts w:hint="eastAsia" w:cs="宋体"/>
          <w:highlight w:val="none"/>
        </w:rPr>
      </w:pPr>
      <w:r>
        <w:rPr>
          <w:rFonts w:hint="eastAsia" w:cs="宋体"/>
          <w:highlight w:val="none"/>
        </w:rPr>
        <w:t xml:space="preserve">承包人(全称)：                            </w:t>
      </w:r>
    </w:p>
    <w:p w14:paraId="031ED348">
      <w:pPr>
        <w:pStyle w:val="17"/>
        <w:spacing w:after="0" w:line="360" w:lineRule="auto"/>
        <w:rPr>
          <w:rFonts w:hint="eastAsia" w:cs="宋体"/>
          <w:highlight w:val="none"/>
        </w:rPr>
      </w:pPr>
      <w:r>
        <w:rPr>
          <w:rFonts w:hint="eastAsia" w:cs="宋体"/>
          <w:highlight w:val="none"/>
        </w:rPr>
        <w:tab/>
      </w:r>
      <w:r>
        <w:rPr>
          <w:rFonts w:hint="eastAsia" w:cs="宋体"/>
          <w:highlight w:val="none"/>
        </w:rPr>
        <w:tab/>
      </w:r>
      <w:r>
        <w:rPr>
          <w:rFonts w:hint="eastAsia" w:cs="宋体"/>
          <w:highlight w:val="none"/>
        </w:rPr>
        <w:t>发包人、承包人根据《中华人民共和国建筑法》、《建设工程质量管理条例》和 《房屋建筑工程质量保修办法》，经协商一致，对（全称）签订工程质量保修书。</w:t>
      </w:r>
    </w:p>
    <w:p w14:paraId="680525FB">
      <w:pPr>
        <w:pStyle w:val="17"/>
        <w:spacing w:after="0" w:line="360" w:lineRule="auto"/>
        <w:ind w:firstLine="420"/>
        <w:rPr>
          <w:rFonts w:hint="eastAsia" w:cs="宋体"/>
          <w:highlight w:val="none"/>
        </w:rPr>
      </w:pPr>
      <w:r>
        <w:rPr>
          <w:rFonts w:hint="eastAsia" w:cs="宋体"/>
          <w:highlight w:val="none"/>
        </w:rPr>
        <w:t>一、工程质量保修范围和内容</w:t>
      </w:r>
    </w:p>
    <w:p w14:paraId="6C9EE970">
      <w:pPr>
        <w:pStyle w:val="17"/>
        <w:spacing w:after="0" w:line="360" w:lineRule="auto"/>
        <w:ind w:firstLine="420"/>
        <w:rPr>
          <w:rFonts w:hint="eastAsia" w:cs="宋体"/>
          <w:highlight w:val="none"/>
        </w:rPr>
      </w:pPr>
      <w:r>
        <w:rPr>
          <w:rFonts w:hint="eastAsia" w:cs="宋体"/>
          <w:highlight w:val="none"/>
        </w:rPr>
        <w:t>承包人在质量保修期内，按照有关法律、法规、规章的管理规定和双方约定，承担本工程质量保修责任。</w:t>
      </w:r>
    </w:p>
    <w:p w14:paraId="39530820">
      <w:pPr>
        <w:pStyle w:val="17"/>
        <w:spacing w:after="0" w:line="360" w:lineRule="auto"/>
        <w:ind w:firstLine="420"/>
        <w:rPr>
          <w:rFonts w:hint="eastAsia" w:cs="宋体"/>
          <w:highlight w:val="none"/>
        </w:rPr>
      </w:pPr>
      <w:r>
        <w:rPr>
          <w:rFonts w:hint="eastAsia" w:cs="宋体"/>
          <w:highlight w:val="none"/>
        </w:rPr>
        <w:t>质量保修具体保修的内容，双方约定如下：承包范围内的所有工作内容。</w:t>
      </w:r>
    </w:p>
    <w:p w14:paraId="7BC76FA2">
      <w:pPr>
        <w:pStyle w:val="17"/>
        <w:spacing w:after="0" w:line="360" w:lineRule="auto"/>
        <w:ind w:firstLine="420"/>
        <w:rPr>
          <w:rFonts w:hint="eastAsia" w:cs="宋体"/>
          <w:highlight w:val="none"/>
        </w:rPr>
      </w:pPr>
      <w:r>
        <w:rPr>
          <w:rFonts w:hint="eastAsia" w:cs="宋体"/>
          <w:highlight w:val="none"/>
        </w:rPr>
        <w:t>二、质量保修期</w:t>
      </w:r>
    </w:p>
    <w:p w14:paraId="4D68137D">
      <w:pPr>
        <w:pStyle w:val="17"/>
        <w:spacing w:after="0" w:line="360" w:lineRule="auto"/>
        <w:ind w:firstLine="420"/>
        <w:rPr>
          <w:rFonts w:hint="eastAsia" w:cs="宋体"/>
          <w:highlight w:val="none"/>
        </w:rPr>
      </w:pPr>
      <w:r>
        <w:rPr>
          <w:rFonts w:hint="eastAsia" w:cs="宋体"/>
          <w:highlight w:val="none"/>
        </w:rPr>
        <w:t>双方根据《建设工程质量管理条例》及有关规定，结合具体工程约定工程的质量保修期如下：</w:t>
      </w:r>
    </w:p>
    <w:p w14:paraId="2E55B1E9">
      <w:pPr>
        <w:pStyle w:val="17"/>
        <w:spacing w:after="0" w:line="360" w:lineRule="auto"/>
        <w:ind w:firstLine="420"/>
        <w:rPr>
          <w:rFonts w:hint="eastAsia" w:cs="宋体"/>
          <w:highlight w:val="none"/>
        </w:rPr>
      </w:pPr>
      <w:r>
        <w:rPr>
          <w:rFonts w:hint="eastAsia" w:cs="宋体"/>
          <w:highlight w:val="none"/>
        </w:rPr>
        <w:t xml:space="preserve">⒈地基基础工程和主体结构工程为设计文件规定的该工程合理使用年限； </w:t>
      </w:r>
    </w:p>
    <w:p w14:paraId="4A4C56DB">
      <w:pPr>
        <w:pStyle w:val="17"/>
        <w:spacing w:after="0" w:line="360" w:lineRule="auto"/>
        <w:ind w:firstLine="420"/>
        <w:rPr>
          <w:rFonts w:hint="eastAsia" w:cs="宋体"/>
          <w:highlight w:val="none"/>
        </w:rPr>
      </w:pPr>
      <w:r>
        <w:rPr>
          <w:rFonts w:hint="eastAsia" w:cs="宋体"/>
          <w:highlight w:val="none"/>
        </w:rPr>
        <w:t xml:space="preserve">⒉屋面防水工程、有防水要求的卫生间、房间和外墙面的防渗漏为 5 年； </w:t>
      </w:r>
    </w:p>
    <w:p w14:paraId="569C111D">
      <w:pPr>
        <w:pStyle w:val="17"/>
        <w:spacing w:after="0" w:line="360" w:lineRule="auto"/>
        <w:ind w:firstLine="420"/>
        <w:rPr>
          <w:rFonts w:hint="eastAsia" w:cs="宋体"/>
          <w:highlight w:val="none"/>
        </w:rPr>
      </w:pPr>
      <w:r>
        <w:rPr>
          <w:rFonts w:hint="eastAsia" w:cs="宋体"/>
          <w:highlight w:val="none"/>
        </w:rPr>
        <w:t>⒊装修工程为 2 年；</w:t>
      </w:r>
    </w:p>
    <w:p w14:paraId="5B46EB53">
      <w:pPr>
        <w:pStyle w:val="17"/>
        <w:spacing w:after="0" w:line="360" w:lineRule="auto"/>
        <w:ind w:firstLine="420"/>
        <w:rPr>
          <w:rFonts w:hint="eastAsia" w:cs="宋体"/>
          <w:highlight w:val="none"/>
        </w:rPr>
      </w:pPr>
      <w:r>
        <w:rPr>
          <w:rFonts w:hint="eastAsia" w:cs="宋体"/>
          <w:highlight w:val="none"/>
        </w:rPr>
        <w:t xml:space="preserve">⒋电气管线、给排水管道、设备安装工程为 2 年； </w:t>
      </w:r>
    </w:p>
    <w:p w14:paraId="4F51F22E">
      <w:pPr>
        <w:pStyle w:val="17"/>
        <w:spacing w:after="0" w:line="360" w:lineRule="auto"/>
        <w:ind w:firstLine="420"/>
        <w:rPr>
          <w:rFonts w:hint="eastAsia" w:cs="宋体"/>
          <w:highlight w:val="none"/>
        </w:rPr>
      </w:pPr>
      <w:r>
        <w:rPr>
          <w:rFonts w:hint="eastAsia" w:cs="宋体"/>
          <w:highlight w:val="none"/>
        </w:rPr>
        <w:t>⒌供热与供冷系统为 2 个采暖期、供冷期；</w:t>
      </w:r>
    </w:p>
    <w:p w14:paraId="34E80754">
      <w:pPr>
        <w:pStyle w:val="17"/>
        <w:spacing w:after="0" w:line="360" w:lineRule="auto"/>
        <w:ind w:firstLine="420"/>
        <w:rPr>
          <w:rFonts w:hint="eastAsia" w:cs="宋体"/>
          <w:highlight w:val="none"/>
        </w:rPr>
      </w:pPr>
      <w:r>
        <w:rPr>
          <w:rFonts w:hint="eastAsia" w:cs="宋体"/>
          <w:highlight w:val="none"/>
        </w:rPr>
        <w:t xml:space="preserve">⒍住宅小区内的给排水设施、道路等配套工程为 2 年； </w:t>
      </w:r>
    </w:p>
    <w:p w14:paraId="1BB9FEEE">
      <w:pPr>
        <w:pStyle w:val="17"/>
        <w:spacing w:after="0" w:line="360" w:lineRule="auto"/>
        <w:ind w:firstLine="420"/>
        <w:rPr>
          <w:rFonts w:hint="eastAsia" w:cs="宋体"/>
          <w:highlight w:val="none"/>
        </w:rPr>
      </w:pPr>
      <w:r>
        <w:rPr>
          <w:rFonts w:hint="eastAsia" w:cs="宋体"/>
          <w:highlight w:val="none"/>
        </w:rPr>
        <w:t>⒎其他项目保修期限约定如下：另行约定。</w:t>
      </w:r>
    </w:p>
    <w:p w14:paraId="0FAC11E3">
      <w:pPr>
        <w:pStyle w:val="17"/>
        <w:spacing w:after="0" w:line="360" w:lineRule="auto"/>
        <w:ind w:firstLine="420"/>
        <w:rPr>
          <w:rFonts w:hint="eastAsia" w:cs="宋体"/>
          <w:highlight w:val="none"/>
        </w:rPr>
      </w:pPr>
      <w:r>
        <w:rPr>
          <w:rFonts w:hint="eastAsia" w:cs="宋体"/>
          <w:highlight w:val="none"/>
        </w:rPr>
        <w:t>质量保修期自工程竣工验收合格之日起计算。</w:t>
      </w:r>
    </w:p>
    <w:p w14:paraId="56A54744">
      <w:pPr>
        <w:pStyle w:val="17"/>
        <w:spacing w:after="0" w:line="360" w:lineRule="auto"/>
        <w:ind w:firstLine="420"/>
        <w:rPr>
          <w:rFonts w:hint="eastAsia" w:cs="宋体"/>
          <w:highlight w:val="none"/>
        </w:rPr>
      </w:pPr>
      <w:r>
        <w:rPr>
          <w:rFonts w:hint="eastAsia" w:cs="宋体"/>
          <w:highlight w:val="none"/>
        </w:rPr>
        <w:t>三、质量保修责任</w:t>
      </w:r>
    </w:p>
    <w:p w14:paraId="33E469D1">
      <w:pPr>
        <w:pStyle w:val="17"/>
        <w:spacing w:after="0" w:line="360" w:lineRule="auto"/>
        <w:ind w:firstLine="420"/>
        <w:rPr>
          <w:rFonts w:hint="eastAsia" w:cs="宋体"/>
          <w:highlight w:val="none"/>
        </w:rPr>
      </w:pPr>
      <w:r>
        <w:rPr>
          <w:rFonts w:hint="eastAsia" w:cs="宋体"/>
          <w:highlight w:val="none"/>
        </w:rPr>
        <w:t>1、属于保修范围和内容的项目，承包人应在接到修理故障通知之日后24小时内派人修理。承包人不在约定期限内派人修理，发包人可委托其他人员修理，保修费用从质量保证金内扣除。</w:t>
      </w:r>
    </w:p>
    <w:p w14:paraId="3205087F">
      <w:pPr>
        <w:pStyle w:val="17"/>
        <w:spacing w:after="0" w:line="360" w:lineRule="auto"/>
        <w:ind w:firstLine="420"/>
        <w:rPr>
          <w:rFonts w:hint="eastAsia" w:cs="宋体"/>
          <w:highlight w:val="none"/>
        </w:rPr>
      </w:pPr>
      <w:r>
        <w:rPr>
          <w:rFonts w:hint="eastAsia" w:cs="宋体"/>
          <w:highlight w:val="none"/>
        </w:rPr>
        <w:t>2、发生须紧急抢修事故(如发生漏气等紧急情况)，承包人接到事故通知后应立即到达事故现场抢修。</w:t>
      </w:r>
    </w:p>
    <w:p w14:paraId="72CCB8BD">
      <w:pPr>
        <w:pStyle w:val="17"/>
        <w:spacing w:after="0" w:line="360" w:lineRule="auto"/>
        <w:ind w:firstLine="420"/>
        <w:rPr>
          <w:rFonts w:hint="eastAsia" w:cs="宋体"/>
          <w:highlight w:val="none"/>
        </w:rPr>
      </w:pPr>
      <w:r>
        <w:rPr>
          <w:rFonts w:hint="eastAsia" w:cs="宋体"/>
          <w:highlight w:val="none"/>
        </w:rPr>
        <w:t>3、对于涉及结构安全的质量问题，应当按照《房屋建筑工程质量保修办法》 的规定，立即向当地建设行政主管部门报告，采取安全防范措施；由原设计单位或者具有相应资质等级的设计单位提出保修方案，承包人实施保修。</w:t>
      </w:r>
    </w:p>
    <w:p w14:paraId="3D9FA26F">
      <w:pPr>
        <w:pStyle w:val="17"/>
        <w:spacing w:after="0" w:line="360" w:lineRule="auto"/>
        <w:ind w:firstLine="420"/>
        <w:rPr>
          <w:rFonts w:hint="eastAsia" w:cs="宋体"/>
          <w:highlight w:val="none"/>
        </w:rPr>
      </w:pPr>
      <w:r>
        <w:rPr>
          <w:rFonts w:hint="eastAsia" w:cs="宋体"/>
          <w:highlight w:val="none"/>
        </w:rPr>
        <w:t>4、质量保修完成后，由发包人组织验收。</w:t>
      </w:r>
    </w:p>
    <w:p w14:paraId="6E7A9D06">
      <w:pPr>
        <w:pStyle w:val="17"/>
        <w:spacing w:after="0" w:line="360" w:lineRule="auto"/>
        <w:ind w:firstLine="420"/>
        <w:rPr>
          <w:rFonts w:hint="eastAsia" w:cs="宋体"/>
          <w:highlight w:val="none"/>
        </w:rPr>
      </w:pPr>
      <w:r>
        <w:rPr>
          <w:rFonts w:hint="eastAsia" w:cs="宋体"/>
          <w:highlight w:val="none"/>
        </w:rPr>
        <w:t>四、保修费用</w:t>
      </w:r>
    </w:p>
    <w:p w14:paraId="4EE6F74D">
      <w:pPr>
        <w:pStyle w:val="17"/>
        <w:spacing w:after="0" w:line="360" w:lineRule="auto"/>
        <w:ind w:firstLine="420"/>
        <w:rPr>
          <w:rFonts w:hint="eastAsia" w:cs="宋体"/>
          <w:highlight w:val="none"/>
        </w:rPr>
      </w:pPr>
      <w:r>
        <w:rPr>
          <w:rFonts w:hint="eastAsia" w:cs="宋体"/>
          <w:highlight w:val="none"/>
        </w:rPr>
        <w:t>保修费用由造成质量缺陷的责任方承担。</w:t>
      </w:r>
    </w:p>
    <w:p w14:paraId="3316A5FD">
      <w:pPr>
        <w:pStyle w:val="17"/>
        <w:spacing w:after="0" w:line="360" w:lineRule="auto"/>
        <w:ind w:firstLine="420"/>
        <w:rPr>
          <w:rFonts w:hint="eastAsia" w:cs="宋体"/>
          <w:highlight w:val="none"/>
        </w:rPr>
      </w:pPr>
      <w:r>
        <w:rPr>
          <w:rFonts w:hint="eastAsia" w:cs="宋体"/>
          <w:highlight w:val="none"/>
        </w:rPr>
        <w:t>本工程约定的工程质量保修金为工程结算价款的3%，发包人在缺陷责任期满后  14天内，将剩余质量保证金无息返还承包人。</w:t>
      </w:r>
    </w:p>
    <w:p w14:paraId="6F55871C">
      <w:pPr>
        <w:pStyle w:val="17"/>
        <w:spacing w:after="0" w:line="360" w:lineRule="auto"/>
        <w:ind w:firstLine="420"/>
        <w:rPr>
          <w:rFonts w:hint="eastAsia" w:cs="宋体"/>
          <w:highlight w:val="none"/>
        </w:rPr>
      </w:pPr>
      <w:r>
        <w:rPr>
          <w:rFonts w:hint="eastAsia" w:cs="宋体"/>
          <w:highlight w:val="none"/>
        </w:rPr>
        <w:t>五、其他</w:t>
      </w:r>
    </w:p>
    <w:p w14:paraId="7236F485">
      <w:pPr>
        <w:pStyle w:val="17"/>
        <w:spacing w:after="0" w:line="360" w:lineRule="auto"/>
        <w:ind w:firstLine="420"/>
        <w:rPr>
          <w:rFonts w:hint="eastAsia" w:cs="宋体"/>
          <w:highlight w:val="none"/>
        </w:rPr>
      </w:pPr>
      <w:r>
        <w:rPr>
          <w:rFonts w:hint="eastAsia" w:cs="宋体"/>
          <w:highlight w:val="none"/>
        </w:rPr>
        <w:t>双方约定的其他工程质量保修事项：</w:t>
      </w:r>
    </w:p>
    <w:p w14:paraId="39891384">
      <w:pPr>
        <w:pStyle w:val="17"/>
        <w:spacing w:after="0" w:line="360" w:lineRule="auto"/>
        <w:ind w:firstLine="420"/>
        <w:rPr>
          <w:rFonts w:hint="eastAsia" w:cs="宋体"/>
          <w:highlight w:val="none"/>
        </w:rPr>
      </w:pPr>
      <w:r>
        <w:rPr>
          <w:rFonts w:hint="eastAsia" w:cs="宋体"/>
          <w:highlight w:val="none"/>
        </w:rPr>
        <w:t>1、属于保修范围、内容的项目：保修期内的维修工作由承包人负责，如承包人不按要求或不按时（接到维修单后 24 小时内）维修，发包人可自行维修或安排他人维修，发生的维修费用发包人有权按实际发生的费用从质量保证金中扣除，从质量保证金中扣除金额不足时，发包人有权继续向承包人追索。</w:t>
      </w:r>
    </w:p>
    <w:p w14:paraId="0E2BE44B">
      <w:pPr>
        <w:pStyle w:val="17"/>
        <w:spacing w:after="0" w:line="360" w:lineRule="auto"/>
        <w:ind w:firstLine="420"/>
        <w:rPr>
          <w:rFonts w:hint="eastAsia" w:cs="宋体"/>
          <w:highlight w:val="none"/>
        </w:rPr>
      </w:pPr>
      <w:r>
        <w:rPr>
          <w:rFonts w:hint="eastAsia" w:cs="宋体"/>
          <w:highlight w:val="none"/>
        </w:rPr>
        <w:t>2、承包人采取的维修方法应取得发包人认可，如承包人不能按发包人要求进行维修，发包人将从质量保证金中扣除相关费用，并由承包人承担违约责任。</w:t>
      </w:r>
    </w:p>
    <w:p w14:paraId="2807BFEB">
      <w:pPr>
        <w:pStyle w:val="17"/>
        <w:spacing w:after="0" w:line="360" w:lineRule="auto"/>
        <w:ind w:firstLine="420"/>
        <w:rPr>
          <w:rFonts w:hint="eastAsia" w:cs="宋体"/>
          <w:highlight w:val="none"/>
        </w:rPr>
      </w:pPr>
      <w:r>
        <w:rPr>
          <w:rFonts w:hint="eastAsia" w:cs="宋体"/>
          <w:highlight w:val="none"/>
        </w:rPr>
        <w:t>3、在国家规定的工程合理使用期限内，承包人确保工程的质量。因承包人设计及施工原因致使工程在合理使用期限内造成人身和财产损害的，承包人应承担损害赔偿责任。</w:t>
      </w:r>
    </w:p>
    <w:p w14:paraId="423C8BAD">
      <w:pPr>
        <w:pStyle w:val="17"/>
        <w:spacing w:after="0" w:line="360" w:lineRule="auto"/>
        <w:ind w:firstLine="420"/>
        <w:rPr>
          <w:rFonts w:hint="eastAsia" w:cs="宋体"/>
          <w:highlight w:val="none"/>
        </w:rPr>
      </w:pPr>
      <w:r>
        <w:rPr>
          <w:rFonts w:hint="eastAsia" w:cs="宋体"/>
          <w:highlight w:val="none"/>
        </w:rPr>
        <w:t>4、本工程质量保修书作为施工合同附件，由施工合同发包人和承包人双方 共同签署，其有效期限至保修期满。</w:t>
      </w:r>
    </w:p>
    <w:p w14:paraId="7BB0684E">
      <w:pPr>
        <w:pStyle w:val="17"/>
        <w:spacing w:after="0" w:line="360" w:lineRule="auto"/>
        <w:rPr>
          <w:rFonts w:hint="eastAsia" w:cs="宋体"/>
          <w:highlight w:val="none"/>
        </w:rPr>
      </w:pPr>
      <w:r>
        <w:rPr>
          <w:rFonts w:hint="eastAsia" w:cs="宋体"/>
          <w:highlight w:val="none"/>
        </w:rPr>
        <w:t>发  包  人(公章)：              承  包  人(公章)：</w:t>
      </w:r>
    </w:p>
    <w:p w14:paraId="2053BF16">
      <w:pPr>
        <w:pStyle w:val="17"/>
        <w:spacing w:after="0" w:line="360" w:lineRule="auto"/>
        <w:rPr>
          <w:rFonts w:hint="eastAsia" w:cs="宋体"/>
          <w:highlight w:val="none"/>
        </w:rPr>
      </w:pPr>
      <w:r>
        <w:rPr>
          <w:rFonts w:hint="eastAsia" w:cs="宋体"/>
          <w:highlight w:val="none"/>
        </w:rPr>
        <w:t>日期：      年     月   日      日期：      年       月      日</w:t>
      </w:r>
    </w:p>
    <w:p w14:paraId="6FECC208">
      <w:pPr>
        <w:pStyle w:val="17"/>
        <w:spacing w:after="0" w:line="360" w:lineRule="auto"/>
        <w:rPr>
          <w:rFonts w:hint="eastAsia" w:cs="宋体"/>
          <w:sz w:val="21"/>
          <w:szCs w:val="21"/>
          <w:highlight w:val="none"/>
        </w:rPr>
        <w:sectPr>
          <w:pgSz w:w="11905" w:h="16838"/>
          <w:pgMar w:top="1474" w:right="1474" w:bottom="1474" w:left="1474" w:header="850" w:footer="992" w:gutter="0"/>
          <w:cols w:space="720" w:num="1"/>
        </w:sectPr>
      </w:pPr>
    </w:p>
    <w:p w14:paraId="2AE151A5">
      <w:pPr>
        <w:tabs>
          <w:tab w:val="left" w:pos="360"/>
        </w:tabs>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附件四：合同保密协议</w:t>
      </w:r>
    </w:p>
    <w:p w14:paraId="1CE2B9EC">
      <w:pPr>
        <w:pStyle w:val="17"/>
        <w:spacing w:after="0" w:line="225" w:lineRule="auto"/>
        <w:jc w:val="center"/>
        <w:rPr>
          <w:rFonts w:hint="eastAsia" w:cs="宋体"/>
          <w:b/>
          <w:bCs/>
          <w:spacing w:val="3"/>
          <w:sz w:val="28"/>
          <w:szCs w:val="28"/>
          <w:highlight w:val="none"/>
        </w:rPr>
      </w:pPr>
      <w:r>
        <w:rPr>
          <w:rFonts w:hint="eastAsia" w:cs="宋体"/>
          <w:b/>
          <w:bCs/>
          <w:spacing w:val="3"/>
          <w:sz w:val="28"/>
          <w:szCs w:val="28"/>
          <w:highlight w:val="none"/>
        </w:rPr>
        <w:t>合同保密协议</w:t>
      </w:r>
    </w:p>
    <w:p w14:paraId="097FAC4C">
      <w:pPr>
        <w:pStyle w:val="17"/>
        <w:spacing w:after="0" w:line="360" w:lineRule="auto"/>
        <w:rPr>
          <w:rFonts w:hint="eastAsia" w:cs="宋体"/>
          <w:highlight w:val="none"/>
        </w:rPr>
      </w:pPr>
      <w:r>
        <w:rPr>
          <w:rFonts w:hint="eastAsia" w:cs="宋体"/>
          <w:highlight w:val="none"/>
        </w:rPr>
        <w:t>发包人(甲方)：北京市公安局海淀分局</w:t>
      </w:r>
    </w:p>
    <w:p w14:paraId="0E3DF9F2">
      <w:pPr>
        <w:pStyle w:val="17"/>
        <w:spacing w:after="0" w:line="360" w:lineRule="auto"/>
        <w:rPr>
          <w:rFonts w:hint="eastAsia" w:cs="宋体"/>
          <w:highlight w:val="none"/>
        </w:rPr>
      </w:pPr>
      <w:r>
        <w:rPr>
          <w:rFonts w:hint="eastAsia" w:cs="宋体"/>
          <w:highlight w:val="none"/>
        </w:rPr>
        <w:t xml:space="preserve">承包人(乙方)：                            </w:t>
      </w:r>
    </w:p>
    <w:p w14:paraId="245BE633">
      <w:pPr>
        <w:pStyle w:val="17"/>
        <w:spacing w:after="0" w:line="360" w:lineRule="auto"/>
        <w:ind w:firstLine="420"/>
        <w:rPr>
          <w:rFonts w:hint="eastAsia" w:cs="宋体"/>
          <w:highlight w:val="none"/>
        </w:rPr>
      </w:pPr>
      <w:r>
        <w:rPr>
          <w:rFonts w:hint="eastAsia" w:cs="宋体"/>
          <w:highlight w:val="none"/>
        </w:rPr>
        <w:t>根据相关法律规定和公安机关保密工作要求，双方就合同保密事宜达成如下一致意见：</w:t>
      </w:r>
    </w:p>
    <w:p w14:paraId="463E76F4">
      <w:pPr>
        <w:pStyle w:val="17"/>
        <w:spacing w:after="0" w:line="360" w:lineRule="auto"/>
        <w:ind w:firstLine="420"/>
        <w:rPr>
          <w:rFonts w:hint="eastAsia" w:cs="宋体"/>
          <w:highlight w:val="none"/>
        </w:rPr>
      </w:pPr>
      <w:r>
        <w:rPr>
          <w:rFonts w:hint="eastAsia" w:cs="宋体"/>
          <w:highlight w:val="none"/>
        </w:rPr>
        <w:t>1.甲乙双方参与上述合同事项的工作人员均应遵守本协议。</w:t>
      </w:r>
    </w:p>
    <w:p w14:paraId="368E216D">
      <w:pPr>
        <w:pStyle w:val="17"/>
        <w:spacing w:after="0" w:line="360" w:lineRule="auto"/>
        <w:ind w:firstLine="420"/>
        <w:rPr>
          <w:rFonts w:hint="eastAsia" w:cs="宋体"/>
          <w:highlight w:val="none"/>
        </w:rPr>
      </w:pPr>
      <w:r>
        <w:rPr>
          <w:rFonts w:hint="eastAsia" w:cs="宋体"/>
          <w:highlight w:val="none"/>
        </w:rPr>
        <w:t>2.甲方有义务告知乙方本合同涉及国家秘密、警务工作秘密情况及相关要求。</w:t>
      </w:r>
    </w:p>
    <w:p w14:paraId="4BEE3931">
      <w:pPr>
        <w:pStyle w:val="17"/>
        <w:spacing w:after="0" w:line="360" w:lineRule="auto"/>
        <w:ind w:firstLine="420"/>
        <w:rPr>
          <w:rFonts w:hint="eastAsia" w:cs="宋体"/>
          <w:highlight w:val="none"/>
        </w:rPr>
      </w:pPr>
      <w:r>
        <w:rPr>
          <w:rFonts w:hint="eastAsia" w:cs="宋体"/>
          <w:highlight w:val="none"/>
        </w:rPr>
        <w:t>3.乙方对合同履行过程中知悉的全部信息数据、文件资料负有保密义务，未经甲方许可，乙方不得向任何第三方泄露。除甲方明确告知保密期限外，乙方的保密义务为长期。</w:t>
      </w:r>
    </w:p>
    <w:p w14:paraId="365E7CF5">
      <w:pPr>
        <w:pStyle w:val="17"/>
        <w:spacing w:after="0" w:line="360" w:lineRule="auto"/>
        <w:ind w:firstLine="420"/>
        <w:rPr>
          <w:rFonts w:hint="eastAsia" w:cs="宋体"/>
          <w:highlight w:val="none"/>
        </w:rPr>
      </w:pPr>
      <w:r>
        <w:rPr>
          <w:rFonts w:hint="eastAsia" w:cs="宋体"/>
          <w:highlight w:val="none"/>
        </w:rPr>
        <w:t>4.甲乙双方应严格遵守保密管理规定，严禁通过微信、邮箱等互联网方式发布、传输本合同涉及国家秘密、警务工作秘密信息。</w:t>
      </w:r>
    </w:p>
    <w:p w14:paraId="3560783F">
      <w:pPr>
        <w:pStyle w:val="17"/>
        <w:spacing w:after="0" w:line="360" w:lineRule="auto"/>
        <w:ind w:firstLine="420"/>
        <w:rPr>
          <w:rFonts w:hint="eastAsia" w:cs="宋体"/>
          <w:highlight w:val="none"/>
        </w:rPr>
      </w:pPr>
      <w:r>
        <w:rPr>
          <w:rFonts w:hint="eastAsia" w:cs="宋体"/>
          <w:highlight w:val="none"/>
        </w:rPr>
        <w:t>5.乙方应认真保管甲方提供的信息数据、资料文件，不得自行复制留存，使用完成后须马上归还甲方。</w:t>
      </w:r>
    </w:p>
    <w:p w14:paraId="19B04067">
      <w:pPr>
        <w:pStyle w:val="17"/>
        <w:spacing w:after="0" w:line="360" w:lineRule="auto"/>
        <w:ind w:firstLine="420"/>
        <w:rPr>
          <w:rFonts w:hint="eastAsia" w:cs="宋体"/>
          <w:highlight w:val="none"/>
        </w:rPr>
      </w:pPr>
      <w:r>
        <w:rPr>
          <w:rFonts w:hint="eastAsia" w:cs="宋体"/>
          <w:highlight w:val="none"/>
        </w:rPr>
        <w:t>6.乙方应保证单位资质、人员、技术、设备符合甲方的保密要求，参与、接触、知悉甲方涉密工作的人员，未经甲方许可，不得更换。</w:t>
      </w:r>
    </w:p>
    <w:p w14:paraId="59C85F71">
      <w:pPr>
        <w:pStyle w:val="17"/>
        <w:spacing w:after="0" w:line="360" w:lineRule="auto"/>
        <w:ind w:firstLine="420"/>
        <w:rPr>
          <w:rFonts w:hint="eastAsia" w:cs="宋体"/>
          <w:highlight w:val="none"/>
        </w:rPr>
      </w:pPr>
      <w:r>
        <w:rPr>
          <w:rFonts w:hint="eastAsia" w:cs="宋体"/>
          <w:highlight w:val="none"/>
        </w:rPr>
        <w:t>7.合同履行期间，乙方应掌握其工作人员资质、自然情况，并就其工作人员的保密义务责任承担法律上的担保责任，保证在发生泄密情况后，能为甲方提供 查找相关工作人员及泄密原因的线索和证据。</w:t>
      </w:r>
    </w:p>
    <w:p w14:paraId="2B944365">
      <w:pPr>
        <w:pStyle w:val="17"/>
        <w:spacing w:after="0" w:line="360" w:lineRule="auto"/>
        <w:ind w:firstLine="420"/>
        <w:rPr>
          <w:rFonts w:hint="eastAsia" w:cs="宋体"/>
          <w:highlight w:val="none"/>
        </w:rPr>
      </w:pPr>
      <w:r>
        <w:rPr>
          <w:rFonts w:hint="eastAsia" w:cs="宋体"/>
          <w:highlight w:val="none"/>
        </w:rPr>
        <w:t>8.因乙方原因泄密的，甲方有权解除合同，并有权要求乙方承担合同总价 30%的违约金；对因泄密所造成的后果，乙方还应当承担相应的法律责任（包括并不限于承担赔偿责任等）。</w:t>
      </w:r>
    </w:p>
    <w:p w14:paraId="56B92F58">
      <w:pPr>
        <w:pStyle w:val="17"/>
        <w:spacing w:after="0" w:line="360" w:lineRule="auto"/>
        <w:ind w:firstLine="420"/>
        <w:rPr>
          <w:rFonts w:hint="eastAsia" w:cs="宋体"/>
          <w:highlight w:val="none"/>
        </w:rPr>
      </w:pPr>
      <w:r>
        <w:rPr>
          <w:rFonts w:hint="eastAsia" w:cs="宋体"/>
          <w:highlight w:val="none"/>
        </w:rPr>
        <w:t>9.本协议自双方盖章之日起生效。</w:t>
      </w:r>
    </w:p>
    <w:p w14:paraId="06039FE5">
      <w:pPr>
        <w:pStyle w:val="17"/>
        <w:spacing w:after="0" w:line="360" w:lineRule="auto"/>
        <w:rPr>
          <w:rFonts w:hint="eastAsia" w:cs="宋体"/>
          <w:highlight w:val="none"/>
        </w:rPr>
      </w:pPr>
      <w:r>
        <w:rPr>
          <w:rFonts w:hint="eastAsia" w:cs="宋体"/>
          <w:highlight w:val="none"/>
        </w:rPr>
        <w:t>甲方（盖章）：                   乙方（盖章）：</w:t>
      </w:r>
    </w:p>
    <w:p w14:paraId="115946F6">
      <w:pPr>
        <w:pStyle w:val="17"/>
        <w:spacing w:after="0" w:line="360" w:lineRule="auto"/>
        <w:rPr>
          <w:rFonts w:hint="eastAsia" w:ascii="宋体" w:hAnsi="宋体" w:cs="宋体"/>
          <w:highlight w:val="none"/>
        </w:rPr>
      </w:pPr>
      <w:r>
        <w:rPr>
          <w:rFonts w:hint="eastAsia" w:cs="宋体"/>
          <w:highlight w:val="none"/>
        </w:rPr>
        <w:t>日期：      年       月      日  日期：      年    月   日</w:t>
      </w:r>
    </w:p>
    <w:p w14:paraId="0DA1141B">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0" w:footer="992" w:gutter="0"/>
          <w:cols w:space="720" w:num="1"/>
          <w:docGrid w:linePitch="462" w:charSpace="0"/>
        </w:sectPr>
      </w:pPr>
      <w:bookmarkStart w:id="1226" w:name="_Toc29176"/>
    </w:p>
    <w:p w14:paraId="334601FD">
      <w:pPr>
        <w:wordWrap w:val="0"/>
        <w:spacing w:after="0" w:line="360" w:lineRule="auto"/>
        <w:jc w:val="center"/>
        <w:outlineLvl w:val="0"/>
        <w:rPr>
          <w:rFonts w:hint="eastAsia" w:ascii="宋体" w:hAnsi="宋体" w:cs="宋体"/>
          <w:b/>
          <w:sz w:val="36"/>
          <w:szCs w:val="36"/>
          <w:highlight w:val="none"/>
        </w:rPr>
      </w:pPr>
      <w:r>
        <w:rPr>
          <w:rFonts w:hint="eastAsia" w:ascii="宋体" w:hAnsi="宋体" w:cs="宋体"/>
          <w:b/>
          <w:sz w:val="36"/>
          <w:szCs w:val="36"/>
          <w:highlight w:val="none"/>
        </w:rPr>
        <w:t>第六章   响应文件格式</w:t>
      </w:r>
      <w:bookmarkEnd w:id="1226"/>
    </w:p>
    <w:p w14:paraId="1EC75C0F">
      <w:pPr>
        <w:widowControl/>
        <w:wordWrap w:val="0"/>
        <w:spacing w:after="0" w:line="360" w:lineRule="auto"/>
        <w:jc w:val="left"/>
        <w:rPr>
          <w:rFonts w:hint="eastAsia" w:ascii="宋体" w:hAnsi="宋体" w:cs="宋体"/>
          <w:b/>
          <w:sz w:val="24"/>
          <w:highlight w:val="none"/>
        </w:rPr>
      </w:pPr>
    </w:p>
    <w:p w14:paraId="647356E9">
      <w:pPr>
        <w:tabs>
          <w:tab w:val="left" w:pos="900"/>
          <w:tab w:val="left" w:pos="1980"/>
        </w:tabs>
        <w:wordWrap w:val="0"/>
        <w:snapToGrid w:val="0"/>
        <w:spacing w:after="0" w:line="360" w:lineRule="auto"/>
        <w:ind w:left="142"/>
        <w:rPr>
          <w:rFonts w:hint="eastAsia" w:ascii="宋体" w:hAnsi="宋体" w:cs="宋体"/>
          <w:b/>
          <w:kern w:val="0"/>
          <w:sz w:val="24"/>
          <w:highlight w:val="none"/>
        </w:rPr>
      </w:pPr>
      <w:r>
        <w:rPr>
          <w:rFonts w:hint="eastAsia" w:ascii="宋体" w:hAnsi="宋体" w:cs="宋体"/>
          <w:b/>
          <w:kern w:val="0"/>
          <w:sz w:val="24"/>
          <w:highlight w:val="none"/>
        </w:rPr>
        <w:t>供应商编制文件须知</w:t>
      </w:r>
    </w:p>
    <w:p w14:paraId="0A711638">
      <w:pPr>
        <w:tabs>
          <w:tab w:val="left" w:pos="900"/>
          <w:tab w:val="left" w:pos="1980"/>
        </w:tabs>
        <w:wordWrap w:val="0"/>
        <w:snapToGrid w:val="0"/>
        <w:spacing w:after="0" w:line="360" w:lineRule="auto"/>
        <w:ind w:left="142"/>
        <w:rPr>
          <w:rFonts w:hint="eastAsia"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14:paraId="42718F2C">
      <w:pPr>
        <w:tabs>
          <w:tab w:val="left" w:pos="900"/>
          <w:tab w:val="left" w:pos="1980"/>
        </w:tabs>
        <w:wordWrap w:val="0"/>
        <w:snapToGrid w:val="0"/>
        <w:spacing w:after="0" w:line="360" w:lineRule="auto"/>
        <w:ind w:left="142"/>
        <w:rPr>
          <w:rFonts w:hint="eastAsia"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对于竞争性磋商文件中标记了“实质性格式”文件的，供应商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5183B077">
      <w:pPr>
        <w:tabs>
          <w:tab w:val="left" w:pos="900"/>
          <w:tab w:val="left" w:pos="1980"/>
        </w:tabs>
        <w:wordWrap w:val="0"/>
        <w:snapToGrid w:val="0"/>
        <w:spacing w:after="0" w:line="360" w:lineRule="auto"/>
        <w:ind w:left="142"/>
        <w:rPr>
          <w:rFonts w:hint="eastAsia"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14:paraId="11687ED2">
      <w:pPr>
        <w:tabs>
          <w:tab w:val="left" w:pos="900"/>
          <w:tab w:val="left" w:pos="1980"/>
        </w:tabs>
        <w:wordWrap w:val="0"/>
        <w:snapToGrid w:val="0"/>
        <w:spacing w:after="0" w:line="360" w:lineRule="auto"/>
        <w:ind w:left="142"/>
        <w:rPr>
          <w:rFonts w:hint="eastAsia" w:ascii="宋体" w:hAnsi="宋体" w:cs="宋体"/>
          <w:sz w:val="24"/>
          <w:highlight w:val="none"/>
        </w:rPr>
      </w:pPr>
    </w:p>
    <w:p w14:paraId="7FE6BFA2">
      <w:pPr>
        <w:widowControl/>
        <w:wordWrap w:val="0"/>
        <w:spacing w:after="0" w:line="360" w:lineRule="auto"/>
        <w:jc w:val="left"/>
        <w:rPr>
          <w:rFonts w:hint="eastAsia" w:ascii="宋体" w:hAnsi="宋体" w:cs="宋体"/>
          <w:sz w:val="24"/>
          <w:highlight w:val="none"/>
        </w:rPr>
      </w:pP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4A4FF81C">
      <w:pPr>
        <w:wordWrap w:val="0"/>
        <w:spacing w:after="0" w:line="360" w:lineRule="auto"/>
        <w:rPr>
          <w:rFonts w:hint="eastAsia" w:ascii="宋体" w:hAnsi="宋体" w:cs="宋体"/>
          <w:b/>
          <w:spacing w:val="20"/>
          <w:szCs w:val="21"/>
          <w:highlight w:val="none"/>
        </w:rPr>
      </w:pPr>
    </w:p>
    <w:p w14:paraId="32FA84FE">
      <w:pPr>
        <w:wordWrap w:val="0"/>
        <w:spacing w:after="0" w:line="360" w:lineRule="auto"/>
        <w:rPr>
          <w:rFonts w:hint="eastAsia" w:ascii="宋体" w:hAnsi="宋体" w:cs="宋体"/>
          <w:b/>
          <w:spacing w:val="20"/>
          <w:sz w:val="24"/>
          <w:highlight w:val="none"/>
        </w:rPr>
        <w:sectPr>
          <w:pgSz w:w="11905" w:h="16838"/>
          <w:pgMar w:top="1474" w:right="1474" w:bottom="1474" w:left="1474" w:header="850" w:footer="992" w:gutter="0"/>
          <w:cols w:space="720" w:num="1"/>
          <w:docGrid w:linePitch="462" w:charSpace="0"/>
        </w:sectPr>
      </w:pPr>
    </w:p>
    <w:p w14:paraId="0DE539D4">
      <w:pPr>
        <w:wordWrap w:val="0"/>
        <w:spacing w:after="0" w:line="360" w:lineRule="auto"/>
        <w:rPr>
          <w:rFonts w:hint="eastAsia"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14:paraId="477B7B2D">
      <w:pPr>
        <w:wordWrap w:val="0"/>
        <w:spacing w:after="0" w:line="360" w:lineRule="auto"/>
        <w:jc w:val="center"/>
        <w:rPr>
          <w:rFonts w:hint="eastAsia" w:ascii="宋体" w:hAnsi="宋体" w:cs="宋体"/>
          <w:szCs w:val="21"/>
          <w:highlight w:val="none"/>
        </w:rPr>
      </w:pPr>
    </w:p>
    <w:p w14:paraId="0011A733">
      <w:pPr>
        <w:wordWrap w:val="0"/>
        <w:spacing w:after="0" w:line="360" w:lineRule="auto"/>
        <w:jc w:val="center"/>
        <w:rPr>
          <w:rFonts w:hint="eastAsia" w:ascii="宋体" w:hAnsi="宋体" w:cs="宋体"/>
          <w:b/>
          <w:spacing w:val="60"/>
          <w:sz w:val="84"/>
          <w:szCs w:val="84"/>
          <w:highlight w:val="none"/>
        </w:rPr>
      </w:pPr>
      <w:r>
        <w:rPr>
          <w:rFonts w:hint="eastAsia" w:ascii="宋体" w:hAnsi="宋体" w:cs="宋体"/>
          <w:b/>
          <w:spacing w:val="60"/>
          <w:sz w:val="84"/>
          <w:szCs w:val="84"/>
          <w:highlight w:val="none"/>
        </w:rPr>
        <w:t>响 应 文 件</w:t>
      </w:r>
    </w:p>
    <w:p w14:paraId="3CFB070F">
      <w:pPr>
        <w:wordWrap w:val="0"/>
        <w:spacing w:after="0" w:line="360" w:lineRule="auto"/>
        <w:jc w:val="center"/>
        <w:rPr>
          <w:rFonts w:hint="eastAsia" w:ascii="宋体" w:hAnsi="宋体" w:cs="宋体"/>
          <w:b/>
          <w:spacing w:val="60"/>
          <w:sz w:val="52"/>
          <w:szCs w:val="52"/>
          <w:highlight w:val="none"/>
        </w:rPr>
      </w:pPr>
    </w:p>
    <w:p w14:paraId="045E34B0">
      <w:pPr>
        <w:wordWrap w:val="0"/>
        <w:spacing w:after="0" w:line="360" w:lineRule="auto"/>
        <w:ind w:firstLine="542" w:firstLineChars="150"/>
        <w:rPr>
          <w:rFonts w:hint="eastAsia" w:ascii="宋体" w:hAnsi="宋体" w:cs="宋体"/>
          <w:b/>
          <w:spacing w:val="20"/>
          <w:sz w:val="32"/>
          <w:szCs w:val="32"/>
          <w:highlight w:val="none"/>
        </w:rPr>
      </w:pPr>
    </w:p>
    <w:p w14:paraId="7C3E00C9">
      <w:pPr>
        <w:wordWrap w:val="0"/>
        <w:spacing w:after="0" w:line="360" w:lineRule="auto"/>
        <w:ind w:firstLine="542" w:firstLineChars="150"/>
        <w:rPr>
          <w:rFonts w:hint="eastAsia" w:ascii="宋体" w:hAnsi="宋体" w:cs="宋体"/>
          <w:b/>
          <w:spacing w:val="20"/>
          <w:sz w:val="32"/>
          <w:szCs w:val="32"/>
          <w:highlight w:val="none"/>
        </w:rPr>
      </w:pPr>
    </w:p>
    <w:p w14:paraId="297DCC0C">
      <w:pPr>
        <w:wordWrap w:val="0"/>
        <w:spacing w:after="0" w:line="360" w:lineRule="auto"/>
        <w:ind w:firstLine="542" w:firstLineChars="150"/>
        <w:rPr>
          <w:rFonts w:hint="eastAsia" w:ascii="宋体" w:hAnsi="宋体" w:cs="宋体"/>
          <w:b/>
          <w:spacing w:val="20"/>
          <w:sz w:val="32"/>
          <w:szCs w:val="32"/>
          <w:highlight w:val="none"/>
        </w:rPr>
      </w:pPr>
      <w:r>
        <w:rPr>
          <w:rFonts w:hint="eastAsia" w:ascii="宋体" w:hAnsi="宋体" w:cs="宋体"/>
          <w:b/>
          <w:spacing w:val="20"/>
          <w:sz w:val="32"/>
          <w:szCs w:val="32"/>
          <w:highlight w:val="none"/>
        </w:rPr>
        <w:t>项目名称:</w:t>
      </w:r>
    </w:p>
    <w:p w14:paraId="28E4D04A">
      <w:pPr>
        <w:wordWrap w:val="0"/>
        <w:spacing w:after="0" w:line="360" w:lineRule="auto"/>
        <w:ind w:firstLine="542" w:firstLineChars="150"/>
        <w:rPr>
          <w:rFonts w:hint="eastAsia" w:ascii="宋体" w:hAnsi="宋体" w:cs="宋体"/>
          <w:b/>
          <w:spacing w:val="20"/>
          <w:sz w:val="32"/>
          <w:szCs w:val="32"/>
          <w:highlight w:val="none"/>
        </w:rPr>
      </w:pPr>
      <w:r>
        <w:rPr>
          <w:rFonts w:hint="eastAsia" w:ascii="宋体" w:hAnsi="宋体" w:cs="宋体"/>
          <w:b/>
          <w:spacing w:val="20"/>
          <w:sz w:val="32"/>
          <w:szCs w:val="32"/>
          <w:highlight w:val="none"/>
        </w:rPr>
        <w:t>项目编号/包号：</w:t>
      </w:r>
    </w:p>
    <w:p w14:paraId="67CA092C">
      <w:pPr>
        <w:wordWrap w:val="0"/>
        <w:spacing w:after="0" w:line="360" w:lineRule="auto"/>
        <w:ind w:firstLine="542" w:firstLineChars="150"/>
        <w:rPr>
          <w:rFonts w:hint="eastAsia" w:ascii="宋体" w:hAnsi="宋体" w:cs="宋体"/>
          <w:b/>
          <w:spacing w:val="20"/>
          <w:sz w:val="32"/>
          <w:szCs w:val="32"/>
          <w:highlight w:val="none"/>
        </w:rPr>
      </w:pPr>
    </w:p>
    <w:p w14:paraId="6CF4E413">
      <w:pPr>
        <w:wordWrap w:val="0"/>
        <w:spacing w:after="0" w:line="360" w:lineRule="auto"/>
        <w:ind w:firstLine="542" w:firstLineChars="150"/>
        <w:rPr>
          <w:rFonts w:hint="eastAsia" w:ascii="宋体" w:hAnsi="宋体" w:cs="宋体"/>
          <w:b/>
          <w:spacing w:val="20"/>
          <w:sz w:val="32"/>
          <w:szCs w:val="32"/>
          <w:highlight w:val="none"/>
        </w:rPr>
      </w:pPr>
    </w:p>
    <w:p w14:paraId="4AB6C4F7">
      <w:pPr>
        <w:wordWrap w:val="0"/>
        <w:spacing w:after="0" w:line="360" w:lineRule="auto"/>
        <w:jc w:val="center"/>
        <w:rPr>
          <w:rFonts w:hint="eastAsia" w:ascii="宋体" w:hAnsi="宋体" w:cs="宋体"/>
          <w:b/>
          <w:sz w:val="32"/>
          <w:szCs w:val="32"/>
          <w:highlight w:val="none"/>
        </w:rPr>
      </w:pPr>
    </w:p>
    <w:p w14:paraId="114A9CAE">
      <w:pPr>
        <w:wordWrap w:val="0"/>
        <w:spacing w:after="0" w:line="360" w:lineRule="auto"/>
        <w:jc w:val="center"/>
        <w:rPr>
          <w:rFonts w:hint="eastAsia" w:ascii="宋体" w:hAnsi="宋体" w:cs="宋体"/>
          <w:b/>
          <w:sz w:val="32"/>
          <w:szCs w:val="32"/>
          <w:highlight w:val="none"/>
        </w:rPr>
      </w:pPr>
    </w:p>
    <w:p w14:paraId="738BE861">
      <w:pPr>
        <w:wordWrap w:val="0"/>
        <w:spacing w:after="0" w:line="360" w:lineRule="auto"/>
        <w:jc w:val="center"/>
        <w:rPr>
          <w:rFonts w:hint="eastAsia" w:ascii="宋体" w:hAnsi="宋体" w:cs="宋体"/>
          <w:b/>
          <w:sz w:val="32"/>
          <w:szCs w:val="32"/>
          <w:highlight w:val="none"/>
        </w:rPr>
      </w:pPr>
    </w:p>
    <w:p w14:paraId="42B84614">
      <w:pPr>
        <w:wordWrap w:val="0"/>
        <w:spacing w:after="0" w:line="360" w:lineRule="auto"/>
        <w:jc w:val="center"/>
        <w:rPr>
          <w:rFonts w:hint="eastAsia" w:ascii="宋体" w:hAnsi="宋体" w:cs="宋体"/>
          <w:b/>
          <w:spacing w:val="20"/>
          <w:sz w:val="32"/>
          <w:szCs w:val="32"/>
          <w:highlight w:val="none"/>
        </w:rPr>
      </w:pPr>
    </w:p>
    <w:p w14:paraId="15AC3C63">
      <w:pPr>
        <w:wordWrap w:val="0"/>
        <w:spacing w:after="0" w:line="360" w:lineRule="auto"/>
        <w:jc w:val="center"/>
        <w:rPr>
          <w:rFonts w:hint="eastAsia" w:ascii="宋体" w:hAnsi="宋体" w:cs="宋体"/>
          <w:b/>
          <w:spacing w:val="20"/>
          <w:sz w:val="32"/>
          <w:szCs w:val="32"/>
          <w:highlight w:val="none"/>
        </w:rPr>
      </w:pPr>
    </w:p>
    <w:p w14:paraId="433121D3">
      <w:pPr>
        <w:wordWrap w:val="0"/>
        <w:spacing w:after="0" w:line="360" w:lineRule="auto"/>
        <w:jc w:val="center"/>
        <w:rPr>
          <w:rFonts w:hint="eastAsia" w:ascii="宋体" w:hAnsi="宋体" w:cs="宋体"/>
          <w:b/>
          <w:spacing w:val="20"/>
          <w:sz w:val="32"/>
          <w:szCs w:val="32"/>
          <w:highlight w:val="none"/>
        </w:rPr>
      </w:pPr>
    </w:p>
    <w:p w14:paraId="74A1CF67">
      <w:pPr>
        <w:wordWrap w:val="0"/>
        <w:spacing w:after="0" w:line="360" w:lineRule="auto"/>
        <w:ind w:firstLine="1445" w:firstLineChars="400"/>
        <w:jc w:val="left"/>
        <w:rPr>
          <w:rFonts w:hint="eastAsia" w:ascii="宋体" w:hAnsi="宋体" w:cs="宋体"/>
          <w:b/>
          <w:spacing w:val="20"/>
          <w:sz w:val="32"/>
          <w:szCs w:val="32"/>
          <w:highlight w:val="none"/>
        </w:rPr>
      </w:pPr>
      <w:r>
        <w:rPr>
          <w:rFonts w:hint="eastAsia" w:ascii="宋体" w:hAnsi="宋体" w:cs="宋体"/>
          <w:b/>
          <w:spacing w:val="20"/>
          <w:sz w:val="32"/>
          <w:szCs w:val="32"/>
          <w:highlight w:val="none"/>
        </w:rPr>
        <w:t>供应商名称：</w:t>
      </w:r>
    </w:p>
    <w:p w14:paraId="4E242555">
      <w:pPr>
        <w:wordWrap w:val="0"/>
        <w:spacing w:after="0" w:line="360" w:lineRule="auto"/>
        <w:jc w:val="center"/>
        <w:rPr>
          <w:rFonts w:hint="eastAsia" w:ascii="宋体" w:hAnsi="宋体" w:cs="宋体"/>
          <w:b/>
          <w:sz w:val="32"/>
          <w:szCs w:val="32"/>
          <w:highlight w:val="none"/>
        </w:rPr>
      </w:pPr>
    </w:p>
    <w:p w14:paraId="523683BE">
      <w:pPr>
        <w:wordWrap w:val="0"/>
        <w:spacing w:after="0" w:line="360" w:lineRule="auto"/>
        <w:rPr>
          <w:rFonts w:hint="eastAsia" w:ascii="宋体" w:hAnsi="宋体" w:cs="宋体"/>
          <w:b/>
          <w:highlight w:val="none"/>
        </w:rPr>
      </w:pPr>
    </w:p>
    <w:p w14:paraId="5204D030">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1D214599">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 满足《中华人民共和国政府采购法》第二十二条规定</w:t>
      </w:r>
    </w:p>
    <w:p w14:paraId="48CE0C18">
      <w:pPr>
        <w:wordWrap w:val="0"/>
        <w:spacing w:after="0" w:line="360" w:lineRule="auto"/>
        <w:outlineLvl w:val="2"/>
        <w:rPr>
          <w:rFonts w:hint="eastAsia" w:ascii="宋体" w:hAnsi="宋体" w:cs="宋体"/>
          <w:sz w:val="24"/>
          <w:highlight w:val="none"/>
        </w:rPr>
      </w:pPr>
      <w:r>
        <w:rPr>
          <w:rFonts w:hint="eastAsia" w:ascii="宋体" w:hAnsi="宋体" w:cs="宋体"/>
          <w:sz w:val="24"/>
          <w:highlight w:val="none"/>
        </w:rPr>
        <w:t>1-1营业执照等证明文件</w:t>
      </w:r>
    </w:p>
    <w:p w14:paraId="68740B3C">
      <w:pPr>
        <w:tabs>
          <w:tab w:val="left" w:pos="1080"/>
        </w:tabs>
        <w:wordWrap w:val="0"/>
        <w:snapToGrid w:val="0"/>
        <w:spacing w:after="0" w:line="360" w:lineRule="auto"/>
        <w:rPr>
          <w:rFonts w:hint="eastAsia" w:ascii="宋体" w:hAnsi="宋体" w:cs="宋体"/>
          <w:sz w:val="24"/>
          <w:highlight w:val="none"/>
        </w:rPr>
      </w:pPr>
    </w:p>
    <w:p w14:paraId="4384025A">
      <w:pPr>
        <w:widowControl/>
        <w:wordWrap w:val="0"/>
        <w:spacing w:after="0" w:line="360" w:lineRule="auto"/>
        <w:jc w:val="left"/>
        <w:rPr>
          <w:rFonts w:hint="eastAsia" w:ascii="宋体" w:hAnsi="宋体" w:cs="宋体"/>
          <w:sz w:val="24"/>
          <w:szCs w:val="20"/>
          <w:highlight w:val="none"/>
        </w:rPr>
      </w:pPr>
    </w:p>
    <w:p w14:paraId="002B2423">
      <w:pPr>
        <w:pStyle w:val="5"/>
        <w:wordWrap w:val="0"/>
        <w:spacing w:after="0" w:line="360" w:lineRule="auto"/>
        <w:rPr>
          <w:rFonts w:hint="eastAsia" w:hAnsi="宋体" w:cs="宋体"/>
          <w:b w:val="0"/>
          <w:szCs w:val="24"/>
          <w:highlight w:val="none"/>
          <w:u w:val="none"/>
        </w:rPr>
        <w:sectPr>
          <w:headerReference r:id="rId17" w:type="first"/>
          <w:footerReference r:id="rId19" w:type="first"/>
          <w:headerReference r:id="rId16" w:type="even"/>
          <w:footerReference r:id="rId18" w:type="even"/>
          <w:pgSz w:w="11905" w:h="16838"/>
          <w:pgMar w:top="1474" w:right="1474" w:bottom="1474" w:left="1474" w:header="850" w:footer="992" w:gutter="0"/>
          <w:cols w:space="720" w:num="1"/>
          <w:docGrid w:linePitch="462" w:charSpace="0"/>
        </w:sectPr>
      </w:pPr>
    </w:p>
    <w:p w14:paraId="015E7ED2">
      <w:pPr>
        <w:pStyle w:val="5"/>
        <w:wordWrap w:val="0"/>
        <w:spacing w:after="0" w:line="360" w:lineRule="auto"/>
        <w:rPr>
          <w:rFonts w:hint="eastAsia" w:hAnsi="宋体" w:cs="宋体"/>
          <w:b w:val="0"/>
          <w:bCs/>
          <w:szCs w:val="24"/>
          <w:highlight w:val="none"/>
          <w:u w:val="none"/>
        </w:rPr>
      </w:pPr>
      <w:r>
        <w:rPr>
          <w:rFonts w:hint="eastAsia" w:hAnsi="宋体" w:cs="宋体"/>
          <w:b w:val="0"/>
          <w:szCs w:val="24"/>
          <w:highlight w:val="none"/>
          <w:u w:val="none"/>
        </w:rPr>
        <w:t>1-2 供应商资格声明书</w:t>
      </w:r>
    </w:p>
    <w:p w14:paraId="71C063D5">
      <w:pPr>
        <w:wordWrap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供应商资格声明书</w:t>
      </w:r>
    </w:p>
    <w:p w14:paraId="0A1431A0">
      <w:pPr>
        <w:tabs>
          <w:tab w:val="left" w:pos="5580"/>
        </w:tabs>
        <w:wordWrap w:val="0"/>
        <w:spacing w:after="0"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14:paraId="53EB69D6">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在参与本次项目磋商中，我单位承诺：</w:t>
      </w:r>
    </w:p>
    <w:p w14:paraId="5B5D975F">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具有良好的商业信誉和健全的财务会计制度；</w:t>
      </w:r>
    </w:p>
    <w:p w14:paraId="3285A0DC">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具有履行合同所必需的设备和专业技术能力；</w:t>
      </w:r>
    </w:p>
    <w:p w14:paraId="2BDA5376">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有依法缴纳税收和社会保障资金的良好记录；</w:t>
      </w:r>
    </w:p>
    <w:p w14:paraId="553EB35C">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F568C0B">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14:paraId="7A5F43EA">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14:paraId="05EA8782">
      <w:pPr>
        <w:numPr>
          <w:ilvl w:val="0"/>
          <w:numId w:val="11"/>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9193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E4D35DF">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4574" w:type="dxa"/>
            <w:noWrap w:val="0"/>
            <w:vAlign w:val="center"/>
          </w:tcPr>
          <w:p w14:paraId="34402F7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单位名称</w:t>
            </w:r>
          </w:p>
        </w:tc>
        <w:tc>
          <w:tcPr>
            <w:tcW w:w="2976" w:type="dxa"/>
            <w:noWrap w:val="0"/>
            <w:vAlign w:val="center"/>
          </w:tcPr>
          <w:p w14:paraId="4227C56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相互关系</w:t>
            </w:r>
          </w:p>
        </w:tc>
      </w:tr>
      <w:tr w14:paraId="5963F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0A8DBC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1</w:t>
            </w:r>
          </w:p>
        </w:tc>
        <w:tc>
          <w:tcPr>
            <w:tcW w:w="4574" w:type="dxa"/>
            <w:noWrap w:val="0"/>
            <w:vAlign w:val="center"/>
          </w:tcPr>
          <w:p w14:paraId="7DB4791B">
            <w:pPr>
              <w:wordWrap w:val="0"/>
              <w:spacing w:after="0" w:line="360" w:lineRule="auto"/>
              <w:jc w:val="center"/>
              <w:rPr>
                <w:rFonts w:hint="eastAsia" w:ascii="宋体" w:hAnsi="宋体" w:cs="宋体"/>
                <w:sz w:val="24"/>
                <w:highlight w:val="none"/>
              </w:rPr>
            </w:pPr>
          </w:p>
        </w:tc>
        <w:tc>
          <w:tcPr>
            <w:tcW w:w="2976" w:type="dxa"/>
            <w:noWrap w:val="0"/>
            <w:vAlign w:val="center"/>
          </w:tcPr>
          <w:p w14:paraId="692B579C">
            <w:pPr>
              <w:wordWrap w:val="0"/>
              <w:spacing w:after="0" w:line="360" w:lineRule="auto"/>
              <w:jc w:val="center"/>
              <w:rPr>
                <w:rFonts w:hint="eastAsia" w:ascii="宋体" w:hAnsi="宋体" w:cs="宋体"/>
                <w:sz w:val="24"/>
                <w:highlight w:val="none"/>
              </w:rPr>
            </w:pPr>
          </w:p>
        </w:tc>
      </w:tr>
      <w:tr w14:paraId="359DA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CC773F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2</w:t>
            </w:r>
          </w:p>
        </w:tc>
        <w:tc>
          <w:tcPr>
            <w:tcW w:w="4574" w:type="dxa"/>
            <w:noWrap w:val="0"/>
            <w:vAlign w:val="center"/>
          </w:tcPr>
          <w:p w14:paraId="2DBB49C0">
            <w:pPr>
              <w:wordWrap w:val="0"/>
              <w:spacing w:after="0" w:line="360" w:lineRule="auto"/>
              <w:jc w:val="center"/>
              <w:rPr>
                <w:rFonts w:hint="eastAsia" w:ascii="宋体" w:hAnsi="宋体" w:cs="宋体"/>
                <w:sz w:val="24"/>
                <w:highlight w:val="none"/>
              </w:rPr>
            </w:pPr>
          </w:p>
        </w:tc>
        <w:tc>
          <w:tcPr>
            <w:tcW w:w="2976" w:type="dxa"/>
            <w:noWrap w:val="0"/>
            <w:vAlign w:val="center"/>
          </w:tcPr>
          <w:p w14:paraId="6F051851">
            <w:pPr>
              <w:wordWrap w:val="0"/>
              <w:spacing w:after="0" w:line="360" w:lineRule="auto"/>
              <w:jc w:val="center"/>
              <w:rPr>
                <w:rFonts w:hint="eastAsia" w:ascii="宋体" w:hAnsi="宋体" w:cs="宋体"/>
                <w:sz w:val="24"/>
                <w:highlight w:val="none"/>
              </w:rPr>
            </w:pPr>
          </w:p>
        </w:tc>
      </w:tr>
      <w:tr w14:paraId="798EA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37B723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w:t>
            </w:r>
          </w:p>
        </w:tc>
        <w:tc>
          <w:tcPr>
            <w:tcW w:w="4574" w:type="dxa"/>
            <w:noWrap w:val="0"/>
            <w:vAlign w:val="center"/>
          </w:tcPr>
          <w:p w14:paraId="77C30CFE">
            <w:pPr>
              <w:wordWrap w:val="0"/>
              <w:spacing w:after="0" w:line="360" w:lineRule="auto"/>
              <w:jc w:val="center"/>
              <w:rPr>
                <w:rFonts w:hint="eastAsia" w:ascii="宋体" w:hAnsi="宋体" w:cs="宋体"/>
                <w:sz w:val="24"/>
                <w:highlight w:val="none"/>
              </w:rPr>
            </w:pPr>
          </w:p>
        </w:tc>
        <w:tc>
          <w:tcPr>
            <w:tcW w:w="2976" w:type="dxa"/>
            <w:noWrap w:val="0"/>
            <w:vAlign w:val="center"/>
          </w:tcPr>
          <w:p w14:paraId="6818E113">
            <w:pPr>
              <w:wordWrap w:val="0"/>
              <w:spacing w:after="0" w:line="360" w:lineRule="auto"/>
              <w:jc w:val="center"/>
              <w:rPr>
                <w:rFonts w:hint="eastAsia" w:ascii="宋体" w:hAnsi="宋体" w:cs="宋体"/>
                <w:sz w:val="24"/>
                <w:highlight w:val="none"/>
              </w:rPr>
            </w:pPr>
          </w:p>
        </w:tc>
      </w:tr>
    </w:tbl>
    <w:p w14:paraId="099644D7">
      <w:pPr>
        <w:wordWrap w:val="0"/>
        <w:spacing w:after="0" w:line="360" w:lineRule="auto"/>
        <w:ind w:firstLine="480" w:firstLineChars="200"/>
        <w:rPr>
          <w:rFonts w:hint="eastAsia" w:ascii="宋体" w:hAnsi="宋体" w:cs="宋体"/>
          <w:sz w:val="24"/>
          <w:szCs w:val="22"/>
          <w:highlight w:val="none"/>
        </w:rPr>
      </w:pPr>
      <w:r>
        <w:rPr>
          <w:rFonts w:hint="eastAsia" w:ascii="宋体" w:hAnsi="宋体" w:cs="宋体"/>
          <w:sz w:val="24"/>
          <w:highlight w:val="none"/>
        </w:rPr>
        <w:t>上述声明真实有效，否则我方负全部责任。</w:t>
      </w:r>
    </w:p>
    <w:p w14:paraId="47DBBD19">
      <w:pPr>
        <w:wordWrap w:val="0"/>
        <w:autoSpaceDE w:val="0"/>
        <w:autoSpaceDN w:val="0"/>
        <w:adjustRightInd w:val="0"/>
        <w:snapToGrid w:val="0"/>
        <w:spacing w:before="25" w:after="0" w:line="360" w:lineRule="auto"/>
        <w:ind w:right="360"/>
        <w:jc w:val="right"/>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rPr>
        <w:t>______</w:t>
      </w:r>
    </w:p>
    <w:p w14:paraId="0D769A4B">
      <w:pPr>
        <w:wordWrap w:val="0"/>
        <w:spacing w:after="0" w:line="360" w:lineRule="auto"/>
        <w:ind w:right="360" w:firstLine="480"/>
        <w:jc w:val="right"/>
        <w:rPr>
          <w:rFonts w:hint="eastAsia" w:ascii="宋体" w:hAnsi="宋体" w:cs="宋体"/>
          <w:sz w:val="24"/>
          <w:highlight w:val="none"/>
        </w:rPr>
      </w:pPr>
      <w:r>
        <w:rPr>
          <w:rFonts w:hint="eastAsia" w:ascii="宋体" w:hAnsi="宋体" w:cs="宋体"/>
          <w:sz w:val="24"/>
          <w:szCs w:val="20"/>
          <w:highlight w:val="none"/>
        </w:rPr>
        <w:t xml:space="preserve">日期：____年____月____日   </w:t>
      </w:r>
    </w:p>
    <w:p w14:paraId="57E6CA96">
      <w:pPr>
        <w:wordWrap w:val="0"/>
        <w:spacing w:after="0" w:line="360" w:lineRule="auto"/>
        <w:rPr>
          <w:rFonts w:hint="eastAsia"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14:paraId="52492BB5">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22DA4C88">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2 落实政府采购政策需满足的资格要求（如有）</w:t>
      </w:r>
    </w:p>
    <w:p w14:paraId="3C99514A">
      <w:pPr>
        <w:wordWrap w:val="0"/>
        <w:spacing w:after="0" w:line="360" w:lineRule="auto"/>
        <w:outlineLvl w:val="2"/>
        <w:rPr>
          <w:rFonts w:hint="eastAsia" w:ascii="宋体" w:hAnsi="宋体" w:cs="宋体"/>
          <w:sz w:val="24"/>
          <w:szCs w:val="20"/>
          <w:highlight w:val="none"/>
        </w:rPr>
      </w:pPr>
      <w:r>
        <w:rPr>
          <w:rFonts w:hint="eastAsia" w:ascii="宋体" w:hAnsi="宋体" w:cs="宋体"/>
          <w:sz w:val="24"/>
          <w:szCs w:val="20"/>
          <w:highlight w:val="none"/>
        </w:rPr>
        <w:t>2-1中小企业政策证明文件</w:t>
      </w:r>
    </w:p>
    <w:p w14:paraId="4680BDDF">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说明：</w:t>
      </w:r>
    </w:p>
    <w:p w14:paraId="1156B6F5">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4DB9ED70">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14:paraId="0FB0D065">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3F9273D">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（4）中小企业声明函填写注意事项</w:t>
      </w:r>
    </w:p>
    <w:p w14:paraId="6F5A4409">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14:paraId="1597E371">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F0127A7">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14:paraId="4CD667FD">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0976D466">
      <w:pPr>
        <w:wordWrap w:val="0"/>
        <w:spacing w:after="0" w:line="360" w:lineRule="auto"/>
        <w:outlineLvl w:val="3"/>
        <w:rPr>
          <w:rFonts w:hint="eastAsia" w:ascii="宋体" w:hAnsi="宋体" w:cs="宋体"/>
          <w:sz w:val="24"/>
          <w:szCs w:val="20"/>
          <w:highlight w:val="none"/>
        </w:rPr>
      </w:pPr>
      <w:r>
        <w:rPr>
          <w:rFonts w:hint="eastAsia" w:ascii="宋体" w:hAnsi="宋体" w:cs="宋体"/>
          <w:sz w:val="24"/>
          <w:szCs w:val="20"/>
          <w:highlight w:val="none"/>
        </w:rPr>
        <w:t>2-1-1中小企业证明文件</w:t>
      </w:r>
    </w:p>
    <w:p w14:paraId="5107F521">
      <w:pPr>
        <w:wordWrap w:val="0"/>
        <w:spacing w:before="240" w:beforeLines="100" w:after="0"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中小企业声明函（工程、服务）格式</w:t>
      </w:r>
    </w:p>
    <w:p w14:paraId="6C2426FF">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w:t>
      </w:r>
      <w:r>
        <w:rPr>
          <w:rFonts w:hint="eastAsia" w:ascii="宋体" w:hAnsi="宋体" w:cs="宋体"/>
          <w:spacing w:val="6"/>
          <w:sz w:val="24"/>
          <w:highlight w:val="none"/>
          <w:u w:val="single"/>
        </w:rPr>
        <w:t>（北京市公安局海淀分局）</w:t>
      </w:r>
      <w:r>
        <w:rPr>
          <w:rFonts w:hint="eastAsia" w:ascii="宋体" w:hAnsi="宋体" w:cs="宋体"/>
          <w:spacing w:val="6"/>
          <w:sz w:val="24"/>
          <w:highlight w:val="none"/>
        </w:rPr>
        <w:t>的</w:t>
      </w:r>
      <w:r>
        <w:rPr>
          <w:rFonts w:hint="eastAsia" w:ascii="宋体" w:hAnsi="宋体" w:cs="宋体"/>
          <w:spacing w:val="6"/>
          <w:sz w:val="24"/>
          <w:highlight w:val="none"/>
          <w:u w:val="single"/>
        </w:rPr>
        <w:t>（青龙桥派出所设备设施维修更新经费）</w:t>
      </w:r>
      <w:r>
        <w:rPr>
          <w:rFonts w:hint="eastAsia" w:ascii="宋体" w:hAnsi="宋体" w:cs="宋体"/>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3391162">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（青龙桥派出所设备设施维修更新经费）</w:t>
      </w:r>
      <w:r>
        <w:rPr>
          <w:rFonts w:hint="eastAsia" w:ascii="宋体" w:hAnsi="宋体" w:cs="宋体"/>
          <w:spacing w:val="6"/>
          <w:sz w:val="24"/>
          <w:highlight w:val="none"/>
        </w:rPr>
        <w:t>，属于</w:t>
      </w:r>
      <w:r>
        <w:rPr>
          <w:rFonts w:hint="eastAsia" w:ascii="宋体" w:hAnsi="宋体" w:cs="宋体"/>
          <w:spacing w:val="6"/>
          <w:sz w:val="24"/>
          <w:highlight w:val="none"/>
          <w:u w:val="single"/>
        </w:rPr>
        <w:t>（建筑业）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 xml:space="preserve">        （中型企业、小型企业、微型企业）</w:t>
      </w:r>
      <w:r>
        <w:rPr>
          <w:rFonts w:hint="eastAsia" w:ascii="宋体" w:hAnsi="宋体" w:cs="宋体"/>
          <w:spacing w:val="6"/>
          <w:sz w:val="24"/>
          <w:highlight w:val="none"/>
        </w:rPr>
        <w:t>；</w:t>
      </w:r>
    </w:p>
    <w:p w14:paraId="56D5AD73">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2.</w:t>
      </w:r>
      <w:r>
        <w:rPr>
          <w:rFonts w:hint="eastAsia" w:ascii="宋体" w:hAnsi="宋体" w:cs="宋体"/>
          <w:spacing w:val="6"/>
          <w:sz w:val="24"/>
          <w:highlight w:val="none"/>
          <w:u w:val="single"/>
        </w:rPr>
        <w:t>（标的名称）</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 xml:space="preserve">        （中型企业、小型企业、微型企业）</w:t>
      </w:r>
      <w:r>
        <w:rPr>
          <w:rFonts w:hint="eastAsia" w:ascii="宋体" w:hAnsi="宋体" w:cs="宋体"/>
          <w:spacing w:val="6"/>
          <w:sz w:val="24"/>
          <w:highlight w:val="none"/>
        </w:rPr>
        <w:t>；</w:t>
      </w:r>
    </w:p>
    <w:p w14:paraId="05EC8617">
      <w:pPr>
        <w:wordWrap w:val="0"/>
        <w:spacing w:after="0" w:line="360" w:lineRule="auto"/>
        <w:ind w:firstLine="504"/>
        <w:rPr>
          <w:rFonts w:hint="eastAsia" w:ascii="宋体" w:hAnsi="宋体" w:cs="宋体"/>
          <w:spacing w:val="6"/>
          <w:sz w:val="24"/>
          <w:highlight w:val="none"/>
        </w:rPr>
      </w:pPr>
    </w:p>
    <w:p w14:paraId="6680C6D8">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w:t>
      </w:r>
    </w:p>
    <w:p w14:paraId="6A912078">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14:paraId="39DBFF3B">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14:paraId="7CC2B88B">
      <w:pPr>
        <w:wordWrap w:val="0"/>
        <w:spacing w:after="0" w:line="360" w:lineRule="auto"/>
        <w:ind w:right="360" w:firstLine="480"/>
        <w:jc w:val="right"/>
        <w:rPr>
          <w:rFonts w:hint="eastAsia" w:ascii="宋体" w:hAnsi="宋体" w:cs="宋体"/>
          <w:sz w:val="24"/>
          <w:highlight w:val="none"/>
        </w:rPr>
      </w:pPr>
    </w:p>
    <w:p w14:paraId="275DD165">
      <w:pPr>
        <w:wordWrap w:val="0"/>
        <w:spacing w:after="0" w:line="360" w:lineRule="auto"/>
        <w:ind w:right="360" w:firstLine="3837"/>
        <w:jc w:val="center"/>
        <w:rPr>
          <w:rFonts w:hint="eastAsia" w:ascii="宋体" w:hAnsi="宋体" w:cs="宋体"/>
          <w:sz w:val="24"/>
          <w:highlight w:val="none"/>
        </w:rPr>
      </w:pPr>
      <w:r>
        <w:rPr>
          <w:rFonts w:hint="eastAsia" w:ascii="宋体" w:hAnsi="宋体" w:cs="宋体"/>
          <w:sz w:val="24"/>
          <w:highlight w:val="none"/>
        </w:rPr>
        <w:t>企业名称（盖章）：</w:t>
      </w:r>
      <w:r>
        <w:rPr>
          <w:rFonts w:hint="eastAsia" w:ascii="宋体" w:hAnsi="宋体" w:cs="宋体"/>
          <w:sz w:val="24"/>
          <w:highlight w:val="none"/>
          <w:u w:val="single"/>
          <w:lang w:val="zh-CN"/>
        </w:rPr>
        <w:t xml:space="preserve">           </w:t>
      </w:r>
      <w:r>
        <w:rPr>
          <w:rFonts w:hint="eastAsia" w:ascii="宋体" w:hAnsi="宋体" w:cs="宋体"/>
          <w:sz w:val="24"/>
          <w:highlight w:val="none"/>
        </w:rPr>
        <w:t xml:space="preserve">   </w:t>
      </w:r>
    </w:p>
    <w:p w14:paraId="376AA46A">
      <w:pPr>
        <w:wordWrap w:val="0"/>
        <w:spacing w:after="0" w:line="360" w:lineRule="auto"/>
        <w:ind w:right="360" w:firstLine="3837"/>
        <w:jc w:val="center"/>
        <w:rPr>
          <w:rFonts w:hint="eastAsia" w:ascii="宋体" w:hAnsi="宋体" w:cs="宋体"/>
          <w:sz w:val="24"/>
          <w:highlight w:val="none"/>
        </w:rPr>
      </w:pPr>
      <w:r>
        <w:rPr>
          <w:rFonts w:hint="eastAsia" w:ascii="宋体" w:hAnsi="宋体" w:cs="宋体"/>
          <w:sz w:val="24"/>
          <w:highlight w:val="none"/>
        </w:rPr>
        <w:t xml:space="preserve">          日 期：</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p>
    <w:p w14:paraId="4EE22571">
      <w:pPr>
        <w:wordWrap w:val="0"/>
        <w:adjustRightInd w:val="0"/>
        <w:snapToGrid w:val="0"/>
        <w:spacing w:after="0" w:line="360" w:lineRule="auto"/>
        <w:jc w:val="left"/>
        <w:rPr>
          <w:rFonts w:hint="eastAsia" w:ascii="宋体" w:hAnsi="宋体" w:cs="宋体"/>
          <w:sz w:val="24"/>
          <w:szCs w:val="21"/>
          <w:highlight w:val="none"/>
        </w:rPr>
      </w:pPr>
    </w:p>
    <w:p w14:paraId="2C994C1E">
      <w:pPr>
        <w:wordWrap w:val="0"/>
        <w:adjustRightInd w:val="0"/>
        <w:snapToGrid w:val="0"/>
        <w:spacing w:after="0" w:line="360" w:lineRule="auto"/>
        <w:jc w:val="left"/>
        <w:rPr>
          <w:rFonts w:hint="eastAsia" w:ascii="宋体" w:hAnsi="宋体" w:cs="宋体"/>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B1F71E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4447C8FF">
            <w:pPr>
              <w:wordWrap w:val="0"/>
              <w:adjustRightInd w:val="0"/>
              <w:snapToGrid w:val="0"/>
              <w:spacing w:after="0" w:line="360" w:lineRule="auto"/>
              <w:jc w:val="left"/>
              <w:rPr>
                <w:rFonts w:hint="eastAsia" w:ascii="宋体" w:hAnsi="宋体" w:cs="宋体"/>
                <w:szCs w:val="21"/>
                <w:highlight w:val="none"/>
              </w:rPr>
            </w:pPr>
            <w:r>
              <w:rPr>
                <w:rFonts w:hint="eastAsia" w:ascii="宋体" w:hAnsi="宋体" w:cs="宋体"/>
                <w:szCs w:val="21"/>
                <w:highlight w:val="none"/>
                <w:vertAlign w:val="superscript"/>
              </w:rPr>
              <w:t>1</w:t>
            </w:r>
            <w:r>
              <w:rPr>
                <w:rFonts w:hint="eastAsia" w:ascii="宋体" w:hAnsi="宋体" w:cs="宋体"/>
                <w:szCs w:val="21"/>
                <w:highlight w:val="none"/>
              </w:rPr>
              <w:t>从业人员、营业收入、资产总额填报上一年度数据，无上一年度数据的新成立企业可不填报。</w:t>
            </w:r>
          </w:p>
        </w:tc>
      </w:tr>
    </w:tbl>
    <w:p w14:paraId="222EB6E5">
      <w:pPr>
        <w:wordWrap w:val="0"/>
        <w:adjustRightInd w:val="0"/>
        <w:snapToGrid w:val="0"/>
        <w:spacing w:after="0" w:line="360" w:lineRule="auto"/>
        <w:jc w:val="left"/>
        <w:rPr>
          <w:rFonts w:hint="eastAsia" w:ascii="宋体" w:hAnsi="宋体" w:cs="宋体"/>
          <w:szCs w:val="21"/>
          <w:highlight w:val="none"/>
          <w:vertAlign w:val="superscript"/>
        </w:rPr>
      </w:pPr>
    </w:p>
    <w:p w14:paraId="7A9D66FC">
      <w:pPr>
        <w:wordWrap w:val="0"/>
        <w:spacing w:after="0" w:line="360" w:lineRule="auto"/>
        <w:ind w:right="360" w:firstLine="480"/>
        <w:jc w:val="right"/>
        <w:rPr>
          <w:rFonts w:hint="eastAsia" w:ascii="宋体" w:hAnsi="宋体" w:cs="宋体"/>
          <w:sz w:val="24"/>
          <w:highlight w:val="none"/>
        </w:rPr>
      </w:pPr>
    </w:p>
    <w:p w14:paraId="618F402B">
      <w:pPr>
        <w:wordWrap w:val="0"/>
        <w:spacing w:after="0" w:line="360" w:lineRule="auto"/>
        <w:rPr>
          <w:rFonts w:hint="eastAsia" w:ascii="宋体" w:hAnsi="宋体" w:cs="宋体"/>
          <w:highlight w:val="none"/>
        </w:rPr>
      </w:pPr>
    </w:p>
    <w:p w14:paraId="549E1A9B">
      <w:pPr>
        <w:wordWrap w:val="0"/>
        <w:spacing w:before="240" w:beforeLines="100" w:after="0" w:line="360" w:lineRule="auto"/>
        <w:jc w:val="center"/>
        <w:rPr>
          <w:rFonts w:hint="eastAsia" w:ascii="宋体" w:hAnsi="宋体" w:cs="宋体"/>
          <w:b/>
          <w:bCs/>
          <w:sz w:val="28"/>
          <w:szCs w:val="28"/>
          <w:highlight w:val="none"/>
        </w:rPr>
        <w:sectPr>
          <w:pgSz w:w="11905" w:h="16838"/>
          <w:pgMar w:top="1474" w:right="1474" w:bottom="1474" w:left="1474" w:header="850" w:footer="992" w:gutter="0"/>
          <w:cols w:space="720" w:num="1"/>
          <w:docGrid w:linePitch="462" w:charSpace="0"/>
        </w:sectPr>
      </w:pPr>
    </w:p>
    <w:p w14:paraId="1BD178B3">
      <w:pPr>
        <w:wordWrap w:val="0"/>
        <w:spacing w:before="240" w:beforeLines="100" w:after="0" w:line="360" w:lineRule="auto"/>
        <w:jc w:val="center"/>
        <w:rPr>
          <w:rFonts w:hint="eastAsia" w:ascii="宋体" w:hAnsi="宋体" w:cs="宋体"/>
          <w:b/>
          <w:sz w:val="28"/>
          <w:szCs w:val="28"/>
          <w:highlight w:val="none"/>
        </w:rPr>
      </w:pPr>
      <w:r>
        <w:rPr>
          <w:rFonts w:hint="eastAsia" w:ascii="宋体" w:hAnsi="宋体" w:cs="宋体"/>
          <w:b/>
          <w:bCs/>
          <w:sz w:val="28"/>
          <w:szCs w:val="28"/>
          <w:highlight w:val="none"/>
        </w:rPr>
        <w:t>残疾人福利性单位声明函格式</w:t>
      </w:r>
      <w:r>
        <w:rPr>
          <w:rFonts w:hint="eastAsia" w:ascii="宋体" w:hAnsi="宋体" w:cs="宋体"/>
          <w:b/>
          <w:sz w:val="28"/>
          <w:szCs w:val="28"/>
          <w:highlight w:val="none"/>
        </w:rPr>
        <w:t xml:space="preserve">       </w:t>
      </w:r>
    </w:p>
    <w:p w14:paraId="42A2F3EF">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14:paraId="0A34F14D">
      <w:pPr>
        <w:wordWrap w:val="0"/>
        <w:spacing w:after="0" w:line="360" w:lineRule="auto"/>
        <w:ind w:firstLine="482"/>
        <w:rPr>
          <w:rFonts w:hint="eastAsia"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14:paraId="289E8B15">
      <w:pPr>
        <w:wordWrap w:val="0"/>
        <w:spacing w:after="0" w:line="360" w:lineRule="auto"/>
        <w:ind w:firstLine="482"/>
        <w:rPr>
          <w:rFonts w:hint="eastAsia"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单位的</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14:paraId="4E1AD055">
      <w:pPr>
        <w:wordWrap w:val="0"/>
        <w:spacing w:after="0" w:line="360" w:lineRule="auto"/>
        <w:ind w:firstLine="506" w:firstLineChars="200"/>
        <w:rPr>
          <w:rFonts w:hint="eastAsia"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14:paraId="79E46DEC">
      <w:pPr>
        <w:wordWrap w:val="0"/>
        <w:spacing w:after="0" w:line="360" w:lineRule="auto"/>
        <w:ind w:firstLine="504" w:firstLineChars="200"/>
        <w:rPr>
          <w:rFonts w:hint="eastAsia" w:ascii="宋体" w:hAnsi="宋体" w:cs="宋体"/>
          <w:spacing w:val="6"/>
          <w:sz w:val="24"/>
          <w:highlight w:val="none"/>
        </w:rPr>
      </w:pPr>
    </w:p>
    <w:p w14:paraId="30417ACD">
      <w:pPr>
        <w:wordWrap w:val="0"/>
        <w:spacing w:after="0" w:line="360" w:lineRule="auto"/>
        <w:ind w:firstLine="504" w:firstLineChars="200"/>
        <w:rPr>
          <w:rFonts w:hint="eastAsia" w:ascii="宋体" w:hAnsi="宋体" w:cs="宋体"/>
          <w:spacing w:val="6"/>
          <w:sz w:val="24"/>
          <w:highlight w:val="none"/>
        </w:rPr>
      </w:pPr>
    </w:p>
    <w:p w14:paraId="645A0212">
      <w:pPr>
        <w:wordWrap w:val="0"/>
        <w:spacing w:after="0" w:line="360" w:lineRule="auto"/>
        <w:ind w:right="360" w:firstLine="5108" w:firstLineChars="2027"/>
        <w:rPr>
          <w:rFonts w:hint="eastAsia" w:ascii="宋体" w:hAnsi="宋体" w:cs="宋体"/>
          <w:sz w:val="24"/>
          <w:highlight w:val="none"/>
          <w:u w:val="single"/>
          <w:lang w:val="zh-CN"/>
        </w:rPr>
      </w:pPr>
      <w:r>
        <w:rPr>
          <w:rFonts w:hint="eastAsia" w:ascii="宋体" w:hAnsi="宋体" w:cs="宋体"/>
          <w:spacing w:val="6"/>
          <w:sz w:val="24"/>
          <w:highlight w:val="none"/>
        </w:rPr>
        <w:t>单位</w:t>
      </w:r>
      <w:r>
        <w:rPr>
          <w:rFonts w:hint="eastAsia" w:ascii="宋体" w:hAnsi="宋体" w:cs="宋体"/>
          <w:sz w:val="24"/>
          <w:highlight w:val="none"/>
        </w:rPr>
        <w:t>名称（盖章）：</w:t>
      </w:r>
      <w:r>
        <w:rPr>
          <w:rFonts w:hint="eastAsia" w:ascii="宋体" w:hAnsi="宋体" w:cs="宋体"/>
          <w:sz w:val="24"/>
          <w:highlight w:val="none"/>
          <w:u w:val="single"/>
          <w:lang w:val="zh-CN"/>
        </w:rPr>
        <w:t xml:space="preserve">           </w:t>
      </w:r>
    </w:p>
    <w:p w14:paraId="45795A7E">
      <w:pPr>
        <w:tabs>
          <w:tab w:val="left" w:pos="4860"/>
          <w:tab w:val="left" w:pos="9040"/>
          <w:tab w:val="left" w:pos="9460"/>
        </w:tabs>
        <w:wordWrap w:val="0"/>
        <w:spacing w:after="0" w:line="360" w:lineRule="auto"/>
        <w:ind w:right="337" w:firstLine="480" w:firstLineChars="200"/>
        <w:jc w:val="center"/>
        <w:rPr>
          <w:rFonts w:hint="eastAsia" w:ascii="宋体" w:hAnsi="宋体" w:cs="宋体"/>
          <w:spacing w:val="6"/>
          <w:sz w:val="24"/>
          <w:highlight w:val="none"/>
        </w:rPr>
      </w:pPr>
      <w:r>
        <w:rPr>
          <w:rFonts w:hint="eastAsia" w:ascii="宋体" w:hAnsi="宋体" w:cs="宋体"/>
          <w:sz w:val="24"/>
          <w:highlight w:val="none"/>
        </w:rPr>
        <w:t xml:space="preserve">                                     日 期：</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p>
    <w:p w14:paraId="4E846EA1">
      <w:pPr>
        <w:widowControl/>
        <w:wordWrap w:val="0"/>
        <w:spacing w:after="0" w:line="360" w:lineRule="auto"/>
        <w:jc w:val="left"/>
        <w:rPr>
          <w:rFonts w:hint="eastAsia" w:ascii="宋体" w:hAnsi="宋体" w:cs="宋体"/>
          <w:sz w:val="24"/>
          <w:szCs w:val="20"/>
          <w:highlight w:val="none"/>
        </w:rPr>
      </w:pPr>
    </w:p>
    <w:p w14:paraId="7BE4595A">
      <w:pPr>
        <w:wordWrap w:val="0"/>
        <w:spacing w:after="0" w:line="360" w:lineRule="auto"/>
        <w:outlineLvl w:val="3"/>
        <w:rPr>
          <w:rFonts w:hint="eastAsia" w:ascii="宋体" w:hAnsi="宋体" w:cs="宋体"/>
          <w:sz w:val="24"/>
          <w:szCs w:val="20"/>
          <w:highlight w:val="none"/>
        </w:rPr>
        <w:sectPr>
          <w:pgSz w:w="11905" w:h="16838"/>
          <w:pgMar w:top="1474" w:right="1474" w:bottom="1474" w:left="1474" w:header="850" w:footer="992" w:gutter="0"/>
          <w:cols w:space="720" w:num="1"/>
          <w:docGrid w:linePitch="462" w:charSpace="0"/>
        </w:sectPr>
      </w:pPr>
    </w:p>
    <w:p w14:paraId="2FB7D798">
      <w:pPr>
        <w:wordWrap w:val="0"/>
        <w:spacing w:after="0" w:line="360" w:lineRule="auto"/>
        <w:outlineLvl w:val="3"/>
        <w:rPr>
          <w:rFonts w:hint="eastAsia" w:ascii="宋体" w:hAnsi="宋体" w:cs="宋体"/>
          <w:sz w:val="24"/>
          <w:szCs w:val="20"/>
          <w:highlight w:val="none"/>
        </w:rPr>
      </w:pPr>
      <w:r>
        <w:rPr>
          <w:rFonts w:hint="eastAsia" w:ascii="宋体" w:hAnsi="宋体" w:cs="宋体"/>
          <w:sz w:val="24"/>
          <w:szCs w:val="20"/>
          <w:highlight w:val="none"/>
        </w:rPr>
        <w:t>2-1-2拟分包情况说明及分包意向协议</w:t>
      </w:r>
    </w:p>
    <w:p w14:paraId="2B67C9CE">
      <w:pPr>
        <w:wordWrap w:val="0"/>
        <w:spacing w:after="0" w:line="360" w:lineRule="auto"/>
        <w:rPr>
          <w:rFonts w:hint="eastAsia" w:ascii="宋体" w:hAnsi="宋体" w:cs="宋体"/>
          <w:spacing w:val="6"/>
          <w:sz w:val="24"/>
          <w:highlight w:val="none"/>
        </w:rPr>
      </w:pPr>
      <w:r>
        <w:rPr>
          <w:rFonts w:hint="eastAsia" w:ascii="宋体" w:hAnsi="宋体" w:cs="宋体"/>
          <w:spacing w:val="6"/>
          <w:sz w:val="24"/>
          <w:highlight w:val="none"/>
        </w:rPr>
        <w:t>说明：</w:t>
      </w:r>
    </w:p>
    <w:p w14:paraId="7D321942">
      <w:pPr>
        <w:wordWrap w:val="0"/>
        <w:spacing w:after="0" w:line="360" w:lineRule="auto"/>
        <w:rPr>
          <w:rFonts w:hint="eastAsia" w:ascii="宋体" w:hAnsi="宋体" w:cs="宋体"/>
          <w:spacing w:val="6"/>
          <w:sz w:val="24"/>
          <w:highlight w:val="none"/>
        </w:rPr>
      </w:pPr>
      <w:r>
        <w:rPr>
          <w:rFonts w:hint="eastAsia" w:ascii="宋体" w:hAnsi="宋体" w:cs="宋体"/>
          <w:spacing w:val="6"/>
          <w:sz w:val="24"/>
          <w:highlight w:val="none"/>
        </w:rPr>
        <w:t>如本项目（包）允许分包，且供应商拟进行分包时，</w:t>
      </w:r>
    </w:p>
    <w:p w14:paraId="0195E50D">
      <w:pPr>
        <w:wordWrap w:val="0"/>
        <w:spacing w:after="0" w:line="360" w:lineRule="auto"/>
        <w:ind w:firstLine="420"/>
        <w:rPr>
          <w:rFonts w:hint="eastAsia" w:ascii="宋体" w:hAnsi="宋体" w:cs="宋体"/>
          <w:spacing w:val="6"/>
          <w:sz w:val="24"/>
          <w:highlight w:val="none"/>
        </w:rPr>
      </w:pPr>
      <w:r>
        <w:rPr>
          <w:rFonts w:hint="eastAsia" w:ascii="宋体" w:hAnsi="宋体" w:cs="宋体"/>
          <w:spacing w:val="6"/>
          <w:sz w:val="24"/>
          <w:highlight w:val="none"/>
        </w:rPr>
        <w:t xml:space="preserve">（1）响应文件中须提供《拟分包情况说明》，否则响应无效； </w:t>
      </w:r>
    </w:p>
    <w:p w14:paraId="5EF30E79">
      <w:pPr>
        <w:wordWrap w:val="0"/>
        <w:spacing w:after="0" w:line="360" w:lineRule="auto"/>
        <w:ind w:firstLine="420"/>
        <w:rPr>
          <w:rFonts w:hint="eastAsia" w:ascii="宋体" w:hAnsi="宋体" w:cs="宋体"/>
          <w:spacing w:val="6"/>
          <w:sz w:val="24"/>
          <w:highlight w:val="none"/>
        </w:rPr>
      </w:pPr>
      <w:r>
        <w:rPr>
          <w:rFonts w:hint="eastAsia" w:ascii="宋体" w:hAnsi="宋体" w:cs="宋体"/>
          <w:spacing w:val="6"/>
          <w:sz w:val="24"/>
          <w:highlight w:val="none"/>
        </w:rPr>
        <w:t xml:space="preserve">（2）当同时符合下列情形时，响应文件还须提供《分包意向协议》，否则响应无效： </w:t>
      </w:r>
      <w:r>
        <w:rPr>
          <w:rFonts w:hint="eastAsia" w:ascii="宋体" w:hAnsi="宋体" w:cs="宋体"/>
          <w:spacing w:val="6"/>
          <w:sz w:val="24"/>
          <w:highlight w:val="none"/>
        </w:rPr>
        <w:tab/>
      </w:r>
    </w:p>
    <w:p w14:paraId="3A33CAA1">
      <w:pPr>
        <w:wordWrap w:val="0"/>
        <w:spacing w:after="0" w:line="360" w:lineRule="auto"/>
        <w:ind w:left="420" w:firstLine="420"/>
        <w:rPr>
          <w:rFonts w:hint="eastAsia" w:ascii="宋体" w:hAnsi="宋体" w:cs="宋体"/>
          <w:spacing w:val="6"/>
          <w:sz w:val="24"/>
          <w:highlight w:val="none"/>
        </w:rPr>
      </w:pPr>
      <w:r>
        <w:rPr>
          <w:rFonts w:hint="eastAsia" w:ascii="宋体" w:hAnsi="宋体" w:cs="宋体"/>
          <w:spacing w:val="6"/>
          <w:sz w:val="24"/>
          <w:highlight w:val="none"/>
        </w:rPr>
        <w:t>A.本项目（包）预留部分采购项目预算专门面向中小企业采购，且要求获得采购合同的供应商将采购项目中的一定比例分包给一家或者多家中小企业的；</w:t>
      </w:r>
    </w:p>
    <w:p w14:paraId="486BB415">
      <w:pPr>
        <w:wordWrap w:val="0"/>
        <w:spacing w:after="0" w:line="360" w:lineRule="auto"/>
        <w:ind w:left="420" w:firstLine="420"/>
        <w:rPr>
          <w:rFonts w:hint="eastAsia" w:ascii="宋体" w:hAnsi="宋体" w:cs="宋体"/>
          <w:spacing w:val="6"/>
          <w:sz w:val="24"/>
          <w:highlight w:val="none"/>
        </w:rPr>
      </w:pPr>
      <w:r>
        <w:rPr>
          <w:rFonts w:hint="eastAsia" w:ascii="宋体" w:hAnsi="宋体" w:cs="宋体"/>
          <w:spacing w:val="6"/>
          <w:sz w:val="24"/>
          <w:highlight w:val="none"/>
        </w:rPr>
        <w:t>B.供应商通过分包方式满足中小企业政策要求的。</w:t>
      </w:r>
    </w:p>
    <w:p w14:paraId="4487CED6">
      <w:pPr>
        <w:wordWrap w:val="0"/>
        <w:autoSpaceDE w:val="0"/>
        <w:autoSpaceDN w:val="0"/>
        <w:adjustRightInd w:val="0"/>
        <w:spacing w:after="0" w:line="360" w:lineRule="auto"/>
        <w:jc w:val="center"/>
        <w:rPr>
          <w:rFonts w:hint="eastAsia" w:ascii="宋体" w:hAnsi="宋体" w:cs="宋体"/>
          <w:b/>
          <w:sz w:val="28"/>
          <w:szCs w:val="28"/>
          <w:highlight w:val="none"/>
        </w:rPr>
      </w:pPr>
    </w:p>
    <w:p w14:paraId="3CD968B2">
      <w:pPr>
        <w:wordWrap w:val="0"/>
        <w:autoSpaceDE w:val="0"/>
        <w:autoSpaceDN w:val="0"/>
        <w:adjustRightInd w:val="0"/>
        <w:spacing w:after="0" w:line="360" w:lineRule="auto"/>
        <w:jc w:val="center"/>
        <w:rPr>
          <w:rFonts w:hint="eastAsia" w:ascii="宋体" w:hAnsi="宋体" w:cs="宋体"/>
          <w:b/>
          <w:sz w:val="28"/>
          <w:szCs w:val="28"/>
          <w:highlight w:val="none"/>
        </w:rPr>
        <w:sectPr>
          <w:pgSz w:w="11905" w:h="16838"/>
          <w:pgMar w:top="1474" w:right="1474" w:bottom="1474" w:left="1474" w:header="850" w:footer="992" w:gutter="0"/>
          <w:cols w:space="720" w:num="1"/>
          <w:docGrid w:linePitch="462" w:charSpace="0"/>
        </w:sectPr>
      </w:pPr>
    </w:p>
    <w:p w14:paraId="7AE57183">
      <w:pPr>
        <w:wordWrap w:val="0"/>
        <w:autoSpaceDE w:val="0"/>
        <w:autoSpaceDN w:val="0"/>
        <w:adjustRightInd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拟分包情况说明</w:t>
      </w:r>
    </w:p>
    <w:p w14:paraId="3839E2F4">
      <w:pPr>
        <w:tabs>
          <w:tab w:val="left" w:pos="5580"/>
        </w:tabs>
        <w:wordWrap w:val="0"/>
        <w:spacing w:after="0"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14:paraId="76F98A0D">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我单位参加贵单位组织采购的项目编号为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的</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项目（填写采购项目名称）中</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包（填写包号）的磋商。拟签订分包合同的单位情况如下表所示，我单位承诺一旦在该项目中获得采购合同将按下表所列情况进行分包，同时承诺分包承担主体不再次分包。</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6CD2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8F286E4">
            <w:pPr>
              <w:pStyle w:val="246"/>
              <w:wordWrap w:val="0"/>
              <w:spacing w:after="0" w:line="360" w:lineRule="auto"/>
              <w:jc w:val="center"/>
              <w:rPr>
                <w:rFonts w:hint="eastAsia"/>
                <w:sz w:val="24"/>
                <w:highlight w:val="none"/>
              </w:rPr>
            </w:pPr>
            <w:r>
              <w:rPr>
                <w:rFonts w:hint="eastAsia"/>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0ED1CAA2">
            <w:pPr>
              <w:pStyle w:val="246"/>
              <w:wordWrap w:val="0"/>
              <w:spacing w:after="0" w:line="360" w:lineRule="auto"/>
              <w:jc w:val="center"/>
              <w:rPr>
                <w:rFonts w:hint="eastAsia"/>
                <w:sz w:val="24"/>
                <w:highlight w:val="none"/>
              </w:rPr>
            </w:pPr>
            <w:r>
              <w:rPr>
                <w:rFonts w:hint="eastAsia"/>
                <w:sz w:val="24"/>
                <w:highlight w:val="none"/>
              </w:rPr>
              <w:t>分包承担</w:t>
            </w:r>
          </w:p>
          <w:p w14:paraId="56307AE0">
            <w:pPr>
              <w:pStyle w:val="246"/>
              <w:wordWrap w:val="0"/>
              <w:spacing w:after="0" w:line="360" w:lineRule="auto"/>
              <w:jc w:val="center"/>
              <w:rPr>
                <w:rFonts w:hint="eastAsia"/>
                <w:sz w:val="24"/>
                <w:highlight w:val="none"/>
              </w:rPr>
            </w:pPr>
            <w:r>
              <w:rPr>
                <w:rFonts w:hint="eastAsia"/>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9E1CC92">
            <w:pPr>
              <w:pStyle w:val="246"/>
              <w:wordWrap w:val="0"/>
              <w:spacing w:after="0" w:line="360" w:lineRule="auto"/>
              <w:jc w:val="center"/>
              <w:rPr>
                <w:rFonts w:hint="eastAsia"/>
                <w:sz w:val="24"/>
                <w:highlight w:val="none"/>
                <w:lang w:eastAsia="zh-CN"/>
              </w:rPr>
            </w:pPr>
            <w:r>
              <w:rPr>
                <w:rFonts w:hint="eastAsia"/>
                <w:sz w:val="24"/>
                <w:highlight w:val="none"/>
                <w:lang w:eastAsia="zh-CN"/>
              </w:rPr>
              <w:t>分包承担</w:t>
            </w:r>
          </w:p>
          <w:p w14:paraId="63A83CC2">
            <w:pPr>
              <w:pStyle w:val="246"/>
              <w:wordWrap w:val="0"/>
              <w:spacing w:after="0" w:line="360" w:lineRule="auto"/>
              <w:jc w:val="center"/>
              <w:rPr>
                <w:rFonts w:hint="eastAsia"/>
                <w:sz w:val="24"/>
                <w:highlight w:val="none"/>
                <w:lang w:eastAsia="zh-CN"/>
              </w:rPr>
            </w:pPr>
            <w:r>
              <w:rPr>
                <w:rFonts w:hint="eastAsia"/>
                <w:sz w:val="24"/>
                <w:highlight w:val="none"/>
                <w:lang w:eastAsia="zh-CN"/>
              </w:rPr>
              <w:t>主体类型</w:t>
            </w:r>
          </w:p>
          <w:p w14:paraId="10542C8B">
            <w:pPr>
              <w:pStyle w:val="246"/>
              <w:wordWrap w:val="0"/>
              <w:spacing w:after="0" w:line="360" w:lineRule="auto"/>
              <w:jc w:val="center"/>
              <w:rPr>
                <w:rFonts w:hint="eastAsia"/>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2608ADF">
            <w:pPr>
              <w:pStyle w:val="246"/>
              <w:wordWrap w:val="0"/>
              <w:spacing w:after="0" w:line="360" w:lineRule="auto"/>
              <w:jc w:val="center"/>
              <w:rPr>
                <w:rFonts w:hint="eastAsia"/>
                <w:sz w:val="24"/>
                <w:highlight w:val="none"/>
              </w:rPr>
            </w:pPr>
            <w:r>
              <w:rPr>
                <w:rFonts w:hint="eastAsia"/>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9BEC049">
            <w:pPr>
              <w:pStyle w:val="246"/>
              <w:wordWrap w:val="0"/>
              <w:spacing w:after="0" w:line="360" w:lineRule="auto"/>
              <w:jc w:val="center"/>
              <w:rPr>
                <w:rFonts w:hint="eastAsia"/>
                <w:sz w:val="24"/>
                <w:highlight w:val="none"/>
              </w:rPr>
            </w:pPr>
            <w:r>
              <w:rPr>
                <w:rFonts w:hint="eastAsia"/>
                <w:sz w:val="24"/>
                <w:highlight w:val="none"/>
              </w:rPr>
              <w:t>拟分包</w:t>
            </w:r>
          </w:p>
          <w:p w14:paraId="54958BB7">
            <w:pPr>
              <w:pStyle w:val="246"/>
              <w:wordWrap w:val="0"/>
              <w:spacing w:after="0" w:line="360" w:lineRule="auto"/>
              <w:jc w:val="center"/>
              <w:rPr>
                <w:rFonts w:hint="eastAsia"/>
                <w:sz w:val="24"/>
                <w:highlight w:val="none"/>
              </w:rPr>
            </w:pPr>
            <w:r>
              <w:rPr>
                <w:rFonts w:hint="eastAsia"/>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52150ED8">
            <w:pPr>
              <w:pStyle w:val="246"/>
              <w:wordWrap w:val="0"/>
              <w:spacing w:after="0" w:line="360" w:lineRule="auto"/>
              <w:jc w:val="center"/>
              <w:rPr>
                <w:rFonts w:hint="eastAsia"/>
                <w:sz w:val="24"/>
                <w:highlight w:val="none"/>
                <w:lang w:eastAsia="zh-CN"/>
              </w:rPr>
            </w:pPr>
            <w:r>
              <w:rPr>
                <w:rFonts w:hint="eastAsia"/>
                <w:sz w:val="24"/>
                <w:highlight w:val="none"/>
                <w:lang w:eastAsia="zh-CN"/>
              </w:rPr>
              <w:t>拟分包</w:t>
            </w:r>
          </w:p>
          <w:p w14:paraId="5919E977">
            <w:pPr>
              <w:pStyle w:val="246"/>
              <w:wordWrap w:val="0"/>
              <w:spacing w:after="0" w:line="360" w:lineRule="auto"/>
              <w:jc w:val="center"/>
              <w:rPr>
                <w:rFonts w:hint="eastAsia"/>
                <w:sz w:val="24"/>
                <w:highlight w:val="none"/>
                <w:lang w:eastAsia="zh-CN"/>
              </w:rPr>
            </w:pPr>
            <w:r>
              <w:rPr>
                <w:rFonts w:hint="eastAsia"/>
                <w:sz w:val="24"/>
                <w:highlight w:val="none"/>
                <w:lang w:eastAsia="zh-CN"/>
              </w:rPr>
              <w:t>合同金额</w:t>
            </w:r>
          </w:p>
          <w:p w14:paraId="55E64B7D">
            <w:pPr>
              <w:pStyle w:val="246"/>
              <w:wordWrap w:val="0"/>
              <w:spacing w:after="0" w:line="360" w:lineRule="auto"/>
              <w:jc w:val="center"/>
              <w:rPr>
                <w:rFonts w:hint="eastAsia"/>
                <w:sz w:val="24"/>
                <w:highlight w:val="none"/>
                <w:lang w:eastAsia="zh-CN"/>
              </w:rPr>
            </w:pPr>
            <w:r>
              <w:rPr>
                <w:rFonts w:hint="eastAsia"/>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0739C8AB">
            <w:pPr>
              <w:pStyle w:val="246"/>
              <w:wordWrap w:val="0"/>
              <w:spacing w:after="0" w:line="360" w:lineRule="auto"/>
              <w:jc w:val="center"/>
              <w:rPr>
                <w:rFonts w:hint="eastAsia"/>
                <w:sz w:val="24"/>
                <w:highlight w:val="none"/>
                <w:lang w:eastAsia="zh-CN"/>
              </w:rPr>
            </w:pPr>
            <w:r>
              <w:rPr>
                <w:rFonts w:hint="eastAsia"/>
                <w:sz w:val="24"/>
                <w:highlight w:val="none"/>
                <w:lang w:eastAsia="zh-CN"/>
              </w:rPr>
              <w:t>占该采购包</w:t>
            </w:r>
          </w:p>
          <w:p w14:paraId="01124E33">
            <w:pPr>
              <w:pStyle w:val="246"/>
              <w:wordWrap w:val="0"/>
              <w:spacing w:after="0" w:line="360" w:lineRule="auto"/>
              <w:jc w:val="center"/>
              <w:rPr>
                <w:rFonts w:hint="eastAsia"/>
                <w:b/>
                <w:sz w:val="24"/>
                <w:highlight w:val="none"/>
                <w:lang w:eastAsia="zh-CN"/>
              </w:rPr>
            </w:pPr>
            <w:r>
              <w:rPr>
                <w:rFonts w:hint="eastAsia"/>
                <w:b/>
                <w:sz w:val="24"/>
                <w:highlight w:val="none"/>
                <w:lang w:eastAsia="zh-CN"/>
              </w:rPr>
              <w:t>合同金额的</w:t>
            </w:r>
          </w:p>
          <w:p w14:paraId="33A589FE">
            <w:pPr>
              <w:pStyle w:val="246"/>
              <w:wordWrap w:val="0"/>
              <w:spacing w:after="0" w:line="360" w:lineRule="auto"/>
              <w:jc w:val="center"/>
              <w:rPr>
                <w:rFonts w:hint="eastAsia"/>
                <w:sz w:val="24"/>
                <w:highlight w:val="none"/>
                <w:lang w:eastAsia="zh-CN"/>
              </w:rPr>
            </w:pPr>
            <w:r>
              <w:rPr>
                <w:rFonts w:hint="eastAsia"/>
                <w:sz w:val="24"/>
                <w:highlight w:val="none"/>
                <w:lang w:eastAsia="zh-CN"/>
              </w:rPr>
              <w:t>比例（%）</w:t>
            </w:r>
          </w:p>
        </w:tc>
      </w:tr>
      <w:tr w14:paraId="49AEB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B957B55">
            <w:pPr>
              <w:pStyle w:val="246"/>
              <w:wordWrap w:val="0"/>
              <w:spacing w:after="0" w:line="360" w:lineRule="auto"/>
              <w:jc w:val="center"/>
              <w:rPr>
                <w:rFonts w:hint="eastAsia"/>
                <w:sz w:val="24"/>
                <w:highlight w:val="none"/>
              </w:rPr>
            </w:pPr>
            <w:r>
              <w:rPr>
                <w:rFonts w:hint="eastAsia"/>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7146E994">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49E3157D">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□中型企业</w:t>
            </w:r>
          </w:p>
          <w:p w14:paraId="7CCA4BFF">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□小微企业</w:t>
            </w:r>
          </w:p>
          <w:p w14:paraId="2A7FA886">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47D7839">
            <w:pPr>
              <w:pStyle w:val="246"/>
              <w:wordWrap w:val="0"/>
              <w:spacing w:after="0" w:line="360" w:lineRule="auto"/>
              <w:jc w:val="center"/>
              <w:rPr>
                <w:rFonts w:hint="eastAsia"/>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DF6B281">
            <w:pPr>
              <w:pStyle w:val="246"/>
              <w:wordWrap w:val="0"/>
              <w:spacing w:after="0" w:line="360" w:lineRule="auto"/>
              <w:jc w:val="center"/>
              <w:rPr>
                <w:rFonts w:hint="eastAsia"/>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5ADB16C9">
            <w:pPr>
              <w:pStyle w:val="246"/>
              <w:wordWrap w:val="0"/>
              <w:spacing w:after="0" w:line="360" w:lineRule="auto"/>
              <w:jc w:val="center"/>
              <w:rPr>
                <w:rFonts w:hint="eastAsia"/>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29AED413">
            <w:pPr>
              <w:pStyle w:val="246"/>
              <w:wordWrap w:val="0"/>
              <w:spacing w:after="0" w:line="360" w:lineRule="auto"/>
              <w:jc w:val="center"/>
              <w:rPr>
                <w:rFonts w:hint="eastAsia"/>
                <w:sz w:val="30"/>
                <w:highlight w:val="none"/>
                <w:lang w:eastAsia="zh-CN"/>
              </w:rPr>
            </w:pPr>
          </w:p>
        </w:tc>
      </w:tr>
      <w:tr w14:paraId="0EF08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F81878D">
            <w:pPr>
              <w:pStyle w:val="246"/>
              <w:wordWrap w:val="0"/>
              <w:spacing w:after="0" w:line="360" w:lineRule="auto"/>
              <w:jc w:val="center"/>
              <w:rPr>
                <w:rFonts w:hint="eastAsia"/>
                <w:sz w:val="24"/>
                <w:highlight w:val="none"/>
                <w:lang w:eastAsia="zh-CN"/>
              </w:rPr>
            </w:pPr>
            <w:r>
              <w:rPr>
                <w:rFonts w:hint="eastAsia"/>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5FDC67AF">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740D080B">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□中型企业</w:t>
            </w:r>
          </w:p>
          <w:p w14:paraId="7DC503C7">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□小微企业</w:t>
            </w:r>
          </w:p>
          <w:p w14:paraId="3BEEA293">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2F3F59E">
            <w:pPr>
              <w:pStyle w:val="246"/>
              <w:wordWrap w:val="0"/>
              <w:spacing w:after="0" w:line="360" w:lineRule="auto"/>
              <w:jc w:val="center"/>
              <w:rPr>
                <w:rFonts w:hint="eastAsia"/>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27BFBF6">
            <w:pPr>
              <w:pStyle w:val="246"/>
              <w:wordWrap w:val="0"/>
              <w:spacing w:after="0" w:line="360" w:lineRule="auto"/>
              <w:jc w:val="center"/>
              <w:rPr>
                <w:rFonts w:hint="eastAsia"/>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15CCE6B2">
            <w:pPr>
              <w:pStyle w:val="246"/>
              <w:wordWrap w:val="0"/>
              <w:spacing w:after="0" w:line="360" w:lineRule="auto"/>
              <w:jc w:val="center"/>
              <w:rPr>
                <w:rFonts w:hint="eastAsia"/>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4C289F01">
            <w:pPr>
              <w:pStyle w:val="246"/>
              <w:wordWrap w:val="0"/>
              <w:spacing w:after="0" w:line="360" w:lineRule="auto"/>
              <w:jc w:val="center"/>
              <w:rPr>
                <w:rFonts w:hint="eastAsia"/>
                <w:sz w:val="30"/>
                <w:highlight w:val="none"/>
                <w:lang w:eastAsia="zh-CN"/>
              </w:rPr>
            </w:pPr>
          </w:p>
        </w:tc>
      </w:tr>
      <w:tr w14:paraId="02453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BE66D71">
            <w:pPr>
              <w:pStyle w:val="246"/>
              <w:wordWrap w:val="0"/>
              <w:spacing w:after="0" w:line="360" w:lineRule="auto"/>
              <w:jc w:val="center"/>
              <w:rPr>
                <w:rFonts w:hint="eastAsia"/>
                <w:sz w:val="24"/>
                <w:highlight w:val="none"/>
                <w:lang w:eastAsia="zh-CN"/>
              </w:rPr>
            </w:pPr>
            <w:r>
              <w:rPr>
                <w:rFonts w:hint="eastAsia"/>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0D482EB6">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D91E37E">
            <w:pPr>
              <w:pStyle w:val="246"/>
              <w:tabs>
                <w:tab w:val="left" w:pos="235"/>
              </w:tabs>
              <w:wordWrap w:val="0"/>
              <w:spacing w:after="0" w:line="360" w:lineRule="auto"/>
              <w:jc w:val="center"/>
              <w:rPr>
                <w:rFonts w:hint="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5D2E8A6">
            <w:pPr>
              <w:pStyle w:val="246"/>
              <w:wordWrap w:val="0"/>
              <w:spacing w:after="0" w:line="360" w:lineRule="auto"/>
              <w:jc w:val="center"/>
              <w:rPr>
                <w:rFonts w:hint="eastAsia"/>
                <w:sz w:val="30"/>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E1358BA">
            <w:pPr>
              <w:pStyle w:val="246"/>
              <w:wordWrap w:val="0"/>
              <w:spacing w:after="0" w:line="360" w:lineRule="auto"/>
              <w:jc w:val="center"/>
              <w:rPr>
                <w:rFonts w:hint="eastAsia"/>
                <w:sz w:val="30"/>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6691DFA2">
            <w:pPr>
              <w:pStyle w:val="246"/>
              <w:wordWrap w:val="0"/>
              <w:spacing w:after="0" w:line="360" w:lineRule="auto"/>
              <w:jc w:val="center"/>
              <w:rPr>
                <w:rFonts w:hint="eastAsia"/>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02F80F5F">
            <w:pPr>
              <w:pStyle w:val="246"/>
              <w:wordWrap w:val="0"/>
              <w:spacing w:after="0" w:line="360" w:lineRule="auto"/>
              <w:jc w:val="center"/>
              <w:rPr>
                <w:rFonts w:hint="eastAsia"/>
                <w:sz w:val="30"/>
                <w:highlight w:val="none"/>
              </w:rPr>
            </w:pPr>
          </w:p>
        </w:tc>
      </w:tr>
      <w:tr w14:paraId="5691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noWrap w:val="0"/>
            <w:vAlign w:val="center"/>
          </w:tcPr>
          <w:p w14:paraId="2F97BCC8">
            <w:pPr>
              <w:pStyle w:val="246"/>
              <w:wordWrap w:val="0"/>
              <w:spacing w:after="0" w:line="360" w:lineRule="auto"/>
              <w:ind w:right="57" w:rightChars="27"/>
              <w:jc w:val="right"/>
              <w:rPr>
                <w:rFonts w:hint="eastAsia"/>
                <w:sz w:val="24"/>
                <w:highlight w:val="none"/>
                <w:lang w:eastAsia="zh-CN"/>
              </w:rPr>
            </w:pPr>
            <w:r>
              <w:rPr>
                <w:rFonts w:hint="eastAsia"/>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61214C88">
            <w:pPr>
              <w:pStyle w:val="246"/>
              <w:wordWrap w:val="0"/>
              <w:spacing w:after="0" w:line="360" w:lineRule="auto"/>
              <w:jc w:val="center"/>
              <w:rPr>
                <w:rFonts w:hint="eastAsia"/>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24AF3B05">
            <w:pPr>
              <w:pStyle w:val="246"/>
              <w:wordWrap w:val="0"/>
              <w:spacing w:after="0" w:line="360" w:lineRule="auto"/>
              <w:jc w:val="center"/>
              <w:rPr>
                <w:rFonts w:hint="eastAsia"/>
                <w:sz w:val="30"/>
                <w:highlight w:val="none"/>
              </w:rPr>
            </w:pPr>
          </w:p>
        </w:tc>
      </w:tr>
    </w:tbl>
    <w:p w14:paraId="72D97FFC">
      <w:pPr>
        <w:wordWrap w:val="0"/>
        <w:autoSpaceDE w:val="0"/>
        <w:autoSpaceDN w:val="0"/>
        <w:adjustRightInd w:val="0"/>
        <w:snapToGrid w:val="0"/>
        <w:spacing w:before="25" w:after="0" w:line="360" w:lineRule="auto"/>
        <w:jc w:val="center"/>
        <w:rPr>
          <w:rFonts w:hint="eastAsia" w:ascii="宋体" w:hAnsi="宋体" w:cs="宋体"/>
          <w:sz w:val="24"/>
          <w:highlight w:val="none"/>
          <w:lang w:val="zh-CN"/>
        </w:rPr>
      </w:pPr>
      <w:r>
        <w:rPr>
          <w:rFonts w:hint="eastAsia" w:ascii="宋体" w:hAnsi="宋体" w:cs="宋体"/>
          <w:sz w:val="24"/>
          <w:highlight w:val="none"/>
        </w:rPr>
        <w:t xml:space="preserve">                             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0A88C6C8">
      <w:pPr>
        <w:wordWrap w:val="0"/>
        <w:spacing w:after="0" w:line="360" w:lineRule="auto"/>
        <w:ind w:right="-57" w:firstLine="480"/>
        <w:jc w:val="right"/>
        <w:rPr>
          <w:rFonts w:hint="eastAsia" w:ascii="宋体" w:hAnsi="宋体" w:cs="宋体"/>
          <w:sz w:val="24"/>
          <w:highlight w:val="none"/>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5A61F27C">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说明：</w:t>
      </w:r>
    </w:p>
    <w:p w14:paraId="1BB3BBF8">
      <w:pPr>
        <w:wordWrap w:val="0"/>
        <w:adjustRightInd w:val="0"/>
        <w:snapToGrid w:val="0"/>
        <w:spacing w:after="0" w:line="360" w:lineRule="auto"/>
        <w:ind w:firstLine="420"/>
        <w:jc w:val="left"/>
        <w:rPr>
          <w:rFonts w:hint="eastAsia"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w:t>
      </w:r>
      <w:r>
        <w:rPr>
          <w:rFonts w:hint="eastAsia" w:ascii="宋体" w:hAnsi="宋体" w:cs="宋体"/>
          <w:b/>
          <w:bCs/>
          <w:sz w:val="24"/>
          <w:highlight w:val="none"/>
        </w:rPr>
        <w:t>响应无效</w:t>
      </w:r>
      <w:r>
        <w:rPr>
          <w:rFonts w:hint="eastAsia" w:ascii="宋体" w:hAnsi="宋体" w:cs="宋体"/>
          <w:sz w:val="24"/>
          <w:highlight w:val="none"/>
        </w:rPr>
        <w:t>；</w:t>
      </w:r>
    </w:p>
    <w:p w14:paraId="3164BBD2">
      <w:pPr>
        <w:wordWrap w:val="0"/>
        <w:adjustRightInd w:val="0"/>
        <w:snapToGrid w:val="0"/>
        <w:spacing w:after="0" w:line="360" w:lineRule="auto"/>
        <w:ind w:firstLine="420"/>
        <w:jc w:val="left"/>
        <w:rPr>
          <w:rFonts w:hint="eastAsia" w:ascii="宋体" w:hAnsi="宋体" w:cs="宋体"/>
          <w:sz w:val="24"/>
          <w:highlight w:val="none"/>
        </w:rPr>
      </w:pPr>
      <w:r>
        <w:rPr>
          <w:rFonts w:hint="eastAsia" w:ascii="宋体" w:hAnsi="宋体" w:cs="宋体"/>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cs="宋体"/>
          <w:b/>
          <w:bCs/>
          <w:sz w:val="24"/>
          <w:highlight w:val="none"/>
        </w:rPr>
        <w:t>响应无效</w:t>
      </w:r>
      <w:r>
        <w:rPr>
          <w:rFonts w:hint="eastAsia" w:ascii="宋体" w:hAnsi="宋体" w:cs="宋体"/>
          <w:sz w:val="24"/>
          <w:highlight w:val="none"/>
        </w:rPr>
        <w:t>；</w:t>
      </w:r>
    </w:p>
    <w:p w14:paraId="42FB9355">
      <w:pPr>
        <w:wordWrap w:val="0"/>
        <w:adjustRightInd w:val="0"/>
        <w:snapToGrid w:val="0"/>
        <w:spacing w:after="0" w:line="360" w:lineRule="auto"/>
        <w:ind w:firstLine="420"/>
        <w:jc w:val="left"/>
        <w:rPr>
          <w:rFonts w:hint="eastAsia" w:ascii="宋体" w:hAnsi="宋体" w:cs="宋体"/>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（3）如本采购文件《供应商须知资料表》载明本项目分包承担主体应具备的相应资质条件，则供应商须在本表中列明分包承担主体的资质等级，并后附资质证书电子件，否则响应无效。</w:t>
      </w:r>
    </w:p>
    <w:p w14:paraId="24281601">
      <w:pPr>
        <w:wordWrap w:val="0"/>
        <w:autoSpaceDE w:val="0"/>
        <w:autoSpaceDN w:val="0"/>
        <w:adjustRightInd w:val="0"/>
        <w:spacing w:after="0" w:line="360" w:lineRule="auto"/>
        <w:ind w:firstLine="420"/>
        <w:jc w:val="center"/>
        <w:rPr>
          <w:rFonts w:hint="eastAsia" w:ascii="宋体" w:hAnsi="宋体" w:cs="宋体"/>
          <w:b/>
          <w:sz w:val="36"/>
          <w:szCs w:val="36"/>
          <w:highlight w:val="none"/>
        </w:rPr>
        <w:sectPr>
          <w:pgSz w:w="11905" w:h="16838"/>
          <w:pgMar w:top="1474" w:right="1474" w:bottom="1474" w:left="1474" w:header="850" w:footer="992" w:gutter="0"/>
          <w:cols w:space="720" w:num="1"/>
          <w:docGrid w:linePitch="462" w:charSpace="0"/>
        </w:sectPr>
      </w:pPr>
    </w:p>
    <w:p w14:paraId="700C312D">
      <w:pPr>
        <w:wordWrap w:val="0"/>
        <w:autoSpaceDE w:val="0"/>
        <w:autoSpaceDN w:val="0"/>
        <w:adjustRightInd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分包意向协议</w:t>
      </w:r>
    </w:p>
    <w:p w14:paraId="48768E70">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甲方（供应商）：</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723D992E">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乙方（拟分包单位）：</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00E56182">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甲方承诺，一旦在</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（采购项目名称）（项目编号/包号为：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）采购项目中获得采购合同，将按照下述约定将合同项下部分内容分包给乙方：</w:t>
      </w:r>
    </w:p>
    <w:p w14:paraId="2C80552A">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1.分包内容：</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w:t>
      </w:r>
    </w:p>
    <w:p w14:paraId="7EF62285">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2.分包金额：</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，该金额占该采购包合同金额的比例为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w:t>
      </w:r>
    </w:p>
    <w:p w14:paraId="3632D75F">
      <w:pPr>
        <w:wordWrap w:val="0"/>
        <w:adjustRightInd w:val="0"/>
        <w:snapToGrid w:val="0"/>
        <w:spacing w:after="0" w:line="360" w:lineRule="auto"/>
        <w:ind w:firstLine="480" w:firstLineChars="200"/>
        <w:jc w:val="left"/>
        <w:rPr>
          <w:rFonts w:hint="eastAsia" w:ascii="宋体" w:hAnsi="宋体" w:cs="宋体"/>
          <w:bCs/>
          <w:sz w:val="24"/>
          <w:highlight w:val="none"/>
        </w:rPr>
      </w:pPr>
      <w:r>
        <w:rPr>
          <w:rFonts w:hint="eastAsia" w:ascii="宋体" w:hAnsi="宋体" w:cs="宋体"/>
          <w:sz w:val="24"/>
          <w:highlight w:val="none"/>
        </w:rPr>
        <w:t>乙方承诺将在上述情况下与甲方签订分包合同。</w:t>
      </w:r>
    </w:p>
    <w:p w14:paraId="535F7B07">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14:paraId="253C3C3C">
      <w:pPr>
        <w:wordWrap w:val="0"/>
        <w:spacing w:after="0" w:line="360" w:lineRule="auto"/>
        <w:ind w:firstLine="471"/>
        <w:rPr>
          <w:rFonts w:hint="eastAsia" w:ascii="宋体" w:hAnsi="宋体" w:cs="宋体"/>
          <w:b/>
          <w:sz w:val="24"/>
          <w:highlight w:val="none"/>
        </w:rPr>
      </w:pPr>
    </w:p>
    <w:p w14:paraId="27ECCB93">
      <w:pPr>
        <w:wordWrap w:val="0"/>
        <w:spacing w:after="0" w:line="360" w:lineRule="auto"/>
        <w:ind w:firstLine="471"/>
        <w:rPr>
          <w:rFonts w:hint="eastAsia" w:ascii="宋体" w:hAnsi="宋体" w:cs="宋体"/>
          <w:b/>
          <w:sz w:val="24"/>
          <w:highlight w:val="none"/>
        </w:rPr>
      </w:pPr>
      <w:r>
        <w:rPr>
          <w:rFonts w:hint="eastAsia" w:ascii="宋体" w:hAnsi="宋体" w:cs="宋体"/>
          <w:sz w:val="24"/>
          <w:highlight w:val="none"/>
        </w:rPr>
        <w:t>甲方（盖章）：</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乙方（盖章）：</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44E19237">
      <w:pPr>
        <w:wordWrap w:val="0"/>
        <w:spacing w:after="0" w:line="360" w:lineRule="auto"/>
        <w:ind w:left="480"/>
        <w:jc w:val="right"/>
        <w:rPr>
          <w:rFonts w:hint="eastAsia" w:ascii="宋体" w:hAnsi="宋体" w:cs="宋体"/>
          <w:sz w:val="24"/>
          <w:highlight w:val="none"/>
        </w:rPr>
      </w:pPr>
    </w:p>
    <w:p w14:paraId="72E333A6">
      <w:pPr>
        <w:wordWrap w:val="0"/>
        <w:spacing w:after="0" w:line="360" w:lineRule="auto"/>
        <w:ind w:left="480"/>
        <w:jc w:val="right"/>
        <w:rPr>
          <w:rFonts w:hint="eastAsia" w:ascii="宋体" w:hAnsi="宋体" w:cs="宋体"/>
          <w:b/>
          <w:sz w:val="24"/>
          <w:highlight w:val="none"/>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 xml:space="preserve">日   </w:t>
      </w:r>
    </w:p>
    <w:p w14:paraId="6BB15630">
      <w:pPr>
        <w:tabs>
          <w:tab w:val="left" w:pos="8280"/>
        </w:tabs>
        <w:wordWrap w:val="0"/>
        <w:spacing w:after="0" w:line="360" w:lineRule="auto"/>
        <w:ind w:firstLine="480"/>
        <w:rPr>
          <w:rFonts w:hint="eastAsia" w:ascii="宋体" w:hAnsi="宋体" w:cs="宋体"/>
          <w:sz w:val="24"/>
          <w:highlight w:val="none"/>
        </w:rPr>
      </w:pPr>
    </w:p>
    <w:p w14:paraId="1AD2B704">
      <w:pPr>
        <w:tabs>
          <w:tab w:val="left" w:pos="8280"/>
        </w:tabs>
        <w:wordWrap w:val="0"/>
        <w:spacing w:after="0" w:line="360" w:lineRule="auto"/>
        <w:rPr>
          <w:rFonts w:hint="eastAsia" w:ascii="宋体" w:hAnsi="宋体" w:cs="宋体"/>
          <w:sz w:val="24"/>
          <w:highlight w:val="none"/>
        </w:rPr>
      </w:pPr>
      <w:r>
        <w:rPr>
          <w:rFonts w:hint="eastAsia" w:ascii="宋体" w:hAnsi="宋体" w:cs="宋体"/>
          <w:sz w:val="24"/>
          <w:highlight w:val="none"/>
        </w:rPr>
        <w:t>说明：</w:t>
      </w:r>
    </w:p>
    <w:p w14:paraId="453611B6">
      <w:pPr>
        <w:tabs>
          <w:tab w:val="left" w:pos="82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（1）当供应商属于本部分说明中第（2）类情形，必须提供，否则响应无效；其他情形无须提供；</w:t>
      </w:r>
    </w:p>
    <w:p w14:paraId="161A1FB2">
      <w:pPr>
        <w:tabs>
          <w:tab w:val="left" w:pos="8280"/>
        </w:tabs>
        <w:wordWrap w:val="0"/>
        <w:spacing w:after="0" w:line="360" w:lineRule="auto"/>
        <w:ind w:firstLine="420"/>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r>
        <w:rPr>
          <w:rFonts w:hint="eastAsia" w:ascii="宋体" w:hAnsi="宋体" w:cs="宋体"/>
          <w:sz w:val="24"/>
          <w:highlight w:val="none"/>
        </w:rPr>
        <w:t>（2）供应商须与所有拟分包单位分别签订《分包意向协议》，每单位签订一份，并在响应文件中提交全部协议原件的电子件，否则响应无效。</w:t>
      </w:r>
    </w:p>
    <w:p w14:paraId="23E9A0F7">
      <w:pPr>
        <w:wordWrap w:val="0"/>
        <w:spacing w:after="0" w:line="360" w:lineRule="auto"/>
        <w:outlineLvl w:val="2"/>
        <w:rPr>
          <w:rFonts w:hint="eastAsia" w:ascii="宋体" w:hAnsi="宋体" w:cs="宋体"/>
          <w:sz w:val="24"/>
          <w:szCs w:val="20"/>
          <w:highlight w:val="none"/>
        </w:rPr>
      </w:pPr>
      <w:r>
        <w:rPr>
          <w:rFonts w:hint="eastAsia" w:ascii="宋体" w:hAnsi="宋体" w:cs="宋体"/>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sz w:val="24"/>
          <w:szCs w:val="20"/>
          <w:highlight w:val="none"/>
        </w:rPr>
        <w:t>（如有）</w:t>
      </w:r>
    </w:p>
    <w:p w14:paraId="73C99B2C">
      <w:pPr>
        <w:widowControl/>
        <w:wordWrap w:val="0"/>
        <w:spacing w:after="0" w:line="360" w:lineRule="auto"/>
        <w:jc w:val="left"/>
        <w:rPr>
          <w:rFonts w:hint="eastAsia" w:ascii="宋体" w:hAnsi="宋体" w:cs="宋体"/>
          <w:sz w:val="24"/>
          <w:highlight w:val="none"/>
        </w:rPr>
      </w:pPr>
    </w:p>
    <w:p w14:paraId="762964D0">
      <w:pPr>
        <w:widowControl/>
        <w:wordWrap w:val="0"/>
        <w:spacing w:after="0" w:line="360" w:lineRule="auto"/>
        <w:jc w:val="left"/>
        <w:rPr>
          <w:rFonts w:hint="eastAsia" w:ascii="宋体" w:hAnsi="宋体" w:cs="宋体"/>
          <w:sz w:val="24"/>
          <w:highlight w:val="none"/>
        </w:rPr>
      </w:pPr>
    </w:p>
    <w:p w14:paraId="0671A334">
      <w:pPr>
        <w:tabs>
          <w:tab w:val="left" w:pos="360"/>
        </w:tabs>
        <w:wordWrap w:val="0"/>
        <w:snapToGrid w:val="0"/>
        <w:spacing w:after="0" w:line="360" w:lineRule="auto"/>
        <w:outlineLvl w:val="1"/>
        <w:rPr>
          <w:rFonts w:hint="eastAsia" w:ascii="宋体" w:hAnsi="宋体" w:cs="宋体"/>
          <w:sz w:val="24"/>
          <w:highlight w:val="none"/>
        </w:rPr>
        <w:sectPr>
          <w:headerReference r:id="rId21" w:type="first"/>
          <w:footerReference r:id="rId23" w:type="first"/>
          <w:headerReference r:id="rId20" w:type="even"/>
          <w:footerReference r:id="rId22" w:type="even"/>
          <w:pgSz w:w="11905" w:h="16838"/>
          <w:pgMar w:top="1474" w:right="1474" w:bottom="1474" w:left="1474" w:header="850" w:footer="992" w:gutter="0"/>
          <w:cols w:space="720" w:num="1"/>
          <w:docGrid w:linePitch="462" w:charSpace="0"/>
        </w:sectPr>
      </w:pPr>
    </w:p>
    <w:p w14:paraId="59F0AE55">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3 本项目的特定资格要求（如有）</w:t>
      </w:r>
    </w:p>
    <w:p w14:paraId="7782672B">
      <w:pPr>
        <w:wordWrap w:val="0"/>
        <w:spacing w:after="0" w:line="360" w:lineRule="auto"/>
        <w:outlineLvl w:val="2"/>
        <w:rPr>
          <w:rFonts w:hint="eastAsia" w:ascii="宋体" w:hAnsi="宋体" w:cs="宋体"/>
          <w:sz w:val="24"/>
          <w:szCs w:val="20"/>
          <w:highlight w:val="none"/>
        </w:rPr>
      </w:pPr>
      <w:r>
        <w:rPr>
          <w:rFonts w:hint="eastAsia" w:ascii="宋体" w:hAnsi="宋体" w:cs="宋体"/>
          <w:sz w:val="24"/>
          <w:szCs w:val="20"/>
          <w:highlight w:val="none"/>
        </w:rPr>
        <w:t>3-1联合协议（如有）</w:t>
      </w:r>
    </w:p>
    <w:p w14:paraId="30303F46">
      <w:pPr>
        <w:wordWrap w:val="0"/>
        <w:autoSpaceDE w:val="0"/>
        <w:autoSpaceDN w:val="0"/>
        <w:adjustRightInd w:val="0"/>
        <w:spacing w:after="0" w:line="360" w:lineRule="auto"/>
        <w:jc w:val="center"/>
        <w:rPr>
          <w:rFonts w:hint="eastAsia" w:ascii="宋体" w:hAnsi="宋体" w:cs="宋体"/>
          <w:b/>
          <w:sz w:val="36"/>
          <w:szCs w:val="36"/>
          <w:highlight w:val="none"/>
        </w:rPr>
      </w:pPr>
      <w:r>
        <w:rPr>
          <w:rFonts w:hint="eastAsia" w:ascii="宋体" w:hAnsi="宋体" w:cs="宋体"/>
          <w:b/>
          <w:sz w:val="36"/>
          <w:szCs w:val="36"/>
          <w:highlight w:val="none"/>
        </w:rPr>
        <w:t>联合协议</w:t>
      </w:r>
    </w:p>
    <w:p w14:paraId="1BDA7BE8">
      <w:pPr>
        <w:wordWrap w:val="0"/>
        <w:spacing w:after="0" w:line="360" w:lineRule="auto"/>
        <w:ind w:firstLine="828" w:firstLineChars="345"/>
        <w:rPr>
          <w:rFonts w:hint="eastAsia" w:ascii="宋体" w:hAnsi="宋体" w:cs="宋体"/>
          <w:bCs/>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及</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就“</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（项目名称）</w:t>
      </w:r>
      <w:r>
        <w:rPr>
          <w:rFonts w:hint="eastAsia" w:ascii="宋体" w:hAnsi="宋体" w:cs="宋体"/>
          <w:sz w:val="24"/>
          <w:highlight w:val="non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包</w:t>
      </w:r>
      <w:r>
        <w:rPr>
          <w:rFonts w:hint="eastAsia" w:ascii="宋体" w:hAnsi="宋体" w:cs="宋体"/>
          <w:bCs/>
          <w:sz w:val="24"/>
          <w:highlight w:val="none"/>
        </w:rPr>
        <w:t>采购项目的磋商事宜，经各方充分协商一致，达成如下协议：</w:t>
      </w:r>
    </w:p>
    <w:p w14:paraId="28E96D2B">
      <w:pPr>
        <w:numPr>
          <w:ilvl w:val="0"/>
          <w:numId w:val="12"/>
        </w:numPr>
        <w:wordWrap w:val="0"/>
        <w:spacing w:after="0" w:line="360" w:lineRule="auto"/>
        <w:rPr>
          <w:rFonts w:hint="eastAsia" w:ascii="宋体" w:hAnsi="宋体" w:cs="宋体"/>
          <w:bCs/>
          <w:sz w:val="24"/>
          <w:highlight w:val="none"/>
        </w:rPr>
      </w:pPr>
      <w:r>
        <w:rPr>
          <w:rFonts w:hint="eastAsia" w:ascii="宋体" w:hAnsi="宋体" w:cs="宋体"/>
          <w:bCs/>
          <w:sz w:val="24"/>
          <w:highlight w:val="none"/>
        </w:rPr>
        <w:t>由</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牵头，</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参加，组成联合体共同进行采购项目的磋商工作。</w:t>
      </w:r>
    </w:p>
    <w:p w14:paraId="34D55C54">
      <w:pPr>
        <w:numPr>
          <w:ilvl w:val="0"/>
          <w:numId w:val="12"/>
        </w:numPr>
        <w:wordWrap w:val="0"/>
        <w:spacing w:after="0" w:line="360" w:lineRule="auto"/>
        <w:rPr>
          <w:rFonts w:hint="eastAsia" w:ascii="宋体" w:hAnsi="宋体" w:cs="宋体"/>
          <w:bCs/>
          <w:sz w:val="24"/>
          <w:highlight w:val="none"/>
        </w:rPr>
      </w:pPr>
      <w:r>
        <w:rPr>
          <w:rFonts w:hint="eastAsia" w:ascii="宋体" w:hAnsi="宋体" w:cs="宋体"/>
          <w:bCs/>
          <w:sz w:val="24"/>
          <w:highlight w:val="none"/>
        </w:rPr>
        <w:t>联合体成交后，联合体各方共同与采购人签订合同，就</w:t>
      </w:r>
      <w:r>
        <w:rPr>
          <w:rFonts w:hint="eastAsia" w:ascii="宋体" w:hAnsi="宋体" w:cs="宋体"/>
          <w:sz w:val="24"/>
          <w:szCs w:val="20"/>
          <w:highlight w:val="none"/>
        </w:rPr>
        <w:t>采购合同约定的事项</w:t>
      </w:r>
      <w:r>
        <w:rPr>
          <w:rFonts w:hint="eastAsia" w:ascii="宋体" w:hAnsi="宋体" w:cs="宋体"/>
          <w:bCs/>
          <w:sz w:val="24"/>
          <w:highlight w:val="none"/>
        </w:rPr>
        <w:t>对采购人承担连带责任。</w:t>
      </w:r>
    </w:p>
    <w:p w14:paraId="191892DD">
      <w:pPr>
        <w:numPr>
          <w:ilvl w:val="0"/>
          <w:numId w:val="12"/>
        </w:numPr>
        <w:wordWrap w:val="0"/>
        <w:spacing w:after="0" w:line="360" w:lineRule="auto"/>
        <w:rPr>
          <w:rFonts w:hint="eastAsia" w:ascii="宋体" w:hAnsi="宋体" w:cs="宋体"/>
          <w:bCs/>
          <w:sz w:val="24"/>
          <w:highlight w:val="none"/>
        </w:rPr>
      </w:pPr>
      <w:r>
        <w:rPr>
          <w:rFonts w:hint="eastAsia" w:ascii="宋体" w:hAnsi="宋体" w:cs="宋体"/>
          <w:bCs/>
          <w:sz w:val="24"/>
          <w:highlight w:val="none"/>
        </w:rPr>
        <w:t>联合体各方均同意由牵头人代表其他联合体成员单位按竞争性磋商文件要求出具《授权委托书》。</w:t>
      </w:r>
    </w:p>
    <w:p w14:paraId="39444797">
      <w:pPr>
        <w:numPr>
          <w:ilvl w:val="0"/>
          <w:numId w:val="12"/>
        </w:numPr>
        <w:wordWrap w:val="0"/>
        <w:spacing w:after="0" w:line="360" w:lineRule="auto"/>
        <w:rPr>
          <w:rFonts w:hint="eastAsia" w:ascii="宋体" w:hAnsi="宋体" w:cs="宋体"/>
          <w:bCs/>
          <w:sz w:val="24"/>
          <w:highlight w:val="none"/>
        </w:rPr>
      </w:pPr>
      <w:r>
        <w:rPr>
          <w:rFonts w:hint="eastAsia" w:ascii="宋体" w:hAnsi="宋体" w:cs="宋体"/>
          <w:bCs/>
          <w:sz w:val="24"/>
          <w:highlight w:val="none"/>
        </w:rPr>
        <w:t>牵头人为项目的总负责单位；组织各参加方进行项目实施工作。</w:t>
      </w:r>
    </w:p>
    <w:p w14:paraId="64C8F84D">
      <w:pPr>
        <w:numPr>
          <w:ilvl w:val="0"/>
          <w:numId w:val="12"/>
        </w:numPr>
        <w:wordWrap w:val="0"/>
        <w:spacing w:after="0" w:line="360" w:lineRule="auto"/>
        <w:rPr>
          <w:rFonts w:hint="eastAsia" w:ascii="宋体" w:hAnsi="宋体" w:cs="宋体"/>
          <w:bCs/>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负责</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，具体工作范围、内容以响应文件及合同为准。</w:t>
      </w:r>
    </w:p>
    <w:p w14:paraId="1552953C">
      <w:pPr>
        <w:numPr>
          <w:ilvl w:val="0"/>
          <w:numId w:val="12"/>
        </w:numPr>
        <w:wordWrap w:val="0"/>
        <w:spacing w:after="0" w:line="360" w:lineRule="auto"/>
        <w:rPr>
          <w:rFonts w:hint="eastAsia" w:ascii="宋体" w:hAnsi="宋体" w:cs="宋体"/>
          <w:bCs/>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负责</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，具体工作范围、内容以响应文件及合同为准。</w:t>
      </w:r>
    </w:p>
    <w:p w14:paraId="5BA9250D">
      <w:pPr>
        <w:numPr>
          <w:ilvl w:val="0"/>
          <w:numId w:val="12"/>
        </w:numPr>
        <w:wordWrap w:val="0"/>
        <w:spacing w:after="0" w:line="360" w:lineRule="auto"/>
        <w:rPr>
          <w:rFonts w:hint="eastAsia" w:ascii="宋体" w:hAnsi="宋体" w:cs="宋体"/>
          <w:bCs/>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负责</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（如有），具体工作范围、内容以响应文件及合同为准。</w:t>
      </w:r>
    </w:p>
    <w:p w14:paraId="4A99D53E">
      <w:pPr>
        <w:numPr>
          <w:ilvl w:val="0"/>
          <w:numId w:val="12"/>
        </w:numPr>
        <w:wordWrap w:val="0"/>
        <w:spacing w:after="0" w:line="360" w:lineRule="auto"/>
        <w:rPr>
          <w:rFonts w:hint="eastAsia" w:ascii="宋体" w:hAnsi="宋体" w:cs="宋体"/>
          <w:sz w:val="24"/>
          <w:highlight w:val="none"/>
        </w:rPr>
      </w:pPr>
      <w:r>
        <w:rPr>
          <w:rFonts w:hint="eastAsia" w:ascii="宋体" w:hAnsi="宋体" w:cs="宋体"/>
          <w:sz w:val="24"/>
          <w:highlight w:val="none"/>
        </w:rPr>
        <w:t>本项目联合协议合同总额为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元，联合体各成员按照如下比例分摊（按联合体成员分别列明）：</w:t>
      </w:r>
    </w:p>
    <w:p w14:paraId="10008365">
      <w:pPr>
        <w:tabs>
          <w:tab w:val="left" w:pos="720"/>
          <w:tab w:val="left" w:pos="900"/>
        </w:tabs>
        <w:wordWrap w:val="0"/>
        <w:spacing w:after="0" w:line="360" w:lineRule="auto"/>
        <w:ind w:left="851"/>
        <w:rPr>
          <w:rFonts w:hint="eastAsia" w:ascii="宋体" w:hAnsi="宋体" w:cs="宋体"/>
          <w:sz w:val="24"/>
          <w:szCs w:val="20"/>
          <w:highlight w:val="none"/>
        </w:rPr>
      </w:pPr>
      <w:r>
        <w:rPr>
          <w:rFonts w:hint="eastAsia" w:ascii="宋体" w:hAnsi="宋体" w:cs="宋体"/>
          <w:sz w:val="24"/>
          <w:szCs w:val="20"/>
          <w:highlight w:val="none"/>
        </w:rPr>
        <w:t>（1）</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为□大型企业□中型企业、□小微企业（包含监狱企业、残疾人福利性单位）、□其他，合同金额为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元；</w:t>
      </w:r>
    </w:p>
    <w:p w14:paraId="3F85D01C">
      <w:pPr>
        <w:tabs>
          <w:tab w:val="left" w:pos="720"/>
          <w:tab w:val="left" w:pos="900"/>
        </w:tabs>
        <w:wordWrap w:val="0"/>
        <w:spacing w:after="0" w:line="360" w:lineRule="auto"/>
        <w:ind w:left="851"/>
        <w:rPr>
          <w:rFonts w:hint="eastAsia" w:ascii="宋体" w:hAnsi="宋体" w:cs="宋体"/>
          <w:sz w:val="24"/>
          <w:szCs w:val="20"/>
          <w:highlight w:val="none"/>
        </w:rPr>
      </w:pPr>
      <w:r>
        <w:rPr>
          <w:rFonts w:hint="eastAsia" w:ascii="宋体" w:hAnsi="宋体" w:cs="宋体"/>
          <w:sz w:val="24"/>
          <w:szCs w:val="20"/>
          <w:highlight w:val="none"/>
        </w:rPr>
        <w:t>（2）</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为□大型企业□中型企业、□小微企业（包含监狱企业、残疾人福利性单位）、□其他，合同金额为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元；</w:t>
      </w:r>
    </w:p>
    <w:p w14:paraId="5FFE24EC">
      <w:pPr>
        <w:tabs>
          <w:tab w:val="left" w:pos="720"/>
          <w:tab w:val="left" w:pos="900"/>
        </w:tabs>
        <w:wordWrap w:val="0"/>
        <w:spacing w:after="0" w:line="360" w:lineRule="auto"/>
        <w:ind w:left="851"/>
        <w:rPr>
          <w:rFonts w:hint="eastAsia" w:ascii="宋体" w:hAnsi="宋体" w:cs="宋体"/>
          <w:sz w:val="24"/>
          <w:szCs w:val="20"/>
          <w:highlight w:val="none"/>
        </w:rPr>
      </w:pPr>
      <w:r>
        <w:rPr>
          <w:rFonts w:hint="eastAsia" w:ascii="宋体" w:hAnsi="宋体" w:cs="宋体"/>
          <w:sz w:val="24"/>
          <w:szCs w:val="20"/>
          <w:highlight w:val="none"/>
        </w:rPr>
        <w:t>（…）</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为□大型企业□中型企业、□小微企业（包含监狱企业、残疾人福利性单位）、□其他，合同金额为</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szCs w:val="20"/>
          <w:highlight w:val="none"/>
        </w:rPr>
        <w:t>元。</w:t>
      </w:r>
    </w:p>
    <w:p w14:paraId="157D3D0E">
      <w:pPr>
        <w:numPr>
          <w:ilvl w:val="0"/>
          <w:numId w:val="12"/>
        </w:numPr>
        <w:tabs>
          <w:tab w:val="left" w:pos="993"/>
        </w:tabs>
        <w:wordWrap w:val="0"/>
        <w:spacing w:after="0" w:line="360" w:lineRule="auto"/>
        <w:rPr>
          <w:rFonts w:hint="eastAsia" w:ascii="宋体" w:hAnsi="宋体" w:cs="宋体"/>
          <w:bCs/>
          <w:sz w:val="24"/>
          <w:highlight w:val="none"/>
        </w:rPr>
      </w:pPr>
      <w:r>
        <w:rPr>
          <w:rFonts w:hint="eastAsia" w:ascii="宋体" w:hAnsi="宋体" w:cs="宋体"/>
          <w:sz w:val="24"/>
          <w:szCs w:val="20"/>
          <w:highlight w:val="none"/>
        </w:rPr>
        <w:t>以联合体形式参加政府采购活动的，联合体各方不得再单独参加或者与其他供应商另外组成联合体参加同一合同项下的政府采购活动。</w:t>
      </w:r>
    </w:p>
    <w:p w14:paraId="32D97EAA">
      <w:pPr>
        <w:numPr>
          <w:ilvl w:val="0"/>
          <w:numId w:val="12"/>
        </w:numPr>
        <w:wordWrap w:val="0"/>
        <w:spacing w:after="0" w:line="360" w:lineRule="auto"/>
        <w:rPr>
          <w:rFonts w:hint="eastAsia" w:ascii="宋体" w:hAnsi="宋体" w:cs="宋体"/>
          <w:bCs/>
          <w:sz w:val="24"/>
          <w:highlight w:val="none"/>
        </w:rPr>
      </w:pPr>
      <w:r>
        <w:rPr>
          <w:rFonts w:hint="eastAsia" w:ascii="宋体" w:hAnsi="宋体" w:cs="宋体"/>
          <w:bCs/>
          <w:sz w:val="24"/>
          <w:highlight w:val="none"/>
        </w:rPr>
        <w:t>其他约定（如有）：</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w:t>
      </w:r>
    </w:p>
    <w:p w14:paraId="0705C45D">
      <w:pPr>
        <w:tabs>
          <w:tab w:val="left" w:pos="780"/>
        </w:tabs>
        <w:wordWrap w:val="0"/>
        <w:spacing w:after="0" w:line="360" w:lineRule="auto"/>
        <w:ind w:left="180" w:firstLine="480" w:firstLineChars="200"/>
        <w:rPr>
          <w:rFonts w:hint="eastAsia" w:ascii="宋体" w:hAnsi="宋体" w:cs="宋体"/>
          <w:b/>
          <w:sz w:val="24"/>
          <w:highlight w:val="none"/>
        </w:rPr>
      </w:pPr>
      <w:r>
        <w:rPr>
          <w:rFonts w:hint="eastAsia" w:ascii="宋体" w:hAnsi="宋体" w:cs="宋体"/>
          <w:bCs/>
          <w:sz w:val="24"/>
          <w:highlight w:val="none"/>
        </w:rPr>
        <w:t>本协议自各方盖章后生效，采购合同履行完毕后自动失效。如未成交，本协议自动终止。</w:t>
      </w:r>
    </w:p>
    <w:p w14:paraId="6E7F0ABB">
      <w:pPr>
        <w:wordWrap w:val="0"/>
        <w:spacing w:after="0" w:line="360" w:lineRule="auto"/>
        <w:ind w:firstLine="471"/>
        <w:rPr>
          <w:rFonts w:hint="eastAsia" w:ascii="宋体" w:hAnsi="宋体" w:cs="宋体"/>
          <w:sz w:val="24"/>
          <w:highlight w:val="none"/>
        </w:rPr>
      </w:pPr>
      <w:r>
        <w:rPr>
          <w:rFonts w:hint="eastAsia" w:ascii="宋体" w:hAnsi="宋体" w:cs="宋体"/>
          <w:sz w:val="24"/>
          <w:highlight w:val="none"/>
        </w:rPr>
        <w:br w:type="page"/>
      </w:r>
    </w:p>
    <w:p w14:paraId="6D245534">
      <w:pPr>
        <w:wordWrap w:val="0"/>
        <w:spacing w:after="0" w:line="360" w:lineRule="auto"/>
        <w:ind w:firstLine="471"/>
        <w:rPr>
          <w:rFonts w:hint="eastAsia" w:ascii="宋体" w:hAnsi="宋体" w:cs="宋体"/>
          <w:sz w:val="24"/>
          <w:highlight w:val="none"/>
        </w:rPr>
      </w:pPr>
      <w:r>
        <w:rPr>
          <w:rFonts w:hint="eastAsia" w:ascii="宋体" w:hAnsi="宋体" w:cs="宋体"/>
          <w:sz w:val="24"/>
          <w:highlight w:val="none"/>
        </w:rPr>
        <w:t>联合体牵头人名称：</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联合体成员名称：</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5A2FF85B">
      <w:pPr>
        <w:wordWrap w:val="0"/>
        <w:spacing w:after="0" w:line="360" w:lineRule="auto"/>
        <w:ind w:firstLine="471"/>
        <w:rPr>
          <w:rFonts w:hint="eastAsia" w:ascii="宋体" w:hAnsi="宋体" w:cs="宋体"/>
          <w:sz w:val="24"/>
          <w:highlight w:val="none"/>
        </w:rPr>
      </w:pPr>
      <w:r>
        <w:rPr>
          <w:rFonts w:hint="eastAsia" w:ascii="宋体" w:hAnsi="宋体" w:cs="宋体"/>
          <w:sz w:val="24"/>
          <w:highlight w:val="none"/>
        </w:rPr>
        <w:t>盖章：</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盖章：</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14B87AFE">
      <w:pPr>
        <w:wordWrap w:val="0"/>
        <w:spacing w:after="0" w:line="360" w:lineRule="auto"/>
        <w:ind w:firstLine="471"/>
        <w:rPr>
          <w:rFonts w:hint="eastAsia" w:ascii="宋体" w:hAnsi="宋体" w:cs="宋体"/>
          <w:sz w:val="24"/>
          <w:highlight w:val="none"/>
        </w:rPr>
      </w:pPr>
    </w:p>
    <w:p w14:paraId="4C93243E">
      <w:pPr>
        <w:wordWrap w:val="0"/>
        <w:spacing w:after="0" w:line="360" w:lineRule="auto"/>
        <w:ind w:firstLine="471"/>
        <w:rPr>
          <w:rFonts w:hint="eastAsia" w:ascii="宋体" w:hAnsi="宋体" w:cs="宋体"/>
          <w:sz w:val="24"/>
          <w:highlight w:val="none"/>
        </w:rPr>
      </w:pPr>
    </w:p>
    <w:p w14:paraId="061E9101">
      <w:pPr>
        <w:wordWrap w:val="0"/>
        <w:spacing w:after="0" w:line="360" w:lineRule="auto"/>
        <w:ind w:firstLine="471"/>
        <w:rPr>
          <w:rFonts w:hint="eastAsia" w:ascii="宋体" w:hAnsi="宋体" w:cs="宋体"/>
          <w:sz w:val="24"/>
          <w:highlight w:val="none"/>
        </w:rPr>
      </w:pPr>
      <w:r>
        <w:rPr>
          <w:rFonts w:hint="eastAsia" w:ascii="宋体" w:hAnsi="宋体" w:cs="宋体"/>
          <w:sz w:val="24"/>
          <w:highlight w:val="none"/>
        </w:rPr>
        <w:t>联合体成员名称：</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p>
    <w:p w14:paraId="10C0B1FB">
      <w:pPr>
        <w:widowControl/>
        <w:wordWrap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盖章：</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4050E374">
      <w:pPr>
        <w:wordWrap w:val="0"/>
        <w:spacing w:after="0" w:line="360" w:lineRule="auto"/>
        <w:ind w:left="480"/>
        <w:jc w:val="right"/>
        <w:rPr>
          <w:rFonts w:hint="eastAsia" w:ascii="宋体" w:hAnsi="宋体" w:cs="宋体"/>
          <w:sz w:val="24"/>
          <w:highlight w:val="none"/>
        </w:rPr>
      </w:pPr>
    </w:p>
    <w:p w14:paraId="3B0BE78B">
      <w:pPr>
        <w:wordWrap w:val="0"/>
        <w:spacing w:after="0" w:line="360" w:lineRule="auto"/>
        <w:ind w:left="480"/>
        <w:jc w:val="right"/>
        <w:rPr>
          <w:rFonts w:hint="eastAsia" w:ascii="宋体" w:hAnsi="宋体" w:cs="宋体"/>
          <w:sz w:val="24"/>
          <w:highlight w:val="none"/>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618AD9F4">
      <w:pPr>
        <w:wordWrap w:val="0"/>
        <w:spacing w:after="0" w:line="360" w:lineRule="auto"/>
        <w:ind w:left="480"/>
        <w:jc w:val="right"/>
        <w:rPr>
          <w:rFonts w:hint="eastAsia" w:ascii="宋体" w:hAnsi="宋体" w:cs="宋体"/>
          <w:b/>
          <w:sz w:val="24"/>
          <w:highlight w:val="none"/>
        </w:rPr>
      </w:pPr>
    </w:p>
    <w:p w14:paraId="39A82962">
      <w:pPr>
        <w:tabs>
          <w:tab w:val="left" w:pos="8280"/>
        </w:tabs>
        <w:wordWrap w:val="0"/>
        <w:spacing w:after="0" w:line="360" w:lineRule="auto"/>
        <w:ind w:firstLine="480"/>
        <w:rPr>
          <w:rFonts w:hint="eastAsia" w:ascii="宋体" w:hAnsi="宋体" w:cs="宋体"/>
          <w:sz w:val="24"/>
          <w:highlight w:val="none"/>
        </w:rPr>
      </w:pPr>
    </w:p>
    <w:p w14:paraId="75A5F67D">
      <w:pPr>
        <w:wordWrap w:val="0"/>
        <w:spacing w:after="0" w:line="360" w:lineRule="auto"/>
        <w:rPr>
          <w:rFonts w:hint="eastAsia" w:ascii="宋体" w:hAnsi="宋体" w:cs="宋体"/>
          <w:sz w:val="24"/>
          <w:highlight w:val="none"/>
        </w:rPr>
      </w:pPr>
      <w:r>
        <w:rPr>
          <w:rFonts w:hint="eastAsia" w:ascii="宋体" w:hAnsi="宋体" w:cs="宋体"/>
          <w:sz w:val="24"/>
          <w:highlight w:val="none"/>
        </w:rPr>
        <w:t>注：</w:t>
      </w:r>
    </w:p>
    <w:p w14:paraId="234DDECB">
      <w:pPr>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 xml:space="preserve">1. 如本项目（包）接受供应商以联合体形式参加采购活动，且供应商以联合体形式参与时，须提供《联合协议》，否则响应无效。 </w:t>
      </w:r>
    </w:p>
    <w:p w14:paraId="007BE07E">
      <w:pPr>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2. 联合体各方成员需在本协议上共同盖章。</w:t>
      </w:r>
    </w:p>
    <w:p w14:paraId="08382EC3">
      <w:pPr>
        <w:widowControl/>
        <w:wordWrap w:val="0"/>
        <w:spacing w:after="0" w:line="360" w:lineRule="auto"/>
        <w:jc w:val="left"/>
        <w:rPr>
          <w:rFonts w:hint="eastAsia" w:ascii="宋体" w:hAnsi="宋体" w:cs="宋体"/>
          <w:sz w:val="24"/>
          <w:highlight w:val="none"/>
        </w:rPr>
      </w:pPr>
    </w:p>
    <w:p w14:paraId="66378D46">
      <w:pPr>
        <w:wordWrap w:val="0"/>
        <w:spacing w:after="0" w:line="360" w:lineRule="auto"/>
        <w:outlineLvl w:val="2"/>
        <w:rPr>
          <w:rFonts w:hint="eastAsia" w:ascii="宋体" w:hAnsi="宋体" w:cs="宋体"/>
          <w:sz w:val="24"/>
          <w:szCs w:val="20"/>
          <w:highlight w:val="none"/>
        </w:rPr>
        <w:sectPr>
          <w:pgSz w:w="11905" w:h="16838"/>
          <w:pgMar w:top="1474" w:right="1474" w:bottom="1474" w:left="1474" w:header="850" w:footer="992" w:gutter="0"/>
          <w:cols w:space="720" w:num="1"/>
          <w:docGrid w:linePitch="462" w:charSpace="0"/>
        </w:sectPr>
      </w:pPr>
    </w:p>
    <w:p w14:paraId="57DDACE1">
      <w:pPr>
        <w:wordWrap w:val="0"/>
        <w:spacing w:after="0" w:line="360" w:lineRule="auto"/>
        <w:outlineLvl w:val="2"/>
        <w:rPr>
          <w:rFonts w:hint="eastAsia" w:ascii="宋体" w:hAnsi="宋体" w:cs="宋体"/>
          <w:sz w:val="24"/>
          <w:szCs w:val="20"/>
          <w:highlight w:val="none"/>
        </w:rPr>
      </w:pPr>
      <w:r>
        <w:rPr>
          <w:rFonts w:hint="eastAsia" w:ascii="宋体" w:hAnsi="宋体" w:cs="宋体"/>
          <w:sz w:val="24"/>
          <w:szCs w:val="20"/>
          <w:highlight w:val="none"/>
        </w:rPr>
        <w:t>3-2其他特定资格要求</w:t>
      </w:r>
    </w:p>
    <w:p w14:paraId="52A2A402">
      <w:pPr>
        <w:tabs>
          <w:tab w:val="left" w:pos="5580"/>
        </w:tabs>
        <w:wordWrap w:val="0"/>
        <w:spacing w:after="0" w:line="360" w:lineRule="auto"/>
        <w:rPr>
          <w:rFonts w:hint="eastAsia" w:ascii="宋体" w:hAnsi="宋体" w:cs="宋体"/>
          <w:sz w:val="24"/>
          <w:highlight w:val="none"/>
        </w:rPr>
      </w:pPr>
    </w:p>
    <w:p w14:paraId="52A7B5A1">
      <w:pPr>
        <w:widowControl/>
        <w:wordWrap w:val="0"/>
        <w:spacing w:after="0" w:line="360" w:lineRule="auto"/>
        <w:jc w:val="left"/>
        <w:rPr>
          <w:rFonts w:hint="eastAsia" w:ascii="宋体" w:hAnsi="宋体" w:cs="宋体"/>
          <w:sz w:val="24"/>
          <w:szCs w:val="20"/>
          <w:highlight w:val="none"/>
        </w:rPr>
      </w:pPr>
    </w:p>
    <w:p w14:paraId="30FD62B0">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2D72E133">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4 磋商保证金凭证/交款单据电子件</w:t>
      </w:r>
    </w:p>
    <w:p w14:paraId="1840417F">
      <w:pPr>
        <w:widowControl/>
        <w:wordWrap w:val="0"/>
        <w:spacing w:after="0" w:line="360" w:lineRule="auto"/>
        <w:jc w:val="left"/>
        <w:rPr>
          <w:rFonts w:hint="eastAsia" w:ascii="宋体" w:hAnsi="宋体" w:cs="宋体"/>
          <w:kern w:val="0"/>
          <w:sz w:val="24"/>
          <w:szCs w:val="20"/>
          <w:highlight w:val="none"/>
        </w:rPr>
      </w:pPr>
    </w:p>
    <w:p w14:paraId="6BF3C541">
      <w:pPr>
        <w:widowControl/>
        <w:wordWrap w:val="0"/>
        <w:spacing w:after="0" w:line="360" w:lineRule="auto"/>
        <w:jc w:val="left"/>
        <w:rPr>
          <w:rFonts w:hint="eastAsia" w:ascii="宋体" w:hAnsi="宋体" w:cs="宋体"/>
          <w:b/>
          <w:sz w:val="24"/>
          <w:highlight w:val="none"/>
        </w:rPr>
      </w:pPr>
    </w:p>
    <w:p w14:paraId="5F349A1B">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bookmarkStart w:id="1227" w:name="_Hlt520274393"/>
      <w:bookmarkEnd w:id="1227"/>
      <w:bookmarkStart w:id="1228" w:name="_Hlt520274407"/>
      <w:bookmarkEnd w:id="1228"/>
      <w:bookmarkStart w:id="1229" w:name="_Hlt520274065"/>
      <w:bookmarkEnd w:id="1229"/>
      <w:bookmarkStart w:id="1230" w:name="_Hlt520350918"/>
      <w:bookmarkEnd w:id="1230"/>
      <w:bookmarkStart w:id="1231" w:name="_Hlt520271212"/>
      <w:bookmarkEnd w:id="1231"/>
      <w:bookmarkStart w:id="1232" w:name="_Hlt520343000"/>
      <w:bookmarkEnd w:id="1232"/>
      <w:bookmarkStart w:id="1233" w:name="_Hlt520355504"/>
      <w:bookmarkEnd w:id="1233"/>
      <w:bookmarkStart w:id="1234" w:name="_Hlt520274121"/>
      <w:bookmarkEnd w:id="1234"/>
      <w:bookmarkStart w:id="1235" w:name="_Hlt520343392"/>
      <w:bookmarkEnd w:id="1235"/>
      <w:bookmarkStart w:id="1236" w:name="_Hlt520273711"/>
      <w:bookmarkEnd w:id="1236"/>
      <w:bookmarkStart w:id="1237" w:name="_Ref467988698"/>
      <w:bookmarkStart w:id="1238" w:name="_Toc480942349"/>
      <w:bookmarkStart w:id="1239" w:name="_Toc150480794"/>
      <w:bookmarkStart w:id="1240" w:name="_Toc226965746"/>
      <w:bookmarkStart w:id="1241" w:name="_Toc226309800"/>
      <w:bookmarkStart w:id="1242" w:name="_Toc142311058"/>
      <w:bookmarkStart w:id="1243" w:name="_Toc226965829"/>
      <w:bookmarkStart w:id="1244" w:name="_Toc520356217"/>
      <w:bookmarkStart w:id="1245" w:name="_Toc150774761"/>
      <w:bookmarkStart w:id="1246" w:name="_Toc226337252"/>
      <w:bookmarkStart w:id="1247" w:name="_Toc195842921"/>
      <w:bookmarkStart w:id="1248" w:name="_Toc127151556"/>
    </w:p>
    <w:p w14:paraId="0F996B38">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 xml:space="preserve">5 </w:t>
      </w:r>
      <w:bookmarkEnd w:id="1237"/>
      <w:bookmarkEnd w:id="1238"/>
      <w:r>
        <w:rPr>
          <w:rFonts w:hint="eastAsia" w:ascii="宋体" w:hAnsi="宋体" w:cs="宋体"/>
          <w:sz w:val="24"/>
          <w:highlight w:val="none"/>
        </w:rPr>
        <w:t>响应书</w:t>
      </w:r>
      <w:bookmarkEnd w:id="1239"/>
      <w:bookmarkEnd w:id="1240"/>
      <w:bookmarkEnd w:id="1241"/>
      <w:bookmarkEnd w:id="1242"/>
      <w:bookmarkEnd w:id="1243"/>
      <w:bookmarkEnd w:id="1244"/>
      <w:bookmarkEnd w:id="1245"/>
      <w:bookmarkEnd w:id="1246"/>
      <w:bookmarkEnd w:id="1247"/>
      <w:bookmarkEnd w:id="1248"/>
      <w:r>
        <w:rPr>
          <w:rFonts w:hint="eastAsia" w:ascii="宋体" w:hAnsi="宋体" w:cs="宋体"/>
          <w:sz w:val="24"/>
          <w:highlight w:val="none"/>
        </w:rPr>
        <w:t>（实质性格式）</w:t>
      </w:r>
    </w:p>
    <w:p w14:paraId="26C83081">
      <w:pPr>
        <w:wordWrap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响应书</w:t>
      </w:r>
    </w:p>
    <w:p w14:paraId="74CA6828">
      <w:pPr>
        <w:tabs>
          <w:tab w:val="left" w:pos="5580"/>
        </w:tabs>
        <w:wordWrap w:val="0"/>
        <w:spacing w:after="0"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14:paraId="4EE9E228">
      <w:pPr>
        <w:tabs>
          <w:tab w:val="left" w:pos="5580"/>
        </w:tabs>
        <w:wordWrap w:val="0"/>
        <w:spacing w:after="0" w:line="360" w:lineRule="auto"/>
        <w:rPr>
          <w:rFonts w:hint="eastAsia" w:ascii="宋体" w:hAnsi="宋体" w:cs="宋体"/>
          <w:sz w:val="24"/>
          <w:szCs w:val="20"/>
          <w:highlight w:val="none"/>
        </w:rPr>
      </w:pPr>
    </w:p>
    <w:p w14:paraId="30ECAC9D">
      <w:pPr>
        <w:tabs>
          <w:tab w:val="left" w:pos="5580"/>
        </w:tabs>
        <w:wordWrap w:val="0"/>
        <w:spacing w:after="0" w:line="360" w:lineRule="auto"/>
        <w:ind w:firstLine="408"/>
        <w:rPr>
          <w:rFonts w:hint="eastAsia" w:ascii="宋体" w:hAnsi="宋体" w:cs="宋体"/>
          <w:sz w:val="24"/>
          <w:szCs w:val="20"/>
          <w:highlight w:val="none"/>
        </w:rPr>
      </w:pPr>
      <w:r>
        <w:rPr>
          <w:rFonts w:hint="eastAsia" w:ascii="宋体" w:hAnsi="宋体" w:cs="宋体"/>
          <w:sz w:val="24"/>
          <w:szCs w:val="20"/>
          <w:highlight w:val="none"/>
        </w:rPr>
        <w:t>我方参加你方就</w:t>
      </w:r>
      <w:r>
        <w:rPr>
          <w:rFonts w:hint="eastAsia" w:ascii="宋体" w:hAnsi="宋体" w:cs="宋体"/>
          <w:sz w:val="24"/>
          <w:highlight w:val="none"/>
          <w:u w:val="single"/>
        </w:rPr>
        <w:t xml:space="preserve">        </w:t>
      </w:r>
      <w:r>
        <w:rPr>
          <w:rFonts w:hint="eastAsia" w:ascii="宋体" w:hAnsi="宋体" w:cs="宋体"/>
          <w:sz w:val="24"/>
          <w:szCs w:val="20"/>
          <w:highlight w:val="none"/>
        </w:rPr>
        <w:t>（项目名称，项目编号/包号）组织的采购活动，并对此项目进行磋商。</w:t>
      </w:r>
    </w:p>
    <w:p w14:paraId="289013D5">
      <w:pPr>
        <w:tabs>
          <w:tab w:val="left" w:pos="5580"/>
        </w:tabs>
        <w:wordWrap w:val="0"/>
        <w:spacing w:after="0" w:line="360" w:lineRule="auto"/>
        <w:ind w:firstLine="408"/>
        <w:rPr>
          <w:rFonts w:hint="eastAsia" w:ascii="宋体" w:hAnsi="宋体" w:cs="宋体"/>
          <w:sz w:val="24"/>
          <w:szCs w:val="20"/>
          <w:highlight w:val="none"/>
        </w:rPr>
      </w:pPr>
      <w:r>
        <w:rPr>
          <w:rFonts w:hint="eastAsia" w:ascii="宋体" w:hAnsi="宋体" w:cs="宋体"/>
          <w:sz w:val="24"/>
          <w:szCs w:val="20"/>
          <w:highlight w:val="none"/>
        </w:rPr>
        <w:t>1. 我方</w:t>
      </w:r>
      <w:r>
        <w:rPr>
          <w:rFonts w:hint="eastAsia" w:ascii="宋体" w:hAnsi="宋体" w:cs="宋体"/>
          <w:sz w:val="24"/>
          <w:highlight w:val="none"/>
        </w:rPr>
        <w:t>已详细审查全部竞争性磋商文件</w:t>
      </w:r>
      <w:r>
        <w:rPr>
          <w:rFonts w:hint="eastAsia" w:ascii="宋体" w:hAnsi="宋体" w:cs="宋体"/>
          <w:sz w:val="24"/>
          <w:szCs w:val="20"/>
          <w:highlight w:val="none"/>
        </w:rPr>
        <w:t>，自愿参与磋商并承诺如下：</w:t>
      </w:r>
    </w:p>
    <w:p w14:paraId="0CA9DA96">
      <w:pPr>
        <w:tabs>
          <w:tab w:val="left" w:pos="720"/>
          <w:tab w:val="left" w:pos="900"/>
        </w:tabs>
        <w:wordWrap w:val="0"/>
        <w:spacing w:after="0" w:line="360" w:lineRule="auto"/>
        <w:ind w:left="360" w:firstLine="72" w:firstLineChars="30"/>
        <w:rPr>
          <w:rFonts w:hint="eastAsia" w:ascii="宋体" w:hAnsi="宋体" w:cs="宋体"/>
          <w:sz w:val="24"/>
          <w:szCs w:val="20"/>
          <w:highlight w:val="none"/>
        </w:rPr>
      </w:pPr>
      <w:r>
        <w:rPr>
          <w:rFonts w:hint="eastAsia" w:ascii="宋体" w:hAnsi="宋体" w:cs="宋体"/>
          <w:sz w:val="24"/>
          <w:szCs w:val="20"/>
          <w:highlight w:val="none"/>
        </w:rPr>
        <w:t>（1）本响应有效期为自响应文件提交截止之日起</w:t>
      </w:r>
      <w:r>
        <w:rPr>
          <w:rFonts w:hint="eastAsia" w:ascii="宋体" w:hAnsi="宋体" w:cs="宋体"/>
          <w:sz w:val="24"/>
          <w:highlight w:val="none"/>
          <w:u w:val="single"/>
        </w:rPr>
        <w:t xml:space="preserve">        </w:t>
      </w:r>
      <w:r>
        <w:rPr>
          <w:rFonts w:hint="eastAsia" w:ascii="宋体" w:hAnsi="宋体" w:cs="宋体"/>
          <w:sz w:val="24"/>
          <w:szCs w:val="20"/>
          <w:highlight w:val="none"/>
        </w:rPr>
        <w:t>个日历日。</w:t>
      </w:r>
    </w:p>
    <w:p w14:paraId="5245E517">
      <w:pPr>
        <w:tabs>
          <w:tab w:val="left" w:pos="720"/>
          <w:tab w:val="left" w:pos="900"/>
        </w:tabs>
        <w:wordWrap w:val="0"/>
        <w:spacing w:after="0" w:line="360" w:lineRule="auto"/>
        <w:ind w:left="360" w:firstLine="72" w:firstLineChars="30"/>
        <w:rPr>
          <w:rFonts w:hint="eastAsia" w:ascii="宋体" w:hAnsi="宋体" w:cs="宋体"/>
          <w:sz w:val="24"/>
          <w:szCs w:val="20"/>
          <w:highlight w:val="none"/>
        </w:rPr>
      </w:pPr>
      <w:r>
        <w:rPr>
          <w:rFonts w:hint="eastAsia" w:ascii="宋体" w:hAnsi="宋体" w:cs="宋体"/>
          <w:sz w:val="24"/>
          <w:szCs w:val="20"/>
          <w:highlight w:val="none"/>
        </w:rPr>
        <w:t>（2）除合同条款及采购需求偏离表列出的偏离外，我方响应竞争性磋商文件的全部要求。</w:t>
      </w:r>
    </w:p>
    <w:p w14:paraId="50FF0C65">
      <w:pPr>
        <w:tabs>
          <w:tab w:val="left" w:pos="5580"/>
        </w:tabs>
        <w:wordWrap w:val="0"/>
        <w:spacing w:after="0" w:line="360" w:lineRule="auto"/>
        <w:ind w:firstLine="420" w:firstLineChars="175"/>
        <w:rPr>
          <w:rFonts w:hint="eastAsia" w:ascii="宋体" w:hAnsi="宋体" w:cs="宋体"/>
          <w:sz w:val="24"/>
          <w:szCs w:val="20"/>
          <w:highlight w:val="none"/>
        </w:rPr>
      </w:pPr>
      <w:r>
        <w:rPr>
          <w:rFonts w:hint="eastAsia" w:ascii="宋体" w:hAnsi="宋体" w:cs="宋体"/>
          <w:sz w:val="24"/>
          <w:szCs w:val="20"/>
          <w:highlight w:val="none"/>
        </w:rPr>
        <w:t>（3）我方已提供的全部文件资料是真实、准确的，并对此承担一切法律后果。</w:t>
      </w:r>
    </w:p>
    <w:p w14:paraId="46733041">
      <w:pPr>
        <w:tabs>
          <w:tab w:val="left" w:pos="5580"/>
        </w:tabs>
        <w:wordWrap w:val="0"/>
        <w:spacing w:after="0" w:line="360" w:lineRule="auto"/>
        <w:ind w:firstLine="420" w:firstLineChars="175"/>
        <w:rPr>
          <w:rFonts w:hint="eastAsia" w:ascii="宋体" w:hAnsi="宋体" w:cs="宋体"/>
          <w:sz w:val="24"/>
          <w:highlight w:val="none"/>
        </w:rPr>
      </w:pPr>
      <w:r>
        <w:rPr>
          <w:rFonts w:hint="eastAsia" w:ascii="宋体" w:hAnsi="宋体" w:cs="宋体"/>
          <w:sz w:val="24"/>
          <w:szCs w:val="20"/>
          <w:highlight w:val="none"/>
        </w:rPr>
        <w:t>（4）如我方成交，我方将在法律规定的期限内与你方签订合同，按照竞争性磋商文件要求提交履约保证金，并在合同约定的期限内完成合同规定的全部义务。</w:t>
      </w:r>
    </w:p>
    <w:p w14:paraId="58ACB33E">
      <w:pPr>
        <w:wordWrap w:val="0"/>
        <w:spacing w:after="0" w:line="360" w:lineRule="auto"/>
        <w:ind w:left="420"/>
        <w:rPr>
          <w:rFonts w:hint="eastAsia" w:ascii="宋体" w:hAnsi="宋体" w:cs="宋体"/>
          <w:sz w:val="24"/>
          <w:highlight w:val="none"/>
        </w:rPr>
      </w:pPr>
      <w:r>
        <w:rPr>
          <w:rFonts w:hint="eastAsia" w:ascii="宋体" w:hAnsi="宋体" w:cs="宋体"/>
          <w:sz w:val="24"/>
          <w:highlight w:val="none"/>
        </w:rPr>
        <w:t>2. 其他补充条款（如有）：</w:t>
      </w:r>
      <w:r>
        <w:rPr>
          <w:rFonts w:hint="eastAsia" w:ascii="宋体" w:hAnsi="宋体" w:cs="宋体"/>
          <w:sz w:val="24"/>
          <w:highlight w:val="none"/>
          <w:u w:val="single"/>
        </w:rPr>
        <w:t xml:space="preserve">        </w:t>
      </w:r>
      <w:r>
        <w:rPr>
          <w:rFonts w:hint="eastAsia" w:ascii="宋体" w:hAnsi="宋体" w:cs="宋体"/>
          <w:sz w:val="24"/>
          <w:highlight w:val="none"/>
        </w:rPr>
        <w:t>。</w:t>
      </w:r>
    </w:p>
    <w:p w14:paraId="4556B4F9">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与本磋商有关的一切正式往来信函请寄：</w:t>
      </w:r>
    </w:p>
    <w:p w14:paraId="50D97FD2">
      <w:pPr>
        <w:tabs>
          <w:tab w:val="left" w:pos="5580"/>
        </w:tabs>
        <w:wordWrap w:val="0"/>
        <w:spacing w:after="0" w:line="360" w:lineRule="auto"/>
        <w:ind w:left="420"/>
        <w:rPr>
          <w:rFonts w:hint="eastAsia" w:ascii="宋体" w:hAnsi="宋体" w:cs="宋体"/>
          <w:sz w:val="24"/>
          <w:szCs w:val="20"/>
          <w:highlight w:val="none"/>
        </w:rPr>
      </w:pPr>
    </w:p>
    <w:p w14:paraId="0C515E80">
      <w:pPr>
        <w:tabs>
          <w:tab w:val="left" w:pos="5580"/>
        </w:tabs>
        <w:wordWrap w:val="0"/>
        <w:spacing w:after="0" w:line="360" w:lineRule="auto"/>
        <w:ind w:left="420"/>
        <w:rPr>
          <w:rFonts w:hint="eastAsia" w:ascii="宋体" w:hAnsi="宋体" w:cs="宋体"/>
          <w:sz w:val="24"/>
          <w:szCs w:val="20"/>
          <w:highlight w:val="none"/>
        </w:rPr>
      </w:pPr>
      <w:r>
        <w:rPr>
          <w:rFonts w:hint="eastAsia" w:ascii="宋体" w:hAnsi="宋体" w:cs="宋体"/>
          <w:sz w:val="24"/>
          <w:szCs w:val="20"/>
          <w:highlight w:val="none"/>
        </w:rPr>
        <w:t>地址</w:t>
      </w:r>
      <w:r>
        <w:rPr>
          <w:rFonts w:hint="eastAsia" w:ascii="宋体" w:hAnsi="宋体" w:cs="宋体"/>
          <w:sz w:val="24"/>
          <w:highlight w:val="none"/>
          <w:u w:val="single"/>
        </w:rPr>
        <w:t xml:space="preserve">                  </w:t>
      </w:r>
      <w:r>
        <w:rPr>
          <w:rFonts w:hint="eastAsia" w:ascii="宋体" w:hAnsi="宋体" w:cs="宋体"/>
          <w:sz w:val="24"/>
          <w:szCs w:val="20"/>
          <w:highlight w:val="none"/>
        </w:rPr>
        <w:t xml:space="preserve">     </w:t>
      </w:r>
    </w:p>
    <w:p w14:paraId="26ECD3CD">
      <w:pPr>
        <w:tabs>
          <w:tab w:val="left" w:pos="5580"/>
        </w:tabs>
        <w:wordWrap w:val="0"/>
        <w:spacing w:after="0" w:line="360" w:lineRule="auto"/>
        <w:ind w:left="420"/>
        <w:rPr>
          <w:rFonts w:hint="eastAsia" w:ascii="宋体" w:hAnsi="宋体" w:cs="宋体"/>
          <w:sz w:val="24"/>
          <w:szCs w:val="20"/>
          <w:highlight w:val="none"/>
        </w:rPr>
      </w:pPr>
      <w:r>
        <w:rPr>
          <w:rFonts w:hint="eastAsia" w:ascii="宋体" w:hAnsi="宋体" w:cs="宋体"/>
          <w:sz w:val="24"/>
          <w:szCs w:val="20"/>
          <w:highlight w:val="none"/>
        </w:rPr>
        <w:t>传真</w:t>
      </w:r>
      <w:r>
        <w:rPr>
          <w:rFonts w:hint="eastAsia" w:ascii="宋体" w:hAnsi="宋体" w:cs="宋体"/>
          <w:sz w:val="24"/>
          <w:highlight w:val="none"/>
          <w:u w:val="single"/>
        </w:rPr>
        <w:t xml:space="preserve">                  </w:t>
      </w:r>
    </w:p>
    <w:p w14:paraId="0C60E800">
      <w:pPr>
        <w:tabs>
          <w:tab w:val="left" w:pos="5580"/>
        </w:tabs>
        <w:wordWrap w:val="0"/>
        <w:spacing w:after="0" w:line="360" w:lineRule="auto"/>
        <w:ind w:left="420"/>
        <w:rPr>
          <w:rFonts w:hint="eastAsia" w:ascii="宋体" w:hAnsi="宋体" w:cs="宋体"/>
          <w:sz w:val="24"/>
          <w:szCs w:val="20"/>
          <w:highlight w:val="none"/>
        </w:rPr>
      </w:pPr>
      <w:r>
        <w:rPr>
          <w:rFonts w:hint="eastAsia" w:ascii="宋体" w:hAnsi="宋体" w:cs="宋体"/>
          <w:sz w:val="24"/>
          <w:szCs w:val="20"/>
          <w:highlight w:val="none"/>
        </w:rPr>
        <w:t>电话</w:t>
      </w:r>
      <w:r>
        <w:rPr>
          <w:rFonts w:hint="eastAsia" w:ascii="宋体" w:hAnsi="宋体" w:cs="宋体"/>
          <w:sz w:val="24"/>
          <w:highlight w:val="none"/>
          <w:u w:val="single"/>
        </w:rPr>
        <w:t xml:space="preserve">                  </w:t>
      </w:r>
      <w:r>
        <w:rPr>
          <w:rFonts w:hint="eastAsia" w:ascii="宋体" w:hAnsi="宋体" w:cs="宋体"/>
          <w:sz w:val="24"/>
          <w:szCs w:val="20"/>
          <w:highlight w:val="none"/>
        </w:rPr>
        <w:t xml:space="preserve">      </w:t>
      </w:r>
    </w:p>
    <w:p w14:paraId="200FCB71">
      <w:pPr>
        <w:tabs>
          <w:tab w:val="left" w:pos="5580"/>
        </w:tabs>
        <w:wordWrap w:val="0"/>
        <w:spacing w:after="0" w:line="360" w:lineRule="auto"/>
        <w:ind w:left="420"/>
        <w:rPr>
          <w:rFonts w:hint="eastAsia" w:ascii="宋体" w:hAnsi="宋体" w:cs="宋体"/>
          <w:sz w:val="24"/>
          <w:szCs w:val="20"/>
          <w:highlight w:val="none"/>
        </w:rPr>
      </w:pPr>
      <w:r>
        <w:rPr>
          <w:rFonts w:hint="eastAsia" w:ascii="宋体" w:hAnsi="宋体" w:cs="宋体"/>
          <w:sz w:val="24"/>
          <w:szCs w:val="20"/>
          <w:highlight w:val="none"/>
        </w:rPr>
        <w:t>电子函件</w:t>
      </w:r>
      <w:r>
        <w:rPr>
          <w:rFonts w:hint="eastAsia" w:ascii="宋体" w:hAnsi="宋体" w:cs="宋体"/>
          <w:sz w:val="24"/>
          <w:highlight w:val="none"/>
          <w:u w:val="single"/>
        </w:rPr>
        <w:t xml:space="preserve">                  </w:t>
      </w:r>
    </w:p>
    <w:p w14:paraId="7CAD2F99">
      <w:pPr>
        <w:tabs>
          <w:tab w:val="left" w:pos="5580"/>
        </w:tabs>
        <w:wordWrap w:val="0"/>
        <w:spacing w:after="0" w:line="360" w:lineRule="auto"/>
        <w:ind w:left="420"/>
        <w:rPr>
          <w:rFonts w:hint="eastAsia" w:ascii="宋体" w:hAnsi="宋体" w:cs="宋体"/>
          <w:sz w:val="24"/>
          <w:szCs w:val="20"/>
          <w:highlight w:val="none"/>
        </w:rPr>
      </w:pPr>
    </w:p>
    <w:p w14:paraId="3F8FB630">
      <w:pPr>
        <w:tabs>
          <w:tab w:val="left" w:pos="5580"/>
        </w:tabs>
        <w:wordWrap w:val="0"/>
        <w:spacing w:after="0" w:line="360" w:lineRule="auto"/>
        <w:ind w:left="420"/>
        <w:rPr>
          <w:rFonts w:hint="eastAsia" w:ascii="宋体" w:hAnsi="宋体" w:cs="宋体"/>
          <w:sz w:val="24"/>
          <w:szCs w:val="20"/>
          <w:highlight w:val="none"/>
        </w:rPr>
      </w:pPr>
    </w:p>
    <w:p w14:paraId="4B69357F">
      <w:pPr>
        <w:tabs>
          <w:tab w:val="left" w:pos="5580"/>
        </w:tabs>
        <w:wordWrap w:val="0"/>
        <w:spacing w:after="0" w:line="360" w:lineRule="auto"/>
        <w:ind w:left="420"/>
        <w:rPr>
          <w:rFonts w:hint="eastAsia" w:ascii="宋体" w:hAnsi="宋体" w:cs="宋体"/>
          <w:sz w:val="24"/>
          <w:szCs w:val="20"/>
          <w:highlight w:val="none"/>
        </w:rPr>
      </w:pPr>
    </w:p>
    <w:p w14:paraId="48D26DD6">
      <w:pPr>
        <w:wordWrap w:val="0"/>
        <w:autoSpaceDE w:val="0"/>
        <w:autoSpaceDN w:val="0"/>
        <w:adjustRightInd w:val="0"/>
        <w:snapToGrid w:val="0"/>
        <w:spacing w:before="25" w:after="0" w:line="360" w:lineRule="auto"/>
        <w:ind w:right="360" w:firstLine="360" w:firstLineChars="150"/>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0634DA37">
      <w:pPr>
        <w:tabs>
          <w:tab w:val="left" w:pos="5580"/>
        </w:tabs>
        <w:wordWrap w:val="0"/>
        <w:spacing w:after="0" w:line="360" w:lineRule="auto"/>
        <w:ind w:firstLine="360" w:firstLineChars="150"/>
        <w:rPr>
          <w:rFonts w:hint="eastAsia" w:ascii="宋体" w:hAnsi="宋体" w:cs="宋体"/>
          <w:sz w:val="24"/>
          <w:szCs w:val="20"/>
          <w:highlight w:val="none"/>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 xml:space="preserve">日  </w:t>
      </w:r>
    </w:p>
    <w:p w14:paraId="715BA618">
      <w:pPr>
        <w:widowControl/>
        <w:wordWrap w:val="0"/>
        <w:spacing w:after="0" w:line="360" w:lineRule="auto"/>
        <w:jc w:val="left"/>
        <w:rPr>
          <w:rFonts w:hint="eastAsia" w:ascii="宋体" w:hAnsi="宋体" w:cs="宋体"/>
          <w:b/>
          <w:sz w:val="24"/>
          <w:szCs w:val="20"/>
          <w:highlight w:val="none"/>
        </w:rPr>
      </w:pPr>
    </w:p>
    <w:p w14:paraId="78080B55">
      <w:pPr>
        <w:widowControl/>
        <w:wordWrap w:val="0"/>
        <w:spacing w:after="0" w:line="360" w:lineRule="auto"/>
        <w:jc w:val="left"/>
        <w:rPr>
          <w:rFonts w:hint="eastAsia" w:ascii="宋体" w:hAnsi="宋体" w:cs="宋体"/>
          <w:sz w:val="24"/>
          <w:highlight w:val="none"/>
        </w:rPr>
      </w:pPr>
      <w:bookmarkStart w:id="1249" w:name="_Hlt520356243"/>
      <w:bookmarkEnd w:id="1249"/>
      <w:bookmarkStart w:id="1250" w:name="_Hlt520355938"/>
      <w:bookmarkEnd w:id="1250"/>
      <w:bookmarkStart w:id="1251" w:name="_Toc150480795"/>
      <w:bookmarkStart w:id="1252" w:name="_Toc150774762"/>
      <w:bookmarkStart w:id="1253" w:name="_Toc226337253"/>
      <w:bookmarkStart w:id="1254" w:name="_Toc305158825"/>
      <w:bookmarkStart w:id="1255" w:name="_Toc142311059"/>
      <w:bookmarkStart w:id="1256" w:name="_Toc520356218"/>
      <w:bookmarkStart w:id="1257" w:name="_Toc226965747"/>
      <w:bookmarkStart w:id="1258" w:name="_Ref467988705"/>
      <w:bookmarkStart w:id="1259" w:name="_Toc226309801"/>
      <w:bookmarkStart w:id="1260" w:name="_Toc226965830"/>
      <w:bookmarkStart w:id="1261" w:name="_Toc264969247"/>
      <w:bookmarkStart w:id="1262" w:name="_Toc480942350"/>
      <w:bookmarkStart w:id="1263" w:name="_Toc265228395"/>
      <w:bookmarkStart w:id="1264" w:name="_Toc195842922"/>
      <w:bookmarkStart w:id="1265" w:name="_Toc305158899"/>
      <w:bookmarkStart w:id="1266" w:name="_Toc127151557"/>
    </w:p>
    <w:p w14:paraId="7397E43B">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31D28984">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6 授权委托书（实质性格式）</w:t>
      </w:r>
    </w:p>
    <w:p w14:paraId="6AFD57D7">
      <w:pPr>
        <w:wordWrap w:val="0"/>
        <w:autoSpaceDE w:val="0"/>
        <w:autoSpaceDN w:val="0"/>
        <w:adjustRightInd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授权委托书</w:t>
      </w:r>
    </w:p>
    <w:p w14:paraId="23A47D5B">
      <w:pPr>
        <w:wordWrap w:val="0"/>
        <w:spacing w:after="0" w:line="360" w:lineRule="auto"/>
        <w:ind w:firstLine="420"/>
        <w:rPr>
          <w:rFonts w:hint="eastAsia" w:ascii="宋体" w:hAnsi="宋体" w:cs="宋体"/>
          <w:sz w:val="24"/>
          <w:szCs w:val="20"/>
          <w:highlight w:val="none"/>
        </w:rPr>
      </w:pPr>
      <w:r>
        <w:rPr>
          <w:rFonts w:hint="eastAsia" w:ascii="宋体" w:hAnsi="宋体" w:cs="宋体"/>
          <w:sz w:val="24"/>
          <w:szCs w:val="20"/>
          <w:highlight w:val="none"/>
        </w:rPr>
        <w:t>本人</w:t>
      </w:r>
      <w:r>
        <w:rPr>
          <w:rFonts w:hint="eastAsia" w:ascii="宋体" w:hAnsi="宋体" w:cs="宋体"/>
          <w:sz w:val="24"/>
          <w:highlight w:val="none"/>
          <w:u w:val="single"/>
        </w:rPr>
        <w:t xml:space="preserve">    </w:t>
      </w:r>
      <w:r>
        <w:rPr>
          <w:rFonts w:hint="eastAsia" w:ascii="宋体" w:hAnsi="宋体" w:cs="宋体"/>
          <w:sz w:val="24"/>
          <w:szCs w:val="20"/>
          <w:highlight w:val="none"/>
        </w:rPr>
        <w:t>（姓名）系</w:t>
      </w:r>
      <w:r>
        <w:rPr>
          <w:rFonts w:hint="eastAsia" w:ascii="宋体" w:hAnsi="宋体" w:cs="宋体"/>
          <w:sz w:val="24"/>
          <w:highlight w:val="none"/>
          <w:u w:val="single"/>
        </w:rPr>
        <w:t xml:space="preserve">    </w:t>
      </w:r>
      <w:r>
        <w:rPr>
          <w:rFonts w:hint="eastAsia" w:ascii="宋体" w:hAnsi="宋体" w:cs="宋体"/>
          <w:sz w:val="24"/>
          <w:szCs w:val="20"/>
          <w:highlight w:val="none"/>
        </w:rPr>
        <w:t>（供应商名称）的法定代表人（单位负责人），现委托</w:t>
      </w:r>
      <w:r>
        <w:rPr>
          <w:rFonts w:hint="eastAsia" w:ascii="宋体" w:hAnsi="宋体" w:cs="宋体"/>
          <w:sz w:val="24"/>
          <w:highlight w:val="none"/>
          <w:u w:val="single"/>
        </w:rPr>
        <w:t xml:space="preserve">    </w:t>
      </w:r>
      <w:r>
        <w:rPr>
          <w:rFonts w:hint="eastAsia" w:ascii="宋体" w:hAnsi="宋体" w:cs="宋体"/>
          <w:sz w:val="24"/>
          <w:szCs w:val="20"/>
          <w:highlight w:val="none"/>
        </w:rPr>
        <w:t>（姓名）为我方代理人。代理人根据授权，以我方名义签署、澄清确认、递交、撤回、修改</w:t>
      </w:r>
      <w:r>
        <w:rPr>
          <w:rFonts w:hint="eastAsia" w:ascii="宋体" w:hAnsi="宋体" w:cs="宋体"/>
          <w:sz w:val="24"/>
          <w:highlight w:val="none"/>
          <w:u w:val="single"/>
        </w:rPr>
        <w:t xml:space="preserve">    </w:t>
      </w:r>
      <w:r>
        <w:rPr>
          <w:rFonts w:hint="eastAsia" w:ascii="宋体" w:hAnsi="宋体" w:cs="宋体"/>
          <w:sz w:val="24"/>
          <w:szCs w:val="20"/>
          <w:highlight w:val="none"/>
        </w:rPr>
        <w:t>（项目名称）响应文件和处理有关事宜，其法律后果由我方承担。</w:t>
      </w:r>
    </w:p>
    <w:p w14:paraId="7D9D93E3">
      <w:pPr>
        <w:wordWrap w:val="0"/>
        <w:spacing w:after="0" w:line="360" w:lineRule="auto"/>
        <w:ind w:firstLine="420"/>
        <w:rPr>
          <w:rFonts w:hint="eastAsia" w:ascii="宋体" w:hAnsi="宋体" w:cs="宋体"/>
          <w:sz w:val="24"/>
          <w:szCs w:val="20"/>
          <w:highlight w:val="none"/>
        </w:rPr>
      </w:pPr>
      <w:r>
        <w:rPr>
          <w:rFonts w:hint="eastAsia" w:ascii="宋体" w:hAnsi="宋体" w:cs="宋体"/>
          <w:sz w:val="24"/>
          <w:szCs w:val="20"/>
          <w:highlight w:val="none"/>
        </w:rPr>
        <w:t>委托期限：自本授权委托书签署之日起至响应有效期届满之日止。</w:t>
      </w:r>
    </w:p>
    <w:p w14:paraId="1AB44DB9">
      <w:pPr>
        <w:wordWrap w:val="0"/>
        <w:spacing w:after="0" w:line="360" w:lineRule="auto"/>
        <w:ind w:firstLine="420"/>
        <w:rPr>
          <w:rFonts w:hint="eastAsia" w:ascii="宋体" w:hAnsi="宋体" w:cs="宋体"/>
          <w:sz w:val="24"/>
          <w:szCs w:val="20"/>
          <w:highlight w:val="none"/>
        </w:rPr>
      </w:pPr>
      <w:r>
        <w:rPr>
          <w:rFonts w:hint="eastAsia" w:ascii="宋体" w:hAnsi="宋体" w:cs="宋体"/>
          <w:sz w:val="24"/>
          <w:szCs w:val="20"/>
          <w:highlight w:val="none"/>
        </w:rPr>
        <w:t>代理人无转委托权。</w:t>
      </w:r>
      <w:r>
        <w:rPr>
          <w:rFonts w:hint="eastAsia" w:ascii="宋体" w:hAnsi="宋体" w:cs="宋体"/>
          <w:sz w:val="24"/>
          <w:szCs w:val="20"/>
          <w:highlight w:val="none"/>
        </w:rPr>
        <w:cr/>
      </w:r>
    </w:p>
    <w:p w14:paraId="455F897F">
      <w:pPr>
        <w:wordWrap w:val="0"/>
        <w:spacing w:after="0" w:line="360" w:lineRule="auto"/>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6AB17249">
      <w:pPr>
        <w:wordWrap w:val="0"/>
        <w:spacing w:after="0" w:line="360" w:lineRule="auto"/>
        <w:rPr>
          <w:rFonts w:hint="eastAsia" w:ascii="宋体" w:hAnsi="宋体" w:cs="宋体"/>
          <w:sz w:val="24"/>
          <w:szCs w:val="20"/>
          <w:highlight w:val="none"/>
        </w:rPr>
      </w:pPr>
      <w:r>
        <w:rPr>
          <w:rFonts w:hint="eastAsia" w:ascii="宋体" w:hAnsi="宋体" w:cs="宋体"/>
          <w:sz w:val="24"/>
          <w:szCs w:val="20"/>
          <w:highlight w:val="none"/>
        </w:rPr>
        <w:t>法定代表人（单位负责人）（签字或签章）：</w:t>
      </w:r>
      <w:r>
        <w:rPr>
          <w:rFonts w:hint="eastAsia" w:ascii="宋体" w:hAnsi="宋体" w:cs="宋体"/>
          <w:sz w:val="24"/>
          <w:highlight w:val="none"/>
          <w:u w:val="single"/>
        </w:rPr>
        <w:t xml:space="preserve">          </w:t>
      </w:r>
    </w:p>
    <w:p w14:paraId="577C1C1F">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z w:val="24"/>
          <w:highlight w:val="none"/>
        </w:rPr>
        <w:t>委托代理人（签字或</w:t>
      </w:r>
      <w:r>
        <w:rPr>
          <w:rFonts w:hint="eastAsia" w:ascii="宋体" w:hAnsi="宋体" w:cs="宋体"/>
          <w:sz w:val="24"/>
          <w:szCs w:val="20"/>
          <w:highlight w:val="none"/>
        </w:rPr>
        <w:t>签章</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        </w:t>
      </w:r>
    </w:p>
    <w:p w14:paraId="70D51826">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5C3622D8">
      <w:pPr>
        <w:tabs>
          <w:tab w:val="left" w:pos="5580"/>
        </w:tabs>
        <w:wordWrap w:val="0"/>
        <w:spacing w:after="0" w:line="360" w:lineRule="auto"/>
        <w:ind w:firstLine="480" w:firstLineChars="200"/>
        <w:rPr>
          <w:rFonts w:hint="eastAsia" w:ascii="宋体" w:hAnsi="宋体" w:cs="宋体"/>
          <w:sz w:val="24"/>
          <w:szCs w:val="20"/>
          <w:highlight w:val="none"/>
        </w:rPr>
      </w:pPr>
    </w:p>
    <w:p w14:paraId="0F3EC28D">
      <w:pPr>
        <w:tabs>
          <w:tab w:val="left" w:pos="5580"/>
        </w:tabs>
        <w:wordWrap w:val="0"/>
        <w:spacing w:after="0" w:line="360" w:lineRule="auto"/>
        <w:jc w:val="left"/>
        <w:rPr>
          <w:rFonts w:hint="eastAsia" w:ascii="宋体" w:hAnsi="宋体" w:cs="宋体"/>
          <w:sz w:val="24"/>
          <w:szCs w:val="20"/>
          <w:highlight w:val="none"/>
        </w:rPr>
      </w:pPr>
      <w:r>
        <w:rPr>
          <w:rFonts w:hint="eastAsia" w:ascii="宋体" w:hAnsi="宋体" w:cs="宋体"/>
          <w:sz w:val="24"/>
          <w:szCs w:val="20"/>
          <w:highlight w:val="none"/>
        </w:rPr>
        <w:t>附：法定代表人（单位负责人）及委托代理人身份证明文件电子件：</w:t>
      </w:r>
    </w:p>
    <w:tbl>
      <w:tblPr>
        <w:tblStyle w:val="42"/>
        <w:tblW w:w="88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0"/>
      </w:tblGrid>
      <w:tr w14:paraId="09DE8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8" w:hRule="atLeast"/>
        </w:trPr>
        <w:tc>
          <w:tcPr>
            <w:tcW w:w="8820" w:type="dxa"/>
            <w:noWrap w:val="0"/>
            <w:vAlign w:val="top"/>
          </w:tcPr>
          <w:p w14:paraId="044B0907">
            <w:pPr>
              <w:tabs>
                <w:tab w:val="left" w:pos="5580"/>
              </w:tabs>
              <w:wordWrap w:val="0"/>
              <w:spacing w:after="0" w:line="360" w:lineRule="auto"/>
              <w:jc w:val="left"/>
              <w:rPr>
                <w:rFonts w:hint="eastAsia" w:ascii="宋体" w:hAnsi="宋体" w:cs="宋体"/>
                <w:sz w:val="24"/>
                <w:szCs w:val="20"/>
                <w:highlight w:val="none"/>
              </w:rPr>
            </w:pPr>
          </w:p>
          <w:p w14:paraId="398A3B9C">
            <w:pPr>
              <w:tabs>
                <w:tab w:val="left" w:pos="5580"/>
              </w:tabs>
              <w:wordWrap w:val="0"/>
              <w:spacing w:after="0" w:line="360" w:lineRule="auto"/>
              <w:jc w:val="left"/>
              <w:rPr>
                <w:rFonts w:hint="eastAsia" w:ascii="宋体" w:hAnsi="宋体" w:cs="宋体"/>
                <w:sz w:val="24"/>
                <w:szCs w:val="20"/>
                <w:highlight w:val="none"/>
              </w:rPr>
            </w:pPr>
          </w:p>
          <w:p w14:paraId="24E32190">
            <w:pPr>
              <w:tabs>
                <w:tab w:val="left" w:pos="5580"/>
              </w:tabs>
              <w:wordWrap w:val="0"/>
              <w:spacing w:after="0" w:line="360" w:lineRule="auto"/>
              <w:jc w:val="left"/>
              <w:rPr>
                <w:rFonts w:hint="eastAsia" w:ascii="宋体" w:hAnsi="宋体" w:cs="宋体"/>
                <w:sz w:val="24"/>
                <w:szCs w:val="20"/>
                <w:highlight w:val="none"/>
              </w:rPr>
            </w:pPr>
          </w:p>
          <w:p w14:paraId="2804F1D8">
            <w:pPr>
              <w:tabs>
                <w:tab w:val="left" w:pos="5580"/>
              </w:tabs>
              <w:wordWrap w:val="0"/>
              <w:spacing w:after="0" w:line="360" w:lineRule="auto"/>
              <w:jc w:val="left"/>
              <w:rPr>
                <w:rFonts w:hint="eastAsia" w:ascii="宋体" w:hAnsi="宋体" w:cs="宋体"/>
                <w:sz w:val="24"/>
                <w:szCs w:val="20"/>
                <w:highlight w:val="none"/>
              </w:rPr>
            </w:pPr>
          </w:p>
        </w:tc>
      </w:tr>
    </w:tbl>
    <w:p w14:paraId="37F9ABDB">
      <w:pPr>
        <w:tabs>
          <w:tab w:val="left" w:pos="5580"/>
        </w:tabs>
        <w:wordWrap w:val="0"/>
        <w:spacing w:after="0" w:line="360" w:lineRule="auto"/>
        <w:jc w:val="left"/>
        <w:rPr>
          <w:rFonts w:hint="eastAsia" w:ascii="宋体" w:hAnsi="宋体" w:cs="宋体"/>
          <w:sz w:val="24"/>
          <w:szCs w:val="20"/>
          <w:highlight w:val="none"/>
        </w:rPr>
      </w:pPr>
      <w:r>
        <w:rPr>
          <w:rFonts w:hint="eastAsia" w:ascii="宋体" w:hAnsi="宋体" w:cs="宋体"/>
          <w:sz w:val="24"/>
          <w:szCs w:val="20"/>
          <w:highlight w:val="none"/>
        </w:rPr>
        <w:t>说明：</w:t>
      </w:r>
    </w:p>
    <w:p w14:paraId="7A9C6DDB">
      <w:pPr>
        <w:tabs>
          <w:tab w:val="left" w:pos="5580"/>
        </w:tabs>
        <w:wordWrap w:val="0"/>
        <w:spacing w:after="0" w:line="360" w:lineRule="auto"/>
        <w:ind w:firstLine="420"/>
        <w:jc w:val="left"/>
        <w:rPr>
          <w:rFonts w:hint="eastAsia" w:ascii="宋体" w:hAnsi="宋体" w:cs="宋体"/>
          <w:sz w:val="24"/>
          <w:szCs w:val="20"/>
          <w:highlight w:val="none"/>
        </w:rPr>
      </w:pPr>
      <w:r>
        <w:rPr>
          <w:rFonts w:hint="eastAsia" w:ascii="宋体" w:hAnsi="宋体" w:cs="宋体"/>
          <w:sz w:val="24"/>
          <w:szCs w:val="20"/>
          <w:highlight w:val="none"/>
        </w:rPr>
        <w:t>1.若供应商为事业单位或其他组织或分支机构，则法定代表人（单位负责人）处的签署人可为单位负责人。</w:t>
      </w:r>
    </w:p>
    <w:p w14:paraId="54C2110D">
      <w:pPr>
        <w:tabs>
          <w:tab w:val="left" w:pos="5580"/>
        </w:tabs>
        <w:wordWrap w:val="0"/>
        <w:spacing w:after="0" w:line="360" w:lineRule="auto"/>
        <w:ind w:firstLine="420"/>
        <w:jc w:val="left"/>
        <w:rPr>
          <w:rFonts w:hint="eastAsia" w:ascii="宋体" w:hAnsi="宋体" w:cs="宋体"/>
          <w:sz w:val="24"/>
          <w:szCs w:val="20"/>
          <w:highlight w:val="none"/>
        </w:rPr>
      </w:pPr>
      <w:r>
        <w:rPr>
          <w:rFonts w:hint="eastAsia" w:ascii="宋体" w:hAnsi="宋体" w:cs="宋体"/>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14:paraId="03A666CF">
      <w:pPr>
        <w:tabs>
          <w:tab w:val="left" w:pos="5580"/>
        </w:tabs>
        <w:wordWrap w:val="0"/>
        <w:spacing w:after="0" w:line="360" w:lineRule="auto"/>
        <w:ind w:firstLine="420"/>
        <w:jc w:val="left"/>
        <w:rPr>
          <w:rFonts w:hint="eastAsia" w:ascii="宋体" w:hAnsi="宋体" w:cs="宋体"/>
          <w:sz w:val="24"/>
          <w:szCs w:val="20"/>
          <w:highlight w:val="none"/>
        </w:rPr>
      </w:pPr>
      <w:r>
        <w:rPr>
          <w:rFonts w:hint="eastAsia" w:ascii="宋体" w:hAnsi="宋体" w:cs="宋体"/>
          <w:sz w:val="24"/>
          <w:szCs w:val="20"/>
          <w:highlight w:val="none"/>
        </w:rPr>
        <w:t>3.供应商为自然人的情形，可不提供本《授权委托书》。</w:t>
      </w:r>
    </w:p>
    <w:p w14:paraId="570CCD85">
      <w:pPr>
        <w:tabs>
          <w:tab w:val="left" w:pos="5580"/>
        </w:tabs>
        <w:wordWrap w:val="0"/>
        <w:spacing w:after="0" w:line="360" w:lineRule="auto"/>
        <w:ind w:firstLine="420"/>
        <w:jc w:val="left"/>
        <w:rPr>
          <w:rFonts w:hint="eastAsia" w:ascii="宋体" w:hAnsi="宋体" w:cs="宋体"/>
          <w:sz w:val="24"/>
          <w:szCs w:val="20"/>
          <w:highlight w:val="none"/>
        </w:rPr>
      </w:pPr>
      <w:r>
        <w:rPr>
          <w:rFonts w:hint="eastAsia" w:ascii="宋体" w:hAnsi="宋体" w:cs="宋体"/>
          <w:sz w:val="24"/>
          <w:szCs w:val="20"/>
          <w:highlight w:val="none"/>
        </w:rPr>
        <w:t>4.供应商应随本《授权委托书》同时提供法定代表人（单位负责人）及委托代理人的有效的身份证或护照等身份证明文件电子件。提供身份证的，应同时提供身份证双面电子件。</w:t>
      </w:r>
    </w:p>
    <w:p w14:paraId="74EAA3C9">
      <w:pPr>
        <w:wordWrap w:val="0"/>
        <w:autoSpaceDE w:val="0"/>
        <w:autoSpaceDN w:val="0"/>
        <w:adjustRightInd w:val="0"/>
        <w:spacing w:after="0" w:line="360" w:lineRule="auto"/>
        <w:jc w:val="center"/>
        <w:rPr>
          <w:rFonts w:hint="eastAsia" w:ascii="宋体" w:hAnsi="宋体" w:cs="宋体"/>
          <w:b/>
          <w:sz w:val="36"/>
          <w:szCs w:val="36"/>
          <w:highlight w:val="none"/>
        </w:rPr>
        <w:sectPr>
          <w:pgSz w:w="11905" w:h="16838"/>
          <w:pgMar w:top="1474" w:right="1474" w:bottom="1474" w:left="1474" w:header="850" w:footer="992" w:gutter="0"/>
          <w:cols w:space="720" w:num="1"/>
          <w:docGrid w:linePitch="462" w:charSpace="0"/>
        </w:sectPr>
      </w:pPr>
    </w:p>
    <w:p w14:paraId="29539321">
      <w:pPr>
        <w:wordWrap w:val="0"/>
        <w:autoSpaceDE w:val="0"/>
        <w:autoSpaceDN w:val="0"/>
        <w:adjustRightInd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法定代表人（单位负责人）身份证明</w:t>
      </w:r>
    </w:p>
    <w:p w14:paraId="498EE88D">
      <w:pPr>
        <w:kinsoku w:val="0"/>
        <w:wordWrap w:val="0"/>
        <w:overflowPunct w:val="0"/>
        <w:spacing w:after="0" w:line="360" w:lineRule="auto"/>
        <w:rPr>
          <w:rFonts w:hint="eastAsia" w:ascii="宋体" w:hAnsi="宋体" w:cs="宋体"/>
          <w:sz w:val="20"/>
          <w:szCs w:val="20"/>
          <w:highlight w:val="none"/>
        </w:rPr>
      </w:pPr>
    </w:p>
    <w:p w14:paraId="6CAFCEE3">
      <w:pPr>
        <w:tabs>
          <w:tab w:val="left" w:pos="5580"/>
        </w:tabs>
        <w:wordWrap w:val="0"/>
        <w:spacing w:after="0"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（采购人或采购代理机构）</w:t>
      </w:r>
    </w:p>
    <w:p w14:paraId="7357ED00">
      <w:pPr>
        <w:pStyle w:val="17"/>
        <w:tabs>
          <w:tab w:val="left" w:pos="2412"/>
          <w:tab w:val="left" w:pos="3883"/>
          <w:tab w:val="left" w:pos="5352"/>
          <w:tab w:val="left" w:pos="6821"/>
        </w:tabs>
        <w:kinsoku w:val="0"/>
        <w:wordWrap w:val="0"/>
        <w:overflowPunct w:val="0"/>
        <w:spacing w:after="0" w:line="360" w:lineRule="auto"/>
        <w:ind w:firstLine="480" w:firstLineChars="200"/>
        <w:rPr>
          <w:rFonts w:hint="eastAsia" w:cs="宋体"/>
          <w:highlight w:val="none"/>
        </w:rPr>
      </w:pPr>
      <w:r>
        <w:rPr>
          <w:rFonts w:hint="eastAsia" w:cs="宋体"/>
          <w:highlight w:val="none"/>
        </w:rPr>
        <w:t>兹证明，</w:t>
      </w:r>
    </w:p>
    <w:p w14:paraId="4641257F">
      <w:pPr>
        <w:pStyle w:val="17"/>
        <w:tabs>
          <w:tab w:val="left" w:pos="1690"/>
          <w:tab w:val="left" w:pos="3400"/>
          <w:tab w:val="left" w:pos="5110"/>
          <w:tab w:val="left" w:pos="6821"/>
        </w:tabs>
        <w:kinsoku w:val="0"/>
        <w:wordWrap w:val="0"/>
        <w:overflowPunct w:val="0"/>
        <w:spacing w:after="0" w:line="360" w:lineRule="auto"/>
        <w:rPr>
          <w:rFonts w:hint="eastAsia" w:cs="宋体"/>
          <w:highlight w:val="none"/>
        </w:rPr>
      </w:pPr>
      <w:r>
        <w:rPr>
          <w:rFonts w:hint="eastAsia" w:cs="宋体"/>
          <w:highlight w:val="none"/>
        </w:rPr>
        <w:t>姓名：</w:t>
      </w:r>
      <w:r>
        <w:rPr>
          <w:rFonts w:hint="eastAsia" w:cs="宋体"/>
          <w:highlight w:val="none"/>
          <w:u w:val="single"/>
        </w:rPr>
        <w:t xml:space="preserve">        </w:t>
      </w:r>
      <w:r>
        <w:rPr>
          <w:rFonts w:hint="eastAsia" w:cs="宋体"/>
          <w:highlight w:val="none"/>
        </w:rPr>
        <w:t>性别：</w:t>
      </w:r>
      <w:r>
        <w:rPr>
          <w:rFonts w:hint="eastAsia" w:cs="宋体"/>
          <w:highlight w:val="none"/>
          <w:u w:val="single"/>
        </w:rPr>
        <w:t xml:space="preserve">        </w:t>
      </w:r>
      <w:r>
        <w:rPr>
          <w:rFonts w:hint="eastAsia" w:cs="宋体"/>
          <w:highlight w:val="none"/>
        </w:rPr>
        <w:t>年龄：</w:t>
      </w:r>
      <w:r>
        <w:rPr>
          <w:rFonts w:hint="eastAsia" w:cs="宋体"/>
          <w:highlight w:val="none"/>
          <w:u w:val="single"/>
        </w:rPr>
        <w:t xml:space="preserve">        </w:t>
      </w:r>
      <w:r>
        <w:rPr>
          <w:rFonts w:hint="eastAsia" w:cs="宋体"/>
          <w:highlight w:val="none"/>
        </w:rPr>
        <w:t>职务：</w:t>
      </w:r>
      <w:r>
        <w:rPr>
          <w:rFonts w:hint="eastAsia" w:cs="宋体"/>
          <w:highlight w:val="none"/>
          <w:u w:val="single"/>
        </w:rPr>
        <w:t xml:space="preserve">        </w:t>
      </w:r>
    </w:p>
    <w:p w14:paraId="7148B46A">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5570AB7E">
      <w:pPr>
        <w:pStyle w:val="17"/>
        <w:tabs>
          <w:tab w:val="left" w:pos="2250"/>
          <w:tab w:val="left" w:pos="2412"/>
          <w:tab w:val="left" w:pos="3883"/>
          <w:tab w:val="left" w:pos="5352"/>
          <w:tab w:val="left" w:pos="6821"/>
          <w:tab w:val="clear" w:pos="567"/>
        </w:tabs>
        <w:kinsoku w:val="0"/>
        <w:wordWrap w:val="0"/>
        <w:overflowPunct w:val="0"/>
        <w:spacing w:after="0" w:line="360" w:lineRule="auto"/>
        <w:rPr>
          <w:rFonts w:hint="eastAsia" w:cs="宋体"/>
          <w:highlight w:val="none"/>
        </w:rPr>
      </w:pPr>
      <w:r>
        <w:rPr>
          <w:rFonts w:hint="eastAsia" w:cs="宋体"/>
          <w:highlight w:val="none"/>
        </w:rPr>
        <w:t>系</w:t>
      </w:r>
      <w:r>
        <w:rPr>
          <w:rFonts w:hint="eastAsia" w:cs="宋体"/>
          <w:highlight w:val="none"/>
          <w:u w:val="single"/>
        </w:rPr>
        <w:t xml:space="preserve">                </w:t>
      </w:r>
      <w:r>
        <w:rPr>
          <w:rFonts w:hint="eastAsia" w:cs="宋体"/>
          <w:highlight w:val="none"/>
        </w:rPr>
        <w:t>（供应商名称）的法定代表人（单位负责人）。</w:t>
      </w:r>
    </w:p>
    <w:p w14:paraId="0AD6B9FA">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2F0FB78F">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621F3BB3">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7C53EBD2">
      <w:pPr>
        <w:pStyle w:val="17"/>
        <w:kinsoku w:val="0"/>
        <w:wordWrap w:val="0"/>
        <w:overflowPunct w:val="0"/>
        <w:spacing w:after="0" w:line="360" w:lineRule="auto"/>
        <w:ind w:right="-46"/>
        <w:rPr>
          <w:rFonts w:hint="eastAsia" w:cs="宋体"/>
          <w:spacing w:val="-3"/>
          <w:highlight w:val="none"/>
        </w:rPr>
      </w:pPr>
      <w:r>
        <w:rPr>
          <w:rFonts w:hint="eastAsia" w:cs="宋体"/>
          <w:spacing w:val="-3"/>
          <w:highlight w:val="none"/>
        </w:rPr>
        <w:t>附：法定代表人（单位负责人）身份证或护照等身份证明文件电子件：</w:t>
      </w:r>
    </w:p>
    <w:tbl>
      <w:tblPr>
        <w:tblStyle w:val="42"/>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0"/>
      </w:tblGrid>
      <w:tr w14:paraId="42F3F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8" w:hRule="atLeast"/>
        </w:trPr>
        <w:tc>
          <w:tcPr>
            <w:tcW w:w="8520" w:type="dxa"/>
            <w:noWrap w:val="0"/>
            <w:vAlign w:val="top"/>
          </w:tcPr>
          <w:p w14:paraId="6AB378C7">
            <w:pPr>
              <w:tabs>
                <w:tab w:val="left" w:pos="5580"/>
              </w:tabs>
              <w:wordWrap w:val="0"/>
              <w:spacing w:after="0" w:line="360" w:lineRule="auto"/>
              <w:jc w:val="left"/>
              <w:rPr>
                <w:rFonts w:hint="eastAsia" w:ascii="宋体" w:hAnsi="宋体" w:cs="宋体"/>
                <w:sz w:val="24"/>
                <w:szCs w:val="20"/>
                <w:highlight w:val="none"/>
              </w:rPr>
            </w:pPr>
          </w:p>
          <w:p w14:paraId="7B9A5FB3">
            <w:pPr>
              <w:tabs>
                <w:tab w:val="left" w:pos="5580"/>
              </w:tabs>
              <w:wordWrap w:val="0"/>
              <w:spacing w:after="0" w:line="360" w:lineRule="auto"/>
              <w:jc w:val="left"/>
              <w:rPr>
                <w:rFonts w:hint="eastAsia" w:ascii="宋体" w:hAnsi="宋体" w:cs="宋体"/>
                <w:sz w:val="24"/>
                <w:szCs w:val="20"/>
                <w:highlight w:val="none"/>
              </w:rPr>
            </w:pPr>
          </w:p>
        </w:tc>
      </w:tr>
    </w:tbl>
    <w:p w14:paraId="2769497F">
      <w:pPr>
        <w:pStyle w:val="17"/>
        <w:kinsoku w:val="0"/>
        <w:wordWrap w:val="0"/>
        <w:overflowPunct w:val="0"/>
        <w:spacing w:after="0" w:line="360" w:lineRule="auto"/>
        <w:ind w:right="4305"/>
        <w:rPr>
          <w:rFonts w:hint="eastAsia" w:cs="宋体"/>
          <w:spacing w:val="-3"/>
          <w:highlight w:val="none"/>
        </w:rPr>
      </w:pPr>
    </w:p>
    <w:p w14:paraId="7C4C8EB6">
      <w:pPr>
        <w:pStyle w:val="17"/>
        <w:kinsoku w:val="0"/>
        <w:wordWrap w:val="0"/>
        <w:overflowPunct w:val="0"/>
        <w:spacing w:after="0" w:line="360" w:lineRule="auto"/>
        <w:ind w:right="4305"/>
        <w:rPr>
          <w:rFonts w:hint="eastAsia" w:cs="宋体"/>
          <w:spacing w:val="-3"/>
          <w:highlight w:val="none"/>
        </w:rPr>
      </w:pPr>
    </w:p>
    <w:p w14:paraId="00DDF2D7">
      <w:pPr>
        <w:pStyle w:val="17"/>
        <w:kinsoku w:val="0"/>
        <w:wordWrap w:val="0"/>
        <w:overflowPunct w:val="0"/>
        <w:spacing w:after="0" w:line="360" w:lineRule="auto"/>
        <w:ind w:right="4305"/>
        <w:rPr>
          <w:rFonts w:hint="eastAsia" w:cs="宋体"/>
          <w:spacing w:val="-3"/>
          <w:highlight w:val="none"/>
        </w:rPr>
      </w:pPr>
    </w:p>
    <w:p w14:paraId="46316E8F">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03EB839B">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）（签字或</w:t>
      </w:r>
      <w:r>
        <w:rPr>
          <w:rFonts w:hint="eastAsia" w:ascii="宋体" w:hAnsi="宋体" w:cs="宋体"/>
          <w:sz w:val="24"/>
          <w:szCs w:val="20"/>
          <w:highlight w:val="none"/>
        </w:rPr>
        <w:t>签章</w:t>
      </w:r>
      <w:r>
        <w:rPr>
          <w:rFonts w:hint="eastAsia" w:ascii="宋体" w:hAnsi="宋体" w:cs="宋体"/>
          <w:spacing w:val="-3"/>
          <w:sz w:val="24"/>
          <w:highlight w:val="none"/>
        </w:rPr>
        <w:t>）：</w:t>
      </w:r>
      <w:r>
        <w:rPr>
          <w:rFonts w:hint="eastAsia" w:ascii="宋体" w:hAnsi="宋体" w:cs="宋体"/>
          <w:sz w:val="24"/>
          <w:highlight w:val="none"/>
          <w:u w:val="single"/>
          <w:lang w:val="zh-CN"/>
        </w:rPr>
        <w:t xml:space="preserve">           </w:t>
      </w:r>
    </w:p>
    <w:p w14:paraId="07DE7348">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271E2CD8">
      <w:pPr>
        <w:widowControl/>
        <w:wordWrap w:val="0"/>
        <w:spacing w:after="0" w:line="360" w:lineRule="auto"/>
        <w:jc w:val="left"/>
        <w:rPr>
          <w:rFonts w:hint="eastAsia" w:ascii="宋体" w:hAnsi="宋体" w:cs="宋体"/>
          <w:sz w:val="24"/>
          <w:szCs w:val="20"/>
          <w:highlight w:val="none"/>
          <w:u w:val="single"/>
        </w:rPr>
      </w:pPr>
    </w:p>
    <w:p w14:paraId="77FACE90">
      <w:pPr>
        <w:widowControl/>
        <w:wordWrap w:val="0"/>
        <w:spacing w:after="0" w:line="360" w:lineRule="auto"/>
        <w:jc w:val="left"/>
        <w:rPr>
          <w:rFonts w:hint="eastAsia" w:ascii="宋体" w:hAnsi="宋体" w:cs="宋体"/>
          <w:sz w:val="24"/>
          <w:szCs w:val="20"/>
          <w:highlight w:val="none"/>
        </w:rPr>
      </w:pPr>
    </w:p>
    <w:p w14:paraId="2BC7CC72">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5B9A9570">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7 报价一览表</w:t>
      </w:r>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14:paraId="6FD09297">
      <w:pPr>
        <w:wordWrap w:val="0"/>
        <w:spacing w:after="0" w:line="360" w:lineRule="auto"/>
        <w:jc w:val="center"/>
        <w:rPr>
          <w:rFonts w:hint="eastAsia" w:ascii="宋体" w:hAnsi="宋体" w:cs="宋体"/>
          <w:b/>
          <w:sz w:val="28"/>
          <w:szCs w:val="28"/>
          <w:highlight w:val="none"/>
        </w:rPr>
      </w:pPr>
      <w:bookmarkStart w:id="1267" w:name="_Toc226965748"/>
      <w:bookmarkStart w:id="1268" w:name="_Toc305158900"/>
      <w:bookmarkStart w:id="1269" w:name="_Toc195842923"/>
      <w:bookmarkStart w:id="1270" w:name="_Toc226337254"/>
      <w:bookmarkStart w:id="1271" w:name="_Toc226309802"/>
      <w:bookmarkStart w:id="1272" w:name="_Toc305158826"/>
      <w:bookmarkStart w:id="1273" w:name="_Toc226965831"/>
      <w:bookmarkStart w:id="1274" w:name="_Toc164608827"/>
      <w:bookmarkStart w:id="1275" w:name="_Toc264969248"/>
      <w:bookmarkStart w:id="1276" w:name="_Toc265228396"/>
      <w:bookmarkStart w:id="1277" w:name="_Toc164608672"/>
      <w:r>
        <w:rPr>
          <w:rFonts w:hint="eastAsia" w:ascii="宋体" w:hAnsi="宋体" w:cs="宋体"/>
          <w:b/>
          <w:sz w:val="28"/>
          <w:szCs w:val="28"/>
          <w:highlight w:val="none"/>
        </w:rPr>
        <w:t>报价一览表</w:t>
      </w:r>
      <w:bookmarkEnd w:id="1267"/>
      <w:bookmarkEnd w:id="1268"/>
      <w:bookmarkEnd w:id="1269"/>
      <w:bookmarkEnd w:id="1270"/>
      <w:bookmarkEnd w:id="1271"/>
      <w:bookmarkEnd w:id="1272"/>
      <w:bookmarkEnd w:id="1273"/>
      <w:bookmarkEnd w:id="1274"/>
      <w:bookmarkEnd w:id="1275"/>
      <w:bookmarkEnd w:id="1276"/>
      <w:bookmarkEnd w:id="1277"/>
    </w:p>
    <w:p w14:paraId="3A1F603E">
      <w:pPr>
        <w:tabs>
          <w:tab w:val="left" w:pos="1800"/>
          <w:tab w:val="left" w:pos="5580"/>
        </w:tabs>
        <w:wordWrap w:val="0"/>
        <w:spacing w:after="0" w:line="360" w:lineRule="auto"/>
        <w:jc w:val="left"/>
        <w:rPr>
          <w:rFonts w:hint="eastAsia" w:ascii="宋体" w:hAnsi="宋体" w:cs="宋体"/>
          <w:sz w:val="24"/>
          <w:highlight w:val="none"/>
        </w:rPr>
      </w:pPr>
    </w:p>
    <w:p w14:paraId="66115DA0">
      <w:pPr>
        <w:tabs>
          <w:tab w:val="left" w:pos="1800"/>
          <w:tab w:val="left" w:pos="5580"/>
        </w:tabs>
        <w:wordWrap w:val="0"/>
        <w:spacing w:after="0" w:line="360" w:lineRule="auto"/>
        <w:ind w:firstLine="240" w:firstLineChars="100"/>
        <w:jc w:val="left"/>
        <w:rPr>
          <w:rFonts w:hint="eastAsia"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lang w:val="zh-CN"/>
        </w:rPr>
        <w:t xml:space="preserve">           </w:t>
      </w:r>
      <w:r>
        <w:rPr>
          <w:rFonts w:hint="eastAsia" w:ascii="宋体" w:hAnsi="宋体" w:cs="宋体"/>
          <w:sz w:val="24"/>
          <w:highlight w:val="none"/>
        </w:rPr>
        <w:t xml:space="preserve">     </w:t>
      </w:r>
    </w:p>
    <w:p w14:paraId="5BD56EC2">
      <w:pPr>
        <w:tabs>
          <w:tab w:val="left" w:pos="1800"/>
          <w:tab w:val="left" w:pos="5580"/>
        </w:tabs>
        <w:wordWrap w:val="0"/>
        <w:spacing w:after="0" w:line="360" w:lineRule="auto"/>
        <w:ind w:firstLine="240" w:firstLineChars="100"/>
        <w:jc w:val="left"/>
        <w:rPr>
          <w:rFonts w:hint="eastAsia" w:ascii="宋体" w:hAnsi="宋体" w:cs="宋体"/>
          <w:sz w:val="24"/>
          <w:highlight w:val="none"/>
          <w:u w:val="single"/>
        </w:rPr>
      </w:pPr>
      <w:r>
        <w:rPr>
          <w:rFonts w:hint="eastAsia" w:ascii="宋体" w:hAnsi="宋体" w:cs="宋体"/>
          <w:sz w:val="24"/>
          <w:highlight w:val="none"/>
        </w:rPr>
        <w:t>项目名称：</w:t>
      </w:r>
      <w:r>
        <w:rPr>
          <w:rFonts w:hint="eastAsia" w:ascii="宋体" w:hAnsi="宋体" w:cs="宋体"/>
          <w:sz w:val="24"/>
          <w:highlight w:val="none"/>
          <w:u w:val="single"/>
          <w:lang w:val="zh-CN"/>
        </w:rPr>
        <w:t xml:space="preserve">           </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
        <w:gridCol w:w="3164"/>
        <w:gridCol w:w="2000"/>
        <w:gridCol w:w="2105"/>
      </w:tblGrid>
      <w:tr w14:paraId="0D24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384DB68B">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4A4476B4">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74A47B44">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报价（元）</w:t>
            </w:r>
          </w:p>
        </w:tc>
      </w:tr>
      <w:tr w14:paraId="2648E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13D4C4">
            <w:pPr>
              <w:widowControl/>
              <w:wordWrap w:val="0"/>
              <w:spacing w:after="0" w:line="360" w:lineRule="auto"/>
              <w:jc w:val="left"/>
              <w:rPr>
                <w:rFonts w:hint="eastAsia"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1DA8283">
            <w:pPr>
              <w:widowControl/>
              <w:wordWrap w:val="0"/>
              <w:spacing w:after="0" w:line="360" w:lineRule="auto"/>
              <w:jc w:val="left"/>
              <w:rPr>
                <w:rFonts w:hint="eastAsia"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5F1E1345">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6857AA1B">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小写</w:t>
            </w:r>
          </w:p>
        </w:tc>
      </w:tr>
      <w:tr w14:paraId="2B06D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67ACBE7B">
            <w:pPr>
              <w:tabs>
                <w:tab w:val="left" w:pos="5580"/>
              </w:tabs>
              <w:wordWrap w:val="0"/>
              <w:spacing w:after="0" w:line="360" w:lineRule="auto"/>
              <w:jc w:val="center"/>
              <w:rPr>
                <w:rFonts w:hint="eastAsia"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0BDC6738">
            <w:pPr>
              <w:tabs>
                <w:tab w:val="left" w:pos="5580"/>
              </w:tabs>
              <w:wordWrap w:val="0"/>
              <w:spacing w:after="0" w:line="360" w:lineRule="auto"/>
              <w:jc w:val="center"/>
              <w:rPr>
                <w:rFonts w:hint="eastAsia"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791C4B01">
            <w:pPr>
              <w:tabs>
                <w:tab w:val="left" w:pos="5580"/>
              </w:tabs>
              <w:wordWrap w:val="0"/>
              <w:spacing w:after="0" w:line="360" w:lineRule="auto"/>
              <w:jc w:val="center"/>
              <w:rPr>
                <w:rFonts w:hint="eastAsia"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6EB8FE2F">
            <w:pPr>
              <w:tabs>
                <w:tab w:val="left" w:pos="5580"/>
              </w:tabs>
              <w:wordWrap w:val="0"/>
              <w:spacing w:after="0" w:line="360" w:lineRule="auto"/>
              <w:jc w:val="center"/>
              <w:rPr>
                <w:rFonts w:hint="eastAsia" w:ascii="宋体" w:hAnsi="宋体" w:cs="宋体"/>
                <w:sz w:val="24"/>
                <w:highlight w:val="none"/>
              </w:rPr>
            </w:pPr>
          </w:p>
        </w:tc>
      </w:tr>
    </w:tbl>
    <w:p w14:paraId="56F205A5">
      <w:pPr>
        <w:wordWrap w:val="0"/>
        <w:autoSpaceDE w:val="0"/>
        <w:autoSpaceDN w:val="0"/>
        <w:adjustRightInd w:val="0"/>
        <w:spacing w:after="0" w:line="360" w:lineRule="auto"/>
        <w:jc w:val="left"/>
        <w:rPr>
          <w:rFonts w:hint="eastAsia" w:ascii="宋体" w:hAnsi="宋体" w:cs="宋体"/>
          <w:kern w:val="0"/>
          <w:sz w:val="24"/>
          <w:highlight w:val="none"/>
        </w:rPr>
      </w:pPr>
    </w:p>
    <w:p w14:paraId="2675687C">
      <w:pPr>
        <w:wordWrap w:val="0"/>
        <w:autoSpaceDE w:val="0"/>
        <w:autoSpaceDN w:val="0"/>
        <w:adjustRightInd w:val="0"/>
        <w:spacing w:after="0" w:line="360" w:lineRule="auto"/>
        <w:jc w:val="left"/>
        <w:rPr>
          <w:rFonts w:hint="eastAsia" w:ascii="宋体" w:hAnsi="宋体" w:cs="宋体"/>
          <w:sz w:val="24"/>
          <w:szCs w:val="20"/>
          <w:highlight w:val="none"/>
        </w:rPr>
      </w:pPr>
      <w:r>
        <w:rPr>
          <w:rFonts w:hint="eastAsia" w:ascii="宋体" w:hAnsi="宋体" w:cs="宋体"/>
          <w:kern w:val="0"/>
          <w:sz w:val="24"/>
          <w:highlight w:val="none"/>
        </w:rPr>
        <w:t>注：1</w:t>
      </w:r>
      <w:r>
        <w:rPr>
          <w:rFonts w:hint="eastAsia" w:ascii="宋体" w:hAnsi="宋体" w:cs="宋体"/>
          <w:sz w:val="24"/>
          <w:szCs w:val="20"/>
          <w:highlight w:val="none"/>
        </w:rPr>
        <w:t>.此表中，每包的报价应和《分项报价表》中的总价相一致。</w:t>
      </w:r>
    </w:p>
    <w:p w14:paraId="14D02132">
      <w:pPr>
        <w:tabs>
          <w:tab w:val="left" w:pos="5580"/>
        </w:tabs>
        <w:wordWrap w:val="0"/>
        <w:spacing w:after="0" w:line="360" w:lineRule="auto"/>
        <w:ind w:firstLine="480" w:firstLineChars="200"/>
        <w:rPr>
          <w:rFonts w:hint="eastAsia" w:ascii="宋体" w:hAnsi="宋体" w:cs="宋体"/>
          <w:sz w:val="24"/>
          <w:szCs w:val="20"/>
          <w:highlight w:val="none"/>
        </w:rPr>
      </w:pPr>
      <w:r>
        <w:rPr>
          <w:rFonts w:hint="eastAsia" w:ascii="宋体" w:hAnsi="宋体" w:cs="宋体"/>
          <w:sz w:val="24"/>
          <w:szCs w:val="20"/>
          <w:highlight w:val="none"/>
        </w:rPr>
        <w:t>2.本表必须按包分别填写。</w:t>
      </w:r>
    </w:p>
    <w:p w14:paraId="6A4BECE9">
      <w:pPr>
        <w:tabs>
          <w:tab w:val="left" w:pos="5580"/>
        </w:tabs>
        <w:wordWrap w:val="0"/>
        <w:spacing w:after="0" w:line="360" w:lineRule="auto"/>
        <w:ind w:firstLine="480" w:firstLineChars="200"/>
        <w:rPr>
          <w:rFonts w:hint="eastAsia" w:ascii="宋体" w:hAnsi="宋体" w:cs="宋体"/>
          <w:sz w:val="24"/>
          <w:szCs w:val="20"/>
          <w:highlight w:val="none"/>
        </w:rPr>
      </w:pPr>
    </w:p>
    <w:p w14:paraId="6294E848">
      <w:pPr>
        <w:wordWrap w:val="0"/>
        <w:autoSpaceDE w:val="0"/>
        <w:autoSpaceDN w:val="0"/>
        <w:adjustRightInd w:val="0"/>
        <w:snapToGrid w:val="0"/>
        <w:spacing w:before="25" w:after="0" w:line="360" w:lineRule="auto"/>
        <w:rPr>
          <w:rFonts w:hint="eastAsia" w:ascii="宋体" w:hAnsi="宋体" w:cs="宋体"/>
          <w:sz w:val="24"/>
          <w:highlight w:val="none"/>
          <w:lang w:val="zh-CN"/>
        </w:rPr>
      </w:pPr>
    </w:p>
    <w:p w14:paraId="0B961CFA">
      <w:pPr>
        <w:wordWrap w:val="0"/>
        <w:autoSpaceDE w:val="0"/>
        <w:autoSpaceDN w:val="0"/>
        <w:adjustRightInd w:val="0"/>
        <w:snapToGrid w:val="0"/>
        <w:spacing w:before="25" w:after="0" w:line="360" w:lineRule="auto"/>
        <w:rPr>
          <w:rFonts w:hint="eastAsia" w:ascii="宋体" w:hAnsi="宋体" w:cs="宋体"/>
          <w:sz w:val="24"/>
          <w:highlight w:val="none"/>
          <w:lang w:val="zh-CN"/>
        </w:rPr>
      </w:pPr>
      <w:r>
        <w:rPr>
          <w:rFonts w:hint="eastAsia" w:ascii="宋体" w:hAnsi="宋体" w:cs="宋体"/>
          <w:sz w:val="24"/>
          <w:highlight w:val="none"/>
          <w:lang w:val="zh-CN"/>
        </w:rPr>
        <w:t xml:space="preserve">   </w:t>
      </w:r>
    </w:p>
    <w:p w14:paraId="7CE7145D">
      <w:pPr>
        <w:wordWrap w:val="0"/>
        <w:autoSpaceDE w:val="0"/>
        <w:autoSpaceDN w:val="0"/>
        <w:adjustRightInd w:val="0"/>
        <w:snapToGrid w:val="0"/>
        <w:spacing w:before="25" w:after="0" w:line="360" w:lineRule="auto"/>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61CD5B0E">
      <w:pPr>
        <w:wordWrap w:val="0"/>
        <w:autoSpaceDE w:val="0"/>
        <w:autoSpaceDN w:val="0"/>
        <w:adjustRightInd w:val="0"/>
        <w:snapToGrid w:val="0"/>
        <w:spacing w:after="0" w:line="360" w:lineRule="auto"/>
        <w:rPr>
          <w:rFonts w:hint="eastAsia" w:ascii="宋体" w:hAnsi="宋体" w:cs="宋体"/>
          <w:sz w:val="24"/>
          <w:highlight w:val="none"/>
          <w:lang w:val="zh-CN"/>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14E05FDF">
      <w:pPr>
        <w:wordWrap w:val="0"/>
        <w:autoSpaceDE w:val="0"/>
        <w:autoSpaceDN w:val="0"/>
        <w:adjustRightInd w:val="0"/>
        <w:snapToGrid w:val="0"/>
        <w:spacing w:before="25" w:after="0" w:line="360" w:lineRule="auto"/>
        <w:rPr>
          <w:rFonts w:hint="eastAsia" w:ascii="宋体" w:hAnsi="宋体" w:cs="宋体"/>
          <w:sz w:val="24"/>
          <w:highlight w:val="none"/>
          <w:lang w:val="zh-CN"/>
        </w:rPr>
      </w:pPr>
      <w:r>
        <w:rPr>
          <w:rFonts w:hint="eastAsia" w:ascii="宋体" w:hAnsi="宋体" w:cs="宋体"/>
          <w:sz w:val="24"/>
          <w:szCs w:val="20"/>
          <w:highlight w:val="none"/>
        </w:rPr>
        <w:t xml:space="preserve">  </w:t>
      </w:r>
    </w:p>
    <w:p w14:paraId="2A51DA80">
      <w:pPr>
        <w:widowControl/>
        <w:wordWrap w:val="0"/>
        <w:spacing w:after="0" w:line="360" w:lineRule="auto"/>
        <w:jc w:val="left"/>
        <w:rPr>
          <w:rFonts w:hint="eastAsia" w:ascii="宋体" w:hAnsi="宋体" w:cs="宋体"/>
          <w:sz w:val="24"/>
          <w:szCs w:val="20"/>
          <w:highlight w:val="none"/>
        </w:rPr>
      </w:pPr>
      <w:bookmarkStart w:id="1278" w:name="_Toc226965832"/>
      <w:bookmarkStart w:id="1279" w:name="_Toc226309803"/>
      <w:bookmarkStart w:id="1280" w:name="_Toc305158901"/>
      <w:bookmarkStart w:id="1281" w:name="_Toc150480796"/>
      <w:bookmarkStart w:id="1282" w:name="_Toc142311060"/>
      <w:bookmarkStart w:id="1283" w:name="_Toc127151558"/>
      <w:bookmarkStart w:id="1284" w:name="_Toc265228397"/>
      <w:bookmarkStart w:id="1285" w:name="_Toc264969249"/>
      <w:bookmarkStart w:id="1286" w:name="_Toc226337255"/>
      <w:bookmarkStart w:id="1287" w:name="_Toc195842924"/>
      <w:bookmarkStart w:id="1288" w:name="_Toc305158827"/>
      <w:bookmarkStart w:id="1289" w:name="_Toc226965749"/>
      <w:bookmarkStart w:id="1290" w:name="_Toc150774763"/>
    </w:p>
    <w:p w14:paraId="03B2FD16">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443EEA71">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8 分项报价表</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14:paraId="4936AA93">
      <w:pPr>
        <w:wordWrap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分项报价表</w:t>
      </w:r>
    </w:p>
    <w:p w14:paraId="51968F4E">
      <w:pPr>
        <w:wordWrap w:val="0"/>
        <w:autoSpaceDE w:val="0"/>
        <w:autoSpaceDN w:val="0"/>
        <w:adjustRightInd w:val="0"/>
        <w:snapToGrid w:val="0"/>
        <w:spacing w:before="25" w:after="0" w:line="360" w:lineRule="auto"/>
        <w:rPr>
          <w:rFonts w:hint="eastAsia" w:ascii="宋体" w:hAnsi="宋体" w:cs="宋体"/>
          <w:sz w:val="24"/>
          <w:szCs w:val="20"/>
          <w:highlight w:val="none"/>
        </w:rPr>
      </w:pPr>
    </w:p>
    <w:p w14:paraId="5A373F61">
      <w:pPr>
        <w:wordWrap w:val="0"/>
        <w:autoSpaceDE w:val="0"/>
        <w:autoSpaceDN w:val="0"/>
        <w:adjustRightInd w:val="0"/>
        <w:snapToGrid w:val="0"/>
        <w:spacing w:before="25" w:after="0" w:line="360" w:lineRule="auto"/>
        <w:jc w:val="center"/>
        <w:rPr>
          <w:rFonts w:hint="default" w:ascii="宋体" w:hAnsi="宋体" w:eastAsia="宋体" w:cs="宋体"/>
          <w:b/>
          <w:bCs/>
          <w:sz w:val="24"/>
          <w:highlight w:val="none"/>
          <w:lang w:val="en-US" w:eastAsia="zh-CN"/>
        </w:rPr>
      </w:pPr>
      <w:r>
        <w:rPr>
          <w:rFonts w:hint="eastAsia" w:ascii="宋体" w:hAnsi="宋体" w:cs="宋体"/>
          <w:b/>
          <w:bCs/>
          <w:sz w:val="24"/>
          <w:szCs w:val="20"/>
          <w:highlight w:val="none"/>
        </w:rPr>
        <w:t>（采用工程量清单计价方式的采购项目，应在本部分放置清单计价表格</w:t>
      </w:r>
      <w:r>
        <w:rPr>
          <w:rFonts w:hint="eastAsia" w:ascii="宋体" w:hAnsi="宋体" w:cs="宋体"/>
          <w:b/>
          <w:bCs/>
          <w:sz w:val="24"/>
          <w:szCs w:val="20"/>
          <w:highlight w:val="none"/>
          <w:lang w:eastAsia="zh-CN"/>
        </w:rPr>
        <w:t>。</w:t>
      </w:r>
      <w:r>
        <w:rPr>
          <w:rFonts w:hint="eastAsia" w:ascii="宋体" w:hAnsi="宋体" w:cs="宋体"/>
          <w:b/>
          <w:bCs/>
          <w:sz w:val="24"/>
          <w:szCs w:val="20"/>
          <w:highlight w:val="none"/>
          <w:lang w:val="en-US" w:eastAsia="zh-CN"/>
        </w:rPr>
        <w:t>清单内须提供投标报价填报说明，应包含报价依据、投标基准期等</w:t>
      </w:r>
      <w:r>
        <w:rPr>
          <w:rFonts w:hint="eastAsia" w:ascii="宋体" w:hAnsi="宋体" w:cs="宋体"/>
          <w:b/>
          <w:bCs/>
          <w:sz w:val="24"/>
          <w:szCs w:val="20"/>
          <w:highlight w:val="none"/>
        </w:rPr>
        <w:t>）</w:t>
      </w:r>
    </w:p>
    <w:p w14:paraId="4B6724D2">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bookmarkStart w:id="1291" w:name="_Toc142311062"/>
      <w:bookmarkStart w:id="1292" w:name="_Toc226965752"/>
      <w:bookmarkStart w:id="1293" w:name="_Toc226965835"/>
      <w:bookmarkStart w:id="1294" w:name="_Toc226309806"/>
      <w:bookmarkStart w:id="1295" w:name="_Toc150480798"/>
      <w:bookmarkStart w:id="1296" w:name="_Toc226337258"/>
      <w:bookmarkStart w:id="1297" w:name="_Toc265228400"/>
      <w:bookmarkStart w:id="1298" w:name="_Toc305158830"/>
      <w:bookmarkStart w:id="1299" w:name="_Toc150774765"/>
      <w:bookmarkStart w:id="1300" w:name="_Toc305158904"/>
      <w:bookmarkStart w:id="1301" w:name="_Toc264969252"/>
      <w:bookmarkStart w:id="1302" w:name="_Toc195842927"/>
      <w:bookmarkStart w:id="1303" w:name="_Toc127151562"/>
      <w:bookmarkStart w:id="1304" w:name="_Toc195842926"/>
      <w:bookmarkStart w:id="1305" w:name="_Toc305158829"/>
      <w:bookmarkStart w:id="1306" w:name="_Toc305158903"/>
      <w:bookmarkStart w:id="1307" w:name="_Toc226965751"/>
      <w:bookmarkStart w:id="1308" w:name="_Toc265228399"/>
      <w:bookmarkStart w:id="1309" w:name="_Toc226965834"/>
      <w:bookmarkStart w:id="1310" w:name="_Toc264969251"/>
      <w:bookmarkStart w:id="1311" w:name="_Toc142311061"/>
      <w:bookmarkStart w:id="1312" w:name="_Toc226337257"/>
      <w:bookmarkStart w:id="1313" w:name="_Toc226309805"/>
      <w:bookmarkStart w:id="1314" w:name="_Toc150774764"/>
      <w:bookmarkStart w:id="1315" w:name="_Toc150480797"/>
      <w:bookmarkStart w:id="1316" w:name="_Toc127151561"/>
    </w:p>
    <w:p w14:paraId="4C36844E">
      <w:pPr>
        <w:tabs>
          <w:tab w:val="left" w:pos="360"/>
        </w:tabs>
        <w:wordWrap w:val="0"/>
        <w:snapToGrid w:val="0"/>
        <w:spacing w:after="0" w:line="360" w:lineRule="auto"/>
        <w:outlineLvl w:val="1"/>
        <w:rPr>
          <w:rFonts w:hint="eastAsia" w:ascii="宋体" w:hAnsi="宋体" w:cs="宋体"/>
          <w:sz w:val="24"/>
          <w:szCs w:val="20"/>
          <w:highlight w:val="none"/>
        </w:rPr>
      </w:pPr>
      <w:r>
        <w:rPr>
          <w:rFonts w:hint="eastAsia" w:ascii="宋体" w:hAnsi="宋体" w:cs="宋体"/>
          <w:sz w:val="24"/>
          <w:highlight w:val="none"/>
        </w:rPr>
        <w:t>9 合同条款偏离表</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hint="eastAsia" w:ascii="宋体" w:hAnsi="宋体" w:cs="宋体"/>
          <w:sz w:val="24"/>
          <w:highlight w:val="none"/>
        </w:rPr>
        <w:t>（实质性格式）</w:t>
      </w:r>
    </w:p>
    <w:p w14:paraId="333078E8">
      <w:pPr>
        <w:tabs>
          <w:tab w:val="left" w:pos="2775"/>
          <w:tab w:val="center" w:pos="4153"/>
        </w:tabs>
        <w:wordWrap w:val="0"/>
        <w:autoSpaceDE w:val="0"/>
        <w:autoSpaceDN w:val="0"/>
        <w:adjustRightInd w:val="0"/>
        <w:spacing w:after="0" w:line="360" w:lineRule="auto"/>
        <w:jc w:val="left"/>
        <w:rPr>
          <w:rFonts w:hint="eastAsia" w:ascii="宋体" w:hAnsi="宋体" w:cs="宋体"/>
          <w:b/>
          <w:sz w:val="28"/>
          <w:szCs w:val="28"/>
          <w:highlight w:val="none"/>
        </w:rPr>
      </w:pPr>
      <w:r>
        <w:rPr>
          <w:rFonts w:hint="eastAsia" w:ascii="宋体" w:hAnsi="宋体" w:cs="宋体"/>
          <w:sz w:val="28"/>
          <w:szCs w:val="28"/>
          <w:highlight w:val="none"/>
        </w:rPr>
        <w:tab/>
      </w:r>
      <w:r>
        <w:rPr>
          <w:rFonts w:hint="eastAsia" w:ascii="宋体" w:hAnsi="宋体" w:cs="宋体"/>
          <w:b/>
          <w:sz w:val="28"/>
          <w:szCs w:val="28"/>
          <w:highlight w:val="none"/>
        </w:rPr>
        <w:tab/>
      </w:r>
      <w:r>
        <w:rPr>
          <w:rFonts w:hint="eastAsia" w:ascii="宋体" w:hAnsi="宋体" w:cs="宋体"/>
          <w:b/>
          <w:sz w:val="28"/>
          <w:szCs w:val="28"/>
          <w:highlight w:val="none"/>
        </w:rPr>
        <w:t>合同条款偏离表</w:t>
      </w:r>
    </w:p>
    <w:p w14:paraId="11FAC9B1">
      <w:pPr>
        <w:tabs>
          <w:tab w:val="left" w:pos="1800"/>
          <w:tab w:val="left" w:pos="5580"/>
        </w:tabs>
        <w:wordWrap w:val="0"/>
        <w:spacing w:after="0"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项目编号/包号：</w:t>
      </w:r>
      <w:r>
        <w:rPr>
          <w:rFonts w:hint="eastAsia" w:ascii="宋体" w:hAnsi="宋体" w:cs="宋体"/>
          <w:sz w:val="24"/>
          <w:highlight w:val="none"/>
          <w:u w:val="single"/>
          <w:lang w:val="zh-CN"/>
        </w:rPr>
        <w:t xml:space="preserve">              </w:t>
      </w:r>
      <w:r>
        <w:rPr>
          <w:rFonts w:hint="eastAsia" w:ascii="宋体" w:hAnsi="宋体" w:cs="宋体"/>
          <w:sz w:val="24"/>
          <w:highlight w:val="none"/>
        </w:rPr>
        <w:t xml:space="preserve">     </w:t>
      </w:r>
    </w:p>
    <w:p w14:paraId="231D10EB">
      <w:pPr>
        <w:tabs>
          <w:tab w:val="left" w:pos="1800"/>
          <w:tab w:val="left" w:pos="5580"/>
        </w:tabs>
        <w:wordWrap w:val="0"/>
        <w:spacing w:after="0"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498"/>
        <w:gridCol w:w="1732"/>
        <w:gridCol w:w="1952"/>
        <w:gridCol w:w="2394"/>
        <w:gridCol w:w="777"/>
      </w:tblGrid>
      <w:tr w14:paraId="5162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627EC0B6">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1498" w:type="dxa"/>
            <w:noWrap w:val="0"/>
            <w:vAlign w:val="center"/>
          </w:tcPr>
          <w:p w14:paraId="1AE4BC99">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szCs w:val="21"/>
                <w:highlight w:val="none"/>
              </w:rPr>
              <w:t>竞争性磋商文件</w:t>
            </w:r>
            <w:r>
              <w:rPr>
                <w:rFonts w:hint="eastAsia" w:ascii="宋体" w:hAnsi="宋体" w:cs="宋体"/>
                <w:sz w:val="24"/>
                <w:highlight w:val="none"/>
              </w:rPr>
              <w:t>条目号（页码）</w:t>
            </w:r>
          </w:p>
        </w:tc>
        <w:tc>
          <w:tcPr>
            <w:tcW w:w="1732" w:type="dxa"/>
            <w:noWrap w:val="0"/>
            <w:vAlign w:val="center"/>
          </w:tcPr>
          <w:p w14:paraId="7F96837C">
            <w:pPr>
              <w:wordWrap w:val="0"/>
              <w:adjustRightInd w:val="0"/>
              <w:snapToGrid w:val="0"/>
              <w:spacing w:after="0" w:line="360" w:lineRule="auto"/>
              <w:jc w:val="center"/>
              <w:rPr>
                <w:rFonts w:hint="eastAsia" w:ascii="宋体" w:hAnsi="宋体" w:cs="宋体"/>
                <w:sz w:val="24"/>
                <w:szCs w:val="21"/>
                <w:highlight w:val="none"/>
              </w:rPr>
            </w:pPr>
            <w:r>
              <w:rPr>
                <w:rFonts w:hint="eastAsia" w:ascii="宋体" w:hAnsi="宋体" w:cs="宋体"/>
                <w:sz w:val="24"/>
                <w:szCs w:val="21"/>
                <w:highlight w:val="none"/>
              </w:rPr>
              <w:t>竞争性磋商</w:t>
            </w:r>
          </w:p>
          <w:p w14:paraId="5A2A3946">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szCs w:val="21"/>
                <w:highlight w:val="none"/>
              </w:rPr>
              <w:t>文件</w:t>
            </w:r>
            <w:r>
              <w:rPr>
                <w:rFonts w:hint="eastAsia" w:ascii="宋体" w:hAnsi="宋体" w:cs="宋体"/>
                <w:sz w:val="24"/>
                <w:highlight w:val="none"/>
              </w:rPr>
              <w:t>要求</w:t>
            </w:r>
          </w:p>
        </w:tc>
        <w:tc>
          <w:tcPr>
            <w:tcW w:w="1952" w:type="dxa"/>
            <w:noWrap w:val="0"/>
            <w:vAlign w:val="center"/>
          </w:tcPr>
          <w:p w14:paraId="1CB101EA">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响应文件内容</w:t>
            </w:r>
          </w:p>
        </w:tc>
        <w:tc>
          <w:tcPr>
            <w:tcW w:w="2394" w:type="dxa"/>
            <w:noWrap w:val="0"/>
            <w:vAlign w:val="center"/>
          </w:tcPr>
          <w:p w14:paraId="5230A8B5">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偏离情况</w:t>
            </w:r>
          </w:p>
        </w:tc>
        <w:tc>
          <w:tcPr>
            <w:tcW w:w="777" w:type="dxa"/>
            <w:noWrap w:val="0"/>
            <w:vAlign w:val="center"/>
          </w:tcPr>
          <w:p w14:paraId="0DDE3A0F">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说明</w:t>
            </w:r>
          </w:p>
        </w:tc>
      </w:tr>
      <w:tr w14:paraId="6F12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3" w:type="dxa"/>
            <w:gridSpan w:val="6"/>
            <w:noWrap w:val="0"/>
            <w:vAlign w:val="center"/>
          </w:tcPr>
          <w:p w14:paraId="402DA966">
            <w:pPr>
              <w:wordWrap w:val="0"/>
              <w:adjustRightInd w:val="0"/>
              <w:snapToGrid w:val="0"/>
              <w:spacing w:after="0" w:line="360" w:lineRule="auto"/>
              <w:jc w:val="left"/>
              <w:rPr>
                <w:rFonts w:hint="eastAsia" w:ascii="宋体" w:hAnsi="宋体" w:cs="宋体"/>
                <w:b/>
                <w:sz w:val="24"/>
                <w:highlight w:val="none"/>
              </w:rPr>
            </w:pPr>
            <w:r>
              <w:rPr>
                <w:rFonts w:hint="eastAsia" w:ascii="宋体" w:hAnsi="宋体" w:cs="宋体"/>
                <w:b/>
                <w:sz w:val="24"/>
                <w:highlight w:val="none"/>
              </w:rPr>
              <w:t>对本项目合同条款的偏离情况（应进行选择，未选择响应无效）：</w:t>
            </w:r>
          </w:p>
          <w:p w14:paraId="21CDB335">
            <w:pPr>
              <w:wordWrap w:val="0"/>
              <w:adjustRightInd w:val="0"/>
              <w:snapToGrid w:val="0"/>
              <w:spacing w:after="0" w:line="360" w:lineRule="auto"/>
              <w:jc w:val="left"/>
              <w:rPr>
                <w:rFonts w:hint="eastAsia" w:ascii="宋体" w:hAnsi="宋体" w:cs="宋体"/>
                <w:b/>
                <w:sz w:val="24"/>
                <w:highlight w:val="none"/>
              </w:rPr>
            </w:pPr>
            <w:r>
              <w:rPr>
                <w:rFonts w:hint="eastAsia" w:ascii="宋体" w:hAnsi="宋体" w:cs="宋体"/>
                <w:b/>
                <w:sz w:val="24"/>
                <w:highlight w:val="none"/>
              </w:rPr>
              <w:t>□无偏离</w:t>
            </w:r>
            <w:r>
              <w:rPr>
                <w:rFonts w:hint="eastAsia" w:ascii="宋体" w:hAnsi="宋体" w:cs="宋体"/>
                <w:sz w:val="24"/>
                <w:highlight w:val="none"/>
              </w:rPr>
              <w:t>（如无偏离，仅选择无偏离即可；无偏离即为对合同条款中的所有要求，均视作供应商已对之理解和响应。）</w:t>
            </w:r>
          </w:p>
          <w:p w14:paraId="1AB1BD0C">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b/>
                <w:sz w:val="24"/>
                <w:highlight w:val="none"/>
              </w:rPr>
              <w:t>□有偏离</w:t>
            </w:r>
            <w:r>
              <w:rPr>
                <w:rFonts w:hint="eastAsia" w:ascii="宋体" w:hAnsi="宋体" w:cs="宋体"/>
                <w:sz w:val="24"/>
                <w:highlight w:val="none"/>
              </w:rPr>
              <w:t>（如有偏离，则应在本表中对负偏离项逐一列明，否则响应无效；对合同条款中的所有要求，除本表列明的偏离外，均视作供应商已对之理解和响应。）</w:t>
            </w:r>
          </w:p>
        </w:tc>
      </w:tr>
      <w:tr w14:paraId="095D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0C5E636B">
            <w:pPr>
              <w:wordWrap w:val="0"/>
              <w:adjustRightInd w:val="0"/>
              <w:snapToGrid w:val="0"/>
              <w:spacing w:after="0" w:line="360" w:lineRule="auto"/>
              <w:jc w:val="center"/>
              <w:rPr>
                <w:rFonts w:hint="eastAsia" w:ascii="宋体" w:hAnsi="宋体" w:cs="宋体"/>
                <w:sz w:val="24"/>
                <w:highlight w:val="none"/>
              </w:rPr>
            </w:pPr>
          </w:p>
        </w:tc>
        <w:tc>
          <w:tcPr>
            <w:tcW w:w="1498" w:type="dxa"/>
            <w:noWrap w:val="0"/>
            <w:vAlign w:val="center"/>
          </w:tcPr>
          <w:p w14:paraId="19BA2FA0">
            <w:pPr>
              <w:wordWrap w:val="0"/>
              <w:adjustRightInd w:val="0"/>
              <w:snapToGrid w:val="0"/>
              <w:spacing w:after="0" w:line="360" w:lineRule="auto"/>
              <w:jc w:val="center"/>
              <w:rPr>
                <w:rFonts w:hint="eastAsia" w:ascii="宋体" w:hAnsi="宋体" w:cs="宋体"/>
                <w:sz w:val="24"/>
                <w:highlight w:val="none"/>
              </w:rPr>
            </w:pPr>
          </w:p>
        </w:tc>
        <w:tc>
          <w:tcPr>
            <w:tcW w:w="1732" w:type="dxa"/>
            <w:noWrap w:val="0"/>
            <w:vAlign w:val="center"/>
          </w:tcPr>
          <w:p w14:paraId="60030BA1">
            <w:pPr>
              <w:wordWrap w:val="0"/>
              <w:adjustRightInd w:val="0"/>
              <w:snapToGrid w:val="0"/>
              <w:spacing w:after="0" w:line="360" w:lineRule="auto"/>
              <w:jc w:val="center"/>
              <w:rPr>
                <w:rFonts w:hint="eastAsia" w:ascii="宋体" w:hAnsi="宋体" w:cs="宋体"/>
                <w:sz w:val="24"/>
                <w:highlight w:val="none"/>
              </w:rPr>
            </w:pPr>
          </w:p>
        </w:tc>
        <w:tc>
          <w:tcPr>
            <w:tcW w:w="1952" w:type="dxa"/>
            <w:noWrap w:val="0"/>
            <w:vAlign w:val="center"/>
          </w:tcPr>
          <w:p w14:paraId="682F3191">
            <w:pPr>
              <w:wordWrap w:val="0"/>
              <w:adjustRightInd w:val="0"/>
              <w:snapToGrid w:val="0"/>
              <w:spacing w:after="0" w:line="360" w:lineRule="auto"/>
              <w:jc w:val="center"/>
              <w:rPr>
                <w:rFonts w:hint="eastAsia" w:ascii="宋体" w:hAnsi="宋体" w:cs="宋体"/>
                <w:sz w:val="24"/>
                <w:highlight w:val="none"/>
              </w:rPr>
            </w:pPr>
          </w:p>
        </w:tc>
        <w:tc>
          <w:tcPr>
            <w:tcW w:w="2394" w:type="dxa"/>
            <w:noWrap w:val="0"/>
            <w:vAlign w:val="center"/>
          </w:tcPr>
          <w:p w14:paraId="4F6D9EBC">
            <w:pPr>
              <w:wordWrap w:val="0"/>
              <w:adjustRightInd w:val="0"/>
              <w:snapToGrid w:val="0"/>
              <w:spacing w:after="0" w:line="360" w:lineRule="auto"/>
              <w:jc w:val="center"/>
              <w:rPr>
                <w:rFonts w:hint="eastAsia" w:ascii="宋体" w:hAnsi="宋体" w:cs="宋体"/>
                <w:sz w:val="24"/>
                <w:highlight w:val="none"/>
              </w:rPr>
            </w:pPr>
          </w:p>
        </w:tc>
        <w:tc>
          <w:tcPr>
            <w:tcW w:w="777" w:type="dxa"/>
            <w:noWrap w:val="0"/>
            <w:vAlign w:val="center"/>
          </w:tcPr>
          <w:p w14:paraId="44282EBE">
            <w:pPr>
              <w:wordWrap w:val="0"/>
              <w:adjustRightInd w:val="0"/>
              <w:snapToGrid w:val="0"/>
              <w:spacing w:after="0" w:line="360" w:lineRule="auto"/>
              <w:jc w:val="center"/>
              <w:rPr>
                <w:rFonts w:hint="eastAsia" w:ascii="宋体" w:hAnsi="宋体" w:cs="宋体"/>
                <w:sz w:val="24"/>
                <w:highlight w:val="none"/>
              </w:rPr>
            </w:pPr>
          </w:p>
        </w:tc>
      </w:tr>
      <w:tr w14:paraId="278B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585349A5">
            <w:pPr>
              <w:wordWrap w:val="0"/>
              <w:adjustRightInd w:val="0"/>
              <w:snapToGrid w:val="0"/>
              <w:spacing w:after="0" w:line="360" w:lineRule="auto"/>
              <w:jc w:val="center"/>
              <w:rPr>
                <w:rFonts w:hint="eastAsia" w:ascii="宋体" w:hAnsi="宋体" w:cs="宋体"/>
                <w:sz w:val="24"/>
                <w:highlight w:val="none"/>
              </w:rPr>
            </w:pPr>
          </w:p>
        </w:tc>
        <w:tc>
          <w:tcPr>
            <w:tcW w:w="1498" w:type="dxa"/>
            <w:noWrap w:val="0"/>
            <w:vAlign w:val="center"/>
          </w:tcPr>
          <w:p w14:paraId="364A5BF4">
            <w:pPr>
              <w:wordWrap w:val="0"/>
              <w:adjustRightInd w:val="0"/>
              <w:snapToGrid w:val="0"/>
              <w:spacing w:after="0" w:line="360" w:lineRule="auto"/>
              <w:jc w:val="center"/>
              <w:rPr>
                <w:rFonts w:hint="eastAsia" w:ascii="宋体" w:hAnsi="宋体" w:cs="宋体"/>
                <w:sz w:val="24"/>
                <w:highlight w:val="none"/>
              </w:rPr>
            </w:pPr>
          </w:p>
        </w:tc>
        <w:tc>
          <w:tcPr>
            <w:tcW w:w="1732" w:type="dxa"/>
            <w:noWrap w:val="0"/>
            <w:vAlign w:val="center"/>
          </w:tcPr>
          <w:p w14:paraId="51F97ADE">
            <w:pPr>
              <w:wordWrap w:val="0"/>
              <w:adjustRightInd w:val="0"/>
              <w:snapToGrid w:val="0"/>
              <w:spacing w:after="0" w:line="360" w:lineRule="auto"/>
              <w:jc w:val="center"/>
              <w:rPr>
                <w:rFonts w:hint="eastAsia" w:ascii="宋体" w:hAnsi="宋体" w:cs="宋体"/>
                <w:sz w:val="24"/>
                <w:highlight w:val="none"/>
              </w:rPr>
            </w:pPr>
          </w:p>
        </w:tc>
        <w:tc>
          <w:tcPr>
            <w:tcW w:w="1952" w:type="dxa"/>
            <w:noWrap w:val="0"/>
            <w:vAlign w:val="center"/>
          </w:tcPr>
          <w:p w14:paraId="0CB29F9A">
            <w:pPr>
              <w:wordWrap w:val="0"/>
              <w:adjustRightInd w:val="0"/>
              <w:snapToGrid w:val="0"/>
              <w:spacing w:after="0" w:line="360" w:lineRule="auto"/>
              <w:jc w:val="center"/>
              <w:rPr>
                <w:rFonts w:hint="eastAsia" w:ascii="宋体" w:hAnsi="宋体" w:cs="宋体"/>
                <w:sz w:val="24"/>
                <w:highlight w:val="none"/>
              </w:rPr>
            </w:pPr>
          </w:p>
        </w:tc>
        <w:tc>
          <w:tcPr>
            <w:tcW w:w="2394" w:type="dxa"/>
            <w:noWrap w:val="0"/>
            <w:vAlign w:val="center"/>
          </w:tcPr>
          <w:p w14:paraId="668C3A17">
            <w:pPr>
              <w:wordWrap w:val="0"/>
              <w:adjustRightInd w:val="0"/>
              <w:snapToGrid w:val="0"/>
              <w:spacing w:after="0" w:line="360" w:lineRule="auto"/>
              <w:jc w:val="center"/>
              <w:rPr>
                <w:rFonts w:hint="eastAsia" w:ascii="宋体" w:hAnsi="宋体" w:cs="宋体"/>
                <w:sz w:val="24"/>
                <w:highlight w:val="none"/>
              </w:rPr>
            </w:pPr>
          </w:p>
        </w:tc>
        <w:tc>
          <w:tcPr>
            <w:tcW w:w="777" w:type="dxa"/>
            <w:noWrap w:val="0"/>
            <w:vAlign w:val="center"/>
          </w:tcPr>
          <w:p w14:paraId="1D818274">
            <w:pPr>
              <w:wordWrap w:val="0"/>
              <w:adjustRightInd w:val="0"/>
              <w:snapToGrid w:val="0"/>
              <w:spacing w:after="0" w:line="360" w:lineRule="auto"/>
              <w:jc w:val="center"/>
              <w:rPr>
                <w:rFonts w:hint="eastAsia" w:ascii="宋体" w:hAnsi="宋体" w:cs="宋体"/>
                <w:sz w:val="24"/>
                <w:highlight w:val="none"/>
              </w:rPr>
            </w:pPr>
          </w:p>
        </w:tc>
      </w:tr>
      <w:tr w14:paraId="5BB0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19FD485C">
            <w:pPr>
              <w:wordWrap w:val="0"/>
              <w:adjustRightInd w:val="0"/>
              <w:snapToGrid w:val="0"/>
              <w:spacing w:after="0" w:line="360" w:lineRule="auto"/>
              <w:jc w:val="center"/>
              <w:rPr>
                <w:rFonts w:hint="eastAsia" w:ascii="宋体" w:hAnsi="宋体" w:cs="宋体"/>
                <w:sz w:val="24"/>
                <w:highlight w:val="none"/>
              </w:rPr>
            </w:pPr>
          </w:p>
        </w:tc>
        <w:tc>
          <w:tcPr>
            <w:tcW w:w="1498" w:type="dxa"/>
            <w:noWrap w:val="0"/>
            <w:vAlign w:val="center"/>
          </w:tcPr>
          <w:p w14:paraId="0B464A67">
            <w:pPr>
              <w:wordWrap w:val="0"/>
              <w:adjustRightInd w:val="0"/>
              <w:snapToGrid w:val="0"/>
              <w:spacing w:after="0" w:line="360" w:lineRule="auto"/>
              <w:jc w:val="center"/>
              <w:rPr>
                <w:rFonts w:hint="eastAsia" w:ascii="宋体" w:hAnsi="宋体" w:cs="宋体"/>
                <w:sz w:val="24"/>
                <w:highlight w:val="none"/>
              </w:rPr>
            </w:pPr>
          </w:p>
        </w:tc>
        <w:tc>
          <w:tcPr>
            <w:tcW w:w="1732" w:type="dxa"/>
            <w:noWrap w:val="0"/>
            <w:vAlign w:val="center"/>
          </w:tcPr>
          <w:p w14:paraId="105604F7">
            <w:pPr>
              <w:wordWrap w:val="0"/>
              <w:adjustRightInd w:val="0"/>
              <w:snapToGrid w:val="0"/>
              <w:spacing w:after="0" w:line="360" w:lineRule="auto"/>
              <w:jc w:val="center"/>
              <w:rPr>
                <w:rFonts w:hint="eastAsia" w:ascii="宋体" w:hAnsi="宋体" w:cs="宋体"/>
                <w:sz w:val="24"/>
                <w:highlight w:val="none"/>
              </w:rPr>
            </w:pPr>
          </w:p>
        </w:tc>
        <w:tc>
          <w:tcPr>
            <w:tcW w:w="1952" w:type="dxa"/>
            <w:noWrap w:val="0"/>
            <w:vAlign w:val="center"/>
          </w:tcPr>
          <w:p w14:paraId="43917658">
            <w:pPr>
              <w:wordWrap w:val="0"/>
              <w:adjustRightInd w:val="0"/>
              <w:snapToGrid w:val="0"/>
              <w:spacing w:after="0" w:line="360" w:lineRule="auto"/>
              <w:jc w:val="center"/>
              <w:rPr>
                <w:rFonts w:hint="eastAsia" w:ascii="宋体" w:hAnsi="宋体" w:cs="宋体"/>
                <w:sz w:val="24"/>
                <w:highlight w:val="none"/>
              </w:rPr>
            </w:pPr>
          </w:p>
        </w:tc>
        <w:tc>
          <w:tcPr>
            <w:tcW w:w="2394" w:type="dxa"/>
            <w:noWrap w:val="0"/>
            <w:vAlign w:val="center"/>
          </w:tcPr>
          <w:p w14:paraId="03D6450D">
            <w:pPr>
              <w:wordWrap w:val="0"/>
              <w:adjustRightInd w:val="0"/>
              <w:snapToGrid w:val="0"/>
              <w:spacing w:after="0" w:line="360" w:lineRule="auto"/>
              <w:jc w:val="center"/>
              <w:rPr>
                <w:rFonts w:hint="eastAsia" w:ascii="宋体" w:hAnsi="宋体" w:cs="宋体"/>
                <w:sz w:val="24"/>
                <w:highlight w:val="none"/>
              </w:rPr>
            </w:pPr>
          </w:p>
        </w:tc>
        <w:tc>
          <w:tcPr>
            <w:tcW w:w="777" w:type="dxa"/>
            <w:noWrap w:val="0"/>
            <w:vAlign w:val="center"/>
          </w:tcPr>
          <w:p w14:paraId="36F36466">
            <w:pPr>
              <w:wordWrap w:val="0"/>
              <w:adjustRightInd w:val="0"/>
              <w:snapToGrid w:val="0"/>
              <w:spacing w:after="0" w:line="360" w:lineRule="auto"/>
              <w:jc w:val="center"/>
              <w:rPr>
                <w:rFonts w:hint="eastAsia" w:ascii="宋体" w:hAnsi="宋体" w:cs="宋体"/>
                <w:sz w:val="24"/>
                <w:highlight w:val="none"/>
              </w:rPr>
            </w:pPr>
          </w:p>
        </w:tc>
      </w:tr>
      <w:tr w14:paraId="297D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1CA9753A">
            <w:pPr>
              <w:wordWrap w:val="0"/>
              <w:adjustRightInd w:val="0"/>
              <w:snapToGrid w:val="0"/>
              <w:spacing w:after="0" w:line="360" w:lineRule="auto"/>
              <w:jc w:val="center"/>
              <w:rPr>
                <w:rFonts w:hint="eastAsia" w:ascii="宋体" w:hAnsi="宋体" w:cs="宋体"/>
                <w:sz w:val="24"/>
                <w:highlight w:val="none"/>
              </w:rPr>
            </w:pPr>
          </w:p>
        </w:tc>
        <w:tc>
          <w:tcPr>
            <w:tcW w:w="1498" w:type="dxa"/>
            <w:noWrap w:val="0"/>
            <w:vAlign w:val="center"/>
          </w:tcPr>
          <w:p w14:paraId="65119827">
            <w:pPr>
              <w:wordWrap w:val="0"/>
              <w:adjustRightInd w:val="0"/>
              <w:snapToGrid w:val="0"/>
              <w:spacing w:after="0" w:line="360" w:lineRule="auto"/>
              <w:jc w:val="center"/>
              <w:rPr>
                <w:rFonts w:hint="eastAsia" w:ascii="宋体" w:hAnsi="宋体" w:cs="宋体"/>
                <w:sz w:val="24"/>
                <w:highlight w:val="none"/>
              </w:rPr>
            </w:pPr>
          </w:p>
        </w:tc>
        <w:tc>
          <w:tcPr>
            <w:tcW w:w="1732" w:type="dxa"/>
            <w:noWrap w:val="0"/>
            <w:vAlign w:val="center"/>
          </w:tcPr>
          <w:p w14:paraId="36F6488D">
            <w:pPr>
              <w:wordWrap w:val="0"/>
              <w:adjustRightInd w:val="0"/>
              <w:snapToGrid w:val="0"/>
              <w:spacing w:after="0" w:line="360" w:lineRule="auto"/>
              <w:jc w:val="center"/>
              <w:rPr>
                <w:rFonts w:hint="eastAsia" w:ascii="宋体" w:hAnsi="宋体" w:cs="宋体"/>
                <w:sz w:val="24"/>
                <w:highlight w:val="none"/>
              </w:rPr>
            </w:pPr>
          </w:p>
        </w:tc>
        <w:tc>
          <w:tcPr>
            <w:tcW w:w="1952" w:type="dxa"/>
            <w:noWrap w:val="0"/>
            <w:vAlign w:val="center"/>
          </w:tcPr>
          <w:p w14:paraId="4ED341B3">
            <w:pPr>
              <w:wordWrap w:val="0"/>
              <w:adjustRightInd w:val="0"/>
              <w:snapToGrid w:val="0"/>
              <w:spacing w:after="0" w:line="360" w:lineRule="auto"/>
              <w:jc w:val="center"/>
              <w:rPr>
                <w:rFonts w:hint="eastAsia" w:ascii="宋体" w:hAnsi="宋体" w:cs="宋体"/>
                <w:sz w:val="24"/>
                <w:highlight w:val="none"/>
              </w:rPr>
            </w:pPr>
          </w:p>
        </w:tc>
        <w:tc>
          <w:tcPr>
            <w:tcW w:w="2394" w:type="dxa"/>
            <w:noWrap w:val="0"/>
            <w:vAlign w:val="center"/>
          </w:tcPr>
          <w:p w14:paraId="19D6B7EC">
            <w:pPr>
              <w:wordWrap w:val="0"/>
              <w:adjustRightInd w:val="0"/>
              <w:snapToGrid w:val="0"/>
              <w:spacing w:after="0" w:line="360" w:lineRule="auto"/>
              <w:jc w:val="center"/>
              <w:rPr>
                <w:rFonts w:hint="eastAsia" w:ascii="宋体" w:hAnsi="宋体" w:cs="宋体"/>
                <w:sz w:val="24"/>
                <w:highlight w:val="none"/>
              </w:rPr>
            </w:pPr>
          </w:p>
        </w:tc>
        <w:tc>
          <w:tcPr>
            <w:tcW w:w="777" w:type="dxa"/>
            <w:noWrap w:val="0"/>
            <w:vAlign w:val="center"/>
          </w:tcPr>
          <w:p w14:paraId="5986F46C">
            <w:pPr>
              <w:wordWrap w:val="0"/>
              <w:adjustRightInd w:val="0"/>
              <w:snapToGrid w:val="0"/>
              <w:spacing w:after="0" w:line="360" w:lineRule="auto"/>
              <w:jc w:val="center"/>
              <w:rPr>
                <w:rFonts w:hint="eastAsia" w:ascii="宋体" w:hAnsi="宋体" w:cs="宋体"/>
                <w:sz w:val="24"/>
                <w:highlight w:val="none"/>
              </w:rPr>
            </w:pPr>
          </w:p>
        </w:tc>
      </w:tr>
    </w:tbl>
    <w:p w14:paraId="392F0AAF">
      <w:pPr>
        <w:tabs>
          <w:tab w:val="left" w:pos="1800"/>
          <w:tab w:val="left" w:pos="5580"/>
        </w:tabs>
        <w:wordWrap w:val="0"/>
        <w:spacing w:after="0" w:line="360" w:lineRule="auto"/>
        <w:jc w:val="left"/>
        <w:rPr>
          <w:rFonts w:hint="eastAsia" w:ascii="宋体" w:hAnsi="宋体" w:cs="宋体"/>
          <w:sz w:val="24"/>
          <w:highlight w:val="none"/>
        </w:rPr>
      </w:pPr>
    </w:p>
    <w:p w14:paraId="7FAC1221">
      <w:pPr>
        <w:tabs>
          <w:tab w:val="left" w:pos="1800"/>
          <w:tab w:val="left" w:pos="5580"/>
        </w:tabs>
        <w:wordWrap w:val="0"/>
        <w:spacing w:after="0" w:line="360" w:lineRule="auto"/>
        <w:jc w:val="left"/>
        <w:rPr>
          <w:rFonts w:hint="eastAsia" w:ascii="宋体" w:hAnsi="宋体" w:cs="宋体"/>
          <w:sz w:val="24"/>
          <w:highlight w:val="none"/>
        </w:rPr>
      </w:pPr>
      <w:r>
        <w:rPr>
          <w:rFonts w:hint="eastAsia" w:ascii="宋体" w:hAnsi="宋体" w:cs="宋体"/>
          <w:sz w:val="24"/>
          <w:highlight w:val="none"/>
        </w:rPr>
        <w:t>注：“偏离情况”列应据实填写“正偏离”或“负偏离”。</w:t>
      </w:r>
    </w:p>
    <w:p w14:paraId="781B9207">
      <w:pPr>
        <w:wordWrap w:val="0"/>
        <w:spacing w:after="0" w:line="360" w:lineRule="auto"/>
        <w:rPr>
          <w:rFonts w:hint="eastAsia" w:ascii="宋体" w:hAnsi="宋体" w:cs="宋体"/>
          <w:sz w:val="24"/>
          <w:szCs w:val="20"/>
          <w:highlight w:val="none"/>
        </w:rPr>
      </w:pPr>
    </w:p>
    <w:p w14:paraId="7AFD8D5C">
      <w:pPr>
        <w:wordWrap w:val="0"/>
        <w:autoSpaceDE w:val="0"/>
        <w:autoSpaceDN w:val="0"/>
        <w:adjustRightInd w:val="0"/>
        <w:snapToGrid w:val="0"/>
        <w:spacing w:before="25" w:after="0" w:line="360" w:lineRule="auto"/>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57F14BBD">
      <w:pPr>
        <w:wordWrap w:val="0"/>
        <w:autoSpaceDE w:val="0"/>
        <w:autoSpaceDN w:val="0"/>
        <w:adjustRightInd w:val="0"/>
        <w:snapToGrid w:val="0"/>
        <w:spacing w:before="25" w:after="0" w:line="360" w:lineRule="auto"/>
        <w:rPr>
          <w:rFonts w:hint="eastAsia" w:ascii="宋体" w:hAnsi="宋体" w:cs="宋体"/>
          <w:sz w:val="24"/>
          <w:highlight w:val="none"/>
          <w:lang w:val="zh-CN"/>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 xml:space="preserve">日    </w:t>
      </w:r>
    </w:p>
    <w:p w14:paraId="6E643F0A">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42A276A6">
      <w:pPr>
        <w:tabs>
          <w:tab w:val="left" w:pos="360"/>
        </w:tabs>
        <w:wordWrap w:val="0"/>
        <w:snapToGrid w:val="0"/>
        <w:spacing w:after="0" w:line="360" w:lineRule="auto"/>
        <w:outlineLvl w:val="1"/>
        <w:rPr>
          <w:rFonts w:hint="eastAsia" w:ascii="宋体" w:hAnsi="宋体" w:cs="宋体"/>
          <w:sz w:val="24"/>
          <w:szCs w:val="20"/>
          <w:highlight w:val="none"/>
        </w:rPr>
      </w:pPr>
      <w:r>
        <w:rPr>
          <w:rFonts w:hint="eastAsia" w:ascii="宋体" w:hAnsi="宋体" w:cs="宋体"/>
          <w:sz w:val="24"/>
          <w:highlight w:val="none"/>
        </w:rPr>
        <w:t xml:space="preserve">10 </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hint="eastAsia" w:ascii="宋体" w:hAnsi="宋体" w:cs="宋体"/>
          <w:sz w:val="24"/>
          <w:highlight w:val="none"/>
        </w:rPr>
        <w:t>采购需求偏离表（实质性格式）</w:t>
      </w:r>
    </w:p>
    <w:p w14:paraId="4CA68C40">
      <w:pPr>
        <w:wordWrap w:val="0"/>
        <w:autoSpaceDE w:val="0"/>
        <w:autoSpaceDN w:val="0"/>
        <w:adjustRightInd w:val="0"/>
        <w:spacing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采购需求偏离表</w:t>
      </w:r>
    </w:p>
    <w:p w14:paraId="32A7BE85">
      <w:pPr>
        <w:tabs>
          <w:tab w:val="left" w:pos="1800"/>
          <w:tab w:val="left" w:pos="5580"/>
        </w:tabs>
        <w:wordWrap w:val="0"/>
        <w:spacing w:after="0"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项目编号/包号：</w:t>
      </w:r>
      <w:r>
        <w:rPr>
          <w:rFonts w:hint="eastAsia" w:ascii="宋体" w:hAnsi="宋体" w:cs="宋体"/>
          <w:sz w:val="24"/>
          <w:highlight w:val="none"/>
          <w:u w:val="single"/>
          <w:lang w:val="zh-CN"/>
        </w:rPr>
        <w:t xml:space="preserve">              </w:t>
      </w:r>
      <w:r>
        <w:rPr>
          <w:rFonts w:hint="eastAsia" w:ascii="宋体" w:hAnsi="宋体" w:cs="宋体"/>
          <w:sz w:val="24"/>
          <w:highlight w:val="none"/>
        </w:rPr>
        <w:t xml:space="preserve">     </w:t>
      </w:r>
    </w:p>
    <w:p w14:paraId="63C8693F">
      <w:pPr>
        <w:tabs>
          <w:tab w:val="left" w:pos="1800"/>
          <w:tab w:val="left" w:pos="5580"/>
        </w:tabs>
        <w:wordWrap w:val="0"/>
        <w:spacing w:after="0"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zh-CN"/>
        </w:rPr>
        <w:t xml:space="preserve">     </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D515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7EFD961">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1482" w:type="dxa"/>
            <w:noWrap w:val="0"/>
            <w:vAlign w:val="center"/>
          </w:tcPr>
          <w:p w14:paraId="6CE534C3">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竞争性磋商文件条目号(页码)</w:t>
            </w:r>
          </w:p>
        </w:tc>
        <w:tc>
          <w:tcPr>
            <w:tcW w:w="2384" w:type="dxa"/>
            <w:noWrap w:val="0"/>
            <w:vAlign w:val="center"/>
          </w:tcPr>
          <w:p w14:paraId="48B04241">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竞争性磋商文件要求</w:t>
            </w:r>
          </w:p>
        </w:tc>
        <w:tc>
          <w:tcPr>
            <w:tcW w:w="2126" w:type="dxa"/>
            <w:noWrap w:val="0"/>
            <w:vAlign w:val="center"/>
          </w:tcPr>
          <w:p w14:paraId="25184E4F">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响应内容</w:t>
            </w:r>
          </w:p>
        </w:tc>
        <w:tc>
          <w:tcPr>
            <w:tcW w:w="1875" w:type="dxa"/>
            <w:noWrap w:val="0"/>
            <w:vAlign w:val="center"/>
          </w:tcPr>
          <w:p w14:paraId="710DF51F">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偏离情况</w:t>
            </w:r>
          </w:p>
        </w:tc>
        <w:tc>
          <w:tcPr>
            <w:tcW w:w="1009" w:type="dxa"/>
            <w:noWrap w:val="0"/>
            <w:vAlign w:val="center"/>
          </w:tcPr>
          <w:p w14:paraId="279BFFF6">
            <w:pPr>
              <w:wordWrap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说明</w:t>
            </w:r>
          </w:p>
        </w:tc>
      </w:tr>
      <w:tr w14:paraId="23A3F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1CEECCD">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2862AE46">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0DCAAFDB">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28FCB159">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7CB056C3">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48D5342E">
            <w:pPr>
              <w:wordWrap w:val="0"/>
              <w:adjustRightInd w:val="0"/>
              <w:snapToGrid w:val="0"/>
              <w:spacing w:after="0" w:line="360" w:lineRule="auto"/>
              <w:jc w:val="center"/>
              <w:rPr>
                <w:rFonts w:hint="eastAsia" w:ascii="宋体" w:hAnsi="宋体" w:cs="宋体"/>
                <w:sz w:val="24"/>
                <w:highlight w:val="none"/>
              </w:rPr>
            </w:pPr>
          </w:p>
        </w:tc>
      </w:tr>
      <w:tr w14:paraId="2D88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515D6E9">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36648920">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5647C11E">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5BFE77D9">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66840E1D">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68B1AAC6">
            <w:pPr>
              <w:wordWrap w:val="0"/>
              <w:adjustRightInd w:val="0"/>
              <w:snapToGrid w:val="0"/>
              <w:spacing w:after="0" w:line="360" w:lineRule="auto"/>
              <w:jc w:val="center"/>
              <w:rPr>
                <w:rFonts w:hint="eastAsia" w:ascii="宋体" w:hAnsi="宋体" w:cs="宋体"/>
                <w:sz w:val="24"/>
                <w:highlight w:val="none"/>
              </w:rPr>
            </w:pPr>
          </w:p>
        </w:tc>
      </w:tr>
      <w:tr w14:paraId="3BBE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4AF61D">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3B137E3D">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1826C4B7">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35C9BECF">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78C45F02">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47F4D7CD">
            <w:pPr>
              <w:wordWrap w:val="0"/>
              <w:adjustRightInd w:val="0"/>
              <w:snapToGrid w:val="0"/>
              <w:spacing w:after="0" w:line="360" w:lineRule="auto"/>
              <w:jc w:val="center"/>
              <w:rPr>
                <w:rFonts w:hint="eastAsia" w:ascii="宋体" w:hAnsi="宋体" w:cs="宋体"/>
                <w:sz w:val="24"/>
                <w:highlight w:val="none"/>
              </w:rPr>
            </w:pPr>
          </w:p>
        </w:tc>
      </w:tr>
      <w:tr w14:paraId="7E7F6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22D5E04">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66A390C5">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64F3C168">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64B5834F">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66F36FF0">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47C9D784">
            <w:pPr>
              <w:wordWrap w:val="0"/>
              <w:adjustRightInd w:val="0"/>
              <w:snapToGrid w:val="0"/>
              <w:spacing w:after="0" w:line="360" w:lineRule="auto"/>
              <w:jc w:val="center"/>
              <w:rPr>
                <w:rFonts w:hint="eastAsia" w:ascii="宋体" w:hAnsi="宋体" w:cs="宋体"/>
                <w:sz w:val="24"/>
                <w:highlight w:val="none"/>
              </w:rPr>
            </w:pPr>
          </w:p>
        </w:tc>
      </w:tr>
      <w:tr w14:paraId="3498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A1A6AF">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58906818">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50B3644D">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48E072CD">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222D8D61">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05CC4533">
            <w:pPr>
              <w:wordWrap w:val="0"/>
              <w:adjustRightInd w:val="0"/>
              <w:snapToGrid w:val="0"/>
              <w:spacing w:after="0" w:line="360" w:lineRule="auto"/>
              <w:jc w:val="center"/>
              <w:rPr>
                <w:rFonts w:hint="eastAsia" w:ascii="宋体" w:hAnsi="宋体" w:cs="宋体"/>
                <w:sz w:val="24"/>
                <w:highlight w:val="none"/>
              </w:rPr>
            </w:pPr>
          </w:p>
        </w:tc>
      </w:tr>
      <w:tr w14:paraId="5C91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33CA02">
            <w:pPr>
              <w:wordWrap w:val="0"/>
              <w:adjustRightInd w:val="0"/>
              <w:snapToGrid w:val="0"/>
              <w:spacing w:after="0" w:line="360" w:lineRule="auto"/>
              <w:jc w:val="center"/>
              <w:rPr>
                <w:rFonts w:hint="eastAsia" w:ascii="宋体" w:hAnsi="宋体" w:cs="宋体"/>
                <w:sz w:val="24"/>
                <w:highlight w:val="none"/>
              </w:rPr>
            </w:pPr>
          </w:p>
        </w:tc>
        <w:tc>
          <w:tcPr>
            <w:tcW w:w="1482" w:type="dxa"/>
            <w:noWrap w:val="0"/>
            <w:vAlign w:val="center"/>
          </w:tcPr>
          <w:p w14:paraId="1CA11E91">
            <w:pPr>
              <w:wordWrap w:val="0"/>
              <w:adjustRightInd w:val="0"/>
              <w:snapToGrid w:val="0"/>
              <w:spacing w:after="0" w:line="360" w:lineRule="auto"/>
              <w:jc w:val="center"/>
              <w:rPr>
                <w:rFonts w:hint="eastAsia" w:ascii="宋体" w:hAnsi="宋体" w:cs="宋体"/>
                <w:sz w:val="24"/>
                <w:highlight w:val="none"/>
              </w:rPr>
            </w:pPr>
          </w:p>
        </w:tc>
        <w:tc>
          <w:tcPr>
            <w:tcW w:w="2384" w:type="dxa"/>
            <w:noWrap w:val="0"/>
            <w:vAlign w:val="center"/>
          </w:tcPr>
          <w:p w14:paraId="2D8D9D4D">
            <w:pPr>
              <w:wordWrap w:val="0"/>
              <w:adjustRightInd w:val="0"/>
              <w:snapToGrid w:val="0"/>
              <w:spacing w:after="0" w:line="360" w:lineRule="auto"/>
              <w:jc w:val="center"/>
              <w:rPr>
                <w:rFonts w:hint="eastAsia" w:ascii="宋体" w:hAnsi="宋体" w:cs="宋体"/>
                <w:sz w:val="24"/>
                <w:highlight w:val="none"/>
              </w:rPr>
            </w:pPr>
          </w:p>
        </w:tc>
        <w:tc>
          <w:tcPr>
            <w:tcW w:w="2126" w:type="dxa"/>
            <w:noWrap w:val="0"/>
            <w:vAlign w:val="center"/>
          </w:tcPr>
          <w:p w14:paraId="3AF02A70">
            <w:pPr>
              <w:wordWrap w:val="0"/>
              <w:adjustRightInd w:val="0"/>
              <w:snapToGrid w:val="0"/>
              <w:spacing w:after="0" w:line="360" w:lineRule="auto"/>
              <w:jc w:val="center"/>
              <w:rPr>
                <w:rFonts w:hint="eastAsia" w:ascii="宋体" w:hAnsi="宋体" w:cs="宋体"/>
                <w:sz w:val="24"/>
                <w:highlight w:val="none"/>
              </w:rPr>
            </w:pPr>
          </w:p>
        </w:tc>
        <w:tc>
          <w:tcPr>
            <w:tcW w:w="1875" w:type="dxa"/>
            <w:noWrap w:val="0"/>
            <w:vAlign w:val="center"/>
          </w:tcPr>
          <w:p w14:paraId="502CF860">
            <w:pPr>
              <w:wordWrap w:val="0"/>
              <w:adjustRightInd w:val="0"/>
              <w:snapToGrid w:val="0"/>
              <w:spacing w:after="0" w:line="360" w:lineRule="auto"/>
              <w:jc w:val="center"/>
              <w:rPr>
                <w:rFonts w:hint="eastAsia" w:ascii="宋体" w:hAnsi="宋体" w:cs="宋体"/>
                <w:sz w:val="24"/>
                <w:highlight w:val="none"/>
              </w:rPr>
            </w:pPr>
          </w:p>
        </w:tc>
        <w:tc>
          <w:tcPr>
            <w:tcW w:w="1009" w:type="dxa"/>
            <w:noWrap w:val="0"/>
            <w:vAlign w:val="center"/>
          </w:tcPr>
          <w:p w14:paraId="08D77822">
            <w:pPr>
              <w:wordWrap w:val="0"/>
              <w:adjustRightInd w:val="0"/>
              <w:snapToGrid w:val="0"/>
              <w:spacing w:after="0" w:line="360" w:lineRule="auto"/>
              <w:jc w:val="center"/>
              <w:rPr>
                <w:rFonts w:hint="eastAsia" w:ascii="宋体" w:hAnsi="宋体" w:cs="宋体"/>
                <w:sz w:val="24"/>
                <w:highlight w:val="none"/>
              </w:rPr>
            </w:pPr>
          </w:p>
        </w:tc>
      </w:tr>
    </w:tbl>
    <w:p w14:paraId="6AF49DAB">
      <w:pPr>
        <w:tabs>
          <w:tab w:val="left" w:pos="1800"/>
          <w:tab w:val="left" w:pos="5580"/>
        </w:tabs>
        <w:wordWrap w:val="0"/>
        <w:spacing w:after="0" w:line="360" w:lineRule="auto"/>
        <w:ind w:firstLine="360" w:firstLineChars="150"/>
        <w:jc w:val="left"/>
        <w:rPr>
          <w:rFonts w:hint="eastAsia" w:ascii="宋体" w:hAnsi="宋体" w:cs="宋体"/>
          <w:sz w:val="24"/>
          <w:highlight w:val="none"/>
          <w:u w:val="single"/>
        </w:rPr>
      </w:pPr>
    </w:p>
    <w:p w14:paraId="2E872F43">
      <w:pPr>
        <w:tabs>
          <w:tab w:val="left" w:pos="1800"/>
          <w:tab w:val="left" w:pos="5580"/>
        </w:tabs>
        <w:wordWrap w:val="0"/>
        <w:spacing w:after="0" w:line="360" w:lineRule="auto"/>
        <w:ind w:firstLine="360" w:firstLineChars="150"/>
        <w:jc w:val="left"/>
        <w:rPr>
          <w:rFonts w:hint="eastAsia" w:ascii="宋体" w:hAnsi="宋体" w:cs="宋体"/>
          <w:sz w:val="24"/>
          <w:highlight w:val="none"/>
          <w:u w:val="single"/>
        </w:rPr>
      </w:pPr>
    </w:p>
    <w:p w14:paraId="0FE5FEA7">
      <w:pPr>
        <w:tabs>
          <w:tab w:val="left" w:pos="1800"/>
          <w:tab w:val="left" w:pos="5580"/>
        </w:tabs>
        <w:wordWrap w:val="0"/>
        <w:spacing w:after="0" w:line="360" w:lineRule="auto"/>
        <w:jc w:val="left"/>
        <w:rPr>
          <w:rFonts w:hint="eastAsia" w:ascii="宋体" w:hAnsi="宋体" w:cs="宋体"/>
          <w:sz w:val="24"/>
          <w:highlight w:val="none"/>
        </w:rPr>
      </w:pPr>
      <w:r>
        <w:rPr>
          <w:rFonts w:hint="eastAsia" w:ascii="宋体" w:hAnsi="宋体" w:cs="宋体"/>
          <w:sz w:val="24"/>
          <w:highlight w:val="none"/>
        </w:rPr>
        <w:t>注：</w:t>
      </w:r>
    </w:p>
    <w:p w14:paraId="4A3E27D8">
      <w:pPr>
        <w:tabs>
          <w:tab w:val="left" w:pos="1800"/>
          <w:tab w:val="left" w:pos="5580"/>
        </w:tabs>
        <w:wordWrap w:val="0"/>
        <w:spacing w:after="0" w:line="360" w:lineRule="auto"/>
        <w:jc w:val="left"/>
        <w:rPr>
          <w:rFonts w:hint="eastAsia" w:ascii="宋体" w:hAnsi="宋体" w:cs="宋体"/>
          <w:sz w:val="24"/>
          <w:highlight w:val="none"/>
        </w:rPr>
      </w:pPr>
      <w:r>
        <w:rPr>
          <w:rFonts w:hint="eastAsia" w:ascii="宋体" w:hAnsi="宋体" w:cs="宋体"/>
          <w:sz w:val="24"/>
          <w:highlight w:val="none"/>
        </w:rPr>
        <w:t>1. 对竞争性磋商文件中的所有商务、技术要求，除本表所列明的所有偏离外，均视作供应商已对之理解和响应。此表中若无任何文字说明，内容为空白的，</w:t>
      </w:r>
      <w:r>
        <w:rPr>
          <w:rFonts w:hint="eastAsia" w:ascii="宋体" w:hAnsi="宋体" w:cs="宋体"/>
          <w:b/>
          <w:sz w:val="24"/>
          <w:highlight w:val="none"/>
        </w:rPr>
        <w:t>响应无效</w:t>
      </w:r>
      <w:r>
        <w:rPr>
          <w:rFonts w:hint="eastAsia" w:ascii="宋体" w:hAnsi="宋体" w:cs="宋体"/>
          <w:sz w:val="24"/>
          <w:highlight w:val="none"/>
        </w:rPr>
        <w:t>。</w:t>
      </w:r>
    </w:p>
    <w:p w14:paraId="75FBA133">
      <w:pPr>
        <w:tabs>
          <w:tab w:val="left" w:pos="1800"/>
          <w:tab w:val="left" w:pos="5580"/>
        </w:tabs>
        <w:wordWrap w:val="0"/>
        <w:spacing w:after="0" w:line="360" w:lineRule="auto"/>
        <w:jc w:val="left"/>
        <w:rPr>
          <w:rFonts w:hint="eastAsia" w:ascii="宋体" w:hAnsi="宋体" w:cs="宋体"/>
          <w:sz w:val="24"/>
          <w:highlight w:val="none"/>
        </w:rPr>
      </w:pPr>
      <w:r>
        <w:rPr>
          <w:rFonts w:hint="eastAsia" w:ascii="宋体" w:hAnsi="宋体" w:cs="宋体"/>
          <w:sz w:val="24"/>
          <w:highlight w:val="none"/>
        </w:rPr>
        <w:t>2.“偏离情况”列应据实填写“无偏离”“正偏离”或“负偏离”。</w:t>
      </w:r>
    </w:p>
    <w:p w14:paraId="143AE555">
      <w:pPr>
        <w:wordWrap w:val="0"/>
        <w:spacing w:after="0" w:line="360" w:lineRule="auto"/>
        <w:rPr>
          <w:rFonts w:hint="eastAsia" w:ascii="宋体" w:hAnsi="宋体" w:cs="宋体"/>
          <w:sz w:val="24"/>
          <w:szCs w:val="20"/>
          <w:highlight w:val="none"/>
        </w:rPr>
      </w:pPr>
    </w:p>
    <w:p w14:paraId="27DB1DDD">
      <w:pPr>
        <w:wordWrap w:val="0"/>
        <w:autoSpaceDE w:val="0"/>
        <w:autoSpaceDN w:val="0"/>
        <w:adjustRightInd w:val="0"/>
        <w:snapToGrid w:val="0"/>
        <w:spacing w:before="25" w:after="0" w:line="360" w:lineRule="auto"/>
        <w:ind w:right="360"/>
        <w:jc w:val="left"/>
        <w:rPr>
          <w:rFonts w:hint="eastAsia"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w:t>
      </w:r>
      <w:r>
        <w:rPr>
          <w:rFonts w:hint="eastAsia" w:ascii="宋体" w:hAnsi="宋体" w:cs="宋体"/>
          <w:sz w:val="24"/>
          <w:highlight w:val="none"/>
          <w:u w:val="single"/>
          <w:lang w:val="zh-CN"/>
        </w:rPr>
        <w:t xml:space="preserve">           </w:t>
      </w:r>
    </w:p>
    <w:p w14:paraId="5399B8A9">
      <w:pPr>
        <w:wordWrap w:val="0"/>
        <w:autoSpaceDE w:val="0"/>
        <w:autoSpaceDN w:val="0"/>
        <w:adjustRightInd w:val="0"/>
        <w:snapToGrid w:val="0"/>
        <w:spacing w:before="25" w:after="0" w:line="360" w:lineRule="auto"/>
        <w:ind w:right="360"/>
        <w:jc w:val="left"/>
        <w:rPr>
          <w:rFonts w:hint="eastAsia" w:ascii="宋体" w:hAnsi="宋体" w:cs="宋体"/>
          <w:sz w:val="24"/>
          <w:szCs w:val="20"/>
          <w:highlight w:val="none"/>
        </w:rPr>
      </w:pPr>
      <w:r>
        <w:rPr>
          <w:rFonts w:hint="eastAsia" w:ascii="宋体" w:hAnsi="宋体" w:cs="宋体"/>
          <w:sz w:val="24"/>
          <w:szCs w:val="20"/>
          <w:highlight w:val="none"/>
        </w:rPr>
        <w:t>日期：</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年</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月</w:t>
      </w:r>
      <w:r>
        <w:rPr>
          <w:rFonts w:hint="eastAsia" w:ascii="宋体" w:hAnsi="宋体" w:cs="宋体"/>
          <w:sz w:val="24"/>
          <w:highlight w:val="none"/>
          <w:u w:val="single"/>
          <w:lang w:val="zh-CN"/>
        </w:rPr>
        <w:t xml:space="preserve">    </w:t>
      </w:r>
      <w:r>
        <w:rPr>
          <w:rFonts w:hint="eastAsia" w:ascii="宋体" w:hAnsi="宋体" w:cs="宋体"/>
          <w:sz w:val="24"/>
          <w:szCs w:val="20"/>
          <w:highlight w:val="none"/>
        </w:rPr>
        <w:t>日</w:t>
      </w:r>
    </w:p>
    <w:p w14:paraId="616038CC">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6D07AAF2">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11 本国产品标准证明文件</w:t>
      </w:r>
    </w:p>
    <w:p w14:paraId="51957F56">
      <w:pPr>
        <w:wordWrap w:val="0"/>
        <w:spacing w:before="240" w:beforeLines="100" w:after="0"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关于符合本国产品标准的声明函</w:t>
      </w:r>
    </w:p>
    <w:p w14:paraId="6C0B6FFC">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AF2E91E">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highlight w:val="none"/>
          <w:shd w:val="clear" w:color="auto" w:fill="FFFFFF"/>
        </w:rPr>
        <w:t>，厂址为</w:t>
      </w:r>
      <w:r>
        <w:rPr>
          <w:rStyle w:val="49"/>
          <w:rFonts w:hint="eastAsia"/>
          <w:color w:val="auto"/>
          <w:highlight w:val="none"/>
          <w:u w:val="single"/>
          <w:shd w:val="clear" w:color="auto" w:fill="FFFFFF"/>
        </w:rPr>
        <w:t>（生产厂址）</w:t>
      </w:r>
      <w:r>
        <w:rPr>
          <w:rFonts w:hint="eastAsia"/>
          <w:highlight w:val="none"/>
          <w:shd w:val="clear" w:color="auto" w:fill="FFFFFF"/>
        </w:rPr>
        <w:t>。</w:t>
      </w:r>
      <w:r>
        <w:rPr>
          <w:rStyle w:val="49"/>
          <w:rFonts w:hint="eastAsia"/>
          <w:color w:val="auto"/>
          <w:highlight w:val="none"/>
          <w:u w:val="single"/>
          <w:shd w:val="clear" w:color="auto" w:fill="FFFFFF"/>
        </w:rPr>
        <w:t>（产品名称1）</w:t>
      </w:r>
      <w:r>
        <w:rPr>
          <w:rFonts w:hint="eastAsia"/>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highlight w:val="none"/>
          <w:shd w:val="clear" w:color="auto" w:fill="FFFFFF"/>
        </w:rPr>
        <w:t>。</w:t>
      </w:r>
      <w:r>
        <w:rPr>
          <w:rStyle w:val="49"/>
          <w:rFonts w:hint="eastAsia"/>
          <w:color w:val="auto"/>
          <w:highlight w:val="none"/>
          <w:u w:val="single"/>
          <w:shd w:val="clear" w:color="auto" w:fill="FFFFFF"/>
        </w:rPr>
        <w:t>（产品名称1）</w:t>
      </w:r>
      <w:r>
        <w:rPr>
          <w:rFonts w:hint="eastAsia"/>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highlight w:val="none"/>
          <w:shd w:val="clear" w:color="auto" w:fill="FFFFFF"/>
        </w:rPr>
        <w:t>在中国境内完成。</w:t>
      </w:r>
    </w:p>
    <w:p w14:paraId="369D2DED">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2.</w:t>
      </w:r>
      <w:r>
        <w:rPr>
          <w:rStyle w:val="49"/>
          <w:rFonts w:hint="eastAsia"/>
          <w:color w:val="auto"/>
          <w:highlight w:val="none"/>
          <w:u w:val="single"/>
          <w:shd w:val="clear" w:color="auto" w:fill="FFFFFF"/>
        </w:rPr>
        <w:t>（产品名称2）</w:t>
      </w:r>
      <w:r>
        <w:rPr>
          <w:rFonts w:hint="eastAsia"/>
          <w:highlight w:val="none"/>
          <w:shd w:val="clear" w:color="auto" w:fill="FFFFFF"/>
        </w:rPr>
        <w:t>，生产厂为</w:t>
      </w:r>
      <w:r>
        <w:rPr>
          <w:rStyle w:val="49"/>
          <w:rFonts w:hint="eastAsia"/>
          <w:color w:val="auto"/>
          <w:highlight w:val="none"/>
          <w:u w:val="single"/>
          <w:shd w:val="clear" w:color="auto" w:fill="FFFFFF"/>
        </w:rPr>
        <w:t>（厂名）</w:t>
      </w:r>
      <w:r>
        <w:rPr>
          <w:rFonts w:hint="eastAsia"/>
          <w:highlight w:val="none"/>
          <w:shd w:val="clear" w:color="auto" w:fill="FFFFFF"/>
        </w:rPr>
        <w:t>，厂址为</w:t>
      </w:r>
      <w:r>
        <w:rPr>
          <w:rStyle w:val="49"/>
          <w:rFonts w:hint="eastAsia"/>
          <w:color w:val="auto"/>
          <w:highlight w:val="none"/>
          <w:u w:val="single"/>
          <w:shd w:val="clear" w:color="auto" w:fill="FFFFFF"/>
        </w:rPr>
        <w:t>（生产厂址）</w:t>
      </w:r>
      <w:r>
        <w:rPr>
          <w:rFonts w:hint="eastAsia"/>
          <w:highlight w:val="none"/>
          <w:shd w:val="clear" w:color="auto" w:fill="FFFFFF"/>
        </w:rPr>
        <w:t>。</w:t>
      </w:r>
      <w:r>
        <w:rPr>
          <w:rStyle w:val="49"/>
          <w:rFonts w:hint="eastAsia"/>
          <w:color w:val="auto"/>
          <w:highlight w:val="none"/>
          <w:u w:val="single"/>
          <w:shd w:val="clear" w:color="auto" w:fill="FFFFFF"/>
        </w:rPr>
        <w:t>（产品名称2）</w:t>
      </w:r>
      <w:r>
        <w:rPr>
          <w:rFonts w:hint="eastAsia"/>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highlight w:val="none"/>
          <w:shd w:val="clear" w:color="auto" w:fill="FFFFFF"/>
        </w:rPr>
        <w:t>。</w:t>
      </w:r>
      <w:r>
        <w:rPr>
          <w:rStyle w:val="49"/>
          <w:rFonts w:hint="eastAsia"/>
          <w:color w:val="auto"/>
          <w:highlight w:val="none"/>
          <w:u w:val="single"/>
          <w:shd w:val="clear" w:color="auto" w:fill="FFFFFF"/>
        </w:rPr>
        <w:t>（产品名称2）</w:t>
      </w:r>
      <w:r>
        <w:rPr>
          <w:rFonts w:hint="eastAsia"/>
          <w:highlight w:val="none"/>
          <w:shd w:val="clear" w:color="auto" w:fill="FFFFFF"/>
        </w:rPr>
        <w:t>的</w:t>
      </w:r>
      <w:r>
        <w:rPr>
          <w:rStyle w:val="49"/>
          <w:rFonts w:hint="eastAsia"/>
          <w:color w:val="auto"/>
          <w:highlight w:val="none"/>
          <w:u w:val="single"/>
          <w:shd w:val="clear" w:color="auto" w:fill="FFFFFF"/>
        </w:rPr>
        <w:t>（关键组件）</w:t>
      </w:r>
      <w:r>
        <w:rPr>
          <w:rFonts w:hint="eastAsia"/>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highlight w:val="none"/>
          <w:shd w:val="clear" w:color="auto" w:fill="FFFFFF"/>
        </w:rPr>
        <w:t>的</w:t>
      </w:r>
      <w:r>
        <w:rPr>
          <w:rStyle w:val="49"/>
          <w:rFonts w:hint="eastAsia"/>
          <w:color w:val="auto"/>
          <w:highlight w:val="none"/>
          <w:u w:val="single"/>
          <w:shd w:val="clear" w:color="auto" w:fill="FFFFFF"/>
        </w:rPr>
        <w:t>（关键工序）</w:t>
      </w:r>
      <w:r>
        <w:rPr>
          <w:rFonts w:hint="eastAsia"/>
          <w:highlight w:val="none"/>
          <w:shd w:val="clear" w:color="auto" w:fill="FFFFFF"/>
        </w:rPr>
        <w:t>在中国境内完成。</w:t>
      </w:r>
    </w:p>
    <w:p w14:paraId="786DEE51">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w:t>
      </w:r>
    </w:p>
    <w:p w14:paraId="026AF390">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本公司（单位）对上述声明内容的真实性负责。如有虚假，愿承担相应法律责任。</w:t>
      </w:r>
    </w:p>
    <w:p w14:paraId="2AFBCAA9">
      <w:pPr>
        <w:pStyle w:val="37"/>
        <w:shd w:val="clear" w:color="auto" w:fill="FFFFFF"/>
        <w:spacing w:before="0" w:beforeAutospacing="0" w:after="0" w:afterAutospacing="0" w:line="360" w:lineRule="auto"/>
        <w:rPr>
          <w:rFonts w:hint="eastAsia"/>
          <w:highlight w:val="none"/>
        </w:rPr>
      </w:pPr>
    </w:p>
    <w:p w14:paraId="2B577DAF">
      <w:pPr>
        <w:pStyle w:val="37"/>
        <w:shd w:val="clear" w:color="auto" w:fill="FFFFFF"/>
        <w:spacing w:before="0" w:beforeAutospacing="0" w:after="0" w:afterAutospacing="0" w:line="360" w:lineRule="auto"/>
        <w:jc w:val="right"/>
        <w:rPr>
          <w:rFonts w:hint="eastAsia"/>
          <w:highlight w:val="none"/>
          <w:shd w:val="clear" w:color="auto" w:fill="FFFFFF"/>
        </w:rPr>
      </w:pPr>
    </w:p>
    <w:p w14:paraId="2E78D16C">
      <w:pPr>
        <w:pStyle w:val="37"/>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公司（单位）名称（盖章）：　        </w:t>
      </w:r>
    </w:p>
    <w:p w14:paraId="55E40109">
      <w:pPr>
        <w:pStyle w:val="37"/>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日期：　     年　  月　  日         </w:t>
      </w:r>
    </w:p>
    <w:p w14:paraId="592CA0C4">
      <w:pPr>
        <w:pStyle w:val="37"/>
        <w:shd w:val="clear" w:color="auto" w:fill="FFFFFF"/>
        <w:spacing w:before="0" w:beforeAutospacing="0" w:after="0" w:afterAutospacing="0" w:line="360" w:lineRule="auto"/>
        <w:rPr>
          <w:rFonts w:hint="eastAsia"/>
          <w:highlight w:val="none"/>
          <w:shd w:val="clear" w:color="auto" w:fill="FFFFFF"/>
        </w:rPr>
      </w:pPr>
    </w:p>
    <w:p w14:paraId="06BF81A4">
      <w:pPr>
        <w:pStyle w:val="37"/>
        <w:shd w:val="clear" w:color="auto" w:fill="FFFFFF"/>
        <w:spacing w:before="0" w:beforeAutospacing="0" w:after="0" w:afterAutospacing="0" w:line="360" w:lineRule="auto"/>
        <w:rPr>
          <w:rFonts w:hint="eastAsia"/>
          <w:highlight w:val="none"/>
          <w:shd w:val="clear" w:color="auto" w:fill="FFFFFF"/>
        </w:rPr>
      </w:pPr>
    </w:p>
    <w:p w14:paraId="0A674D01">
      <w:pPr>
        <w:spacing w:after="0" w:line="360" w:lineRule="auto"/>
        <w:ind w:left="484" w:leftChars="1" w:hanging="482" w:hangingChars="201"/>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注：1.产品如有型号，请在“产品名称”栏一并填写。</w:t>
      </w:r>
    </w:p>
    <w:p w14:paraId="09C04A31">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2.生产厂名与厂址应与生产厂营业执照载明的相关信息保持一致。</w:t>
      </w:r>
    </w:p>
    <w:p w14:paraId="7D3D980D">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3.该产品的中国境内生产的组件成本占比相关要求实施前，“规定比例”栏可不填。</w:t>
      </w:r>
    </w:p>
    <w:p w14:paraId="2B976D96">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4.该产品的关键组件要求实施前，“关键组件”栏可不填。</w:t>
      </w:r>
    </w:p>
    <w:p w14:paraId="43315645">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shd w:val="clear" w:color="auto" w:fill="FFFFFF"/>
        </w:rPr>
        <w:t>5.该产品的关键工序要求实施前，“关键工序”栏可不填</w:t>
      </w:r>
      <w:r>
        <w:rPr>
          <w:rFonts w:hint="eastAsia" w:ascii="宋体" w:hAnsi="宋体" w:cs="宋体"/>
          <w:sz w:val="24"/>
          <w:highlight w:val="none"/>
        </w:rPr>
        <w:t>。</w:t>
      </w:r>
    </w:p>
    <w:p w14:paraId="3EFDA6FE">
      <w:pPr>
        <w:wordWrap w:val="0"/>
        <w:spacing w:after="0" w:line="360" w:lineRule="auto"/>
        <w:outlineLvl w:val="2"/>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3A47FA40">
      <w:pPr>
        <w:wordWrap w:val="0"/>
        <w:spacing w:before="240" w:beforeLines="100" w:after="0"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产品成本占比承诺函</w:t>
      </w:r>
    </w:p>
    <w:p w14:paraId="52C943D6">
      <w:pPr>
        <w:pStyle w:val="37"/>
        <w:shd w:val="clear" w:color="auto" w:fill="FFFFFF"/>
        <w:spacing w:before="30" w:beforeAutospacing="0" w:after="0" w:afterAutospacing="0"/>
        <w:rPr>
          <w:rStyle w:val="46"/>
          <w:rFonts w:hint="eastAsia"/>
          <w:highlight w:val="none"/>
        </w:rPr>
      </w:pPr>
    </w:p>
    <w:p w14:paraId="348F65C5">
      <w:pPr>
        <w:widowControl/>
        <w:spacing w:after="0" w:line="360" w:lineRule="auto"/>
        <w:ind w:firstLine="480" w:firstLineChars="200"/>
        <w:jc w:val="left"/>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我公司（单位）郑重承诺，我公司已阅读并理解《国务院办公厅关于在政府采购中实施本国产品标准及相关政策的通知》（国办发〔2025〕34号）的规定。据此承诺如下：</w:t>
      </w:r>
    </w:p>
    <w:p w14:paraId="7894B0A7">
      <w:pPr>
        <w:widowControl/>
        <w:spacing w:after="0" w:line="360" w:lineRule="auto"/>
        <w:ind w:firstLine="480" w:firstLineChars="200"/>
        <w:jc w:val="left"/>
        <w:rPr>
          <w:rFonts w:hint="eastAsia" w:ascii="宋体" w:hAnsi="宋体" w:cs="宋体"/>
          <w:spacing w:val="6"/>
          <w:sz w:val="24"/>
          <w:highlight w:val="none"/>
        </w:rPr>
      </w:pPr>
      <w:r>
        <w:rPr>
          <w:rFonts w:hint="eastAsia" w:ascii="宋体" w:hAnsi="宋体" w:cs="宋体"/>
          <w:sz w:val="24"/>
          <w:highlight w:val="none"/>
          <w:shd w:val="clear" w:color="auto" w:fill="FFFFFF"/>
        </w:rPr>
        <w:t>为本采购项目或者采购包提供的符合本国产品标准的产品成本之和占提供的全部产品成本之和的比例为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w:t>
      </w:r>
    </w:p>
    <w:p w14:paraId="490B270D">
      <w:pPr>
        <w:widowControl/>
        <w:spacing w:after="0" w:line="360" w:lineRule="auto"/>
        <w:ind w:firstLine="480" w:firstLineChars="200"/>
        <w:jc w:val="left"/>
        <w:rPr>
          <w:rFonts w:hint="eastAsia" w:ascii="宋体" w:hAnsi="宋体" w:cs="宋体"/>
          <w:sz w:val="24"/>
          <w:highlight w:val="none"/>
        </w:rPr>
      </w:pPr>
    </w:p>
    <w:p w14:paraId="4BD0595C">
      <w:pPr>
        <w:pStyle w:val="37"/>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公司（单位）名称（盖章）：　        </w:t>
      </w:r>
    </w:p>
    <w:p w14:paraId="2470AF35">
      <w:pPr>
        <w:widowControl/>
        <w:spacing w:after="0" w:line="360" w:lineRule="auto"/>
        <w:ind w:firstLine="480" w:firstLineChars="200"/>
        <w:jc w:val="right"/>
        <w:rPr>
          <w:rFonts w:hint="eastAsia" w:ascii="宋体" w:hAnsi="宋体" w:cs="宋体"/>
          <w:sz w:val="24"/>
          <w:highlight w:val="none"/>
        </w:rPr>
      </w:pPr>
      <w:r>
        <w:rPr>
          <w:rFonts w:hint="eastAsia" w:ascii="宋体" w:hAnsi="宋体" w:cs="宋体"/>
          <w:sz w:val="24"/>
          <w:highlight w:val="none"/>
          <w:shd w:val="clear" w:color="auto" w:fill="FFFFFF"/>
        </w:rPr>
        <w:t>日期：　     年　  月　  日     </w:t>
      </w:r>
    </w:p>
    <w:p w14:paraId="21728FCE">
      <w:pPr>
        <w:widowControl/>
        <w:spacing w:after="0" w:line="360" w:lineRule="auto"/>
        <w:jc w:val="left"/>
        <w:rPr>
          <w:rFonts w:hint="eastAsia" w:ascii="宋体" w:hAnsi="宋体" w:cs="宋体"/>
          <w:sz w:val="24"/>
          <w:highlight w:val="none"/>
        </w:rPr>
      </w:pPr>
    </w:p>
    <w:p w14:paraId="22671428">
      <w:pPr>
        <w:widowControl/>
        <w:spacing w:after="0" w:line="360" w:lineRule="auto"/>
        <w:jc w:val="left"/>
        <w:rPr>
          <w:rFonts w:hint="eastAsia" w:ascii="宋体" w:hAnsi="宋体" w:cs="宋体"/>
          <w:sz w:val="24"/>
          <w:highlight w:val="none"/>
        </w:rPr>
      </w:pPr>
    </w:p>
    <w:p w14:paraId="2FA0C533">
      <w:pPr>
        <w:spacing w:after="0" w:line="360" w:lineRule="auto"/>
        <w:rPr>
          <w:rFonts w:hint="eastAsia" w:ascii="宋体" w:hAnsi="宋体" w:cs="宋体"/>
          <w:sz w:val="24"/>
          <w:highlight w:val="none"/>
        </w:rPr>
      </w:pPr>
      <w:r>
        <w:rPr>
          <w:rFonts w:hint="eastAsia" w:ascii="宋体" w:hAnsi="宋体" w:cs="宋体"/>
          <w:sz w:val="24"/>
          <w:highlight w:val="none"/>
        </w:rPr>
        <w:t>注：</w:t>
      </w:r>
    </w:p>
    <w:p w14:paraId="6F3623D2">
      <w:pPr>
        <w:spacing w:after="0"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1. 本承诺函应按包分别提供。</w:t>
      </w:r>
    </w:p>
    <w:p w14:paraId="6A7BD61F">
      <w:pPr>
        <w:spacing w:after="0"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 单一产品采购无须提供本承诺函；供应商提供产品全部为本国产品，且提供了《关于符合本国产品标准的声明函》时，无须提供本承诺函。</w:t>
      </w:r>
    </w:p>
    <w:p w14:paraId="52B7F6C0">
      <w:pPr>
        <w:spacing w:after="0"/>
        <w:rPr>
          <w:rFonts w:hint="eastAsia"/>
          <w:highlight w:val="none"/>
        </w:rPr>
      </w:pPr>
      <w:r>
        <w:rPr>
          <w:rFonts w:hint="eastAsia" w:ascii="宋体" w:hAnsi="宋体" w:cs="宋体"/>
          <w:sz w:val="24"/>
          <w:highlight w:val="none"/>
          <w:shd w:val="clear" w:color="auto" w:fill="FFFFFF"/>
        </w:rPr>
        <w:t>3. 当采购项目或单个采购包中含有多种产品，且供应商提供的产品同时包含本国产品及非本国产品，则供应商除需提供《关于符合本国产品标准的声明函》外，还需提供本承诺函；否则，不享受价格评审优惠。</w:t>
      </w:r>
    </w:p>
    <w:p w14:paraId="68B5974A">
      <w:pPr>
        <w:wordWrap w:val="0"/>
        <w:adjustRightInd w:val="0"/>
        <w:snapToGrid w:val="0"/>
        <w:spacing w:after="0" w:line="360" w:lineRule="auto"/>
        <w:jc w:val="left"/>
        <w:rPr>
          <w:rFonts w:hint="eastAsia" w:ascii="宋体" w:hAnsi="宋体" w:cs="宋体"/>
          <w:sz w:val="24"/>
          <w:highlight w:val="none"/>
        </w:rPr>
        <w:sectPr>
          <w:pgSz w:w="11905" w:h="16838"/>
          <w:pgMar w:top="1474" w:right="1474" w:bottom="1474" w:left="1474" w:header="850" w:footer="992" w:gutter="0"/>
          <w:cols w:space="720" w:num="1"/>
          <w:docGrid w:linePitch="462" w:charSpace="0"/>
        </w:sectPr>
      </w:pPr>
    </w:p>
    <w:p w14:paraId="47BD0EAB">
      <w:pPr>
        <w:tabs>
          <w:tab w:val="left" w:pos="360"/>
        </w:tabs>
        <w:wordWrap w:val="0"/>
        <w:snapToGrid w:val="0"/>
        <w:spacing w:after="0" w:line="360" w:lineRule="auto"/>
        <w:outlineLvl w:val="1"/>
        <w:rPr>
          <w:rFonts w:hint="eastAsia" w:ascii="宋体" w:hAnsi="宋体" w:cs="宋体"/>
          <w:sz w:val="24"/>
          <w:szCs w:val="20"/>
          <w:highlight w:val="none"/>
        </w:rPr>
      </w:pPr>
      <w:r>
        <w:rPr>
          <w:rFonts w:hint="eastAsia" w:ascii="宋体" w:hAnsi="宋体" w:cs="宋体"/>
          <w:sz w:val="24"/>
          <w:highlight w:val="none"/>
        </w:rPr>
        <w:t>12 竞争性磋商文件要求提供或供应商认为应附的其他材料</w:t>
      </w:r>
    </w:p>
    <w:p w14:paraId="5B3A99C0">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12-1 供应商信息采集表</w:t>
      </w:r>
    </w:p>
    <w:tbl>
      <w:tblPr>
        <w:tblStyle w:val="4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747E9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noWrap w:val="0"/>
            <w:vAlign w:val="center"/>
          </w:tcPr>
          <w:p w14:paraId="6689E3AC">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供应商名称</w:t>
            </w:r>
          </w:p>
        </w:tc>
        <w:tc>
          <w:tcPr>
            <w:tcW w:w="3095" w:type="dxa"/>
            <w:noWrap w:val="0"/>
            <w:vAlign w:val="center"/>
          </w:tcPr>
          <w:p w14:paraId="075F30DB">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供应商所属性别</w:t>
            </w:r>
          </w:p>
        </w:tc>
        <w:tc>
          <w:tcPr>
            <w:tcW w:w="3098" w:type="dxa"/>
            <w:noWrap w:val="0"/>
            <w:vAlign w:val="center"/>
          </w:tcPr>
          <w:p w14:paraId="5BFADDC1">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外商投资类型</w:t>
            </w:r>
          </w:p>
        </w:tc>
      </w:tr>
      <w:tr w14:paraId="7C2EA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noWrap w:val="0"/>
            <w:vAlign w:val="center"/>
          </w:tcPr>
          <w:p w14:paraId="25F0E87B">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01798390">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1E8CF6E0">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1A709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noWrap w:val="0"/>
            <w:vAlign w:val="center"/>
          </w:tcPr>
          <w:p w14:paraId="41837A35">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44AF3FED">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7788164A">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38C54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noWrap w:val="0"/>
            <w:vAlign w:val="center"/>
          </w:tcPr>
          <w:p w14:paraId="37A66FD0">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0B03BF8E">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50D6B128">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65F95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noWrap w:val="0"/>
            <w:vAlign w:val="center"/>
          </w:tcPr>
          <w:p w14:paraId="46EE15F6">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48215A9C">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0098156B">
            <w:pPr>
              <w:wordWrap w:val="0"/>
              <w:autoSpaceDE w:val="0"/>
              <w:autoSpaceDN w:val="0"/>
              <w:adjustRightInd w:val="0"/>
              <w:snapToGrid w:val="0"/>
              <w:spacing w:after="0" w:line="360" w:lineRule="auto"/>
              <w:jc w:val="center"/>
              <w:rPr>
                <w:rFonts w:hint="eastAsia" w:ascii="宋体" w:hAnsi="宋体" w:cs="宋体"/>
                <w:sz w:val="24"/>
                <w:highlight w:val="none"/>
              </w:rPr>
            </w:pPr>
          </w:p>
        </w:tc>
      </w:tr>
    </w:tbl>
    <w:p w14:paraId="130F759D">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注：1.供应商如为联合体，则应填写联合体各成员信息。</w:t>
      </w:r>
    </w:p>
    <w:p w14:paraId="6261EA8C">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2.供应商所属性别请填写“男”或“女”，指拥有供应商51%以上绝对所有权的性别；绝对所有权拥有者可以是一个人，也可以是多人合计计算。</w:t>
      </w:r>
    </w:p>
    <w:p w14:paraId="4D2DB5A0">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3.外商投资类型请填写“外商单独投资”、“外商部分投资”或“内资”。</w:t>
      </w:r>
    </w:p>
    <w:sectPr>
      <w:pgSz w:w="11905" w:h="16838"/>
      <w:pgMar w:top="1474" w:right="1474" w:bottom="1474" w:left="1474" w:header="850" w:footer="992"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ksdb"/>
    <w:panose1 w:val="020B0502020202020204"/>
    <w:charset w:val="00"/>
    <w:family w:val="swiss"/>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37CE4">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2AC1A">
    <w:pPr>
      <w:pStyle w:val="28"/>
      <w:jc w:val="center"/>
    </w:pPr>
    <w:r>
      <w:fldChar w:fldCharType="begin"/>
    </w:r>
    <w:r>
      <w:instrText xml:space="preserve">PAGE   \* MERGEFORMAT</w:instrText>
    </w:r>
    <w:r>
      <w:fldChar w:fldCharType="separate"/>
    </w:r>
    <w:r>
      <w:rPr>
        <w:lang w:val="zh-CN"/>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4EB90">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4877F031">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5ED1">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56BCF">
    <w:pPr>
      <w:pStyle w:val="28"/>
    </w:pPr>
    <w:r>
      <w:rPr>
        <w:lang w:val="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3FFF6BE">
                          <w:pPr>
                            <w:pStyle w:val="1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4XqNgMQIAAGMEAAAOAAAAAAAAAAEAIAAAAB8BAABkcnMvZTJvRG9jLnhtbFBLBQYA&#10;AAAABgAGAFkBAADCBQAAAAA=&#10;">
              <v:fill on="f" focussize="0,0"/>
              <v:stroke on="f" weight="0.5pt"/>
              <v:imagedata o:title=""/>
              <o:lock v:ext="edit" aspectratio="f"/>
              <v:textbox inset="0mm,0mm,0mm,0mm" style="mso-fit-shape-to-text:t;">
                <w:txbxContent>
                  <w:p w14:paraId="23FFF6BE">
                    <w:pPr>
                      <w:pStyle w:val="1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E3B51">
    <w:pPr>
      <w:pStyle w:val="28"/>
      <w:jc w:val="center"/>
    </w:pPr>
    <w:r>
      <w:fldChar w:fldCharType="begin"/>
    </w:r>
    <w:r>
      <w:instrText xml:space="preserve"> PAGE   \* MERGEFORMAT </w:instrText>
    </w:r>
    <w:r>
      <w:fldChar w:fldCharType="separate"/>
    </w:r>
    <w:r>
      <w:rPr>
        <w:lang w:val="zh-CN"/>
      </w:rPr>
      <w:t>267</w:t>
    </w:r>
    <w:r>
      <w:rPr>
        <w:lang w:val="zh-CN"/>
      </w:rPr>
      <w:fldChar w:fldCharType="end"/>
    </w:r>
  </w:p>
  <w:p w14:paraId="47B0E271">
    <w:pPr>
      <w:pStyle w:val="28"/>
      <w:tabs>
        <w:tab w:val="left" w:pos="4668"/>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9E10C">
    <w:pPr>
      <w:spacing w:line="14" w:lineRule="auto"/>
      <w:rPr>
        <w:rFonts w:ascii="Arial"/>
        <w:sz w:val="2"/>
      </w:rPr>
    </w:pPr>
    <w:r>
      <w:rPr>
        <w:lang w:val="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472E10">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6bWPI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o0Uyh4acf308/&#10;H06/vpE3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tY8jICAABjBAAADgAAAAAAAAABACAAAAAfAQAAZHJzL2Uyb0RvYy54bWxQSwUG&#10;AAAAAAYABgBZAQAAwwUAAAAA&#10;">
              <v:fill on="f" focussize="0,0"/>
              <v:stroke on="f" weight="0.5pt"/>
              <v:imagedata o:title=""/>
              <o:lock v:ext="edit" aspectratio="f"/>
              <v:textbox inset="0mm,0mm,0mm,0mm" style="mso-fit-shape-to-text:t;">
                <w:txbxContent>
                  <w:p w14:paraId="4B472E10">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3FFC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392D5EB7">
    <w:pPr>
      <w:pStyle w:val="28"/>
      <w:ind w:right="360"/>
    </w:pPr>
  </w:p>
  <w:p w14:paraId="75E3D22B"/>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D0884">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D0E5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768B82D0">
    <w:pPr>
      <w:pStyle w:val="28"/>
      <w:ind w:right="360"/>
    </w:pPr>
  </w:p>
  <w:p w14:paraId="0A615385"/>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CF412">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9932A">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A7DF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04C96">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45CD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12E4E">
    <w:pPr>
      <w:pStyle w:val="29"/>
      <w:pBdr>
        <w:bottom w:val="thinThickSmallGap" w:color="auto" w:sz="12" w:space="2"/>
      </w:pBdr>
      <w:ind w:left="400"/>
      <w:jc w:val="left"/>
      <w:rPr>
        <w:shd w:val="clear" w:color="auto" w:fill="FFFFFF"/>
      </w:rPr>
    </w:pPr>
    <w:r>
      <w:rPr>
        <w:rFonts w:hint="eastAsia"/>
        <w:shd w:val="clear" w:color="auto" w:fill="FFFFFF"/>
      </w:rPr>
      <w:t>.</w:t>
    </w:r>
    <w:r>
      <w:rPr>
        <w:shd w:val="clear" w:color="auto" w:fill="FFFFFF"/>
      </w:rPr>
      <w:fldChar w:fldCharType="begin"/>
    </w:r>
    <w:r>
      <w:rPr>
        <w:shd w:val="clear" w:color="auto" w:fill="FFFFFF"/>
      </w:rPr>
      <w:instrText xml:space="preserve">PAGE   \* MERGEFORMAT</w:instrText>
    </w:r>
    <w:r>
      <w:rPr>
        <w:shd w:val="clear" w:color="auto" w:fill="FFFFFF"/>
      </w:rPr>
      <w:fldChar w:fldCharType="separate"/>
    </w:r>
    <w:r>
      <w:rPr>
        <w:bCs/>
        <w:shd w:val="clear" w:color="auto" w:fill="FFFFFF"/>
      </w:rPr>
      <w:t>6</w:t>
    </w:r>
    <w:r>
      <w:rPr>
        <w:bCs/>
        <w:shd w:val="clear" w:color="auto" w:fill="FFFFFF"/>
      </w:rPr>
      <w:fldChar w:fldCharType="end"/>
    </w:r>
    <w:r>
      <w:rPr>
        <w:rFonts w:hint="eastAsia"/>
        <w:shd w:val="clear" w:color="auto" w:fill="FFFFFF"/>
      </w:rPr>
      <w:t>.</w:t>
    </w:r>
    <w:bookmarkStart w:id="1317" w:name="_Hlk517857777"/>
    <w:r>
      <w:rPr>
        <w:rFonts w:hint="eastAsia"/>
        <w:shd w:val="clear" w:color="auto" w:fill="FFFFFF"/>
      </w:rPr>
      <w:t>北京市房屋建筑和市政工程专业承包施工招标文件示范文本（</w:t>
    </w:r>
    <w:r>
      <w:rPr>
        <w:shd w:val="clear" w:color="auto" w:fill="FFFFFF"/>
      </w:rPr>
      <w:t>2018</w:t>
    </w:r>
    <w:r>
      <w:rPr>
        <w:rFonts w:hint="eastAsia"/>
        <w:shd w:val="clear" w:color="auto" w:fill="FFFFFF"/>
      </w:rPr>
      <w:t>版）专用部分</w:t>
    </w:r>
    <w:bookmarkEnd w:id="1317"/>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42E3">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550E9">
    <w:pPr>
      <w:pStyle w:val="29"/>
    </w:pPr>
  </w:p>
  <w:p w14:paraId="386E5BDD"/>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74142">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F0FFB">
    <w:pPr>
      <w:pStyle w:val="29"/>
    </w:pPr>
  </w:p>
  <w:p w14:paraId="20CFFF1E"/>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7ABD4">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ZXWsdNMZ2do5z8Hz9enQZTryCh8=" w:salt="Bbwt2v+tqafOhpjC7Tjjxg=="/>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0YWEyYmFkODQ0ODkxYWM0YzViNGVlOWMzMzVlNzk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BF6"/>
    <w:rsid w:val="00031EC6"/>
    <w:rsid w:val="000324CE"/>
    <w:rsid w:val="00032727"/>
    <w:rsid w:val="00032743"/>
    <w:rsid w:val="0003283C"/>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1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4D3"/>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2D9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3A"/>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5B9"/>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77"/>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060"/>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E90"/>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69"/>
    <w:rsid w:val="00433018"/>
    <w:rsid w:val="00433489"/>
    <w:rsid w:val="004335E9"/>
    <w:rsid w:val="00433602"/>
    <w:rsid w:val="004336C1"/>
    <w:rsid w:val="004336DF"/>
    <w:rsid w:val="00433978"/>
    <w:rsid w:val="00433B4F"/>
    <w:rsid w:val="00433CD9"/>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304"/>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E4B"/>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1F4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6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88E"/>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4D"/>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CCD"/>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2CC"/>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8B1"/>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7D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6B"/>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D23"/>
    <w:rsid w:val="006D0E75"/>
    <w:rsid w:val="006D0F2A"/>
    <w:rsid w:val="006D0FE9"/>
    <w:rsid w:val="006D1130"/>
    <w:rsid w:val="006D15BE"/>
    <w:rsid w:val="006D1711"/>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58C"/>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778"/>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4C"/>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BD9"/>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C7E"/>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D30"/>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3F"/>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1B"/>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A"/>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BCB"/>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5E4"/>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AB1"/>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3B2"/>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D22"/>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07E"/>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09"/>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6E2"/>
    <w:rsid w:val="00B86739"/>
    <w:rsid w:val="00B869D6"/>
    <w:rsid w:val="00B86AA1"/>
    <w:rsid w:val="00B86C24"/>
    <w:rsid w:val="00B86EC0"/>
    <w:rsid w:val="00B86F6F"/>
    <w:rsid w:val="00B87270"/>
    <w:rsid w:val="00B87385"/>
    <w:rsid w:val="00B879A4"/>
    <w:rsid w:val="00B879AB"/>
    <w:rsid w:val="00B87A8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375"/>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1B"/>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2D9"/>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3B2"/>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2F7"/>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2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899"/>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BE"/>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4C"/>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3F"/>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10"/>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366"/>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2F8E"/>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C84"/>
    <w:rsid w:val="00EB204E"/>
    <w:rsid w:val="00EB21F8"/>
    <w:rsid w:val="00EB2316"/>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B81"/>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21E"/>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60E98"/>
    <w:rsid w:val="01303AC5"/>
    <w:rsid w:val="013B4944"/>
    <w:rsid w:val="01527EDF"/>
    <w:rsid w:val="019404F8"/>
    <w:rsid w:val="01C963F3"/>
    <w:rsid w:val="01DD3C4D"/>
    <w:rsid w:val="01EA0118"/>
    <w:rsid w:val="01EA70B3"/>
    <w:rsid w:val="01FD42EF"/>
    <w:rsid w:val="020624C0"/>
    <w:rsid w:val="021533E7"/>
    <w:rsid w:val="021A6C4F"/>
    <w:rsid w:val="021F6013"/>
    <w:rsid w:val="02301FCF"/>
    <w:rsid w:val="026003DA"/>
    <w:rsid w:val="0264611C"/>
    <w:rsid w:val="0288005D"/>
    <w:rsid w:val="029F7154"/>
    <w:rsid w:val="02C60B85"/>
    <w:rsid w:val="02EF1E8A"/>
    <w:rsid w:val="02FA25DD"/>
    <w:rsid w:val="030F42DA"/>
    <w:rsid w:val="03123DCA"/>
    <w:rsid w:val="03465822"/>
    <w:rsid w:val="03A82039"/>
    <w:rsid w:val="03C30C20"/>
    <w:rsid w:val="03DD1CE2"/>
    <w:rsid w:val="03E2379C"/>
    <w:rsid w:val="03F84D6E"/>
    <w:rsid w:val="0418323B"/>
    <w:rsid w:val="043B1F2D"/>
    <w:rsid w:val="046225B0"/>
    <w:rsid w:val="04714B20"/>
    <w:rsid w:val="04787C5D"/>
    <w:rsid w:val="04790B2A"/>
    <w:rsid w:val="04A22F2C"/>
    <w:rsid w:val="04B62533"/>
    <w:rsid w:val="04C44C50"/>
    <w:rsid w:val="04C64E6C"/>
    <w:rsid w:val="04C759C7"/>
    <w:rsid w:val="05085485"/>
    <w:rsid w:val="05184F9C"/>
    <w:rsid w:val="05436F4F"/>
    <w:rsid w:val="05687CD1"/>
    <w:rsid w:val="05B9052D"/>
    <w:rsid w:val="05F11A75"/>
    <w:rsid w:val="05FD48BE"/>
    <w:rsid w:val="06064044"/>
    <w:rsid w:val="06237BFB"/>
    <w:rsid w:val="065B7836"/>
    <w:rsid w:val="0687062B"/>
    <w:rsid w:val="068B1EC9"/>
    <w:rsid w:val="06A411DD"/>
    <w:rsid w:val="06B07B82"/>
    <w:rsid w:val="06DF0467"/>
    <w:rsid w:val="06EB6E0C"/>
    <w:rsid w:val="06ED4906"/>
    <w:rsid w:val="070B6B66"/>
    <w:rsid w:val="070E2AFA"/>
    <w:rsid w:val="071360F1"/>
    <w:rsid w:val="074F208F"/>
    <w:rsid w:val="079F3753"/>
    <w:rsid w:val="07BC2556"/>
    <w:rsid w:val="07BE007D"/>
    <w:rsid w:val="07CD02C0"/>
    <w:rsid w:val="07D7113E"/>
    <w:rsid w:val="08145EEF"/>
    <w:rsid w:val="081952B3"/>
    <w:rsid w:val="08202AE5"/>
    <w:rsid w:val="088E2BEB"/>
    <w:rsid w:val="08D3272D"/>
    <w:rsid w:val="08E458C1"/>
    <w:rsid w:val="09297778"/>
    <w:rsid w:val="092D54BA"/>
    <w:rsid w:val="09475E50"/>
    <w:rsid w:val="095011A8"/>
    <w:rsid w:val="09664528"/>
    <w:rsid w:val="099C619C"/>
    <w:rsid w:val="09B41A54"/>
    <w:rsid w:val="09B71227"/>
    <w:rsid w:val="09B80F59"/>
    <w:rsid w:val="09EF451D"/>
    <w:rsid w:val="0A0A1357"/>
    <w:rsid w:val="0A1E12A6"/>
    <w:rsid w:val="0A3C5699"/>
    <w:rsid w:val="0A3D172D"/>
    <w:rsid w:val="0A6A0048"/>
    <w:rsid w:val="0A6D18E6"/>
    <w:rsid w:val="0A856C30"/>
    <w:rsid w:val="0B00275A"/>
    <w:rsid w:val="0B071EAE"/>
    <w:rsid w:val="0B0D1E69"/>
    <w:rsid w:val="0B2823DD"/>
    <w:rsid w:val="0B5C5BE2"/>
    <w:rsid w:val="0B660C1A"/>
    <w:rsid w:val="0B6A7085"/>
    <w:rsid w:val="0B845139"/>
    <w:rsid w:val="0B884C29"/>
    <w:rsid w:val="0BB9606D"/>
    <w:rsid w:val="0BDC31C7"/>
    <w:rsid w:val="0BFC1173"/>
    <w:rsid w:val="0C040028"/>
    <w:rsid w:val="0C122E30"/>
    <w:rsid w:val="0C142961"/>
    <w:rsid w:val="0C2A22FA"/>
    <w:rsid w:val="0C3B196A"/>
    <w:rsid w:val="0C3E0055"/>
    <w:rsid w:val="0C41127C"/>
    <w:rsid w:val="0C476893"/>
    <w:rsid w:val="0C760F26"/>
    <w:rsid w:val="0CC25F19"/>
    <w:rsid w:val="0CC55A09"/>
    <w:rsid w:val="0CD619C5"/>
    <w:rsid w:val="0CDF2F6F"/>
    <w:rsid w:val="0CEE4F60"/>
    <w:rsid w:val="0CFA1B57"/>
    <w:rsid w:val="0CFB142B"/>
    <w:rsid w:val="0CFB58CF"/>
    <w:rsid w:val="0D156991"/>
    <w:rsid w:val="0DA87805"/>
    <w:rsid w:val="0DAF0B93"/>
    <w:rsid w:val="0DC14423"/>
    <w:rsid w:val="0DCE6B40"/>
    <w:rsid w:val="0DD57ECE"/>
    <w:rsid w:val="0DE85E53"/>
    <w:rsid w:val="0DF447F8"/>
    <w:rsid w:val="0DF90060"/>
    <w:rsid w:val="0E0B38F0"/>
    <w:rsid w:val="0E3C38B9"/>
    <w:rsid w:val="0E464928"/>
    <w:rsid w:val="0E59465B"/>
    <w:rsid w:val="0E8F2773"/>
    <w:rsid w:val="0EA95AE9"/>
    <w:rsid w:val="0EC86A0D"/>
    <w:rsid w:val="0EC95F88"/>
    <w:rsid w:val="0EFB3964"/>
    <w:rsid w:val="0F4446C6"/>
    <w:rsid w:val="0F452E31"/>
    <w:rsid w:val="0F4B669A"/>
    <w:rsid w:val="0F4C5F6E"/>
    <w:rsid w:val="0F59068B"/>
    <w:rsid w:val="0F735BF1"/>
    <w:rsid w:val="0FD04DF1"/>
    <w:rsid w:val="0FEC61F7"/>
    <w:rsid w:val="0FF7237E"/>
    <w:rsid w:val="10044A9B"/>
    <w:rsid w:val="10046849"/>
    <w:rsid w:val="100827DD"/>
    <w:rsid w:val="10195736"/>
    <w:rsid w:val="1034712E"/>
    <w:rsid w:val="10505F32"/>
    <w:rsid w:val="10525806"/>
    <w:rsid w:val="10594DE6"/>
    <w:rsid w:val="10640EFB"/>
    <w:rsid w:val="108F6A5A"/>
    <w:rsid w:val="10A818CA"/>
    <w:rsid w:val="10B10889"/>
    <w:rsid w:val="10F1501F"/>
    <w:rsid w:val="11063FEA"/>
    <w:rsid w:val="11405FA6"/>
    <w:rsid w:val="115C2EBC"/>
    <w:rsid w:val="11916802"/>
    <w:rsid w:val="11B06FD4"/>
    <w:rsid w:val="11C72224"/>
    <w:rsid w:val="11E44B84"/>
    <w:rsid w:val="11E65BE0"/>
    <w:rsid w:val="11F72B09"/>
    <w:rsid w:val="121216F1"/>
    <w:rsid w:val="12176D07"/>
    <w:rsid w:val="125735A8"/>
    <w:rsid w:val="126D2DCB"/>
    <w:rsid w:val="12706417"/>
    <w:rsid w:val="128123D2"/>
    <w:rsid w:val="128C628C"/>
    <w:rsid w:val="12B04A66"/>
    <w:rsid w:val="12DC585B"/>
    <w:rsid w:val="12E15BF5"/>
    <w:rsid w:val="12F2507E"/>
    <w:rsid w:val="13062F3C"/>
    <w:rsid w:val="1315735E"/>
    <w:rsid w:val="13394A5B"/>
    <w:rsid w:val="133D09EF"/>
    <w:rsid w:val="13631AD8"/>
    <w:rsid w:val="13675A6C"/>
    <w:rsid w:val="137912FC"/>
    <w:rsid w:val="138A52B7"/>
    <w:rsid w:val="13AC7923"/>
    <w:rsid w:val="13CA2663"/>
    <w:rsid w:val="13D36C5E"/>
    <w:rsid w:val="1404150D"/>
    <w:rsid w:val="14190AC4"/>
    <w:rsid w:val="1432607A"/>
    <w:rsid w:val="14353475"/>
    <w:rsid w:val="143C2A55"/>
    <w:rsid w:val="143D057B"/>
    <w:rsid w:val="147F0B94"/>
    <w:rsid w:val="14951E1C"/>
    <w:rsid w:val="14A30D26"/>
    <w:rsid w:val="14BC3B96"/>
    <w:rsid w:val="14E31122"/>
    <w:rsid w:val="14E76E65"/>
    <w:rsid w:val="14FC6B59"/>
    <w:rsid w:val="15007F26"/>
    <w:rsid w:val="15155054"/>
    <w:rsid w:val="1518551B"/>
    <w:rsid w:val="1525173B"/>
    <w:rsid w:val="15267261"/>
    <w:rsid w:val="152F25BA"/>
    <w:rsid w:val="1565422D"/>
    <w:rsid w:val="157B75AD"/>
    <w:rsid w:val="15AC59B8"/>
    <w:rsid w:val="15C26F8A"/>
    <w:rsid w:val="15C9016D"/>
    <w:rsid w:val="15C9656A"/>
    <w:rsid w:val="15CC7E09"/>
    <w:rsid w:val="15CE1DD3"/>
    <w:rsid w:val="15DB629E"/>
    <w:rsid w:val="15E45152"/>
    <w:rsid w:val="15EA64E1"/>
    <w:rsid w:val="15FB249C"/>
    <w:rsid w:val="16070817"/>
    <w:rsid w:val="1609105D"/>
    <w:rsid w:val="162E461F"/>
    <w:rsid w:val="16556050"/>
    <w:rsid w:val="16557DFE"/>
    <w:rsid w:val="1675224E"/>
    <w:rsid w:val="16AB3EC2"/>
    <w:rsid w:val="16C72D23"/>
    <w:rsid w:val="16D03928"/>
    <w:rsid w:val="16F413C5"/>
    <w:rsid w:val="171F21BA"/>
    <w:rsid w:val="172B6DB1"/>
    <w:rsid w:val="17312619"/>
    <w:rsid w:val="17463BEB"/>
    <w:rsid w:val="17544559"/>
    <w:rsid w:val="17577BA6"/>
    <w:rsid w:val="17740758"/>
    <w:rsid w:val="17B15508"/>
    <w:rsid w:val="17B44FF8"/>
    <w:rsid w:val="17D46287"/>
    <w:rsid w:val="17D74D17"/>
    <w:rsid w:val="17F93E0B"/>
    <w:rsid w:val="18194E5B"/>
    <w:rsid w:val="18226406"/>
    <w:rsid w:val="18383533"/>
    <w:rsid w:val="183879D7"/>
    <w:rsid w:val="183D4FEE"/>
    <w:rsid w:val="18473363"/>
    <w:rsid w:val="184C6FDF"/>
    <w:rsid w:val="184D216A"/>
    <w:rsid w:val="18581E27"/>
    <w:rsid w:val="187229F5"/>
    <w:rsid w:val="188624F1"/>
    <w:rsid w:val="18890233"/>
    <w:rsid w:val="189270E7"/>
    <w:rsid w:val="19067AD5"/>
    <w:rsid w:val="192817FA"/>
    <w:rsid w:val="19341F4D"/>
    <w:rsid w:val="19375EE1"/>
    <w:rsid w:val="19406B43"/>
    <w:rsid w:val="194128BC"/>
    <w:rsid w:val="194D2C0B"/>
    <w:rsid w:val="19744A3F"/>
    <w:rsid w:val="19A05834"/>
    <w:rsid w:val="19AC242B"/>
    <w:rsid w:val="19B808EA"/>
    <w:rsid w:val="19D76D7C"/>
    <w:rsid w:val="1A045DC3"/>
    <w:rsid w:val="1A1A55E6"/>
    <w:rsid w:val="1A2024D1"/>
    <w:rsid w:val="1A2975D8"/>
    <w:rsid w:val="1A401FFC"/>
    <w:rsid w:val="1A4E34E2"/>
    <w:rsid w:val="1A4F7BE7"/>
    <w:rsid w:val="1A654388"/>
    <w:rsid w:val="1A6A7BF0"/>
    <w:rsid w:val="1AB8095B"/>
    <w:rsid w:val="1ABC48F0"/>
    <w:rsid w:val="1ABD41C4"/>
    <w:rsid w:val="1ABD5F72"/>
    <w:rsid w:val="1AE50ED5"/>
    <w:rsid w:val="1AE71241"/>
    <w:rsid w:val="1AFC1190"/>
    <w:rsid w:val="1B261D69"/>
    <w:rsid w:val="1B3C158C"/>
    <w:rsid w:val="1B3F2E2B"/>
    <w:rsid w:val="1B441F67"/>
    <w:rsid w:val="1B6A60FA"/>
    <w:rsid w:val="1B813443"/>
    <w:rsid w:val="1B8D003A"/>
    <w:rsid w:val="1B8F790E"/>
    <w:rsid w:val="1BA55384"/>
    <w:rsid w:val="1BAD5FE6"/>
    <w:rsid w:val="1BD17F27"/>
    <w:rsid w:val="1BF06CD1"/>
    <w:rsid w:val="1C00080C"/>
    <w:rsid w:val="1C071B9A"/>
    <w:rsid w:val="1C4050AC"/>
    <w:rsid w:val="1C455CA5"/>
    <w:rsid w:val="1C694603"/>
    <w:rsid w:val="1C6A3ED7"/>
    <w:rsid w:val="1C8925AF"/>
    <w:rsid w:val="1CB3762C"/>
    <w:rsid w:val="1CCE4466"/>
    <w:rsid w:val="1CF06AD2"/>
    <w:rsid w:val="1D2C69D2"/>
    <w:rsid w:val="1D383FD6"/>
    <w:rsid w:val="1D412E8A"/>
    <w:rsid w:val="1D4604A0"/>
    <w:rsid w:val="1D5D57EA"/>
    <w:rsid w:val="1D69418F"/>
    <w:rsid w:val="1D9E652E"/>
    <w:rsid w:val="1DA82F09"/>
    <w:rsid w:val="1DAA4ED3"/>
    <w:rsid w:val="1DC51D0D"/>
    <w:rsid w:val="1DDF0751"/>
    <w:rsid w:val="1DE859FC"/>
    <w:rsid w:val="1E075E82"/>
    <w:rsid w:val="1E18008F"/>
    <w:rsid w:val="1E7F389C"/>
    <w:rsid w:val="1E8C604D"/>
    <w:rsid w:val="1E960FB4"/>
    <w:rsid w:val="1E9D2342"/>
    <w:rsid w:val="1EB06519"/>
    <w:rsid w:val="1EB51A08"/>
    <w:rsid w:val="1EC43D73"/>
    <w:rsid w:val="1ED41ADC"/>
    <w:rsid w:val="1ED85A70"/>
    <w:rsid w:val="1F150595"/>
    <w:rsid w:val="1F3C7DAD"/>
    <w:rsid w:val="1F6E6131"/>
    <w:rsid w:val="1F861028"/>
    <w:rsid w:val="1F86727A"/>
    <w:rsid w:val="1F9951FF"/>
    <w:rsid w:val="1FA769AC"/>
    <w:rsid w:val="1FDC50EC"/>
    <w:rsid w:val="1FF561AE"/>
    <w:rsid w:val="201E16E6"/>
    <w:rsid w:val="202076CF"/>
    <w:rsid w:val="207F2647"/>
    <w:rsid w:val="208E288A"/>
    <w:rsid w:val="208F03B0"/>
    <w:rsid w:val="20BD316F"/>
    <w:rsid w:val="20C20786"/>
    <w:rsid w:val="20D3029D"/>
    <w:rsid w:val="20D364EF"/>
    <w:rsid w:val="20D81D57"/>
    <w:rsid w:val="20E97AC1"/>
    <w:rsid w:val="20EA55E7"/>
    <w:rsid w:val="21333432"/>
    <w:rsid w:val="213A031C"/>
    <w:rsid w:val="218C77AC"/>
    <w:rsid w:val="21C1390C"/>
    <w:rsid w:val="21CC4F84"/>
    <w:rsid w:val="21EB1616"/>
    <w:rsid w:val="21F735E1"/>
    <w:rsid w:val="22275183"/>
    <w:rsid w:val="222F1E4B"/>
    <w:rsid w:val="224F429B"/>
    <w:rsid w:val="225C60FA"/>
    <w:rsid w:val="22791318"/>
    <w:rsid w:val="2287763D"/>
    <w:rsid w:val="2298377C"/>
    <w:rsid w:val="22BB548D"/>
    <w:rsid w:val="22C500B9"/>
    <w:rsid w:val="22D402FC"/>
    <w:rsid w:val="22EF3388"/>
    <w:rsid w:val="231A0405"/>
    <w:rsid w:val="23386ADD"/>
    <w:rsid w:val="23623B5A"/>
    <w:rsid w:val="2369313B"/>
    <w:rsid w:val="239E00B4"/>
    <w:rsid w:val="23A10B26"/>
    <w:rsid w:val="23B23B5F"/>
    <w:rsid w:val="23B56380"/>
    <w:rsid w:val="23D83E1C"/>
    <w:rsid w:val="240510B5"/>
    <w:rsid w:val="245A2A83"/>
    <w:rsid w:val="245E4322"/>
    <w:rsid w:val="248D4C07"/>
    <w:rsid w:val="249E0BC2"/>
    <w:rsid w:val="24B46637"/>
    <w:rsid w:val="24D07C50"/>
    <w:rsid w:val="24F46A34"/>
    <w:rsid w:val="25140E84"/>
    <w:rsid w:val="251E74A4"/>
    <w:rsid w:val="252E056F"/>
    <w:rsid w:val="25590984"/>
    <w:rsid w:val="255D3476"/>
    <w:rsid w:val="25651981"/>
    <w:rsid w:val="25764C42"/>
    <w:rsid w:val="25A732EA"/>
    <w:rsid w:val="25AC730F"/>
    <w:rsid w:val="25B245AE"/>
    <w:rsid w:val="25B34B41"/>
    <w:rsid w:val="25BF7042"/>
    <w:rsid w:val="25E20F82"/>
    <w:rsid w:val="25E940BF"/>
    <w:rsid w:val="25F52A64"/>
    <w:rsid w:val="25FB5AD5"/>
    <w:rsid w:val="26154EB4"/>
    <w:rsid w:val="262339B3"/>
    <w:rsid w:val="262B2929"/>
    <w:rsid w:val="265453B2"/>
    <w:rsid w:val="265E0AEC"/>
    <w:rsid w:val="26647BE9"/>
    <w:rsid w:val="2666570F"/>
    <w:rsid w:val="266876DA"/>
    <w:rsid w:val="26926505"/>
    <w:rsid w:val="26AA1AA0"/>
    <w:rsid w:val="26D44D6F"/>
    <w:rsid w:val="26D92385"/>
    <w:rsid w:val="26E86A6C"/>
    <w:rsid w:val="26F176CF"/>
    <w:rsid w:val="27084A19"/>
    <w:rsid w:val="274E68CF"/>
    <w:rsid w:val="2755685C"/>
    <w:rsid w:val="2765535C"/>
    <w:rsid w:val="27843CE5"/>
    <w:rsid w:val="278542BB"/>
    <w:rsid w:val="27897907"/>
    <w:rsid w:val="278C73F8"/>
    <w:rsid w:val="27910EB2"/>
    <w:rsid w:val="27962024"/>
    <w:rsid w:val="279D33B3"/>
    <w:rsid w:val="27B32BD6"/>
    <w:rsid w:val="27B4707A"/>
    <w:rsid w:val="27CD77DA"/>
    <w:rsid w:val="27DD7C53"/>
    <w:rsid w:val="27DF5779"/>
    <w:rsid w:val="27E92A9C"/>
    <w:rsid w:val="28017DE6"/>
    <w:rsid w:val="280478D6"/>
    <w:rsid w:val="280E605F"/>
    <w:rsid w:val="285A74F6"/>
    <w:rsid w:val="28CF62FC"/>
    <w:rsid w:val="28D64DCE"/>
    <w:rsid w:val="28E31299"/>
    <w:rsid w:val="28F2772E"/>
    <w:rsid w:val="29057462"/>
    <w:rsid w:val="29192F0D"/>
    <w:rsid w:val="291F1B43"/>
    <w:rsid w:val="29325D7D"/>
    <w:rsid w:val="29341449"/>
    <w:rsid w:val="2973261D"/>
    <w:rsid w:val="297B5976"/>
    <w:rsid w:val="29C235A5"/>
    <w:rsid w:val="29C76E0D"/>
    <w:rsid w:val="29F319B0"/>
    <w:rsid w:val="29FF0355"/>
    <w:rsid w:val="2A1831C5"/>
    <w:rsid w:val="2A1C2CB5"/>
    <w:rsid w:val="2A2A266B"/>
    <w:rsid w:val="2A4B359A"/>
    <w:rsid w:val="2A4D10C0"/>
    <w:rsid w:val="2A7D4187"/>
    <w:rsid w:val="2AB50D09"/>
    <w:rsid w:val="2AD03A9F"/>
    <w:rsid w:val="2AD27817"/>
    <w:rsid w:val="2AFE060C"/>
    <w:rsid w:val="2B053749"/>
    <w:rsid w:val="2B3E4EAD"/>
    <w:rsid w:val="2B3F2B94"/>
    <w:rsid w:val="2B4029D3"/>
    <w:rsid w:val="2B54663C"/>
    <w:rsid w:val="2B724B56"/>
    <w:rsid w:val="2B8B7D15"/>
    <w:rsid w:val="2BBF5C96"/>
    <w:rsid w:val="2BC74EA2"/>
    <w:rsid w:val="2BD82C0B"/>
    <w:rsid w:val="2BDA67DF"/>
    <w:rsid w:val="2BF5596C"/>
    <w:rsid w:val="2BFA5278"/>
    <w:rsid w:val="2C2E4F21"/>
    <w:rsid w:val="2C300CD1"/>
    <w:rsid w:val="2C3818FC"/>
    <w:rsid w:val="2C412EA7"/>
    <w:rsid w:val="2C4402A1"/>
    <w:rsid w:val="2C610E53"/>
    <w:rsid w:val="2C66290D"/>
    <w:rsid w:val="2C697D08"/>
    <w:rsid w:val="2CA62D0A"/>
    <w:rsid w:val="2CC82C80"/>
    <w:rsid w:val="2CC94C4A"/>
    <w:rsid w:val="2CDE06F5"/>
    <w:rsid w:val="2CF75313"/>
    <w:rsid w:val="2D12039F"/>
    <w:rsid w:val="2D1C0C0C"/>
    <w:rsid w:val="2D481418"/>
    <w:rsid w:val="2D5704A8"/>
    <w:rsid w:val="2D8B00C8"/>
    <w:rsid w:val="2D9139BA"/>
    <w:rsid w:val="2DB72CF5"/>
    <w:rsid w:val="2DC84F02"/>
    <w:rsid w:val="2DEE2BBA"/>
    <w:rsid w:val="2E033291"/>
    <w:rsid w:val="2E051CB2"/>
    <w:rsid w:val="2E0E0B66"/>
    <w:rsid w:val="2E156399"/>
    <w:rsid w:val="2E2A1718"/>
    <w:rsid w:val="2E2C36E3"/>
    <w:rsid w:val="2E33681F"/>
    <w:rsid w:val="2E3D144C"/>
    <w:rsid w:val="2E3F51C4"/>
    <w:rsid w:val="2E4722CA"/>
    <w:rsid w:val="2E70537D"/>
    <w:rsid w:val="2F177EEF"/>
    <w:rsid w:val="2F5D0776"/>
    <w:rsid w:val="2F6B1FE9"/>
    <w:rsid w:val="2FD8767E"/>
    <w:rsid w:val="2FFB336C"/>
    <w:rsid w:val="30006BD5"/>
    <w:rsid w:val="30010B15"/>
    <w:rsid w:val="30093CDB"/>
    <w:rsid w:val="30191A45"/>
    <w:rsid w:val="3029612C"/>
    <w:rsid w:val="30395C43"/>
    <w:rsid w:val="306A22A0"/>
    <w:rsid w:val="30717AD3"/>
    <w:rsid w:val="30990960"/>
    <w:rsid w:val="30A457B2"/>
    <w:rsid w:val="30DD6F16"/>
    <w:rsid w:val="30F5600E"/>
    <w:rsid w:val="31046251"/>
    <w:rsid w:val="312468F3"/>
    <w:rsid w:val="31336B36"/>
    <w:rsid w:val="31400623"/>
    <w:rsid w:val="3148438F"/>
    <w:rsid w:val="3183186B"/>
    <w:rsid w:val="31927D00"/>
    <w:rsid w:val="31B00187"/>
    <w:rsid w:val="31B86918"/>
    <w:rsid w:val="31D420C7"/>
    <w:rsid w:val="32116E77"/>
    <w:rsid w:val="322D17D7"/>
    <w:rsid w:val="32554A80"/>
    <w:rsid w:val="325D20BC"/>
    <w:rsid w:val="32650F71"/>
    <w:rsid w:val="32CE6B16"/>
    <w:rsid w:val="32D3237F"/>
    <w:rsid w:val="32E14A9C"/>
    <w:rsid w:val="32EB653A"/>
    <w:rsid w:val="32EE71B8"/>
    <w:rsid w:val="32F02F31"/>
    <w:rsid w:val="32F26CA9"/>
    <w:rsid w:val="32F50547"/>
    <w:rsid w:val="332E1CAB"/>
    <w:rsid w:val="33613E2E"/>
    <w:rsid w:val="336A2CE3"/>
    <w:rsid w:val="337D69FA"/>
    <w:rsid w:val="338418CB"/>
    <w:rsid w:val="33CF2B46"/>
    <w:rsid w:val="33DC34B5"/>
    <w:rsid w:val="33F001AC"/>
    <w:rsid w:val="34050F42"/>
    <w:rsid w:val="34056568"/>
    <w:rsid w:val="34160775"/>
    <w:rsid w:val="344572AC"/>
    <w:rsid w:val="346314E0"/>
    <w:rsid w:val="34675474"/>
    <w:rsid w:val="346F60D7"/>
    <w:rsid w:val="34757B91"/>
    <w:rsid w:val="34781430"/>
    <w:rsid w:val="34A2025B"/>
    <w:rsid w:val="34AC10D9"/>
    <w:rsid w:val="34C208FD"/>
    <w:rsid w:val="34D05CDE"/>
    <w:rsid w:val="34D10B40"/>
    <w:rsid w:val="34DF14AF"/>
    <w:rsid w:val="34E42621"/>
    <w:rsid w:val="35154ED0"/>
    <w:rsid w:val="35170C48"/>
    <w:rsid w:val="351729F7"/>
    <w:rsid w:val="351C000D"/>
    <w:rsid w:val="35417A73"/>
    <w:rsid w:val="3587330E"/>
    <w:rsid w:val="359A6C78"/>
    <w:rsid w:val="35D83DA9"/>
    <w:rsid w:val="35E46651"/>
    <w:rsid w:val="35EA010B"/>
    <w:rsid w:val="35ED7BFB"/>
    <w:rsid w:val="35FE7442"/>
    <w:rsid w:val="36254F67"/>
    <w:rsid w:val="36301896"/>
    <w:rsid w:val="36541A28"/>
    <w:rsid w:val="3660217B"/>
    <w:rsid w:val="366C0B20"/>
    <w:rsid w:val="36743E79"/>
    <w:rsid w:val="367E6AA5"/>
    <w:rsid w:val="3683176F"/>
    <w:rsid w:val="369462C9"/>
    <w:rsid w:val="36C26992"/>
    <w:rsid w:val="36C3270A"/>
    <w:rsid w:val="36C50230"/>
    <w:rsid w:val="36DE12F2"/>
    <w:rsid w:val="36E27034"/>
    <w:rsid w:val="36F079A3"/>
    <w:rsid w:val="36F77460"/>
    <w:rsid w:val="370E1BD7"/>
    <w:rsid w:val="370E7E29"/>
    <w:rsid w:val="373A29CC"/>
    <w:rsid w:val="379540A7"/>
    <w:rsid w:val="37AB1B1C"/>
    <w:rsid w:val="37B81B43"/>
    <w:rsid w:val="37BC7885"/>
    <w:rsid w:val="37DE77FC"/>
    <w:rsid w:val="37E868CC"/>
    <w:rsid w:val="37FE7E9E"/>
    <w:rsid w:val="382275F5"/>
    <w:rsid w:val="384855BD"/>
    <w:rsid w:val="38507FCD"/>
    <w:rsid w:val="38563836"/>
    <w:rsid w:val="38804D57"/>
    <w:rsid w:val="38C05153"/>
    <w:rsid w:val="38CA7D80"/>
    <w:rsid w:val="38D64977"/>
    <w:rsid w:val="38E76B84"/>
    <w:rsid w:val="38F2694B"/>
    <w:rsid w:val="39335925"/>
    <w:rsid w:val="3958538C"/>
    <w:rsid w:val="395A1104"/>
    <w:rsid w:val="39627FB8"/>
    <w:rsid w:val="397228F1"/>
    <w:rsid w:val="397C551E"/>
    <w:rsid w:val="39861EF9"/>
    <w:rsid w:val="398E5251"/>
    <w:rsid w:val="39AD3929"/>
    <w:rsid w:val="39EA2D8B"/>
    <w:rsid w:val="39F8091D"/>
    <w:rsid w:val="3A0B4AF4"/>
    <w:rsid w:val="3A5550BD"/>
    <w:rsid w:val="3A940645"/>
    <w:rsid w:val="3AB900AC"/>
    <w:rsid w:val="3ACC4283"/>
    <w:rsid w:val="3AD15273"/>
    <w:rsid w:val="3AE36D39"/>
    <w:rsid w:val="3AE72E6B"/>
    <w:rsid w:val="3AEC222F"/>
    <w:rsid w:val="3AFB2473"/>
    <w:rsid w:val="3B014914"/>
    <w:rsid w:val="3B334302"/>
    <w:rsid w:val="3B3B4F65"/>
    <w:rsid w:val="3B5F6EA5"/>
    <w:rsid w:val="3B602C1D"/>
    <w:rsid w:val="3B611832"/>
    <w:rsid w:val="3B8B7C9A"/>
    <w:rsid w:val="3BA90120"/>
    <w:rsid w:val="3BC046A9"/>
    <w:rsid w:val="3BC0581D"/>
    <w:rsid w:val="3BC1190E"/>
    <w:rsid w:val="3BCB0097"/>
    <w:rsid w:val="3BCB6780"/>
    <w:rsid w:val="3BD322AF"/>
    <w:rsid w:val="3BDA477E"/>
    <w:rsid w:val="3C487939"/>
    <w:rsid w:val="3C5E715D"/>
    <w:rsid w:val="3C9B3F0D"/>
    <w:rsid w:val="3CA134EE"/>
    <w:rsid w:val="3CC21B20"/>
    <w:rsid w:val="3D08531B"/>
    <w:rsid w:val="3D0D2931"/>
    <w:rsid w:val="3D2A6394"/>
    <w:rsid w:val="3D597924"/>
    <w:rsid w:val="3DA45043"/>
    <w:rsid w:val="3DBA6615"/>
    <w:rsid w:val="3DD516A1"/>
    <w:rsid w:val="3DD60F75"/>
    <w:rsid w:val="3DE25B6C"/>
    <w:rsid w:val="3DF5764D"/>
    <w:rsid w:val="3E3143FD"/>
    <w:rsid w:val="3E530817"/>
    <w:rsid w:val="3EA572C5"/>
    <w:rsid w:val="3EB968CD"/>
    <w:rsid w:val="3EC7672F"/>
    <w:rsid w:val="3ECD05CA"/>
    <w:rsid w:val="3ED71FF0"/>
    <w:rsid w:val="3F253D28"/>
    <w:rsid w:val="3F32189E"/>
    <w:rsid w:val="3F476B9F"/>
    <w:rsid w:val="3F5356B7"/>
    <w:rsid w:val="3F584337"/>
    <w:rsid w:val="3F743FC9"/>
    <w:rsid w:val="3F7B6278"/>
    <w:rsid w:val="3F9335C1"/>
    <w:rsid w:val="3FAB2131"/>
    <w:rsid w:val="3FAE3F57"/>
    <w:rsid w:val="3FC63871"/>
    <w:rsid w:val="3FE91433"/>
    <w:rsid w:val="3FF5F3AE"/>
    <w:rsid w:val="3FFA53EF"/>
    <w:rsid w:val="3FFA719D"/>
    <w:rsid w:val="40240823"/>
    <w:rsid w:val="40381A73"/>
    <w:rsid w:val="403A57EB"/>
    <w:rsid w:val="403E0931"/>
    <w:rsid w:val="40416B7A"/>
    <w:rsid w:val="405F5252"/>
    <w:rsid w:val="407056B1"/>
    <w:rsid w:val="4077259B"/>
    <w:rsid w:val="40A13ABC"/>
    <w:rsid w:val="40AC39CF"/>
    <w:rsid w:val="40AF61D9"/>
    <w:rsid w:val="40BA4B7E"/>
    <w:rsid w:val="40CF687B"/>
    <w:rsid w:val="40F0234E"/>
    <w:rsid w:val="40F025E8"/>
    <w:rsid w:val="40F736DC"/>
    <w:rsid w:val="40FD49D1"/>
    <w:rsid w:val="41474664"/>
    <w:rsid w:val="414F176A"/>
    <w:rsid w:val="41566655"/>
    <w:rsid w:val="418A4550"/>
    <w:rsid w:val="418D5DEE"/>
    <w:rsid w:val="41AA69A0"/>
    <w:rsid w:val="41FF0A9A"/>
    <w:rsid w:val="42254279"/>
    <w:rsid w:val="42446DF5"/>
    <w:rsid w:val="42733236"/>
    <w:rsid w:val="4278084D"/>
    <w:rsid w:val="42903DE8"/>
    <w:rsid w:val="429513FF"/>
    <w:rsid w:val="429C09DF"/>
    <w:rsid w:val="429C278D"/>
    <w:rsid w:val="42C13A57"/>
    <w:rsid w:val="42CD0A98"/>
    <w:rsid w:val="42D27F5D"/>
    <w:rsid w:val="42DA5063"/>
    <w:rsid w:val="42DB6C41"/>
    <w:rsid w:val="431A0C09"/>
    <w:rsid w:val="432F1853"/>
    <w:rsid w:val="432F3601"/>
    <w:rsid w:val="435E4B11"/>
    <w:rsid w:val="43727992"/>
    <w:rsid w:val="43A044FF"/>
    <w:rsid w:val="43BD6E5F"/>
    <w:rsid w:val="43C04259"/>
    <w:rsid w:val="43DB72E5"/>
    <w:rsid w:val="43EC504E"/>
    <w:rsid w:val="441A7E0D"/>
    <w:rsid w:val="444F55DD"/>
    <w:rsid w:val="445448B1"/>
    <w:rsid w:val="4464463F"/>
    <w:rsid w:val="446A6C6D"/>
    <w:rsid w:val="447A2AD1"/>
    <w:rsid w:val="44A122DD"/>
    <w:rsid w:val="44AB4F09"/>
    <w:rsid w:val="44D22552"/>
    <w:rsid w:val="4517434D"/>
    <w:rsid w:val="451A5BEB"/>
    <w:rsid w:val="45392515"/>
    <w:rsid w:val="4574179F"/>
    <w:rsid w:val="45864B7E"/>
    <w:rsid w:val="45921C25"/>
    <w:rsid w:val="45A51959"/>
    <w:rsid w:val="45BE0C6C"/>
    <w:rsid w:val="45DE2146"/>
    <w:rsid w:val="461D5993"/>
    <w:rsid w:val="46340F2E"/>
    <w:rsid w:val="46362EF9"/>
    <w:rsid w:val="463D4287"/>
    <w:rsid w:val="464E0242"/>
    <w:rsid w:val="46A00372"/>
    <w:rsid w:val="46C202E8"/>
    <w:rsid w:val="46C6602A"/>
    <w:rsid w:val="46EE10DD"/>
    <w:rsid w:val="46FC7EB2"/>
    <w:rsid w:val="47022DDB"/>
    <w:rsid w:val="47060B1D"/>
    <w:rsid w:val="4710374A"/>
    <w:rsid w:val="47327D10"/>
    <w:rsid w:val="475E44B5"/>
    <w:rsid w:val="47633879"/>
    <w:rsid w:val="47726EE6"/>
    <w:rsid w:val="479C4FDD"/>
    <w:rsid w:val="479E0D55"/>
    <w:rsid w:val="47A125F4"/>
    <w:rsid w:val="47B02837"/>
    <w:rsid w:val="47E250E6"/>
    <w:rsid w:val="47E349BA"/>
    <w:rsid w:val="47F15329"/>
    <w:rsid w:val="480E2158"/>
    <w:rsid w:val="482079BC"/>
    <w:rsid w:val="48384D06"/>
    <w:rsid w:val="483B65A4"/>
    <w:rsid w:val="48480CC1"/>
    <w:rsid w:val="485853A8"/>
    <w:rsid w:val="486024AF"/>
    <w:rsid w:val="48684BFE"/>
    <w:rsid w:val="48B16866"/>
    <w:rsid w:val="48C12F4D"/>
    <w:rsid w:val="48C52312"/>
    <w:rsid w:val="48C90054"/>
    <w:rsid w:val="48FC21D7"/>
    <w:rsid w:val="490966A2"/>
    <w:rsid w:val="490E3CB9"/>
    <w:rsid w:val="492C413F"/>
    <w:rsid w:val="49351245"/>
    <w:rsid w:val="49366D6C"/>
    <w:rsid w:val="4968130F"/>
    <w:rsid w:val="49731D6E"/>
    <w:rsid w:val="49B26D3A"/>
    <w:rsid w:val="49CD147E"/>
    <w:rsid w:val="49F17862"/>
    <w:rsid w:val="4A064EEE"/>
    <w:rsid w:val="4A1946C3"/>
    <w:rsid w:val="4A203CA4"/>
    <w:rsid w:val="4A6F69D9"/>
    <w:rsid w:val="4A930919"/>
    <w:rsid w:val="4AC7411F"/>
    <w:rsid w:val="4AEB42B2"/>
    <w:rsid w:val="4AEC002A"/>
    <w:rsid w:val="4B007631"/>
    <w:rsid w:val="4B241572"/>
    <w:rsid w:val="4B3053A6"/>
    <w:rsid w:val="4B407F2F"/>
    <w:rsid w:val="4B425E9C"/>
    <w:rsid w:val="4B65373A"/>
    <w:rsid w:val="4B6D116B"/>
    <w:rsid w:val="4B83273C"/>
    <w:rsid w:val="4B920BD1"/>
    <w:rsid w:val="4BB8785D"/>
    <w:rsid w:val="4BB943B0"/>
    <w:rsid w:val="4BC92119"/>
    <w:rsid w:val="4BC93EC7"/>
    <w:rsid w:val="4BD74836"/>
    <w:rsid w:val="4BDC009E"/>
    <w:rsid w:val="4BE56F53"/>
    <w:rsid w:val="4BEF1B80"/>
    <w:rsid w:val="4C03387D"/>
    <w:rsid w:val="4C0F3FD0"/>
    <w:rsid w:val="4C1930A0"/>
    <w:rsid w:val="4C371778"/>
    <w:rsid w:val="4C4243A5"/>
    <w:rsid w:val="4C59524B"/>
    <w:rsid w:val="4C6C1422"/>
    <w:rsid w:val="4C6D0CF6"/>
    <w:rsid w:val="4C8524E4"/>
    <w:rsid w:val="4CA806BF"/>
    <w:rsid w:val="4CA87F80"/>
    <w:rsid w:val="4CE0596C"/>
    <w:rsid w:val="4CE213BE"/>
    <w:rsid w:val="4CE216E4"/>
    <w:rsid w:val="4CF82CB6"/>
    <w:rsid w:val="4D00163A"/>
    <w:rsid w:val="4D4B7289"/>
    <w:rsid w:val="4D9A1FBF"/>
    <w:rsid w:val="4DB34E2F"/>
    <w:rsid w:val="4DD76D6F"/>
    <w:rsid w:val="4DEB281B"/>
    <w:rsid w:val="4DEB6377"/>
    <w:rsid w:val="4DF40F90"/>
    <w:rsid w:val="4DF571F5"/>
    <w:rsid w:val="4E08517B"/>
    <w:rsid w:val="4E157897"/>
    <w:rsid w:val="4E261AA5"/>
    <w:rsid w:val="4E2B2C17"/>
    <w:rsid w:val="4E320449"/>
    <w:rsid w:val="4E3C4E24"/>
    <w:rsid w:val="4E3C6BD2"/>
    <w:rsid w:val="4E5818E4"/>
    <w:rsid w:val="4E8D38D2"/>
    <w:rsid w:val="4E916F1E"/>
    <w:rsid w:val="4EA76741"/>
    <w:rsid w:val="4EB8094F"/>
    <w:rsid w:val="4EDB288F"/>
    <w:rsid w:val="4EE03A01"/>
    <w:rsid w:val="4EE259CC"/>
    <w:rsid w:val="4EEE3858"/>
    <w:rsid w:val="4EF63225"/>
    <w:rsid w:val="4F02606E"/>
    <w:rsid w:val="4F0F5BE3"/>
    <w:rsid w:val="4F225FB1"/>
    <w:rsid w:val="4F231B40"/>
    <w:rsid w:val="4F244236"/>
    <w:rsid w:val="4F253B0A"/>
    <w:rsid w:val="4F2A1121"/>
    <w:rsid w:val="4F2A7373"/>
    <w:rsid w:val="4F7F35E3"/>
    <w:rsid w:val="4F8E7901"/>
    <w:rsid w:val="4FC34D5C"/>
    <w:rsid w:val="4FF83F0C"/>
    <w:rsid w:val="4FFD05E3"/>
    <w:rsid w:val="50036373"/>
    <w:rsid w:val="500876B4"/>
    <w:rsid w:val="500B0F52"/>
    <w:rsid w:val="501047BA"/>
    <w:rsid w:val="50210776"/>
    <w:rsid w:val="503F0BFC"/>
    <w:rsid w:val="50A76ECD"/>
    <w:rsid w:val="50CF3D2E"/>
    <w:rsid w:val="50EB6308"/>
    <w:rsid w:val="5100482F"/>
    <w:rsid w:val="51022355"/>
    <w:rsid w:val="511A58F1"/>
    <w:rsid w:val="512C5624"/>
    <w:rsid w:val="51312E45"/>
    <w:rsid w:val="5133684B"/>
    <w:rsid w:val="513D439B"/>
    <w:rsid w:val="514C537E"/>
    <w:rsid w:val="51532BB1"/>
    <w:rsid w:val="515E50B1"/>
    <w:rsid w:val="51A46F68"/>
    <w:rsid w:val="51A90A23"/>
    <w:rsid w:val="51B55619"/>
    <w:rsid w:val="51E23F34"/>
    <w:rsid w:val="520C2D5F"/>
    <w:rsid w:val="523522B6"/>
    <w:rsid w:val="52422029"/>
    <w:rsid w:val="52546BE0"/>
    <w:rsid w:val="526C36B4"/>
    <w:rsid w:val="527F3531"/>
    <w:rsid w:val="528F7C18"/>
    <w:rsid w:val="529C2335"/>
    <w:rsid w:val="52A35472"/>
    <w:rsid w:val="52BA27BB"/>
    <w:rsid w:val="52C8312A"/>
    <w:rsid w:val="52E361B6"/>
    <w:rsid w:val="52F201A7"/>
    <w:rsid w:val="531B5950"/>
    <w:rsid w:val="53373E0C"/>
    <w:rsid w:val="536524C3"/>
    <w:rsid w:val="537D2167"/>
    <w:rsid w:val="53AF7E46"/>
    <w:rsid w:val="53B51901"/>
    <w:rsid w:val="53CB2ED2"/>
    <w:rsid w:val="53CE4770"/>
    <w:rsid w:val="53DF24DA"/>
    <w:rsid w:val="53E421E6"/>
    <w:rsid w:val="5438608E"/>
    <w:rsid w:val="544D1B39"/>
    <w:rsid w:val="54817A35"/>
    <w:rsid w:val="548412D3"/>
    <w:rsid w:val="54B27BEE"/>
    <w:rsid w:val="54C53DC5"/>
    <w:rsid w:val="54CD4A28"/>
    <w:rsid w:val="54D04518"/>
    <w:rsid w:val="55032DA2"/>
    <w:rsid w:val="55040901"/>
    <w:rsid w:val="55173EF5"/>
    <w:rsid w:val="553920BD"/>
    <w:rsid w:val="555B0286"/>
    <w:rsid w:val="556709D9"/>
    <w:rsid w:val="556E620B"/>
    <w:rsid w:val="558F7F2F"/>
    <w:rsid w:val="55A52326"/>
    <w:rsid w:val="55A61974"/>
    <w:rsid w:val="55B55BE8"/>
    <w:rsid w:val="55D025B4"/>
    <w:rsid w:val="55D41DE6"/>
    <w:rsid w:val="55DA73FC"/>
    <w:rsid w:val="55F10BEA"/>
    <w:rsid w:val="56097CE2"/>
    <w:rsid w:val="560C1580"/>
    <w:rsid w:val="561641AD"/>
    <w:rsid w:val="561A3DA8"/>
    <w:rsid w:val="561F12B3"/>
    <w:rsid w:val="56665134"/>
    <w:rsid w:val="56794E67"/>
    <w:rsid w:val="56B51C18"/>
    <w:rsid w:val="56BB01B1"/>
    <w:rsid w:val="56C1236A"/>
    <w:rsid w:val="56D92565"/>
    <w:rsid w:val="56DF05DE"/>
    <w:rsid w:val="570010E5"/>
    <w:rsid w:val="571526B6"/>
    <w:rsid w:val="571A483D"/>
    <w:rsid w:val="57376AD1"/>
    <w:rsid w:val="573B29D2"/>
    <w:rsid w:val="57723665"/>
    <w:rsid w:val="57776ECD"/>
    <w:rsid w:val="57792C45"/>
    <w:rsid w:val="57996E43"/>
    <w:rsid w:val="57CC7219"/>
    <w:rsid w:val="57CF0AB7"/>
    <w:rsid w:val="57DD4F82"/>
    <w:rsid w:val="57FC6189"/>
    <w:rsid w:val="58030761"/>
    <w:rsid w:val="58125365"/>
    <w:rsid w:val="58195595"/>
    <w:rsid w:val="58331046"/>
    <w:rsid w:val="583A23D4"/>
    <w:rsid w:val="586631C9"/>
    <w:rsid w:val="58845D45"/>
    <w:rsid w:val="58B06B3A"/>
    <w:rsid w:val="58E32A6C"/>
    <w:rsid w:val="58EA21DF"/>
    <w:rsid w:val="58F20F01"/>
    <w:rsid w:val="58FB698C"/>
    <w:rsid w:val="590824D3"/>
    <w:rsid w:val="59154BEF"/>
    <w:rsid w:val="591E0896"/>
    <w:rsid w:val="5923730C"/>
    <w:rsid w:val="59367040"/>
    <w:rsid w:val="593E7CA2"/>
    <w:rsid w:val="594E239C"/>
    <w:rsid w:val="596040BD"/>
    <w:rsid w:val="596174A9"/>
    <w:rsid w:val="59777658"/>
    <w:rsid w:val="597E2795"/>
    <w:rsid w:val="599C2C1B"/>
    <w:rsid w:val="59A0656B"/>
    <w:rsid w:val="59B85CA7"/>
    <w:rsid w:val="59C53F20"/>
    <w:rsid w:val="59EA607C"/>
    <w:rsid w:val="59F6057D"/>
    <w:rsid w:val="5A0232D6"/>
    <w:rsid w:val="5A0A5DD6"/>
    <w:rsid w:val="5A0C1B4F"/>
    <w:rsid w:val="5A1B6236"/>
    <w:rsid w:val="5A32392B"/>
    <w:rsid w:val="5AB04BD0"/>
    <w:rsid w:val="5AB83A84"/>
    <w:rsid w:val="5AC71F19"/>
    <w:rsid w:val="5ADD39F1"/>
    <w:rsid w:val="5AE26D53"/>
    <w:rsid w:val="5AF26F96"/>
    <w:rsid w:val="5B0809A3"/>
    <w:rsid w:val="5B1038C0"/>
    <w:rsid w:val="5B297C04"/>
    <w:rsid w:val="5B3D3F8A"/>
    <w:rsid w:val="5B7C4516"/>
    <w:rsid w:val="5B9718EC"/>
    <w:rsid w:val="5B9C6F02"/>
    <w:rsid w:val="5BC85F49"/>
    <w:rsid w:val="5BCD17B1"/>
    <w:rsid w:val="5BD26DC8"/>
    <w:rsid w:val="5BE82147"/>
    <w:rsid w:val="5BF141C0"/>
    <w:rsid w:val="5BF22FC6"/>
    <w:rsid w:val="5BF7509C"/>
    <w:rsid w:val="5C003935"/>
    <w:rsid w:val="5C0A3512"/>
    <w:rsid w:val="5C0F2BFF"/>
    <w:rsid w:val="5C3B671B"/>
    <w:rsid w:val="5C4D7325"/>
    <w:rsid w:val="5C6E4D42"/>
    <w:rsid w:val="5C7834CB"/>
    <w:rsid w:val="5C8E7193"/>
    <w:rsid w:val="5C9C18B0"/>
    <w:rsid w:val="5CCC1A69"/>
    <w:rsid w:val="5CD31049"/>
    <w:rsid w:val="5CD41832"/>
    <w:rsid w:val="5CDD77D2"/>
    <w:rsid w:val="5CDF354A"/>
    <w:rsid w:val="5CE70651"/>
    <w:rsid w:val="5D1A4582"/>
    <w:rsid w:val="5D2E6280"/>
    <w:rsid w:val="5D5A52C7"/>
    <w:rsid w:val="5D683540"/>
    <w:rsid w:val="5DB03139"/>
    <w:rsid w:val="5DB20C5F"/>
    <w:rsid w:val="5DC310BE"/>
    <w:rsid w:val="5DD24E5D"/>
    <w:rsid w:val="5DD5494D"/>
    <w:rsid w:val="5DD92690"/>
    <w:rsid w:val="5DF50900"/>
    <w:rsid w:val="5DFC31B0"/>
    <w:rsid w:val="5DFF33CE"/>
    <w:rsid w:val="5E084D23"/>
    <w:rsid w:val="5E167440"/>
    <w:rsid w:val="5E260E6F"/>
    <w:rsid w:val="5E2C27BF"/>
    <w:rsid w:val="5E4C2E61"/>
    <w:rsid w:val="5E6A153A"/>
    <w:rsid w:val="5E7E6D93"/>
    <w:rsid w:val="5E9A1E1F"/>
    <w:rsid w:val="5EA734E4"/>
    <w:rsid w:val="5EDD7F5D"/>
    <w:rsid w:val="5F036867"/>
    <w:rsid w:val="5F073306"/>
    <w:rsid w:val="5F17346F"/>
    <w:rsid w:val="5F1C6CD8"/>
    <w:rsid w:val="5F2B6F1B"/>
    <w:rsid w:val="5F426012"/>
    <w:rsid w:val="5F4678B1"/>
    <w:rsid w:val="5F473629"/>
    <w:rsid w:val="5F585836"/>
    <w:rsid w:val="5F5F73B9"/>
    <w:rsid w:val="5F7408C2"/>
    <w:rsid w:val="5F9C1BC7"/>
    <w:rsid w:val="603911C4"/>
    <w:rsid w:val="60457B68"/>
    <w:rsid w:val="60600E46"/>
    <w:rsid w:val="606049A2"/>
    <w:rsid w:val="60771CEC"/>
    <w:rsid w:val="609A1FB7"/>
    <w:rsid w:val="60BE4E23"/>
    <w:rsid w:val="61077514"/>
    <w:rsid w:val="61204131"/>
    <w:rsid w:val="6146003C"/>
    <w:rsid w:val="61534507"/>
    <w:rsid w:val="616621EC"/>
    <w:rsid w:val="61776447"/>
    <w:rsid w:val="617F70AA"/>
    <w:rsid w:val="618B1EF3"/>
    <w:rsid w:val="619B7808"/>
    <w:rsid w:val="61CB73F0"/>
    <w:rsid w:val="61CD42B9"/>
    <w:rsid w:val="61D41430"/>
    <w:rsid w:val="61FC06FB"/>
    <w:rsid w:val="620123E4"/>
    <w:rsid w:val="621243C2"/>
    <w:rsid w:val="623068C3"/>
    <w:rsid w:val="624D53FA"/>
    <w:rsid w:val="625C5701"/>
    <w:rsid w:val="62712E97"/>
    <w:rsid w:val="6299063F"/>
    <w:rsid w:val="629B43B7"/>
    <w:rsid w:val="62AC5F30"/>
    <w:rsid w:val="62C31A1B"/>
    <w:rsid w:val="62E43D52"/>
    <w:rsid w:val="62E775FD"/>
    <w:rsid w:val="62EC69C1"/>
    <w:rsid w:val="62F330EE"/>
    <w:rsid w:val="631A1780"/>
    <w:rsid w:val="6320666B"/>
    <w:rsid w:val="63260125"/>
    <w:rsid w:val="63267317"/>
    <w:rsid w:val="63343EC4"/>
    <w:rsid w:val="63350368"/>
    <w:rsid w:val="634F1281"/>
    <w:rsid w:val="63715118"/>
    <w:rsid w:val="637B1AF3"/>
    <w:rsid w:val="63AB062A"/>
    <w:rsid w:val="63BC2837"/>
    <w:rsid w:val="63BE035D"/>
    <w:rsid w:val="63C94F54"/>
    <w:rsid w:val="63EE0517"/>
    <w:rsid w:val="63F7561D"/>
    <w:rsid w:val="641461CF"/>
    <w:rsid w:val="642D54E3"/>
    <w:rsid w:val="64303292"/>
    <w:rsid w:val="644B5969"/>
    <w:rsid w:val="64520AA6"/>
    <w:rsid w:val="64552344"/>
    <w:rsid w:val="648C045C"/>
    <w:rsid w:val="64AD03D2"/>
    <w:rsid w:val="64AF7CA6"/>
    <w:rsid w:val="64EB5977"/>
    <w:rsid w:val="65044496"/>
    <w:rsid w:val="650A1380"/>
    <w:rsid w:val="6549634D"/>
    <w:rsid w:val="657A4758"/>
    <w:rsid w:val="65B86A3A"/>
    <w:rsid w:val="65EB7404"/>
    <w:rsid w:val="65F40283"/>
    <w:rsid w:val="662D17CA"/>
    <w:rsid w:val="66495ED8"/>
    <w:rsid w:val="6663343E"/>
    <w:rsid w:val="667B2536"/>
    <w:rsid w:val="668A2779"/>
    <w:rsid w:val="6695111E"/>
    <w:rsid w:val="66B1690D"/>
    <w:rsid w:val="66C37A39"/>
    <w:rsid w:val="66C57C55"/>
    <w:rsid w:val="66DB2FD4"/>
    <w:rsid w:val="66EC3434"/>
    <w:rsid w:val="66F145A6"/>
    <w:rsid w:val="67000C8D"/>
    <w:rsid w:val="670D6F06"/>
    <w:rsid w:val="6727621A"/>
    <w:rsid w:val="67424E02"/>
    <w:rsid w:val="67582877"/>
    <w:rsid w:val="67713939"/>
    <w:rsid w:val="677551D7"/>
    <w:rsid w:val="677F6056"/>
    <w:rsid w:val="67B53825"/>
    <w:rsid w:val="68024591"/>
    <w:rsid w:val="68246BFD"/>
    <w:rsid w:val="682664D1"/>
    <w:rsid w:val="6838144E"/>
    <w:rsid w:val="686A21E8"/>
    <w:rsid w:val="68815DFE"/>
    <w:rsid w:val="688F051A"/>
    <w:rsid w:val="68953657"/>
    <w:rsid w:val="68994EF5"/>
    <w:rsid w:val="68AA5354"/>
    <w:rsid w:val="68AA7398"/>
    <w:rsid w:val="68BE2BAE"/>
    <w:rsid w:val="69085BD7"/>
    <w:rsid w:val="690A5DF3"/>
    <w:rsid w:val="69132EFA"/>
    <w:rsid w:val="69472BA3"/>
    <w:rsid w:val="69733998"/>
    <w:rsid w:val="69C61FB9"/>
    <w:rsid w:val="69D1246D"/>
    <w:rsid w:val="6A022F6E"/>
    <w:rsid w:val="6A2C58F8"/>
    <w:rsid w:val="6A707ED8"/>
    <w:rsid w:val="6ABA2512"/>
    <w:rsid w:val="6ABE6E95"/>
    <w:rsid w:val="6AD00976"/>
    <w:rsid w:val="6B080110"/>
    <w:rsid w:val="6B1765A5"/>
    <w:rsid w:val="6B1C3BBC"/>
    <w:rsid w:val="6B364C7D"/>
    <w:rsid w:val="6B3709F5"/>
    <w:rsid w:val="6B594E10"/>
    <w:rsid w:val="6B797260"/>
    <w:rsid w:val="6B9B0F84"/>
    <w:rsid w:val="6BB40298"/>
    <w:rsid w:val="6BBE2E94"/>
    <w:rsid w:val="6BC02799"/>
    <w:rsid w:val="6BE7241B"/>
    <w:rsid w:val="6C172D01"/>
    <w:rsid w:val="6C474C68"/>
    <w:rsid w:val="6C494E84"/>
    <w:rsid w:val="6C823EF2"/>
    <w:rsid w:val="6C874CC2"/>
    <w:rsid w:val="6CA0308B"/>
    <w:rsid w:val="6CB00A5F"/>
    <w:rsid w:val="6CB0535E"/>
    <w:rsid w:val="6CB73B9C"/>
    <w:rsid w:val="6CC1022B"/>
    <w:rsid w:val="6CC369E5"/>
    <w:rsid w:val="6CEE3336"/>
    <w:rsid w:val="6D093549"/>
    <w:rsid w:val="6D2D20B0"/>
    <w:rsid w:val="6D45564C"/>
    <w:rsid w:val="6D480C98"/>
    <w:rsid w:val="6D5533B5"/>
    <w:rsid w:val="6D68133A"/>
    <w:rsid w:val="6D760E66"/>
    <w:rsid w:val="6D7D5608"/>
    <w:rsid w:val="6D8C327A"/>
    <w:rsid w:val="6D9E6B0A"/>
    <w:rsid w:val="6DBA24F0"/>
    <w:rsid w:val="6DC76061"/>
    <w:rsid w:val="6DCC7B1B"/>
    <w:rsid w:val="6DDF784E"/>
    <w:rsid w:val="6DE54739"/>
    <w:rsid w:val="6DFB5D0A"/>
    <w:rsid w:val="6E001573"/>
    <w:rsid w:val="6E0332E1"/>
    <w:rsid w:val="6E070B53"/>
    <w:rsid w:val="6E1E6B73"/>
    <w:rsid w:val="6E731D44"/>
    <w:rsid w:val="6E7F693B"/>
    <w:rsid w:val="6E881C94"/>
    <w:rsid w:val="6EB34837"/>
    <w:rsid w:val="6EB64310"/>
    <w:rsid w:val="6EC16F54"/>
    <w:rsid w:val="6EE113A4"/>
    <w:rsid w:val="6F0B6421"/>
    <w:rsid w:val="6F430380"/>
    <w:rsid w:val="6F5C6C7D"/>
    <w:rsid w:val="6F6A1CC7"/>
    <w:rsid w:val="6F6D4110"/>
    <w:rsid w:val="6F773AB6"/>
    <w:rsid w:val="6F7A7103"/>
    <w:rsid w:val="6F8B1310"/>
    <w:rsid w:val="6F9465BC"/>
    <w:rsid w:val="6F993A2D"/>
    <w:rsid w:val="6FD76303"/>
    <w:rsid w:val="6FDB2297"/>
    <w:rsid w:val="6FE54EC4"/>
    <w:rsid w:val="70076BE8"/>
    <w:rsid w:val="704A2F79"/>
    <w:rsid w:val="707D334E"/>
    <w:rsid w:val="708C17E3"/>
    <w:rsid w:val="70C90342"/>
    <w:rsid w:val="70D2369A"/>
    <w:rsid w:val="70D54F38"/>
    <w:rsid w:val="70FE623D"/>
    <w:rsid w:val="713559D7"/>
    <w:rsid w:val="71445C1A"/>
    <w:rsid w:val="716167CC"/>
    <w:rsid w:val="71625D14"/>
    <w:rsid w:val="71663DE2"/>
    <w:rsid w:val="71752972"/>
    <w:rsid w:val="71C8627B"/>
    <w:rsid w:val="71D52E2E"/>
    <w:rsid w:val="71DE7E1D"/>
    <w:rsid w:val="71EA67C2"/>
    <w:rsid w:val="72035AD5"/>
    <w:rsid w:val="72071122"/>
    <w:rsid w:val="72086C48"/>
    <w:rsid w:val="720F7FD6"/>
    <w:rsid w:val="723637B5"/>
    <w:rsid w:val="723E2669"/>
    <w:rsid w:val="725917E7"/>
    <w:rsid w:val="72606A84"/>
    <w:rsid w:val="726E11A1"/>
    <w:rsid w:val="727A5D97"/>
    <w:rsid w:val="728C1627"/>
    <w:rsid w:val="729D3834"/>
    <w:rsid w:val="72BD5C84"/>
    <w:rsid w:val="72DA6836"/>
    <w:rsid w:val="72EE408F"/>
    <w:rsid w:val="72F5541E"/>
    <w:rsid w:val="730E4732"/>
    <w:rsid w:val="73214465"/>
    <w:rsid w:val="73263829"/>
    <w:rsid w:val="73655314"/>
    <w:rsid w:val="7375030D"/>
    <w:rsid w:val="73880040"/>
    <w:rsid w:val="73966C01"/>
    <w:rsid w:val="73A806E2"/>
    <w:rsid w:val="73B25A48"/>
    <w:rsid w:val="73CA0460"/>
    <w:rsid w:val="73E060CE"/>
    <w:rsid w:val="73E7745D"/>
    <w:rsid w:val="73F456D6"/>
    <w:rsid w:val="742A7349"/>
    <w:rsid w:val="742C597A"/>
    <w:rsid w:val="746C4BA1"/>
    <w:rsid w:val="746F1200"/>
    <w:rsid w:val="74934EEE"/>
    <w:rsid w:val="74BB2697"/>
    <w:rsid w:val="74DA0D6F"/>
    <w:rsid w:val="74E92D60"/>
    <w:rsid w:val="74FF4332"/>
    <w:rsid w:val="75120509"/>
    <w:rsid w:val="751A5610"/>
    <w:rsid w:val="7530273D"/>
    <w:rsid w:val="75363ACC"/>
    <w:rsid w:val="753C7334"/>
    <w:rsid w:val="75630AF4"/>
    <w:rsid w:val="75866801"/>
    <w:rsid w:val="759C7D7F"/>
    <w:rsid w:val="75BE41ED"/>
    <w:rsid w:val="75CB4B5C"/>
    <w:rsid w:val="75E25E8E"/>
    <w:rsid w:val="76193DFA"/>
    <w:rsid w:val="76216C45"/>
    <w:rsid w:val="762F50EB"/>
    <w:rsid w:val="763077F0"/>
    <w:rsid w:val="76326989"/>
    <w:rsid w:val="763919D9"/>
    <w:rsid w:val="763E532E"/>
    <w:rsid w:val="76937428"/>
    <w:rsid w:val="76A41635"/>
    <w:rsid w:val="76A96C4B"/>
    <w:rsid w:val="76AC2297"/>
    <w:rsid w:val="76AF1D88"/>
    <w:rsid w:val="76CF5F86"/>
    <w:rsid w:val="76D81E31"/>
    <w:rsid w:val="77737259"/>
    <w:rsid w:val="77770AF7"/>
    <w:rsid w:val="777D66FD"/>
    <w:rsid w:val="77974CF6"/>
    <w:rsid w:val="779C40BA"/>
    <w:rsid w:val="77B238DE"/>
    <w:rsid w:val="77B51620"/>
    <w:rsid w:val="77B91110"/>
    <w:rsid w:val="77BC29AE"/>
    <w:rsid w:val="78715547"/>
    <w:rsid w:val="78762B5D"/>
    <w:rsid w:val="7893651F"/>
    <w:rsid w:val="78947487"/>
    <w:rsid w:val="78CB40C9"/>
    <w:rsid w:val="78E026CC"/>
    <w:rsid w:val="78E73A5B"/>
    <w:rsid w:val="79004B1D"/>
    <w:rsid w:val="790E0FE8"/>
    <w:rsid w:val="796230E1"/>
    <w:rsid w:val="79696D5B"/>
    <w:rsid w:val="799768F0"/>
    <w:rsid w:val="79A11E5C"/>
    <w:rsid w:val="79A951B4"/>
    <w:rsid w:val="79A96F62"/>
    <w:rsid w:val="79AC25AE"/>
    <w:rsid w:val="79C979FB"/>
    <w:rsid w:val="79D12015"/>
    <w:rsid w:val="79D7587D"/>
    <w:rsid w:val="79D97847"/>
    <w:rsid w:val="79F20909"/>
    <w:rsid w:val="7A1545F8"/>
    <w:rsid w:val="7A28128D"/>
    <w:rsid w:val="7A287E87"/>
    <w:rsid w:val="7A2E1215"/>
    <w:rsid w:val="7A3031E0"/>
    <w:rsid w:val="7A5B64AE"/>
    <w:rsid w:val="7A5E7D4D"/>
    <w:rsid w:val="7A7F3E50"/>
    <w:rsid w:val="7A897628"/>
    <w:rsid w:val="7AA5772A"/>
    <w:rsid w:val="7ABB519F"/>
    <w:rsid w:val="7AD46261"/>
    <w:rsid w:val="7AE5221C"/>
    <w:rsid w:val="7B0C77A9"/>
    <w:rsid w:val="7B474C85"/>
    <w:rsid w:val="7B5D1DB2"/>
    <w:rsid w:val="7B647318"/>
    <w:rsid w:val="7B694BFB"/>
    <w:rsid w:val="7B7A0BB6"/>
    <w:rsid w:val="7B7B66DC"/>
    <w:rsid w:val="7B7E3E42"/>
    <w:rsid w:val="7B841A35"/>
    <w:rsid w:val="7B9D26BC"/>
    <w:rsid w:val="7BB73BB8"/>
    <w:rsid w:val="7BC77B74"/>
    <w:rsid w:val="7BF70459"/>
    <w:rsid w:val="7C0D22DA"/>
    <w:rsid w:val="7C1F350C"/>
    <w:rsid w:val="7C3C40BE"/>
    <w:rsid w:val="7C3E1BE4"/>
    <w:rsid w:val="7C5E1F34"/>
    <w:rsid w:val="7C60749C"/>
    <w:rsid w:val="7C624616"/>
    <w:rsid w:val="7C683105"/>
    <w:rsid w:val="7C727ADF"/>
    <w:rsid w:val="7C773348"/>
    <w:rsid w:val="7C790E6E"/>
    <w:rsid w:val="7C815F74"/>
    <w:rsid w:val="7C920181"/>
    <w:rsid w:val="7CA26617"/>
    <w:rsid w:val="7CB2612E"/>
    <w:rsid w:val="7CB4634A"/>
    <w:rsid w:val="7CB65C1E"/>
    <w:rsid w:val="7CC85A70"/>
    <w:rsid w:val="7CD04806"/>
    <w:rsid w:val="7CD71AFC"/>
    <w:rsid w:val="7CDB38D7"/>
    <w:rsid w:val="7CF90201"/>
    <w:rsid w:val="7D1D3EEF"/>
    <w:rsid w:val="7D3B25C7"/>
    <w:rsid w:val="7D513B99"/>
    <w:rsid w:val="7D5D42EC"/>
    <w:rsid w:val="7D6E02A7"/>
    <w:rsid w:val="7DAE0FEB"/>
    <w:rsid w:val="7DC73E5B"/>
    <w:rsid w:val="7DCB56F9"/>
    <w:rsid w:val="7DCC321F"/>
    <w:rsid w:val="7DCE51E9"/>
    <w:rsid w:val="7DD65A11"/>
    <w:rsid w:val="7DDA4A6C"/>
    <w:rsid w:val="7DE44A0D"/>
    <w:rsid w:val="7DF84014"/>
    <w:rsid w:val="7DFA7D8C"/>
    <w:rsid w:val="7E06015E"/>
    <w:rsid w:val="7E327526"/>
    <w:rsid w:val="7E4436FD"/>
    <w:rsid w:val="7E5971A9"/>
    <w:rsid w:val="7E7C69F3"/>
    <w:rsid w:val="7E9006F1"/>
    <w:rsid w:val="7EB77A2B"/>
    <w:rsid w:val="7EEC1DCB"/>
    <w:rsid w:val="7EEF5417"/>
    <w:rsid w:val="7EF7251E"/>
    <w:rsid w:val="7F127358"/>
    <w:rsid w:val="7F3C0728"/>
    <w:rsid w:val="7F3D2627"/>
    <w:rsid w:val="7F3E639F"/>
    <w:rsid w:val="7F871AF4"/>
    <w:rsid w:val="7F8E4C30"/>
    <w:rsid w:val="7F98785D"/>
    <w:rsid w:val="7F9F0FE3"/>
    <w:rsid w:val="7FAC4C99"/>
    <w:rsid w:val="7FAE08F2"/>
    <w:rsid w:val="7FB1091F"/>
    <w:rsid w:val="DF7AD8D6"/>
    <w:rsid w:val="F3EFEC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5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4"/>
    <w:qFormat/>
    <w:uiPriority w:val="0"/>
    <w:pPr>
      <w:shd w:val="clear" w:color="auto" w:fill="000080"/>
    </w:pPr>
  </w:style>
  <w:style w:type="paragraph" w:styleId="15">
    <w:name w:val="annotation text"/>
    <w:basedOn w:val="1"/>
    <w:link w:val="65"/>
    <w:qFormat/>
    <w:uiPriority w:val="99"/>
    <w:pPr>
      <w:jc w:val="left"/>
    </w:pPr>
  </w:style>
  <w:style w:type="paragraph" w:styleId="16">
    <w:name w:val="Body Text 3"/>
    <w:basedOn w:val="1"/>
    <w:link w:val="66"/>
    <w:qFormat/>
    <w:uiPriority w:val="0"/>
    <w:pPr>
      <w:spacing w:after="120"/>
    </w:pPr>
    <w:rPr>
      <w:sz w:val="16"/>
      <w:szCs w:val="16"/>
    </w:rPr>
  </w:style>
  <w:style w:type="paragraph" w:styleId="17">
    <w:name w:val="Body Text"/>
    <w:basedOn w:val="1"/>
    <w:next w:val="1"/>
    <w:link w:val="67"/>
    <w:qFormat/>
    <w:uiPriority w:val="0"/>
    <w:pPr>
      <w:tabs>
        <w:tab w:val="left" w:pos="567"/>
      </w:tabs>
      <w:spacing w:before="120" w:line="22" w:lineRule="atLeast"/>
    </w:pPr>
    <w:rPr>
      <w:rFonts w:ascii="宋体" w:hAnsi="宋体"/>
      <w:sz w:val="24"/>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7"/>
    <w:qFormat/>
    <w:uiPriority w:val="0"/>
    <w:pPr>
      <w:jc w:val="center"/>
      <w:outlineLvl w:val="0"/>
    </w:pPr>
    <w:rPr>
      <w:b/>
      <w:sz w:val="32"/>
      <w:szCs w:val="20"/>
    </w:rPr>
  </w:style>
  <w:style w:type="paragraph" w:styleId="40">
    <w:name w:val="annotation subject"/>
    <w:basedOn w:val="15"/>
    <w:next w:val="15"/>
    <w:link w:val="78"/>
    <w:qFormat/>
    <w:uiPriority w:val="0"/>
    <w:rPr>
      <w:b/>
      <w:bCs/>
    </w:rPr>
  </w:style>
  <w:style w:type="paragraph" w:styleId="41">
    <w:name w:val="Body Text First Indent 2"/>
    <w:basedOn w:val="18"/>
    <w:link w:val="79"/>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Char"/>
    <w:qFormat/>
    <w:uiPriority w:val="0"/>
    <w:rPr>
      <w:rFonts w:ascii="宋体" w:eastAsia="宋体"/>
      <w:b/>
      <w:sz w:val="24"/>
      <w:u w:val="single"/>
      <w:lang w:val="en-US" w:eastAsia="zh-CN" w:bidi="ar-SA"/>
    </w:rPr>
  </w:style>
  <w:style w:type="character" w:customStyle="1" w:styleId="55">
    <w:name w:val="标题 1 字符"/>
    <w:link w:val="2"/>
    <w:qFormat/>
    <w:uiPriority w:val="0"/>
    <w:rPr>
      <w:rFonts w:ascii="宋体"/>
      <w:b/>
      <w:kern w:val="44"/>
      <w:sz w:val="32"/>
    </w:rPr>
  </w:style>
  <w:style w:type="character" w:customStyle="1" w:styleId="56">
    <w:name w:val="正文缩进 字符"/>
    <w:link w:val="4"/>
    <w:qFormat/>
    <w:uiPriority w:val="0"/>
    <w:rPr>
      <w:rFonts w:ascii="宋体" w:eastAsia="宋体"/>
      <w:kern w:val="2"/>
      <w:sz w:val="24"/>
      <w:szCs w:val="24"/>
      <w:lang w:val="en-US" w:eastAsia="zh-CN" w:bidi="ar-SA"/>
    </w:rPr>
  </w:style>
  <w:style w:type="character" w:customStyle="1" w:styleId="57">
    <w:name w:val="标题 3 字符"/>
    <w:link w:val="5"/>
    <w:qFormat/>
    <w:uiPriority w:val="0"/>
    <w:rPr>
      <w:rFonts w:ascii="宋体" w:eastAsia="宋体"/>
      <w:b/>
      <w:sz w:val="24"/>
      <w:u w:val="single"/>
      <w:lang w:val="en-US" w:eastAsia="zh-CN" w:bidi="ar-SA"/>
    </w:rPr>
  </w:style>
  <w:style w:type="character" w:customStyle="1" w:styleId="58">
    <w:name w:val="标题 4 字符"/>
    <w:link w:val="6"/>
    <w:qFormat/>
    <w:uiPriority w:val="0"/>
    <w:rPr>
      <w:rFonts w:ascii="Arial" w:hAnsi="Arial" w:eastAsia="黑体"/>
      <w:b/>
      <w:sz w:val="28"/>
    </w:rPr>
  </w:style>
  <w:style w:type="character" w:customStyle="1" w:styleId="59">
    <w:name w:val="标题 5 字符"/>
    <w:link w:val="7"/>
    <w:qFormat/>
    <w:uiPriority w:val="0"/>
    <w:rPr>
      <w:b/>
      <w:sz w:val="28"/>
    </w:rPr>
  </w:style>
  <w:style w:type="character" w:customStyle="1" w:styleId="60">
    <w:name w:val="标题 6 字符"/>
    <w:link w:val="8"/>
    <w:qFormat/>
    <w:uiPriority w:val="0"/>
    <w:rPr>
      <w:rFonts w:ascii="Arial" w:hAnsi="Arial" w:eastAsia="黑体"/>
      <w:b/>
      <w:sz w:val="24"/>
    </w:rPr>
  </w:style>
  <w:style w:type="character" w:customStyle="1" w:styleId="61">
    <w:name w:val="标题 7 字符"/>
    <w:link w:val="9"/>
    <w:qFormat/>
    <w:uiPriority w:val="0"/>
    <w:rPr>
      <w:b/>
      <w:sz w:val="24"/>
    </w:rPr>
  </w:style>
  <w:style w:type="character" w:customStyle="1" w:styleId="62">
    <w:name w:val="标题 8 字符"/>
    <w:link w:val="10"/>
    <w:qFormat/>
    <w:uiPriority w:val="0"/>
    <w:rPr>
      <w:rFonts w:ascii="Arial" w:hAnsi="Arial" w:eastAsia="黑体"/>
      <w:sz w:val="24"/>
    </w:rPr>
  </w:style>
  <w:style w:type="character" w:customStyle="1" w:styleId="63">
    <w:name w:val="标题 9 字符"/>
    <w:link w:val="11"/>
    <w:qFormat/>
    <w:uiPriority w:val="0"/>
    <w:rPr>
      <w:rFonts w:ascii="Arial" w:hAnsi="Arial" w:eastAsia="黑体"/>
      <w:sz w:val="21"/>
    </w:rPr>
  </w:style>
  <w:style w:type="character" w:customStyle="1" w:styleId="64">
    <w:name w:val="文档结构图 字符"/>
    <w:link w:val="14"/>
    <w:qFormat/>
    <w:uiPriority w:val="0"/>
    <w:rPr>
      <w:kern w:val="2"/>
      <w:sz w:val="21"/>
      <w:szCs w:val="24"/>
      <w:shd w:val="clear" w:color="auto" w:fill="000080"/>
    </w:rPr>
  </w:style>
  <w:style w:type="character" w:customStyle="1" w:styleId="65">
    <w:name w:val="批注文字 字符1"/>
    <w:link w:val="15"/>
    <w:qFormat/>
    <w:uiPriority w:val="99"/>
    <w:rPr>
      <w:kern w:val="2"/>
      <w:sz w:val="21"/>
      <w:szCs w:val="24"/>
    </w:rPr>
  </w:style>
  <w:style w:type="character" w:customStyle="1" w:styleId="66">
    <w:name w:val="正文文本 3 字符"/>
    <w:link w:val="16"/>
    <w:qFormat/>
    <w:uiPriority w:val="0"/>
    <w:rPr>
      <w:kern w:val="2"/>
      <w:sz w:val="16"/>
      <w:szCs w:val="16"/>
    </w:rPr>
  </w:style>
  <w:style w:type="character" w:customStyle="1" w:styleId="67">
    <w:name w:val="正文文本 字符"/>
    <w:link w:val="17"/>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29"/>
    <w:qFormat/>
    <w:uiPriority w:val="99"/>
    <w:rPr>
      <w:rFonts w:eastAsia="宋体"/>
      <w:kern w:val="2"/>
      <w:sz w:val="18"/>
      <w:szCs w:val="18"/>
      <w:lang w:val="en-US" w:eastAsia="zh-CN" w:bidi="ar-SA"/>
    </w:rPr>
  </w:style>
  <w:style w:type="character" w:customStyle="1" w:styleId="75">
    <w:name w:val="正文文本缩进 3 字符"/>
    <w:link w:val="33"/>
    <w:qFormat/>
    <w:uiPriority w:val="0"/>
    <w:rPr>
      <w:rFonts w:ascii="宋体"/>
      <w:sz w:val="24"/>
    </w:rPr>
  </w:style>
  <w:style w:type="character" w:customStyle="1" w:styleId="76">
    <w:name w:val="HTML 预设格式 字符"/>
    <w:link w:val="36"/>
    <w:qFormat/>
    <w:uiPriority w:val="0"/>
    <w:rPr>
      <w:rFonts w:ascii="宋体" w:hAnsi="宋体" w:cs="宋体"/>
      <w:sz w:val="24"/>
      <w:szCs w:val="24"/>
    </w:rPr>
  </w:style>
  <w:style w:type="character" w:customStyle="1" w:styleId="77">
    <w:name w:val="标题 字符"/>
    <w:link w:val="39"/>
    <w:qFormat/>
    <w:uiPriority w:val="0"/>
    <w:rPr>
      <w:b/>
      <w:kern w:val="2"/>
      <w:sz w:val="32"/>
    </w:rPr>
  </w:style>
  <w:style w:type="character" w:customStyle="1" w:styleId="78">
    <w:name w:val="批注主题 字符"/>
    <w:link w:val="40"/>
    <w:qFormat/>
    <w:uiPriority w:val="0"/>
    <w:rPr>
      <w:rFonts w:ascii="Times New Roman" w:hAnsi="Times New Roman" w:eastAsia="宋体" w:cs="Times New Roman"/>
      <w:b/>
      <w:bCs/>
      <w:kern w:val="2"/>
      <w:sz w:val="21"/>
      <w:szCs w:val="24"/>
      <w:lang w:val="en-US" w:eastAsia="zh-CN" w:bidi="ar-SA"/>
    </w:rPr>
  </w:style>
  <w:style w:type="character" w:customStyle="1" w:styleId="79">
    <w:name w:val="正文文本首行缩进 2 字符"/>
    <w:link w:val="41"/>
    <w:qFormat/>
    <w:uiPriority w:val="0"/>
    <w:rPr>
      <w:rFonts w:eastAsia="宋体"/>
      <w:kern w:val="2"/>
      <w:sz w:val="24"/>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8"/>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2"/>
    <w:qFormat/>
    <w:uiPriority w:val="0"/>
    <w:pPr>
      <w:jc w:val="left"/>
    </w:pPr>
    <w:rPr>
      <w:sz w:val="24"/>
      <w:szCs w:val="24"/>
    </w:rPr>
  </w:style>
  <w:style w:type="paragraph" w:customStyle="1" w:styleId="204">
    <w:name w:val="正文小标题"/>
    <w:basedOn w:val="1"/>
    <w:next w:val="4"/>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4"/>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_0"/>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8">
    <w:name w:val="Table Text"/>
    <w:basedOn w:val="1"/>
    <w:semiHidden/>
    <w:qFormat/>
    <w:uiPriority w:val="0"/>
    <w:rPr>
      <w:rFonts w:ascii="Arial" w:hAnsi="Arial" w:eastAsia="Arial" w:cs="Arial"/>
      <w:sz w:val="21"/>
      <w:szCs w:val="21"/>
      <w:lang w:val="en-US" w:eastAsia="en-US" w:bidi="ar-SA"/>
    </w:rPr>
  </w:style>
  <w:style w:type="paragraph" w:customStyle="1" w:styleId="249">
    <w:name w:val="样式 标题 2 + Times New Roman 四号 非加粗 段前: 5 磅 段后: 0 磅 行距: 固定值 20..."/>
    <w:basedOn w:val="3"/>
    <w:qFormat/>
    <w:uiPriority w:val="0"/>
    <w:pPr>
      <w:spacing w:before="100" w:line="400" w:lineRule="exact"/>
    </w:pPr>
    <w:rPr>
      <w:rFonts w:ascii="Times New Roman" w:hAnsi="Times New Roman" w:cs="宋体"/>
      <w:b w:val="0"/>
      <w:sz w:val="28"/>
    </w:rPr>
  </w:style>
  <w:style w:type="paragraph" w:customStyle="1" w:styleId="250">
    <w:name w:val="样式 标题 3 + (中文) 黑体 小四 非加粗 段前: 7.8 磅 段后: 0 磅 行距: 固定值 20 磅"/>
    <w:basedOn w:val="5"/>
    <w:qFormat/>
    <w:uiPriority w:val="0"/>
    <w:pPr>
      <w:spacing w:beforeLines="50" w:afterLines="50" w:line="360" w:lineRule="auto"/>
      <w:jc w:val="both"/>
    </w:pPr>
    <w:rPr>
      <w:b w:val="0"/>
    </w:rPr>
  </w:style>
  <w:style w:type="character" w:customStyle="1" w:styleId="251">
    <w:name w:val="样式 粉红"/>
    <w:qFormat/>
    <w:uiPriority w:val="0"/>
    <w:rPr>
      <w:color w:val="auto"/>
      <w:u w:val="none"/>
    </w:rPr>
  </w:style>
  <w:style w:type="paragraph" w:customStyle="1" w:styleId="252">
    <w:name w:val="Normal_0"/>
    <w:qFormat/>
    <w:uiPriority w:val="99"/>
    <w:pPr>
      <w:spacing w:before="120" w:after="240"/>
      <w:jc w:val="both"/>
    </w:pPr>
    <w:rPr>
      <w:rFonts w:ascii="Times New Roman" w:hAnsi="Times New Roman" w:eastAsia="宋体" w:cs="Times New Roman"/>
      <w:sz w:val="22"/>
      <w:szCs w:val="22"/>
      <w:lang w:val="ru-RU" w:eastAsia="en-US" w:bidi="ar-SA"/>
    </w:rPr>
  </w:style>
  <w:style w:type="table" w:customStyle="1" w:styleId="253">
    <w:name w:val="Table Grid_0"/>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Table Grid_1"/>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
    <w:name w:val="Table Grid_2"/>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130</Pages>
  <Words>17113</Words>
  <Characters>17885</Characters>
  <Lines>527</Lines>
  <Paragraphs>148</Paragraphs>
  <TotalTime>1</TotalTime>
  <ScaleCrop>false</ScaleCrop>
  <LinksUpToDate>false</LinksUpToDate>
  <CharactersWithSpaces>18151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寒寒</cp:lastModifiedBy>
  <cp:lastPrinted>2020-04-02T03:13:00Z</cp:lastPrinted>
  <dcterms:modified xsi:type="dcterms:W3CDTF">2026-07-10T07:14:48Z</dcterms:modified>
  <dc:title>02年杜范本稿</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D7B80B5F1D35430D9EF2C99A0F1168C6_13</vt:lpwstr>
  </property>
  <property fmtid="{D5CDD505-2E9C-101B-9397-08002B2CF9AE}" pid="3" name="KSOProductBuildVer">
    <vt:lpwstr>2052-12.1.0.26895</vt:lpwstr>
  </property>
  <property fmtid="{D5CDD505-2E9C-101B-9397-08002B2CF9AE}" pid="4" name="KSOTemplateDocerSaveRecord">
    <vt:lpwstr>eyJoZGlkIjoiYThlYWE0YjVjOGQ1MzdjMDU3ZTU3ZjBhNzIzYmMxNjAiLCJ1c2VySWQiOiIzNTQzNzQyNzAifQ==</vt:lpwstr>
  </property>
</Properties>
</file>