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5"/>
        <w:widowControl w:val="0"/>
        <w:autoSpaceDE w:val="0"/>
        <w:autoSpaceDN w:val="0"/>
        <w:adjustRightInd w:val="0"/>
        <w:spacing w:before="0" w:after="0" w:line="360" w:lineRule="atLeast"/>
        <w:jc w:val="center"/>
        <w:rPr>
          <w:rFonts w:hint="eastAsia" w:ascii="仿宋_GB2312" w:hAnsi="仿宋_GB2312" w:eastAsia="仿宋_GB2312" w:cs="仿宋_GB2312"/>
          <w:color w:val="auto"/>
          <w:sz w:val="84"/>
          <w:szCs w:val="84"/>
          <w:lang w:eastAsia="zh-CN"/>
        </w:rPr>
      </w:pPr>
    </w:p>
    <w:p>
      <w:pPr>
        <w:pStyle w:val="35"/>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11011524210200015845-XM001</w:t>
      </w:r>
    </w:p>
    <w:p>
      <w:pPr>
        <w:adjustRightInd w:val="0"/>
        <w:spacing w:line="360" w:lineRule="atLeast"/>
        <w:ind w:left="2560" w:hanging="2560" w:hangingChars="800"/>
        <w:jc w:val="left"/>
        <w:textAlignment w:val="baseline"/>
        <w:rPr>
          <w:rFonts w:hint="eastAsia" w:ascii="宋体" w:hAnsi="宋体" w:eastAsia="宋体"/>
          <w:color w:val="auto"/>
          <w:kern w:val="0"/>
          <w:sz w:val="32"/>
          <w:szCs w:val="32"/>
          <w:u w:val="single"/>
          <w:lang w:eastAsia="zh-CN"/>
        </w:rPr>
      </w:pPr>
      <w:r>
        <w:rPr>
          <w:rFonts w:hint="eastAsia" w:ascii="宋体" w:hAnsi="宋体"/>
          <w:color w:val="auto"/>
          <w:kern w:val="0"/>
          <w:sz w:val="32"/>
          <w:szCs w:val="32"/>
        </w:rPr>
        <w:t xml:space="preserve">      项目名称：</w:t>
      </w:r>
      <w:r>
        <w:rPr>
          <w:rFonts w:hint="eastAsia" w:ascii="宋体" w:hAnsi="宋体"/>
          <w:color w:val="auto"/>
          <w:kern w:val="0"/>
          <w:sz w:val="32"/>
          <w:szCs w:val="32"/>
          <w:lang w:eastAsia="zh-CN"/>
        </w:rPr>
        <w:t>大兴区政协委员服务中心物业服务项目</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7" w:type="first"/>
          <w:headerReference r:id="rId4" w:type="default"/>
          <w:footerReference r:id="rId6"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四</w:t>
      </w:r>
      <w:r>
        <w:rPr>
          <w:rFonts w:hint="eastAsia" w:ascii="宋体" w:hAnsi="宋体"/>
          <w:color w:val="auto"/>
          <w:kern w:val="0"/>
          <w:sz w:val="32"/>
          <w:szCs w:val="32"/>
        </w:rPr>
        <w:t>年</w:t>
      </w:r>
      <w:r>
        <w:rPr>
          <w:rFonts w:hint="eastAsia" w:ascii="宋体" w:hAnsi="宋体"/>
          <w:color w:val="auto"/>
          <w:kern w:val="0"/>
          <w:sz w:val="32"/>
          <w:szCs w:val="32"/>
          <w:lang w:eastAsia="zh-CN"/>
        </w:rPr>
        <w:t>二</w:t>
      </w:r>
      <w:r>
        <w:rPr>
          <w:rFonts w:hint="eastAsia" w:ascii="宋体" w:hAnsi="宋体"/>
          <w:color w:val="auto"/>
          <w:kern w:val="0"/>
          <w:sz w:val="32"/>
          <w:szCs w:val="32"/>
        </w:rPr>
        <w:t>月</w:t>
      </w:r>
    </w:p>
    <w:p>
      <w:pPr>
        <w:pStyle w:val="35"/>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35"/>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lang w:eastAsia="zh-CN"/>
        </w:rPr>
      </w:pPr>
      <w:r>
        <w:rPr>
          <w:rFonts w:hint="eastAsia" w:ascii="仿宋_GB2312" w:hAnsi="QWCHIJ+»ªÎÄÏ¸ºÚ" w:eastAsia="仿宋_GB2312" w:cs="QWCHIJ+»ªÎÄÏ¸ºÚ"/>
          <w:b/>
          <w:color w:val="auto"/>
          <w:sz w:val="28"/>
          <w:szCs w:val="28"/>
          <w:lang w:eastAsia="zh-CN"/>
        </w:rPr>
        <w:t>目  录</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2</w:t>
      </w:r>
    </w:p>
    <w:p>
      <w:pPr>
        <w:pStyle w:val="35"/>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eastAsia="仿宋_GB2312"/>
          <w:color w:val="auto"/>
          <w:sz w:val="24"/>
          <w:szCs w:val="24"/>
          <w:lang w:val="en-US" w:eastAsia="zh-CN"/>
        </w:rPr>
        <w:t>.8</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24</w:t>
      </w:r>
    </w:p>
    <w:p>
      <w:pPr>
        <w:pStyle w:val="35"/>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38</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43</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48</w:t>
      </w:r>
    </w:p>
    <w:p>
      <w:pPr>
        <w:pStyle w:val="35"/>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52</w:t>
      </w:r>
    </w:p>
    <w:p>
      <w:pPr>
        <w:pStyle w:val="35"/>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62</w:t>
      </w:r>
    </w:p>
    <w:p>
      <w:pPr>
        <w:pStyle w:val="35"/>
        <w:widowControl w:val="0"/>
        <w:autoSpaceDE w:val="0"/>
        <w:autoSpaceDN w:val="0"/>
        <w:adjustRightInd w:val="0"/>
        <w:spacing w:before="0" w:after="0"/>
        <w:rPr>
          <w:rFonts w:ascii="仿宋_GB2312" w:eastAsia="仿宋_GB2312"/>
          <w:color w:val="auto"/>
          <w:sz w:val="24"/>
          <w:szCs w:val="24"/>
          <w:lang w:eastAsia="zh-CN"/>
        </w:rPr>
      </w:pPr>
    </w:p>
    <w:p>
      <w:pPr>
        <w:pStyle w:val="35"/>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2" w:type="first"/>
          <w:headerReference r:id="rId8" w:type="default"/>
          <w:footerReference r:id="rId10" w:type="default"/>
          <w:headerReference r:id="rId9" w:type="even"/>
          <w:footerReference r:id="rId11"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2"/>
        <w:keepNext w:val="0"/>
        <w:keepLines w:val="0"/>
        <w:widowControl/>
        <w:numPr>
          <w:ilvl w:val="0"/>
          <w:numId w:val="0"/>
        </w:numPr>
        <w:suppressLineNumbers w:val="0"/>
        <w:spacing w:before="0" w:beforeAutospacing="0" w:after="240" w:afterAutospacing="0"/>
        <w:ind w:leftChars="0" w:firstLine="480" w:firstLineChars="200"/>
        <w:rPr>
          <w:rFonts w:ascii="仿宋_GB2312" w:eastAsia="仿宋_GB2312"/>
          <w:b/>
          <w:bCs/>
          <w:color w:val="auto"/>
          <w:sz w:val="24"/>
          <w:szCs w:val="24"/>
          <w:lang w:eastAsia="zh-CN"/>
        </w:rPr>
      </w:pPr>
      <w:r>
        <w:rPr>
          <w:rFonts w:hint="eastAsia" w:ascii="仿宋_GB2312" w:eastAsia="仿宋_GB2312"/>
          <w:b w:val="0"/>
          <w:bCs w:val="0"/>
          <w:color w:val="auto"/>
          <w:sz w:val="24"/>
          <w:szCs w:val="24"/>
          <w:lang w:eastAsia="zh-CN"/>
        </w:rPr>
        <w:t>北京市大兴区政府采购中心(以下简称采购中心)受</w:t>
      </w:r>
      <w:r>
        <w:rPr>
          <w:rFonts w:hint="eastAsia" w:ascii="仿宋_GB2312" w:eastAsia="仿宋_GB2312"/>
          <w:b w:val="0"/>
          <w:bCs w:val="0"/>
          <w:color w:val="auto"/>
          <w:sz w:val="24"/>
          <w:szCs w:val="24"/>
          <w:u w:val="single"/>
          <w:lang w:val="en-US" w:eastAsia="zh-CN"/>
        </w:rPr>
        <w:t>北京市大兴区机关事务管理服务中心</w:t>
      </w:r>
      <w:r>
        <w:rPr>
          <w:rFonts w:hint="eastAsia" w:ascii="仿宋_GB2312" w:eastAsia="仿宋_GB2312"/>
          <w:b w:val="0"/>
          <w:bCs w:val="0"/>
          <w:color w:val="auto"/>
          <w:sz w:val="24"/>
          <w:szCs w:val="24"/>
          <w:lang w:eastAsia="zh-CN"/>
        </w:rPr>
        <w:t>的委托，对</w:t>
      </w:r>
      <w:r>
        <w:rPr>
          <w:rFonts w:hint="eastAsia" w:ascii="仿宋_GB2312" w:eastAsia="仿宋_GB2312"/>
          <w:b w:val="0"/>
          <w:bCs w:val="0"/>
          <w:color w:val="auto"/>
          <w:sz w:val="24"/>
          <w:szCs w:val="24"/>
          <w:u w:val="single"/>
          <w:lang w:val="en-US" w:eastAsia="zh-CN"/>
        </w:rPr>
        <w:t>大兴区政协委员服务中心物业服务项目</w:t>
      </w:r>
      <w:r>
        <w:rPr>
          <w:rFonts w:hint="eastAsia" w:ascii="仿宋_GB2312" w:eastAsia="仿宋_GB2312"/>
          <w:b w:val="0"/>
          <w:bCs w:val="0"/>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本项目为全流程电子化项目。</w:t>
      </w:r>
    </w:p>
    <w:p>
      <w:pPr>
        <w:pStyle w:val="35"/>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项目名称：大兴区政协委员服务中心物业服务项目 </w:t>
      </w:r>
    </w:p>
    <w:p>
      <w:pPr>
        <w:pStyle w:val="35"/>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11011524210200015845-XM001</w:t>
      </w:r>
    </w:p>
    <w:p>
      <w:pPr>
        <w:pStyle w:val="35"/>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35"/>
        <w:widowControl w:val="0"/>
        <w:wordWrap/>
        <w:autoSpaceDE w:val="0"/>
        <w:autoSpaceDN w:val="0"/>
        <w:adjustRightInd w:val="0"/>
        <w:snapToGrid/>
        <w:spacing w:before="0" w:after="0" w:line="360" w:lineRule="auto"/>
        <w:textAlignment w:val="auto"/>
        <w:rPr>
          <w:rFonts w:hint="default" w:ascii="仿宋_GB2312" w:eastAsia="仿宋_GB2312"/>
          <w:color w:val="FF0000"/>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val="en-US" w:eastAsia="zh-CN"/>
        </w:rPr>
        <w:t>360万元</w:t>
      </w:r>
      <w:r>
        <w:rPr>
          <w:rFonts w:hint="eastAsia" w:ascii="仿宋_GB2312" w:eastAsia="仿宋_GB2312"/>
          <w:color w:val="auto"/>
          <w:sz w:val="24"/>
          <w:szCs w:val="24"/>
          <w:lang w:eastAsia="zh-CN"/>
        </w:rPr>
        <w:t>，本项目服务期限为</w:t>
      </w:r>
      <w:r>
        <w:rPr>
          <w:rFonts w:hint="eastAsia" w:ascii="仿宋_GB2312" w:eastAsia="仿宋_GB2312"/>
          <w:color w:val="auto"/>
          <w:sz w:val="24"/>
          <w:szCs w:val="24"/>
          <w:lang w:val="en-US" w:eastAsia="zh-CN"/>
        </w:rPr>
        <w:t>3年</w:t>
      </w:r>
    </w:p>
    <w:p>
      <w:pPr>
        <w:pStyle w:val="35"/>
        <w:widowControl w:val="0"/>
        <w:wordWrap/>
        <w:autoSpaceDE w:val="0"/>
        <w:autoSpaceDN w:val="0"/>
        <w:adjustRightInd w:val="0"/>
        <w:snapToGrid/>
        <w:spacing w:before="0" w:after="0" w:line="360" w:lineRule="auto"/>
        <w:textAlignment w:val="auto"/>
        <w:rPr>
          <w:rFonts w:ascii="仿宋" w:hAnsi="仿宋" w:eastAsia="仿宋"/>
          <w:b/>
          <w:bCs/>
          <w:color w:val="auto"/>
          <w:sz w:val="24"/>
          <w:szCs w:val="24"/>
          <w:lang w:eastAsia="zh-CN"/>
        </w:rPr>
      </w:pPr>
      <w:r>
        <w:rPr>
          <w:rFonts w:hint="eastAsia" w:ascii="仿宋_GB2312" w:eastAsia="仿宋_GB2312"/>
          <w:b/>
          <w:bCs/>
          <w:color w:val="auto"/>
          <w:sz w:val="24"/>
          <w:szCs w:val="24"/>
          <w:lang w:val="en-US" w:eastAsia="zh-CN"/>
        </w:rPr>
        <w:t>5</w:t>
      </w:r>
      <w:r>
        <w:rPr>
          <w:rFonts w:hint="eastAsia" w:ascii="仿宋_GB2312" w:eastAsia="仿宋_GB2312"/>
          <w:b/>
          <w:bCs/>
          <w:color w:val="auto"/>
          <w:sz w:val="24"/>
          <w:szCs w:val="24"/>
          <w:lang w:eastAsia="zh-CN"/>
        </w:rPr>
        <w:t xml:space="preserve">.  </w:t>
      </w:r>
      <w:r>
        <w:rPr>
          <w:rFonts w:ascii="仿宋_GB2312" w:eastAsia="仿宋_GB2312"/>
          <w:b/>
          <w:bCs/>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p>
    <w:p>
      <w:pPr>
        <w:pStyle w:val="35"/>
        <w:widowControl w:val="0"/>
        <w:wordWrap/>
        <w:autoSpaceDE w:val="0"/>
        <w:autoSpaceDN w:val="0"/>
        <w:adjustRightInd w:val="0"/>
        <w:snapToGrid/>
        <w:spacing w:before="0" w:after="0" w:line="360" w:lineRule="auto"/>
        <w:textAlignment w:val="auto"/>
        <w:rPr>
          <w:rFonts w:ascii="仿宋_GB2312" w:hAnsi="Calibri" w:eastAsia="仿宋_GB2312" w:cs="Times New Roman"/>
          <w:color w:val="auto"/>
          <w:kern w:val="0"/>
          <w:sz w:val="24"/>
          <w:szCs w:val="24"/>
          <w:lang w:eastAsia="zh-CN" w:bidi="ar-SA"/>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1"/>
        <w:tblW w:w="8910"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0"/>
        <w:gridCol w:w="2240"/>
        <w:gridCol w:w="3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91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名称</w:t>
            </w:r>
          </w:p>
        </w:tc>
        <w:tc>
          <w:tcPr>
            <w:tcW w:w="224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包控制金额(元)</w:t>
            </w:r>
          </w:p>
        </w:tc>
        <w:tc>
          <w:tcPr>
            <w:tcW w:w="376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910" w:type="dxa"/>
            <w:shd w:val="clear" w:color="auto" w:fill="auto"/>
            <w:vAlign w:val="center"/>
          </w:tcPr>
          <w:p>
            <w:pPr>
              <w:widowControl/>
              <w:jc w:val="left"/>
              <w:rPr>
                <w:rFonts w:hint="eastAsia" w:ascii="仿宋_GB2312" w:hAnsi="仿宋_GB2312" w:eastAsia="仿宋_GB2312" w:cs="仿宋_GB2312"/>
                <w:color w:val="FF0000"/>
                <w:kern w:val="0"/>
                <w:sz w:val="24"/>
                <w:szCs w:val="24"/>
                <w:lang w:val="en-US"/>
              </w:rPr>
            </w:pPr>
            <w:r>
              <w:rPr>
                <w:rFonts w:hint="eastAsia" w:ascii="仿宋_GB2312" w:hAnsi="Calibri" w:eastAsia="仿宋_GB2312" w:cs="Times New Roman"/>
                <w:color w:val="auto"/>
                <w:kern w:val="0"/>
                <w:sz w:val="24"/>
                <w:szCs w:val="24"/>
                <w:lang w:val="en-US" w:eastAsia="zh-CN" w:bidi="ar-SA"/>
              </w:rPr>
              <w:t>大兴区政协委员服务中心物业服务项目</w:t>
            </w:r>
          </w:p>
        </w:tc>
        <w:tc>
          <w:tcPr>
            <w:tcW w:w="2240" w:type="dxa"/>
            <w:shd w:val="clear" w:color="auto" w:fill="FFFFFF"/>
            <w:vAlign w:val="center"/>
          </w:tcPr>
          <w:p>
            <w:pPr>
              <w:widowControl/>
              <w:jc w:val="center"/>
              <w:rPr>
                <w:rFonts w:hint="default" w:ascii="仿宋_GB2312" w:hAnsi="仿宋_GB2312" w:eastAsia="仿宋_GB2312" w:cs="仿宋_GB2312"/>
                <w:color w:val="FF0000"/>
                <w:kern w:val="0"/>
                <w:sz w:val="24"/>
                <w:szCs w:val="24"/>
                <w:lang w:val="en-US" w:eastAsia="zh-CN"/>
              </w:rPr>
            </w:pPr>
            <w:r>
              <w:rPr>
                <w:rFonts w:hint="eastAsia" w:ascii="仿宋_GB2312" w:hAnsi="Calibri" w:eastAsia="仿宋_GB2312" w:cs="Times New Roman"/>
                <w:color w:val="auto"/>
                <w:kern w:val="0"/>
                <w:sz w:val="24"/>
                <w:szCs w:val="24"/>
                <w:lang w:val="en-US" w:eastAsia="zh-CN" w:bidi="ar-SA"/>
              </w:rPr>
              <w:t>3600000</w:t>
            </w:r>
          </w:p>
        </w:tc>
        <w:tc>
          <w:tcPr>
            <w:tcW w:w="3760" w:type="dxa"/>
            <w:shd w:val="clear" w:color="auto" w:fill="FFFFFF"/>
            <w:vAlign w:val="center"/>
          </w:tcPr>
          <w:p>
            <w:pPr>
              <w:widowControl/>
              <w:jc w:val="center"/>
              <w:rPr>
                <w:rFonts w:hint="eastAsia" w:ascii="仿宋_GB2312" w:hAnsi="仿宋_GB2312" w:eastAsia="仿宋_GB2312" w:cs="仿宋_GB2312"/>
                <w:color w:val="FF0000"/>
                <w:kern w:val="0"/>
                <w:sz w:val="24"/>
                <w:szCs w:val="24"/>
                <w:lang w:val="en-US" w:eastAsia="zh-CN"/>
              </w:rPr>
            </w:pPr>
            <w:r>
              <w:rPr>
                <w:rFonts w:hint="eastAsia" w:ascii="仿宋_GB2312" w:hAnsi="仿宋_GB2312" w:eastAsia="仿宋_GB2312" w:cs="仿宋_GB2312"/>
                <w:color w:val="auto"/>
                <w:kern w:val="0"/>
                <w:sz w:val="24"/>
                <w:szCs w:val="24"/>
                <w:lang w:val="en-US" w:eastAsia="zh-CN"/>
              </w:rPr>
              <w:t>房屋日常养护维修</w:t>
            </w:r>
          </w:p>
        </w:tc>
      </w:tr>
    </w:tbl>
    <w:p>
      <w:pPr>
        <w:widowControl/>
        <w:tabs>
          <w:tab w:val="left" w:pos="995"/>
          <w:tab w:val="left" w:pos="3472"/>
          <w:tab w:val="left" w:pos="6071"/>
        </w:tabs>
        <w:jc w:val="left"/>
        <w:rPr>
          <w:rFonts w:ascii="仿宋_GB2312" w:eastAsia="仿宋_GB2312"/>
          <w:color w:val="auto"/>
          <w:sz w:val="24"/>
          <w:szCs w:val="24"/>
        </w:rPr>
      </w:pPr>
      <w:r>
        <w:rPr>
          <w:rFonts w:ascii="Arial" w:hAnsi="Arial" w:cs="Arial"/>
          <w:color w:val="auto"/>
          <w:kern w:val="0"/>
          <w:sz w:val="20"/>
        </w:rPr>
        <w:tab/>
      </w:r>
      <w:r>
        <w:rPr>
          <w:rFonts w:ascii="Arial" w:hAnsi="Arial" w:cs="Arial"/>
          <w:color w:val="auto"/>
          <w:kern w:val="0"/>
          <w:sz w:val="20"/>
        </w:rPr>
        <w:tab/>
      </w:r>
      <w:r>
        <w:rPr>
          <w:rFonts w:ascii="Arial" w:hAnsi="Arial" w:cs="Arial"/>
          <w:color w:val="auto"/>
          <w:kern w:val="0"/>
          <w:sz w:val="20"/>
        </w:rPr>
        <w:tab/>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7</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color w:val="auto"/>
          <w:sz w:val="24"/>
          <w:szCs w:val="24"/>
          <w:lang w:val="en-US" w:eastAsia="zh-CN"/>
        </w:rPr>
        <w:t>（4）本项目专门面向中小/小微企业。</w:t>
      </w:r>
    </w:p>
    <w:p>
      <w:pPr>
        <w:numPr>
          <w:ilvl w:val="0"/>
          <w:numId w:val="6"/>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w:t>
      </w:r>
      <w:r>
        <w:rPr>
          <w:rFonts w:hint="eastAsia" w:ascii="仿宋_GB2312" w:eastAsia="仿宋_GB2312"/>
          <w:color w:val="auto"/>
          <w:sz w:val="24"/>
          <w:szCs w:val="24"/>
          <w:lang w:val="en-US" w:eastAsia="zh-CN"/>
        </w:rPr>
        <w:t>载时间：2024年2月26日上午9:30至3月1日下午17:00</w:t>
      </w:r>
    </w:p>
    <w:p>
      <w:pPr>
        <w:numPr>
          <w:ilvl w:val="0"/>
          <w:numId w:val="0"/>
        </w:numPr>
        <w:spacing w:line="360" w:lineRule="auto"/>
        <w:ind w:firstLine="482" w:firstLineChars="200"/>
        <w:rPr>
          <w:rFonts w:hint="default"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因</w:t>
      </w:r>
      <w:r>
        <w:rPr>
          <w:rFonts w:hint="eastAsia" w:ascii="仿宋_GB2312" w:eastAsia="仿宋_GB2312"/>
          <w:b/>
          <w:bCs/>
          <w:color w:val="auto"/>
          <w:sz w:val="24"/>
          <w:szCs w:val="24"/>
          <w:u w:val="single"/>
          <w:lang w:val="en-US" w:eastAsia="zh-CN"/>
        </w:rPr>
        <w:t>本项目为全流程电子化项目</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pStyle w:val="18"/>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注册登录后，选择参与本项目并下载电子招标文件。供应商需在此平台上传电子投标文件。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1）办理数字证书：办理流程详见北京市政府采购电子交易平台（http://zbcg-bjzc.zhongcy.com/bjczj-portal-site/index.html#/home)中的数字证书办理平台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2）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w:t>
      </w:r>
      <w:bookmarkStart w:id="30" w:name="_GoBack"/>
      <w:bookmarkEnd w:id="30"/>
      <w:r>
        <w:rPr>
          <w:rFonts w:hint="eastAsia" w:ascii="仿宋_GB2312" w:hAnsi="仿宋_GB2312" w:eastAsia="仿宋_GB2312" w:cs="仿宋_GB2312"/>
          <w:color w:val="auto"/>
          <w:kern w:val="0"/>
          <w:sz w:val="24"/>
          <w:szCs w:val="24"/>
        </w:rPr>
        <w:t>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w:t>
      </w:r>
      <w:r>
        <w:rPr>
          <w:rFonts w:hint="eastAsia" w:ascii="仿宋_GB2312" w:eastAsia="仿宋_GB2312"/>
          <w:color w:val="auto"/>
          <w:sz w:val="24"/>
          <w:szCs w:val="24"/>
          <w:lang w:val="en-US" w:eastAsia="zh-CN"/>
        </w:rPr>
        <w:t>24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3月21日</w:t>
      </w:r>
      <w:r>
        <w:rPr>
          <w:rFonts w:hint="eastAsia" w:ascii="仿宋_GB2312" w:eastAsia="仿宋_GB2312"/>
          <w:color w:val="auto"/>
          <w:sz w:val="24"/>
          <w:szCs w:val="24"/>
          <w:lang w:eastAsia="zh-CN"/>
        </w:rPr>
        <w:t>上午9:00至9:30（北京时间）</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3月21日</w:t>
      </w:r>
      <w:r>
        <w:rPr>
          <w:rFonts w:hint="eastAsia" w:ascii="仿宋_GB2312" w:eastAsia="仿宋_GB2312"/>
          <w:color w:val="auto"/>
          <w:sz w:val="24"/>
          <w:szCs w:val="24"/>
          <w:lang w:eastAsia="zh-CN"/>
        </w:rPr>
        <w:t>上午9:30（北京时间）。逾期送达或不符合规定的投标文件恕不接受。</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w:t>
      </w:r>
    </w:p>
    <w:p>
      <w:pPr>
        <w:pStyle w:val="35"/>
        <w:widowControl w:val="0"/>
        <w:autoSpaceDE w:val="0"/>
        <w:autoSpaceDN w:val="0"/>
        <w:adjustRightInd w:val="0"/>
        <w:spacing w:before="0" w:after="0" w:line="360" w:lineRule="auto"/>
        <w:ind w:firstLine="482" w:firstLineChars="200"/>
        <w:rPr>
          <w:rFonts w:hint="eastAsia" w:ascii="仿宋_GB2312" w:eastAsia="仿宋_GB2312"/>
          <w:color w:val="auto"/>
          <w:sz w:val="24"/>
          <w:szCs w:val="24"/>
          <w:lang w:val="en-US" w:eastAsia="zh-CN"/>
        </w:rPr>
      </w:pPr>
      <w:r>
        <w:rPr>
          <w:rFonts w:hint="eastAsia" w:ascii="仿宋_GB2312" w:eastAsia="仿宋_GB2312"/>
          <w:b/>
          <w:bCs/>
          <w:color w:val="auto"/>
          <w:sz w:val="24"/>
          <w:szCs w:val="24"/>
          <w:lang w:val="en-US" w:eastAsia="zh-CN"/>
        </w:rPr>
        <w:t>（1）线上递交</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投标人应在开标之日</w:t>
      </w:r>
      <w:r>
        <w:rPr>
          <w:rFonts w:hint="eastAsia"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3月21日上午</w:t>
      </w:r>
      <w:r>
        <w:rPr>
          <w:rFonts w:hint="eastAsia" w:ascii="仿宋_GB2312" w:eastAsia="仿宋_GB2312"/>
          <w:color w:val="auto"/>
          <w:sz w:val="24"/>
          <w:szCs w:val="24"/>
          <w:lang w:eastAsia="zh-CN"/>
        </w:rPr>
        <w:t>9点30分（北京时间）前，在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(http://zbcg-bjzc.zhongcy.com/bjczj-portal-site/index.html#/home)登陆，在线上传电子版投标文件，文件格式为</w:t>
      </w:r>
      <w:r>
        <w:rPr>
          <w:rFonts w:hint="eastAsia" w:ascii="仿宋_GB2312" w:eastAsia="仿宋_GB2312"/>
          <w:color w:val="auto"/>
          <w:sz w:val="24"/>
          <w:szCs w:val="24"/>
          <w:lang w:val="en-US" w:eastAsia="zh-CN"/>
        </w:rPr>
        <w:t>TBJ格式的加密文件。未在线上上传电子版《投标文件》的，将视为投标无效。</w:t>
      </w:r>
    </w:p>
    <w:p>
      <w:pPr>
        <w:pStyle w:val="35"/>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（2）投标现场需提供的资料</w:t>
      </w:r>
    </w:p>
    <w:p>
      <w:pPr>
        <w:pStyle w:val="35"/>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3月21日</w:t>
      </w:r>
      <w:r>
        <w:rPr>
          <w:rFonts w:hint="eastAsia" w:ascii="仿宋_GB2312" w:eastAsia="仿宋_GB2312"/>
          <w:color w:val="auto"/>
          <w:sz w:val="24"/>
          <w:szCs w:val="24"/>
          <w:lang w:eastAsia="zh-CN"/>
        </w:rPr>
        <w:t>上午9点30分（北京时间）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hint="eastAsia" w:ascii="仿宋_GB2312" w:eastAsia="仿宋_GB2312"/>
          <w:color w:val="auto"/>
          <w:sz w:val="24"/>
          <w:szCs w:val="24"/>
          <w:lang w:eastAsia="zh-CN"/>
        </w:rPr>
        <w:t>《投标文件》纸质版正本</w:t>
      </w:r>
      <w:r>
        <w:rPr>
          <w:rFonts w:hint="eastAsia" w:ascii="仿宋_GB2312" w:eastAsia="仿宋_GB2312"/>
          <w:color w:val="auto"/>
          <w:sz w:val="24"/>
          <w:szCs w:val="24"/>
          <w:lang w:val="en-US" w:eastAsia="zh-CN"/>
        </w:rPr>
        <w:t>1份，副本1份；②《开标一览表》纸质版1份（备用）。③投标U盘或光盘一份，U盘或光盘内容包括：加密《投标文件》TBJ格式1份，WORD或WPS格式《投标文件》1份、PDF格式《投标文件》1份。④携带制作电子版《投标文件》的CA证书（钥匙）。⑤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3月21日</w:t>
      </w:r>
      <w:r>
        <w:rPr>
          <w:rFonts w:hint="eastAsia" w:ascii="仿宋_GB2312" w:eastAsia="仿宋_GB2312"/>
          <w:color w:val="auto"/>
          <w:sz w:val="24"/>
          <w:szCs w:val="24"/>
          <w:lang w:eastAsia="zh-CN"/>
        </w:rPr>
        <w:t>上午9:30（北京时间）</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35"/>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w:t>
      </w:r>
      <w:r>
        <w:rPr>
          <w:rFonts w:hint="eastAsia" w:ascii="仿宋_GB2312" w:eastAsia="仿宋_GB2312"/>
          <w:color w:val="auto"/>
          <w:sz w:val="24"/>
          <w:szCs w:val="24"/>
          <w:lang w:val="en-US" w:eastAsia="zh-CN"/>
        </w:rPr>
        <w:t>卢</w:t>
      </w:r>
      <w:r>
        <w:rPr>
          <w:rFonts w:hint="eastAsia" w:ascii="仿宋_GB2312" w:eastAsia="仿宋_GB2312"/>
          <w:color w:val="auto"/>
          <w:sz w:val="24"/>
          <w:szCs w:val="24"/>
          <w:lang w:eastAsia="zh-CN"/>
        </w:rPr>
        <w:t>老师</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eastAsia="仿宋_GB2312"/>
          <w:color w:val="auto"/>
          <w:sz w:val="24"/>
          <w:szCs w:val="24"/>
          <w:lang w:eastAsia="zh-CN"/>
        </w:rPr>
        <w:t>010</w:t>
      </w:r>
      <w:r>
        <w:rPr>
          <w:rFonts w:hint="eastAsia" w:ascii="仿宋_GB2312" w:eastAsia="仿宋_GB2312"/>
          <w:color w:val="auto"/>
          <w:sz w:val="24"/>
          <w:szCs w:val="24"/>
          <w:lang w:val="en-US" w:eastAsia="zh-CN"/>
        </w:rPr>
        <w:t>-</w:t>
      </w:r>
      <w:r>
        <w:rPr>
          <w:rFonts w:hint="eastAsia" w:ascii="仿宋_GB2312" w:eastAsia="仿宋_GB2312"/>
          <w:color w:val="auto"/>
          <w:sz w:val="24"/>
          <w:szCs w:val="24"/>
          <w:lang w:eastAsia="zh-CN"/>
        </w:rPr>
        <w:t>6923133</w:t>
      </w:r>
      <w:bookmarkEnd w:id="2"/>
      <w:r>
        <w:rPr>
          <w:rFonts w:hint="eastAsia" w:ascii="仿宋_GB2312" w:eastAsia="仿宋_GB2312"/>
          <w:color w:val="auto"/>
          <w:sz w:val="24"/>
          <w:szCs w:val="24"/>
          <w:lang w:val="en-US" w:eastAsia="zh-CN"/>
        </w:rPr>
        <w:t>3转205</w:t>
      </w:r>
    </w:p>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35"/>
        <w:widowControl w:val="0"/>
        <w:autoSpaceDE w:val="0"/>
        <w:autoSpaceDN w:val="0"/>
        <w:adjustRightInd w:val="0"/>
        <w:spacing w:before="0" w:after="0" w:line="360" w:lineRule="auto"/>
        <w:ind w:firstLine="480" w:firstLineChars="200"/>
        <w:rPr>
          <w:rFonts w:hint="eastAsia" w:ascii="仿宋" w:hAnsi="仿宋" w:eastAsia="仿宋"/>
          <w:color w:val="auto"/>
          <w:sz w:val="24"/>
          <w:szCs w:val="28"/>
          <w:u w:val="none"/>
          <w:lang w:val="zh-CN" w:eastAsia="zh-CN"/>
        </w:rPr>
      </w:pPr>
      <w:r>
        <w:rPr>
          <w:rFonts w:hint="eastAsia" w:ascii="仿宋_GB2312" w:eastAsia="仿宋_GB2312"/>
          <w:color w:val="auto"/>
          <w:sz w:val="24"/>
          <w:szCs w:val="24"/>
          <w:lang w:eastAsia="zh-CN"/>
        </w:rPr>
        <w:t>采购人名称：</w:t>
      </w:r>
      <w:r>
        <w:rPr>
          <w:rFonts w:hint="eastAsia" w:ascii="仿宋_GB2312" w:eastAsia="仿宋_GB2312"/>
          <w:color w:val="auto"/>
          <w:sz w:val="24"/>
          <w:szCs w:val="24"/>
          <w:lang w:val="en-US" w:eastAsia="zh-CN"/>
        </w:rPr>
        <w:t>北京市大兴区机关事务管理服务中心</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联系人：</w:t>
      </w:r>
      <w:r>
        <w:rPr>
          <w:rFonts w:hint="eastAsia" w:ascii="仿宋_GB2312" w:eastAsia="仿宋_GB2312"/>
          <w:color w:val="auto"/>
          <w:sz w:val="24"/>
          <w:szCs w:val="24"/>
          <w:lang w:val="en-US" w:eastAsia="zh-CN"/>
        </w:rPr>
        <w:t>姜</w:t>
      </w:r>
      <w:r>
        <w:rPr>
          <w:rFonts w:hint="eastAsia" w:ascii="仿宋_GB2312" w:eastAsia="仿宋_GB2312"/>
          <w:color w:val="auto"/>
          <w:sz w:val="24"/>
          <w:szCs w:val="24"/>
          <w:lang w:eastAsia="zh-CN"/>
        </w:rPr>
        <w:t>老师</w:t>
      </w:r>
    </w:p>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3" w:name="_Hlk44403312"/>
      <w:r>
        <w:rPr>
          <w:rFonts w:hint="eastAsia" w:ascii="仿宋_GB2312" w:eastAsia="仿宋_GB2312"/>
          <w:color w:val="auto"/>
          <w:sz w:val="24"/>
          <w:szCs w:val="24"/>
          <w:lang w:val="en-US" w:eastAsia="zh-CN"/>
        </w:rPr>
        <w:t>010-81298855</w:t>
      </w:r>
    </w:p>
    <w:bookmarkEnd w:id="3"/>
    <w:p>
      <w:pPr>
        <w:pStyle w:val="35"/>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4" w:name="_Hlk44403296"/>
      <w:r>
        <w:rPr>
          <w:rFonts w:hint="eastAsia" w:ascii="仿宋_GB2312" w:eastAsia="仿宋_GB2312"/>
          <w:color w:val="auto"/>
          <w:sz w:val="24"/>
          <w:szCs w:val="24"/>
          <w:lang w:eastAsia="zh-CN"/>
        </w:rPr>
        <w:t>北京市大兴区兴业街66号</w:t>
      </w:r>
    </w:p>
    <w:bookmarkEnd w:id="4"/>
    <w:p>
      <w:pPr>
        <w:pStyle w:val="35"/>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p>
    <w:p>
      <w:pPr>
        <w:pStyle w:val="35"/>
        <w:widowControl w:val="0"/>
        <w:autoSpaceDE w:val="0"/>
        <w:autoSpaceDN w:val="0"/>
        <w:adjustRightInd w:val="0"/>
        <w:spacing w:before="0" w:after="0" w:line="360" w:lineRule="auto"/>
        <w:ind w:firstLine="480" w:firstLineChars="200"/>
        <w:rPr>
          <w:rFonts w:ascii="仿宋_GB2312" w:hAnsi="宋体" w:eastAsia="仿宋_GB2312"/>
          <w:color w:val="auto"/>
          <w:sz w:val="24"/>
          <w:szCs w:val="24"/>
          <w:lang w:eastAsia="zh-CN"/>
        </w:rPr>
      </w:pPr>
      <w:r>
        <w:rPr>
          <w:rFonts w:ascii="仿宋_GB2312" w:eastAsia="仿宋_GB2312"/>
          <w:color w:val="auto"/>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本项目为全流程电子化项目。</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35"/>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lang w:val="en-US" w:eastAsia="zh-CN"/>
              </w:rPr>
              <w:t>北京市大兴区机关事务管理服务中心</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eastAsia" w:ascii="仿宋_GB2312" w:eastAsia="仿宋_GB2312"/>
                <w:color w:val="auto"/>
                <w:sz w:val="24"/>
                <w:szCs w:val="24"/>
                <w:u w:val="single"/>
                <w:lang w:val="en-US" w:eastAsia="zh-CN"/>
              </w:rPr>
              <w:t>360</w:t>
            </w:r>
            <w:r>
              <w:rPr>
                <w:rFonts w:ascii="仿宋_GB2312" w:hAnsi="宋体" w:eastAsia="仿宋_GB2312"/>
                <w:color w:val="auto"/>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本项目为全流程电子化项目。</w:t>
            </w:r>
            <w:r>
              <w:rPr>
                <w:rFonts w:ascii="仿宋_GB2312" w:hAnsi="宋体" w:eastAsia="仿宋_GB2312"/>
                <w:color w:val="auto"/>
                <w:sz w:val="24"/>
                <w:szCs w:val="24"/>
              </w:rPr>
              <w:t>投标文件份数及递交要求：投标人资格册（正本一份、副本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份）、商务技术册（正本一份、副本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w:t>
            </w:r>
            <w:r>
              <w:rPr>
                <w:rFonts w:hint="eastAsia" w:ascii="仿宋_GB2312" w:hAnsi="宋体" w:eastAsia="仿宋_GB2312"/>
                <w:b/>
                <w:bCs/>
                <w:color w:val="auto"/>
                <w:sz w:val="24"/>
                <w:szCs w:val="24"/>
                <w:lang w:val="en-US" w:eastAsia="zh-CN"/>
              </w:rPr>
              <w:t>投标U盘或光盘一份（不退还）</w:t>
            </w:r>
            <w:r>
              <w:rPr>
                <w:rFonts w:ascii="仿宋_GB2312" w:hAnsi="宋体" w:eastAsia="仿宋_GB2312"/>
                <w:b/>
                <w:color w:val="auto"/>
                <w:sz w:val="24"/>
                <w:szCs w:val="24"/>
              </w:rPr>
              <w:t>分别密封提交</w:t>
            </w:r>
            <w:r>
              <w:rPr>
                <w:rFonts w:ascii="仿宋_GB2312" w:hAnsi="宋体" w:eastAsia="仿宋_GB2312"/>
                <w:color w:val="auto"/>
                <w:sz w:val="24"/>
                <w:szCs w:val="24"/>
              </w:rPr>
              <w:t>。</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纸质版投标一览表一份备用，也需单独密封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5"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6" w:name="_Hlk44403615"/>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3月21日</w:t>
            </w:r>
            <w:r>
              <w:rPr>
                <w:rFonts w:hint="eastAsia" w:ascii="仿宋_GB2312" w:hAnsi="宋体" w:eastAsia="仿宋_GB2312"/>
                <w:color w:val="auto"/>
                <w:sz w:val="24"/>
                <w:szCs w:val="24"/>
              </w:rPr>
              <w:t>上午9:30（北京时间）</w:t>
            </w:r>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3月21日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本项目专门面向中小/小微企业。</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7" w:name="_Toc520356143"/>
      <w:r>
        <w:rPr>
          <w:rFonts w:hint="eastAsia" w:ascii="仿宋_GB2312" w:hAnsi="宋体" w:eastAsia="仿宋_GB2312"/>
          <w:b/>
          <w:color w:val="auto"/>
          <w:sz w:val="24"/>
          <w:szCs w:val="24"/>
        </w:rPr>
        <w:t>一  说明</w:t>
      </w:r>
      <w:bookmarkEnd w:id="7"/>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35"/>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北京市大兴区机关事务管理服务中心</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方式在此</w:t>
      </w:r>
      <w:r>
        <w:rPr>
          <w:rFonts w:hint="eastAsia" w:ascii="仿宋_GB2312" w:hAnsi="宋体" w:eastAsia="仿宋_GB2312"/>
          <w:color w:val="auto"/>
          <w:sz w:val="24"/>
          <w:szCs w:val="24"/>
        </w:rPr>
        <w:t>平台（北京市政府采购电子交易平台）获取招标文件的，其投标无效。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FF0000"/>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投标人应在北京市政府采购电子交易平台选择参与本项目并下载招标文件，</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投标</w:t>
      </w:r>
      <w:r>
        <w:rPr>
          <w:rFonts w:hint="eastAsia" w:ascii="仿宋_GB2312" w:hAnsi="宋体" w:eastAsia="仿宋_GB2312"/>
          <w:b/>
          <w:bCs/>
          <w:color w:val="auto"/>
          <w:sz w:val="24"/>
          <w:szCs w:val="24"/>
          <w:lang w:val="en-US" w:eastAsia="zh-CN"/>
        </w:rPr>
        <w:t>U盘或光盘</w:t>
      </w:r>
      <w:r>
        <w:rPr>
          <w:rFonts w:ascii="仿宋_GB2312" w:hAnsi="宋体" w:eastAsia="仿宋_GB2312"/>
          <w:b/>
          <w:color w:val="auto"/>
          <w:sz w:val="24"/>
          <w:szCs w:val="24"/>
        </w:rPr>
        <w:t>分别密封提交</w:t>
      </w:r>
      <w:r>
        <w:rPr>
          <w:rFonts w:ascii="仿宋_GB2312" w:hAnsi="宋体" w:eastAsia="仿宋_GB2312"/>
          <w:color w:val="auto"/>
          <w:sz w:val="24"/>
          <w:szCs w:val="24"/>
        </w:rPr>
        <w:t>。投标人单独密封的“投标一览表”应为原件</w:t>
      </w:r>
      <w:r>
        <w:rPr>
          <w:rFonts w:hint="eastAsia" w:ascii="仿宋_GB2312" w:hAnsi="宋体" w:eastAsia="仿宋_GB2312"/>
          <w:color w:val="auto"/>
          <w:sz w:val="24"/>
          <w:szCs w:val="24"/>
          <w:lang w:val="en-US" w:eastAsia="zh-CN"/>
        </w:rPr>
        <w:t>现场备查</w:t>
      </w:r>
      <w:r>
        <w:rPr>
          <w:rFonts w:ascii="仿宋_GB2312" w:hAnsi="宋体" w:eastAsia="仿宋_GB2312"/>
          <w:color w:val="auto"/>
          <w:sz w:val="24"/>
          <w:szCs w:val="24"/>
        </w:rPr>
        <w:t>，同时，投标文件正本中也应附有此表原件。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olor w:val="auto"/>
          <w:sz w:val="24"/>
          <w:szCs w:val="24"/>
        </w:rPr>
        <w:t>13.3</w:t>
      </w:r>
      <w:r>
        <w:rPr>
          <w:rFonts w:hint="eastAsia" w:ascii="仿宋_GB2312" w:hAnsi="宋体" w:eastAsia="仿宋_GB2312" w:cs="Times New Roman"/>
          <w:color w:val="auto"/>
          <w:sz w:val="24"/>
          <w:szCs w:val="24"/>
          <w:lang w:eastAsia="zh-CN"/>
        </w:rPr>
        <w:t>投标人应在开标之日前，</w:t>
      </w:r>
      <w:r>
        <w:rPr>
          <w:rFonts w:hint="eastAsia" w:ascii="仿宋_GB2312" w:eastAsia="仿宋_GB2312"/>
          <w:color w:val="auto"/>
          <w:sz w:val="24"/>
          <w:szCs w:val="24"/>
          <w:lang w:eastAsia="zh-CN"/>
        </w:rPr>
        <w:t>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w:t>
      </w:r>
      <w:r>
        <w:rPr>
          <w:rFonts w:hint="eastAsia" w:ascii="仿宋_GB2312" w:hAnsi="宋体" w:eastAsia="仿宋_GB2312" w:cs="Times New Roman"/>
          <w:color w:val="auto"/>
          <w:sz w:val="24"/>
          <w:szCs w:val="24"/>
          <w:lang w:eastAsia="zh-CN"/>
        </w:rPr>
        <w:t>在线递交电子版投标文件，文件格式为</w:t>
      </w:r>
      <w:r>
        <w:rPr>
          <w:rFonts w:hint="eastAsia" w:ascii="仿宋_GB2312" w:hAnsi="宋体" w:eastAsia="仿宋_GB2312" w:cs="Times New Roman"/>
          <w:color w:val="auto"/>
          <w:sz w:val="24"/>
          <w:szCs w:val="24"/>
          <w:lang w:val="en-US" w:eastAsia="zh-CN"/>
        </w:rPr>
        <w:t>TBJ</w:t>
      </w:r>
      <w:r>
        <w:rPr>
          <w:rFonts w:hint="eastAsia" w:ascii="仿宋_GB2312" w:hAnsi="宋体" w:eastAsia="仿宋_GB2312" w:cs="Times New Roman"/>
          <w:color w:val="auto"/>
          <w:sz w:val="24"/>
          <w:szCs w:val="24"/>
          <w:lang w:eastAsia="zh-CN"/>
        </w:rPr>
        <w:t>格式的加密文件。未在线上递交电子版《投标文件》的投标无效。由于投标人未携带制作电子版《投标文件》的CA证书（用于开标现场下载并解密《投标文件》电子版），导致无法解密，投标无效。由于技术原因导致解密失败的，可以投标人提供的电子版光盘中的文件代替其投标文件。</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s="Times New Roman"/>
          <w:color w:val="auto"/>
          <w:sz w:val="24"/>
          <w:szCs w:val="24"/>
        </w:rPr>
        <w:t>13.</w:t>
      </w:r>
      <w:r>
        <w:rPr>
          <w:rFonts w:hint="eastAsia" w:ascii="仿宋_GB2312" w:hAnsi="宋体" w:eastAsia="仿宋_GB2312" w:cs="Times New Roman"/>
          <w:color w:val="auto"/>
          <w:sz w:val="24"/>
          <w:szCs w:val="24"/>
          <w:lang w:val="en-US" w:eastAsia="zh-CN"/>
        </w:rPr>
        <w:t>4</w:t>
      </w:r>
      <w:r>
        <w:rPr>
          <w:rFonts w:hint="eastAsia" w:ascii="仿宋_GB2312" w:hAnsi="宋体" w:eastAsia="仿宋_GB2312" w:cs="Times New Roman"/>
          <w:color w:val="auto"/>
          <w:sz w:val="24"/>
          <w:szCs w:val="24"/>
        </w:rPr>
        <w:t xml:space="preserve"> </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b/>
          <w:bCs/>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16.3 开标时，</w:t>
      </w:r>
      <w:r>
        <w:rPr>
          <w:rFonts w:hint="eastAsia" w:ascii="仿宋_GB2312" w:hAnsi="宋体" w:eastAsia="仿宋_GB2312" w:cs="Times New Roman"/>
          <w:color w:val="auto"/>
          <w:sz w:val="24"/>
          <w:szCs w:val="24"/>
          <w:lang w:eastAsia="zh-CN"/>
        </w:rPr>
        <w:t>由于投标人未携带制作电子版《投标文件》的CA证书（用于开标现场下载并解密《投标文件》电子版），导致无法解密，投标无效。由于技术原因导致解密失败的，可以投标人提供的电子版光盘中的文件代替其投标文件。</w:t>
      </w:r>
      <w:r>
        <w:rPr>
          <w:rFonts w:hint="eastAsia" w:ascii="仿宋_GB2312" w:hAnsi="宋体" w:eastAsia="仿宋_GB2312"/>
          <w:color w:val="auto"/>
          <w:sz w:val="24"/>
          <w:szCs w:val="24"/>
        </w:rPr>
        <w:t>未提供单独密封的投标一览表或单独密封提供的投标一览表中存在未加盖投标人公章、未注明投标报价、复印件等情况，作无效投标处理。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16.4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8" w:name="_Toc435828258"/>
      <w:bookmarkStart w:id="9" w:name="_Toc435830560"/>
      <w:bookmarkStart w:id="10" w:name="_Toc356478669"/>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8"/>
    <w:bookmarkEnd w:id="9"/>
    <w:bookmarkEnd w:id="10"/>
    <w:p>
      <w:pPr>
        <w:spacing w:line="360" w:lineRule="auto"/>
        <w:ind w:left="480" w:hanging="480" w:hangingChars="200"/>
        <w:rPr>
          <w:rFonts w:ascii="仿宋_GB2312" w:hAnsi="宋体" w:eastAsia="仿宋_GB2312"/>
          <w:color w:val="auto"/>
          <w:sz w:val="24"/>
          <w:szCs w:val="24"/>
        </w:rPr>
      </w:pPr>
      <w:bookmarkStart w:id="11" w:name="_Toc435830561"/>
      <w:bookmarkStart w:id="12" w:name="_Toc435828259"/>
      <w:bookmarkStart w:id="13" w:name="_Toc356478670"/>
      <w:r>
        <w:rPr>
          <w:rFonts w:hint="eastAsia" w:ascii="仿宋_GB2312" w:hAnsi="宋体" w:eastAsia="仿宋_GB2312"/>
          <w:color w:val="auto"/>
          <w:sz w:val="24"/>
          <w:szCs w:val="24"/>
        </w:rPr>
        <w:t>31.10 不符合上述31.2-31.9条规定的质疑函不予受理。</w:t>
      </w:r>
      <w:bookmarkEnd w:id="11"/>
      <w:bookmarkEnd w:id="12"/>
      <w:bookmarkEnd w:id="13"/>
    </w:p>
    <w:p>
      <w:pPr>
        <w:spacing w:line="360" w:lineRule="auto"/>
        <w:ind w:left="720" w:hanging="720" w:hangingChars="300"/>
        <w:rPr>
          <w:rFonts w:ascii="仿宋_GB2312" w:hAnsi="宋体" w:eastAsia="仿宋_GB2312"/>
          <w:color w:val="auto"/>
          <w:sz w:val="24"/>
          <w:szCs w:val="24"/>
        </w:rPr>
      </w:pPr>
      <w:bookmarkStart w:id="14" w:name="_Toc356478671"/>
      <w:bookmarkStart w:id="15" w:name="_Toc435828260"/>
      <w:bookmarkStart w:id="16" w:name="_Toc435830562"/>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4"/>
      <w:bookmarkEnd w:id="15"/>
      <w:bookmarkEnd w:id="16"/>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rFonts w:ascii="仿宋_GB2312" w:hAnsi="宋体" w:eastAsia="仿宋_GB2312"/>
          <w:color w:val="auto"/>
          <w:sz w:val="24"/>
          <w:szCs w:val="24"/>
        </w:rPr>
      </w:pPr>
    </w:p>
    <w:p>
      <w:pPr>
        <w:pStyle w:val="18"/>
        <w:rPr>
          <w:rFonts w:ascii="仿宋_GB2312" w:hAnsi="宋体" w:eastAsia="仿宋_GB2312"/>
          <w:color w:val="auto"/>
          <w:sz w:val="24"/>
          <w:szCs w:val="24"/>
        </w:rPr>
      </w:pPr>
    </w:p>
    <w:p>
      <w:pPr>
        <w:rPr>
          <w:color w:val="auto"/>
        </w:rPr>
      </w:pPr>
    </w:p>
    <w:p>
      <w:pPr>
        <w:pStyle w:val="18"/>
        <w:rPr>
          <w:rFonts w:ascii="仿宋_GB2312" w:hAnsi="宋体" w:eastAsia="仿宋_GB2312"/>
          <w:color w:val="auto"/>
          <w:sz w:val="24"/>
          <w:szCs w:val="24"/>
        </w:rPr>
      </w:pPr>
    </w:p>
    <w:p>
      <w:pPr>
        <w:rPr>
          <w:color w:val="auto"/>
        </w:rPr>
      </w:pPr>
    </w:p>
    <w:p>
      <w:pPr>
        <w:pStyle w:val="18"/>
        <w:rPr>
          <w:color w:val="auto"/>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hint="eastAsia" w:ascii="仿宋_GB2312" w:hAnsi="宋体" w:eastAsia="仿宋_GB2312"/>
          <w:b w:val="0"/>
          <w:bCs w:val="0"/>
          <w:color w:val="auto"/>
          <w:sz w:val="24"/>
          <w:szCs w:val="24"/>
        </w:rPr>
      </w:pPr>
    </w:p>
    <w:p>
      <w:pPr>
        <w:rPr>
          <w:rStyle w:val="59"/>
          <w:rFonts w:ascii="仿宋_GB2312" w:hAnsi="宋体" w:eastAsia="仿宋_GB2312"/>
          <w:b w:val="0"/>
          <w:bCs w:val="0"/>
          <w:color w:val="auto"/>
          <w:sz w:val="24"/>
          <w:szCs w:val="24"/>
        </w:rPr>
      </w:pPr>
      <w:r>
        <w:rPr>
          <w:rStyle w:val="59"/>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numPr>
          <w:ilvl w:val="0"/>
          <w:numId w:val="7"/>
        </w:numPr>
        <w:adjustRightInd w:val="0"/>
        <w:snapToGrid w:val="0"/>
        <w:spacing w:before="156" w:beforeLines="50" w:after="156" w:afterLines="50" w:line="360" w:lineRule="auto"/>
        <w:jc w:val="left"/>
        <w:outlineLvl w:val="0"/>
        <w:rPr>
          <w:rFonts w:hint="eastAsia" w:ascii="仿宋_GB2312" w:hAnsi="仿宋_GB2312" w:eastAsia="仿宋_GB2312" w:cs="仿宋_GB2312"/>
          <w:b/>
          <w:sz w:val="24"/>
          <w:szCs w:val="24"/>
        </w:rPr>
      </w:pPr>
      <w:r>
        <w:rPr>
          <w:rFonts w:hint="eastAsia" w:ascii="仿宋_GB2312" w:hAnsi="仿宋_GB2312" w:eastAsia="仿宋_GB2312" w:cs="仿宋_GB2312"/>
          <w:b/>
          <w:color w:val="auto"/>
          <w:kern w:val="2"/>
          <w:sz w:val="24"/>
          <w:szCs w:val="24"/>
          <w:lang w:val="en-US" w:eastAsia="zh-CN" w:bidi="ar-SA"/>
        </w:rPr>
        <w:t>采购清单</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2016"/>
        <w:gridCol w:w="1628"/>
        <w:gridCol w:w="1597"/>
        <w:gridCol w:w="1300"/>
        <w:gridCol w:w="1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01"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序号</w:t>
            </w:r>
          </w:p>
        </w:tc>
        <w:tc>
          <w:tcPr>
            <w:tcW w:w="1182"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服务名称</w:t>
            </w:r>
          </w:p>
        </w:tc>
        <w:tc>
          <w:tcPr>
            <w:tcW w:w="954"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数量</w:t>
            </w:r>
          </w:p>
        </w:tc>
        <w:tc>
          <w:tcPr>
            <w:tcW w:w="936"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单位</w:t>
            </w:r>
          </w:p>
        </w:tc>
        <w:tc>
          <w:tcPr>
            <w:tcW w:w="762"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备注</w:t>
            </w:r>
          </w:p>
        </w:tc>
        <w:tc>
          <w:tcPr>
            <w:tcW w:w="762" w:type="pct"/>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1182" w:type="pct"/>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房屋日常养护维修</w:t>
            </w:r>
          </w:p>
        </w:tc>
        <w:tc>
          <w:tcPr>
            <w:tcW w:w="954"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5000</w:t>
            </w:r>
          </w:p>
        </w:tc>
        <w:tc>
          <w:tcPr>
            <w:tcW w:w="936"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平方米</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建筑面积</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p>
        </w:tc>
        <w:tc>
          <w:tcPr>
            <w:tcW w:w="1182" w:type="pct"/>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电梯运行维保</w:t>
            </w:r>
          </w:p>
        </w:tc>
        <w:tc>
          <w:tcPr>
            <w:tcW w:w="954"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w:t>
            </w:r>
          </w:p>
        </w:tc>
        <w:tc>
          <w:tcPr>
            <w:tcW w:w="936"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部</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w:t>
            </w:r>
          </w:p>
        </w:tc>
        <w:tc>
          <w:tcPr>
            <w:tcW w:w="1182" w:type="pct"/>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空调系统运行</w:t>
            </w:r>
          </w:p>
        </w:tc>
        <w:tc>
          <w:tcPr>
            <w:tcW w:w="954"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w:t>
            </w:r>
          </w:p>
        </w:tc>
        <w:tc>
          <w:tcPr>
            <w:tcW w:w="936"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组</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中央空调/多联机/热交换</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w:t>
            </w:r>
          </w:p>
        </w:tc>
        <w:tc>
          <w:tcPr>
            <w:tcW w:w="1182" w:type="pct"/>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供电系统运行</w:t>
            </w:r>
          </w:p>
        </w:tc>
        <w:tc>
          <w:tcPr>
            <w:tcW w:w="954"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936"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组</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高压</w:t>
            </w:r>
          </w:p>
        </w:tc>
        <w:tc>
          <w:tcPr>
            <w:tcW w:w="762" w:type="pct"/>
            <w:vAlign w:val="center"/>
          </w:tcPr>
          <w:p>
            <w:pPr>
              <w:autoSpaceDE w:val="0"/>
              <w:autoSpaceDN w:val="0"/>
              <w:adjustRightInd w:val="0"/>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w:t>
            </w:r>
          </w:p>
        </w:tc>
        <w:tc>
          <w:tcPr>
            <w:tcW w:w="118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消防监控运行</w:t>
            </w:r>
          </w:p>
        </w:tc>
        <w:tc>
          <w:tcPr>
            <w:tcW w:w="95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93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年</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监控室</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w:t>
            </w:r>
          </w:p>
        </w:tc>
        <w:tc>
          <w:tcPr>
            <w:tcW w:w="118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化粪池清掏</w:t>
            </w:r>
          </w:p>
        </w:tc>
        <w:tc>
          <w:tcPr>
            <w:tcW w:w="95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93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处</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w:t>
            </w:r>
          </w:p>
        </w:tc>
        <w:tc>
          <w:tcPr>
            <w:tcW w:w="118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保洁服务</w:t>
            </w:r>
          </w:p>
        </w:tc>
        <w:tc>
          <w:tcPr>
            <w:tcW w:w="95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5000</w:t>
            </w:r>
          </w:p>
        </w:tc>
        <w:tc>
          <w:tcPr>
            <w:tcW w:w="93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平方米</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w:t>
            </w:r>
          </w:p>
        </w:tc>
        <w:tc>
          <w:tcPr>
            <w:tcW w:w="118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绿化美化</w:t>
            </w:r>
          </w:p>
        </w:tc>
        <w:tc>
          <w:tcPr>
            <w:tcW w:w="95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w:t>
            </w:r>
          </w:p>
        </w:tc>
        <w:tc>
          <w:tcPr>
            <w:tcW w:w="93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处</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盆景绿植</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w:t>
            </w:r>
          </w:p>
        </w:tc>
        <w:tc>
          <w:tcPr>
            <w:tcW w:w="1182"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会议服务</w:t>
            </w:r>
          </w:p>
        </w:tc>
        <w:tc>
          <w:tcPr>
            <w:tcW w:w="954"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400</w:t>
            </w:r>
          </w:p>
        </w:tc>
        <w:tc>
          <w:tcPr>
            <w:tcW w:w="936" w:type="pc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平方米</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6个会议室</w:t>
            </w:r>
          </w:p>
        </w:tc>
        <w:tc>
          <w:tcPr>
            <w:tcW w:w="7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color w:val="auto"/>
                <w:sz w:val="24"/>
                <w:szCs w:val="24"/>
              </w:rPr>
            </w:pPr>
          </w:p>
        </w:tc>
      </w:tr>
    </w:tbl>
    <w:p>
      <w:pPr>
        <w:widowControl w:val="0"/>
        <w:numPr>
          <w:ilvl w:val="0"/>
          <w:numId w:val="0"/>
        </w:numPr>
        <w:adjustRightInd w:val="0"/>
        <w:snapToGrid w:val="0"/>
        <w:spacing w:before="156" w:beforeLines="50" w:after="156" w:afterLines="50" w:line="360" w:lineRule="auto"/>
        <w:jc w:val="left"/>
        <w:outlineLvl w:val="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预算金额：360万，服务期限：3年</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二、项目概况</w:t>
      </w:r>
    </w:p>
    <w:p>
      <w:pPr>
        <w:pStyle w:val="4"/>
        <w:numPr>
          <w:ilvl w:val="0"/>
          <w:numId w:val="0"/>
        </w:numPr>
        <w:spacing w:before="120" w:after="120" w:line="240" w:lineRule="auto"/>
        <w:ind w:left="425" w:leftChars="0" w:hanging="425" w:firstLineChars="0"/>
        <w:jc w:val="left"/>
        <w:rPr>
          <w:rFonts w:hint="eastAsia" w:ascii="仿宋_GB2312" w:hAnsi="仿宋_GB2312" w:eastAsia="仿宋_GB2312" w:cs="仿宋_GB2312"/>
          <w:b/>
          <w:color w:val="auto"/>
          <w:sz w:val="24"/>
          <w:szCs w:val="24"/>
        </w:rPr>
      </w:pPr>
      <w:r>
        <w:rPr>
          <w:rFonts w:hint="eastAsia" w:ascii="仿宋_GB2312" w:hAnsi="仿宋_GB2312" w:eastAsia="仿宋_GB2312" w:cs="仿宋_GB2312"/>
          <w:color w:val="auto"/>
          <w:sz w:val="24"/>
          <w:szCs w:val="24"/>
        </w:rPr>
        <w:t>办公区情况简介</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（1）项目名称：大兴区政协委员活动服务中心项目。</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（2）地址：大兴区兴业街66号。</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（3）建筑面积：5000㎡。</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（4）服务中心用途：为大兴区政协委员提供会议场所，并提供会议服务工作。</w:t>
      </w:r>
    </w:p>
    <w:p>
      <w:pPr>
        <w:spacing w:line="360" w:lineRule="auto"/>
        <w:ind w:left="1138" w:leftChars="270" w:hanging="571" w:hangingChars="238"/>
        <w:rPr>
          <w:rFonts w:hint="eastAsia" w:ascii="仿宋_GB2312" w:hAnsi="仿宋_GB2312" w:eastAsia="仿宋_GB2312" w:cs="仿宋_GB2312"/>
          <w:b/>
          <w:color w:val="auto"/>
          <w:sz w:val="24"/>
          <w:szCs w:val="24"/>
          <w:lang w:val="en-US" w:eastAsia="zh-CN"/>
        </w:rPr>
      </w:pPr>
      <w:r>
        <w:rPr>
          <w:rFonts w:hint="eastAsia" w:ascii="仿宋_GB2312" w:hAnsi="仿宋_GB2312" w:eastAsia="仿宋_GB2312" w:cs="仿宋_GB2312"/>
          <w:color w:val="auto"/>
          <w:sz w:val="24"/>
          <w:szCs w:val="24"/>
        </w:rPr>
        <w:t>（5）办公区共7层，地上6层，地下1层。地下一层为设备机房和委员活动中心；一层为餐厅；二层为餐厅及办公室；三、四层为办公室；五、六层为会议室。</w:t>
      </w:r>
    </w:p>
    <w:p>
      <w:pPr>
        <w:spacing w:line="360" w:lineRule="auto"/>
        <w:ind w:firstLine="723" w:firstLineChars="3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 xml:space="preserve">办公区内设备及有关情况如下： </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（1）会议室。共6个，其中容纳30人会议室3个、容纳60人会议室1个、容纳10人小会议室1个，容纳400人会议室1个。</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（2）电梯。大楼共设电梯3部，其中客用电梯2部，载重为1000公斤，停层为1-5层。餐食专业电梯1部，载重为200公斤，停层为1-2层。</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（3）中央空调系统:风冷式空调机组2台、多联机7台（RHXYQ12SY1）。</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（4）供暖热交换设备1套。</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（5）污水排污泵2台。</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（6）消防设备：消防贮水池1个，2台消火栓主泵，2台喷淋泵，位于B1消防泵房。首层设有监控室，内设自动报警系统。      </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（7）热水器（供应开水）。共5台，每层一台。</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（8）自动感应门1台。</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（9）信息网络（弱电机房内维修与管理不由中标供应商负责）。</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（10）监控系统一套。</w:t>
      </w:r>
    </w:p>
    <w:p>
      <w:pPr>
        <w:spacing w:line="360" w:lineRule="auto"/>
        <w:ind w:left="1138" w:leftChars="270" w:hanging="571" w:hangingChars="238"/>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（11）高压配电设备一组。</w:t>
      </w:r>
    </w:p>
    <w:p>
      <w:pPr>
        <w:spacing w:before="156" w:beforeLines="50" w:after="156" w:afterLines="50"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rPr>
        <w:t>（12）灭火器101具。</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三、技术参数要求（技术指标包括性能、规格、材质等，但不能指定品牌）、服务要求</w:t>
      </w:r>
    </w:p>
    <w:p>
      <w:pPr>
        <w:pStyle w:val="4"/>
        <w:numPr>
          <w:ilvl w:val="0"/>
          <w:numId w:val="0"/>
        </w:numPr>
        <w:spacing w:before="120" w:after="120" w:line="240" w:lineRule="auto"/>
        <w:ind w:left="425" w:leftChars="0" w:hanging="425" w:firstLineChars="0"/>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物业服务标准</w:t>
      </w: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17" w:name="_Toc120097710"/>
      <w:r>
        <w:rPr>
          <w:rFonts w:hint="eastAsia" w:ascii="仿宋_GB2312" w:hAnsi="仿宋_GB2312" w:eastAsia="仿宋_GB2312" w:cs="仿宋_GB2312"/>
          <w:color w:val="auto"/>
          <w:sz w:val="24"/>
          <w:szCs w:val="24"/>
        </w:rPr>
        <w:t>（一）房屋日常养护维修</w:t>
      </w:r>
      <w:bookmarkEnd w:id="17"/>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房屋日常养护维修是指为保持北京市大兴区政协委员活动服务中心公共区域、卫生间、走廊等的原有完好等级和正常使用，进行日常巡检和及时修复小损小坏等房屋维护管理工作。</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1．确保办公楼（区）房屋的完好等级和正常使用；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2．要爱护办公楼内的设施，未经业主批准，不得对办公楼结构、设施等进行改动；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3．及时完成各项小损小坏维修任务，合格率100%，一般维修任务不得超过24小时。</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18" w:name="_Toc120097711"/>
      <w:r>
        <w:rPr>
          <w:rFonts w:hint="eastAsia" w:ascii="仿宋_GB2312" w:hAnsi="仿宋_GB2312" w:eastAsia="仿宋_GB2312" w:cs="仿宋_GB2312"/>
          <w:color w:val="auto"/>
          <w:sz w:val="24"/>
          <w:szCs w:val="24"/>
        </w:rPr>
        <w:t>（二）给排水设备运行维护</w:t>
      </w:r>
      <w:bookmarkEnd w:id="18"/>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给排水设备运行维护是指为保证北京市大兴区政协委员活动服务中心给排水设备、上下水管线、阀门等的正常运行使用所进行的日常巡检、维修、维护及室外管道系统的巡检、抄表计量、疏通。</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1．加强值班，坚守岗位，密切注视给排水系统运行情况；</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2．对办公楼（区）室内给排水系统的设备、设施，消火栓、管道、管件、阀门、水嘴、卫生洁具、排水管、透气管、水封设备、室外排水管正常运行使用进行日常巡查维护；</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3．加强巡视检查，及时对给排水系统各种设备出现的故障进行维修；</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4．定期对给排水管道进行清通、养护、清除污垢；</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5．加强巡视检查，对救火用的输水设备出现故障时立即进行抢修，同时禁止使用消防水喉做其他用途；</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1．加强日常检查巡视，保证给排水系统正常运行使用；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2．建立正常供水管理制度，保证水质符合国家标准；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3．加强巡视检查，防止跑、冒、滴、漏，保证设备设施完好；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4．保持室内外排水系统通畅；</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5．设备出现故障时，维修人员应在10分钟内到达现场，维修合格率达到100%，一般性故障排除不过夜；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6．作好节约用水工作；</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19" w:name="_Toc120097712"/>
      <w:r>
        <w:rPr>
          <w:rFonts w:hint="eastAsia" w:ascii="仿宋_GB2312" w:hAnsi="仿宋_GB2312" w:eastAsia="仿宋_GB2312" w:cs="仿宋_GB2312"/>
          <w:color w:val="auto"/>
          <w:sz w:val="24"/>
          <w:szCs w:val="24"/>
        </w:rPr>
        <w:t>（三）供电系统运行管理</w:t>
      </w:r>
      <w:bookmarkEnd w:id="19"/>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供电设备管理维护是指为保证北京市大兴区政协委员活动服务中心内供电系统正常运行，对低压电器设备、电线电缆、电气照明装置等设备进行日常管理和维护。</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1．对供电系统低压电器设备、电线电缆、电气照明装置等设备正常运行使用进行日常管理和维护；</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2．建立各项设备档案；</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3．建立、落实电气维修、巡查制度；</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4．及时排除故障，保证供电设施完好；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5．购置后备部件，以防急用；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6．大楼各出入口备有充电式紧急照明设备；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7．建立节电措施；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8．搞好设备机房的卫生清洁；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9．搞好设备机房的安全、防火工作。</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1．统筹规划，做到合理、节约用电；</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2．维修人员必须持证上岗；</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3．加强日常维护检修，公共使用的照明、指示灯具线路、开关要保证完好；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4．设备出现故障时，维修人员应在10分钟内到达现场，设备维修合格率达到100%，一般性维修不过夜；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5．严格执行用电安全规范，确保用电安全。</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b w:val="0"/>
          <w:color w:val="auto"/>
          <w:sz w:val="24"/>
          <w:szCs w:val="24"/>
        </w:rPr>
      </w:pPr>
      <w:bookmarkStart w:id="20" w:name="_Toc120097713"/>
      <w:r>
        <w:rPr>
          <w:rFonts w:hint="eastAsia" w:ascii="仿宋_GB2312" w:hAnsi="仿宋_GB2312" w:eastAsia="仿宋_GB2312" w:cs="仿宋_GB2312"/>
          <w:color w:val="auto"/>
          <w:sz w:val="24"/>
          <w:szCs w:val="24"/>
        </w:rPr>
        <w:t>（四）电梯运行维修</w:t>
      </w:r>
      <w:bookmarkEnd w:id="20"/>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电梯运行维修是指为保证北京市大兴区政协委员活动服务中心电梯设备正常使用所进行的日常运行管理、维修养护。</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1．建立电梯、设备管理、安全管理制度，加强电梯运行管理；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2．严格执行国家有关特种设备管理规定和安全规程，确保设备运行安全；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3．定期对机房设备、井道系统、轿厢设备进行日常养护维修和小修；</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4．经常对电梯设备等进行巡视检查，定期保养；</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5．定期对电梯进行“维保、年检”，维保、年检费用由中标供应商承担。</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1．确保电梯按规定时间安全运行；</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2．安全设施齐全有效，电梯内求救警铃及电话保持正常工作状态；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3．通风、照明及其它附属设施完好；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4．电梯准用证、年检合格证、维修保养合同完备；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5．轿厢、井道及机房保持清洁；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6．因故障停梯，接到报修后电梯安全员应在10分钟内到达现场，维保人员应在30分钟内达现场，并及时排除故障。</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1" w:name="_Toc120097714"/>
      <w:r>
        <w:rPr>
          <w:rFonts w:hint="eastAsia" w:ascii="仿宋_GB2312" w:hAnsi="仿宋_GB2312" w:eastAsia="仿宋_GB2312" w:cs="仿宋_GB2312"/>
          <w:color w:val="auto"/>
          <w:sz w:val="24"/>
          <w:szCs w:val="24"/>
        </w:rPr>
        <w:t>（五）空调系统运行维护</w:t>
      </w:r>
      <w:bookmarkEnd w:id="21"/>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指为保证北京市大兴区政协委员活动服务中心集中空调系统及分体空调正常运行所进行的日常管理及检修。其中中央空调系统的运行管理包括：空调系统机组、节能系统。日常使用管理、检修包括热交换器、供热循环泵、管道、各种阀类、采气装置和各类风口、安全阀、压力表、温度表等设备。</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1．对办公楼（区）空调系统机组、节能系统设备正常运行使用进行日常巡视检查及管理；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2．热交换器、供热循环泵、管道、各种阀类、采气装置和各类风口、安全阀、压力表、温度表设备正常使用进行日常使用管理、检修；</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3．建立各项设备档案；</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4．建立、落实空调运行、巡查制度等；</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5．及时排除故障，保证空调设施完好和正常使用；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6．购置管路、阀门等后备部件，以防急用；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7．按时开、关空调设备；</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2" w:name="_Toc120097715"/>
      <w:r>
        <w:rPr>
          <w:rFonts w:hint="eastAsia" w:ascii="仿宋_GB2312" w:hAnsi="仿宋_GB2312" w:eastAsia="仿宋_GB2312" w:cs="仿宋_GB2312"/>
          <w:color w:val="auto"/>
          <w:sz w:val="24"/>
          <w:szCs w:val="24"/>
        </w:rPr>
        <w:t>（六）电视天线系统的巡视、检查、管理</w:t>
      </w:r>
      <w:bookmarkEnd w:id="22"/>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电视天线系统的巡视、检查、管理是指为保证北京市大兴区政协委员活动服务中心内电视天线接收系统正常运行，对接收设施进行日常使用巡查、管理。</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1．定期对办公楼有线电视光缆系统进行巡视检查；</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2．出现故障后与维保单位协调，及时排除故障；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3．维修后经调整、试用，达到用户满意。</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1．保证有线电视光缆系统正常运行；</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2．保障办公楼各终端点的正常使用。</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b w:val="0"/>
          <w:color w:val="auto"/>
          <w:sz w:val="24"/>
          <w:szCs w:val="24"/>
        </w:rPr>
      </w:pPr>
      <w:bookmarkStart w:id="23" w:name="_Toc120097716"/>
      <w:r>
        <w:rPr>
          <w:rFonts w:hint="eastAsia" w:ascii="仿宋_GB2312" w:hAnsi="仿宋_GB2312" w:eastAsia="仿宋_GB2312" w:cs="仿宋_GB2312"/>
          <w:color w:val="auto"/>
          <w:sz w:val="24"/>
          <w:szCs w:val="24"/>
        </w:rPr>
        <w:t>（七）电热水器管理</w:t>
      </w:r>
      <w:bookmarkEnd w:id="23"/>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电热水器管理是指为保证北京市大兴区政协委员活动服务中心内开水供应，对电热水器的日常巡查、检查。</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1．每日擦拭电热水器外表，保持洁净、光亮，无污迹；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2．按时提供开水供应，并及时加水，随时保证供应；</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3．电热水器出现故障、水质不达标时，立即与维保单位联系解决；</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4．每日按规定开启、按时关闭电热水器开关、阀门和电源。</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1．电热水器保持洁净、光亮，无污迹；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2．保证按规定时间安全供应开水；</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3．监督厂家及时维修，无贻误；</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4．监督厂家按期更换滤芯，水质达标；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5．严格执行操作规程，按规范启动、关闭，不发生安全方面的问题。</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4" w:name="_Toc120097717"/>
      <w:r>
        <w:rPr>
          <w:rFonts w:hint="eastAsia" w:ascii="仿宋_GB2312" w:hAnsi="仿宋_GB2312" w:eastAsia="仿宋_GB2312" w:cs="仿宋_GB2312"/>
          <w:color w:val="auto"/>
          <w:sz w:val="24"/>
          <w:szCs w:val="24"/>
        </w:rPr>
        <w:t>（八）卫生保洁</w:t>
      </w:r>
      <w:bookmarkEnd w:id="24"/>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卫生保洁是指为保持北京市大兴区政协委员活动服务中心内环境清洁而进行的日常管理工作。</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1、公共区域卫生保洁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公共区域包括：卫生间保洁、开水间保洁、公共区域保洁等； </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（1）清理公共区域的所有垃圾，对垃圾进行分类回收；</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（2）收集及清理公共区域内所有垃圾箱、花槽内的垃圾；</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（3）清洁窗及指示牌、花盆、植物、大门、门牌、扶手、栏杆、玻璃表面、拖擦地、台表面、楼梯及走廊；</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（4）清除手印及污渍，包括楼梯墙壁；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（5）清扫所有通风窗口、空调风口百叶及照明灯片；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（6）扫净及洗刷大厅出入口地台及台阶；</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（7）清扫大厅天花板尘埃</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（8）定期投放喷洒鼠、蟑螂、蚊虫药。</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（1）地面光亮无水迹、污迹、无杂物；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（2）楼梯、走廊、指示牌、门牌、通风窗口、地角线、墙壁、柱子、顶板无尘、无污物；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（3）垃圾筒内垃圾当天清理，并摆放整齐，外观干净；</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（4）花盆外观干净，花叶无尘土，花盆内无杂物；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（5）玻璃、门窗无污迹、水迹、裂痕，有明显安全标志；</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（6）灯饰和其它饰物无尘土、破损；</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（7）大厅出入口地台、梯级、墙壁表面、玻璃门窗及设施无尘土，大理石墙面光亮、无污迹、水迹；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（8）大厅天花板无尘埃</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（9）无鼠害、无蚊蝇、无蟑螂。</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2、卫生间保洁</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（1）清洁门窗、天花板；</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（2）擦、冲及洗净洗手间设备；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（3）擦净洗手间镜面；</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（4）擦净地面、台阶表面；</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（5）天花板及照明设备表面除尘；</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（6）抹净抽气扇；</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（7）随时补充厕纸、擦手纸、清洁液，费用由物业方负责；</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（8）清理卫生桶脏物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（9）清洁卫生洁具。</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（1）门、窗、天花板、墙壁、隔板无尘、无污迹、无杂物；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（2）玻璃、镜面明亮无水迹；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（3）地面墙角无尘、无污迹、无杂物、无蛛网、无水迹；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（4）面池、龙头、弯管无污迹、无杂物，电镀件明亮；</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（5）便池无尘、无污迹、无杂物，小便池内香球不少于1/2个球，及时更换；</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（6）桶内垃圾不超1/2即清理；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（7）设备（灯、开关、暖气、通风口、门锁）无尘、无污迹；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（8）空气清新、无异味；</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（9）墩布间及垃圾回收间干净、整洁、无杂物，物品码放整齐、不囤积。</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3、会议室保洁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（1）保持室内的窗 、窗台、窗框干净、整洁。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（2）保持室内墙面、天花板整洁、完好，无污渍、浮灰、蜘蛛网。</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（3）保持地面、地毯的整洁、完好，无垃圾、污渍，地毯清洁费由乙方负责。</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（4）保持室内各种家具放置整齐，光洁、无灰尘。</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（5）保持室内灯具清洁、完好。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（6）保持室内各种艺术装饰挂件挂放端正，清洁无损。</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（7）定时喷洒空气清新剂，保持室内的空气清新。</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4、电梯间保洁</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（1）扫净及清擦电梯门表面；</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（2）擦净电梯内壁、门及指示；</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（3）电梯天花板表面除尘；</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（4）电梯门缝吸尘；</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（5）擦净电梯通风吸照明；</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（6）电梯表面涂上保护膜；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（7）电梯槽底清理垃圾；</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（8）擦净电梯大堂、走廊表面。</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（1）电梯门表面、轿厢内壁、指示牌无尘土、印迹，表面光亮；</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（2）电梯天花板、门缝无尘土；</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（3）井道、槽底清洁，无杂物；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（4）电梯大堂、走廊表面干净、明亮。</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5、外场保洁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外场保洁主要包括大门前、通道等的卫生管理工作。</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color w:val="auto"/>
          <w:sz w:val="24"/>
          <w:szCs w:val="24"/>
        </w:rPr>
        <w:t>（1）全楼垃圾清运；</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（2）庭院地面清洁；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（3）冬季清扫积雪。</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（1）庭院地面清洁无废弃物；</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（2）保洁重点是烟头、废纸、杂物等，随时捡拾入桶；</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（3）垃圾清运及时，无蚊蝇滋生；</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（4）扫雪及时，地面无积雪，符合市扫雪办要求。</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5" w:name="_Toc120097718"/>
      <w:r>
        <w:rPr>
          <w:rFonts w:hint="eastAsia" w:ascii="仿宋_GB2312" w:hAnsi="仿宋_GB2312" w:eastAsia="仿宋_GB2312" w:cs="仿宋_GB2312"/>
          <w:color w:val="auto"/>
          <w:sz w:val="24"/>
          <w:szCs w:val="24"/>
        </w:rPr>
        <w:t>（九）会议服务</w:t>
      </w:r>
      <w:bookmarkEnd w:id="25"/>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会议服务是指保障北京市大兴区政协委员活动服务中心举办各类会议、活动提供的会议接待、保洁服务。</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1．会前按要求安排会场；</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2．会前按要求摆放桌、椅、台布、台裙、音像设备、水杯、纸、笔、热水；</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3．会后整理会场，有关设备、用品回库；</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4．保持会议室经常性的卫生、器具完好；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5．按规范做好杯具、毛巾的洗消工作；会议室公用杯具由专门洗消间设专人负责清洗、消毒；</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6．窗帘、杯垫、地毯等定期清洗；</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7．一般性会议提供：上水等普通服务；特殊会议提供礼仪服务。</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1．会场布置符合主办者要求；</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2．会场布置整洁、大方、颜色协调，摆台合理，符合标准；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3．茶杯洗消标准要符合卫生防疫规范要求；</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4．保持室内整洁，保证设备正常运行使用；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5．窗帘、杯垫地毯等洁净；</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6．会议接待服务员要求30岁以下女性，具备会议接待的礼仪知识，服饰得体大方，礼貌热情，气质高雅。</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6" w:name="_Toc120097719"/>
      <w:r>
        <w:rPr>
          <w:rFonts w:hint="eastAsia" w:ascii="仿宋_GB2312" w:hAnsi="仿宋_GB2312" w:eastAsia="仿宋_GB2312" w:cs="仿宋_GB2312"/>
          <w:color w:val="auto"/>
          <w:sz w:val="24"/>
          <w:szCs w:val="24"/>
        </w:rPr>
        <w:t>（十）会议音响及视听系统</w:t>
      </w:r>
      <w:bookmarkEnd w:id="26"/>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指为保证北京市大兴区政协委员活动服务中心会议室投影机、屏幕设备正常使用所进行的日常操作管理和巡查检查工作。</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1．专人负责，操作熟练；</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2．定期检查音响视听设备；随时达到使用条件；</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3．按要求正确操作，满足使用；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4．制定音响视听设备检查计划；</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5．发现会议设备故障及时联系运维单位进行维修，并监督运维单位维修情况。</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1．建立会议音响管理制度和操作规程。</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2．保证音响系统正常使用。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3．定期检查音响设备，保证音响设备处于良好状态。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4．系统出现运行故障后，及时通知运维单位维修，并做好记录，设备完好率100%。</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7" w:name="_Toc120097720"/>
      <w:r>
        <w:rPr>
          <w:rFonts w:hint="eastAsia" w:ascii="仿宋_GB2312" w:hAnsi="仿宋_GB2312" w:eastAsia="仿宋_GB2312" w:cs="仿宋_GB2312"/>
          <w:color w:val="auto"/>
          <w:sz w:val="24"/>
          <w:szCs w:val="24"/>
        </w:rPr>
        <w:t>（十一）办公楼消防设施、闭路监控设备、弱电系统运行管理</w:t>
      </w:r>
      <w:bookmarkEnd w:id="27"/>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北京市大兴区政协委员活动服务中心内消防设施、办公楼弱电系统包括:消防报警系统、监控系统、电话系统、信息网络系统。</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内容：</w:t>
      </w:r>
      <w:r>
        <w:rPr>
          <w:rFonts w:hint="eastAsia" w:ascii="仿宋_GB2312" w:hAnsi="仿宋_GB2312" w:eastAsia="仿宋_GB2312" w:cs="仿宋_GB2312"/>
          <w:color w:val="auto"/>
          <w:sz w:val="24"/>
          <w:szCs w:val="24"/>
        </w:rPr>
        <w:t xml:space="preserve"> </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1．制定弱电设备使用操作管理制度，巡查计划，并组织实施；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2．制定停电、强电磁干扰、系统故障无法排除等非正常状态的应急措施；</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3．系统运行故障及时报告，并监督维修工作；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4．定期对各系统进行检查，保证正常运行；</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5．搞好设备机房的卫生清洁；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6．搞好设备机房的安全、防火工作；</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7．灭火器定期检测，检测费用由中标方承担。</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标准：</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1．保证办公楼消防自动报警系统监控系统、电话系统、信息网络系统正常运行，各系统工作稳定；</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3．保证消防自动报警设备，监控设备灵敏可靠；</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4．一般性故障立即排除。不能处理的立即通知运维单位维修，并采取应急措施，应急措施得当有效；</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5．设备机房整洁；</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6．保证设备机房的安全。</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b w:val="0"/>
          <w:color w:val="auto"/>
          <w:sz w:val="24"/>
          <w:szCs w:val="24"/>
        </w:rPr>
      </w:pPr>
      <w:bookmarkStart w:id="28" w:name="_Toc120097721"/>
      <w:r>
        <w:rPr>
          <w:rFonts w:hint="eastAsia" w:ascii="仿宋_GB2312" w:hAnsi="仿宋_GB2312" w:eastAsia="仿宋_GB2312" w:cs="仿宋_GB2312"/>
          <w:color w:val="auto"/>
          <w:sz w:val="24"/>
          <w:szCs w:val="24"/>
        </w:rPr>
        <w:t>（十二）管理指标承诺</w:t>
      </w:r>
      <w:bookmarkEnd w:id="28"/>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1、办公大楼租赁区域内配套设备设施完好率      99%</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2、办公楼零修、急修及时率                    100%</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3、维修工程质量合格率/返修率                 98%/2%</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4、维修工程回访率                            90%</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5、办公楼、庭院清洁保洁率                    99%</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6、火灾、盗窃发生                            0起</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7、违章发生率和处理                          0起/100%</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8、业主有效投诉率                            ﹤5%</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9、业主投诉处理率                            100%</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10、业主、外来人员对物业管理满意率           95%</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11、消防设备设施完好率                       100%</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12、楼宇设施的档案资料完好齐全率             100%</w:t>
      </w:r>
    </w:p>
    <w:p>
      <w:pPr>
        <w:spacing w:line="500" w:lineRule="exact"/>
        <w:ind w:firstLine="480" w:firstLineChars="200"/>
        <w:rPr>
          <w:rFonts w:hint="eastAsia" w:ascii="仿宋_GB2312" w:hAnsi="仿宋_GB2312" w:eastAsia="仿宋_GB2312" w:cs="仿宋_GB2312"/>
          <w:color w:val="auto"/>
          <w:sz w:val="24"/>
          <w:szCs w:val="24"/>
        </w:rPr>
      </w:pPr>
    </w:p>
    <w:p>
      <w:pPr>
        <w:pStyle w:val="4"/>
        <w:numPr>
          <w:ilvl w:val="0"/>
          <w:numId w:val="0"/>
        </w:numPr>
        <w:spacing w:before="120" w:after="120" w:line="240" w:lineRule="auto"/>
        <w:jc w:val="left"/>
        <w:rPr>
          <w:rFonts w:hint="eastAsia" w:ascii="仿宋_GB2312" w:hAnsi="仿宋_GB2312" w:eastAsia="仿宋_GB2312" w:cs="仿宋_GB2312"/>
          <w:color w:val="auto"/>
          <w:sz w:val="24"/>
          <w:szCs w:val="24"/>
        </w:rPr>
      </w:pPr>
      <w:bookmarkStart w:id="29" w:name="_Toc120097722"/>
      <w:r>
        <w:rPr>
          <w:rFonts w:hint="eastAsia" w:ascii="仿宋_GB2312" w:hAnsi="仿宋_GB2312" w:eastAsia="仿宋_GB2312" w:cs="仿宋_GB2312"/>
          <w:color w:val="auto"/>
          <w:sz w:val="24"/>
          <w:szCs w:val="24"/>
        </w:rPr>
        <w:t>（十三）物业管理服务项目相关事项说明</w:t>
      </w:r>
      <w:bookmarkEnd w:id="29"/>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一、关于物业管理服务费用测算中需要说明的事项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1、测算北京市大兴区政协委员活动服务中心物业费用时，按照政协委员活动服务中心建筑面积5000平方米进行的测算。</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2．物业方对办公区安保工作具有监督职责，并对安保工作承担连带责任；</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3．物业投标报价费用不包含以下10项费用：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（1）房屋建筑折旧费和维修基金；</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（2）设备设施的中修费、大修费、扩建费、更换费、设备更新改造费；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（3）水、电、气、供暖费、通讯费、有线电视费、电缆代维护费；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（4）业主自用办公设备设施、器具维修养护费；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（5）大楼会议用设备设施及用品（茶叶、纸巾、毛巾除外）；</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（6）大楼财产保险费；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（7）特殊会议服务和特定情况的布置费；</w:t>
      </w:r>
    </w:p>
    <w:p>
      <w:pPr>
        <w:spacing w:line="500" w:lineRule="exact"/>
        <w:ind w:left="1079" w:leftChars="228" w:hanging="600" w:hangingChars="25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（8）业主自用设施（包括：分类垃圾桶、纸篓、直立烟缸、标识牌、皂液盒、纸架、防尘（滑）垫、告示牌、茶水桶等）；</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（9）垃圾向外清运、室外绿化养护费用；</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（10）设备专项维护保养费用及大楼消电检费用；</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（二）关于设备设施保养维修及相关事项</w:t>
      </w:r>
    </w:p>
    <w:p>
      <w:pPr>
        <w:spacing w:line="500" w:lineRule="exact"/>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1．大楼设备设施保养、维修费用，单批、单次、单件支出费用在5000元以下的（含），由物业方支付，5000元以上的，由业主方支付。</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四、售后服务及培训要求</w:t>
      </w:r>
    </w:p>
    <w:p>
      <w:pPr>
        <w:pStyle w:val="42"/>
        <w:adjustRightInd w:val="0"/>
        <w:spacing w:line="360" w:lineRule="atLeast"/>
        <w:ind w:left="500" w:firstLine="0" w:firstLineChars="0"/>
        <w:jc w:val="left"/>
        <w:textAlignment w:val="baseline"/>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售后服务承诺指标</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1、办公大楼租赁区域内配套设备设施完好率      99%</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2、办公楼零修、急修及时率                    100%</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3、维修工程质量合格率/返修率                 98%/2%</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4、维修工程回访率                            90%</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5、办公楼、庭院清洁保洁率                    99%</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6、火灾、盗窃发生                            0起</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7、违章发生率和处理                          0起/100%</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8、业主有效投诉率                            ﹤5%</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9、业主投诉处理率                            100%</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10、业主、外来人员对物业管理满意率           95%</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11、消防设备设施完好率                       100%</w:t>
      </w:r>
    </w:p>
    <w:p>
      <w:pPr>
        <w:spacing w:line="500" w:lineRule="exact"/>
        <w:ind w:firstLine="849" w:firstLineChars="35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12、楼宇设施的档案资料完好齐全率             100%</w:t>
      </w:r>
    </w:p>
    <w:p>
      <w:pPr>
        <w:spacing w:line="500" w:lineRule="exact"/>
        <w:ind w:firstLine="482" w:firstLineChars="200"/>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培训要求</w:t>
      </w:r>
    </w:p>
    <w:p>
      <w:pPr>
        <w:spacing w:line="500" w:lineRule="exact"/>
        <w:ind w:firstLine="849" w:firstLineChars="354"/>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rPr>
        <w:t>无</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五、交货时间及地点</w:t>
      </w:r>
    </w:p>
    <w:p>
      <w:pPr>
        <w:pStyle w:val="42"/>
        <w:adjustRightInd w:val="0"/>
        <w:spacing w:line="360" w:lineRule="atLeast"/>
        <w:ind w:left="500" w:firstLine="0" w:firstLineChars="0"/>
        <w:jc w:val="left"/>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交货时间：签署合同起始日期</w:t>
      </w:r>
    </w:p>
    <w:p>
      <w:pPr>
        <w:pStyle w:val="42"/>
        <w:adjustRightInd w:val="0"/>
        <w:spacing w:line="360" w:lineRule="atLeast"/>
        <w:ind w:left="500" w:firstLine="0" w:firstLineChars="0"/>
        <w:jc w:val="left"/>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交货地点：北京市大兴区兴业街66号</w:t>
      </w:r>
    </w:p>
    <w:p>
      <w:pPr>
        <w:pStyle w:val="42"/>
        <w:keepNext w:val="0"/>
        <w:keepLines w:val="0"/>
        <w:pageBreakBefore w:val="0"/>
        <w:widowControl w:val="0"/>
        <w:numPr>
          <w:ilvl w:val="0"/>
          <w:numId w:val="8"/>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验收服务要求</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仿宋_GB2312" w:hAnsi="仿宋_GB2312" w:eastAsia="仿宋_GB2312" w:cs="仿宋_GB2312"/>
          <w:b/>
          <w:color w:val="auto"/>
          <w:kern w:val="2"/>
          <w:sz w:val="24"/>
          <w:szCs w:val="24"/>
          <w:lang w:val="zh-CN" w:eastAsia="zh-CN" w:bidi="ar-SA"/>
        </w:rPr>
      </w:pPr>
      <w:r>
        <w:rPr>
          <w:rFonts w:hint="eastAsia" w:ascii="仿宋_GB2312" w:hAnsi="仿宋_GB2312" w:eastAsia="仿宋_GB2312" w:cs="仿宋_GB2312"/>
          <w:b w:val="0"/>
          <w:bCs/>
          <w:color w:val="auto"/>
          <w:kern w:val="2"/>
          <w:sz w:val="24"/>
          <w:szCs w:val="24"/>
          <w:lang w:val="zh-CN" w:eastAsia="zh-CN" w:bidi="ar-SA"/>
        </w:rPr>
        <w:t>按招标文件规定的标准联合验收</w:t>
      </w:r>
      <w:r>
        <w:rPr>
          <w:rFonts w:hint="eastAsia" w:ascii="仿宋_GB2312" w:hAnsi="仿宋_GB2312" w:eastAsia="仿宋_GB2312" w:cs="仿宋_GB2312"/>
          <w:b/>
          <w:color w:val="auto"/>
          <w:kern w:val="2"/>
          <w:sz w:val="24"/>
          <w:szCs w:val="24"/>
          <w:lang w:val="zh-CN" w:eastAsia="zh-CN" w:bidi="ar-SA"/>
        </w:rPr>
        <w:t>。</w:t>
      </w:r>
    </w:p>
    <w:p>
      <w:pPr>
        <w:pStyle w:val="42"/>
        <w:keepNext w:val="0"/>
        <w:keepLines w:val="0"/>
        <w:pageBreakBefore w:val="0"/>
        <w:widowControl w:val="0"/>
        <w:numPr>
          <w:ilvl w:val="0"/>
          <w:numId w:val="8"/>
        </w:numPr>
        <w:kinsoku/>
        <w:wordWrap/>
        <w:overflowPunct/>
        <w:topLinePunct w:val="0"/>
        <w:autoSpaceDE w:val="0"/>
        <w:autoSpaceDN w:val="0"/>
        <w:bidi w:val="0"/>
        <w:adjustRightInd w:val="0"/>
        <w:snapToGrid/>
        <w:spacing w:line="560" w:lineRule="exact"/>
        <w:ind w:left="0" w:leftChars="0" w:firstLine="0" w:firstLineChars="0"/>
        <w:jc w:val="left"/>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付款方式</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val="0"/>
          <w:bCs/>
          <w:color w:val="auto"/>
          <w:kern w:val="2"/>
          <w:sz w:val="24"/>
          <w:szCs w:val="24"/>
          <w:lang w:val="en-US" w:eastAsia="zh-CN" w:bidi="ar-SA"/>
        </w:rPr>
        <w:t>按季度结算，采取账户汇款方式。</w:t>
      </w:r>
    </w:p>
    <w:p>
      <w:pPr>
        <w:pStyle w:val="42"/>
        <w:keepNext w:val="0"/>
        <w:keepLines w:val="0"/>
        <w:pageBreakBefore w:val="0"/>
        <w:widowControl w:val="0"/>
        <w:numPr>
          <w:ilvl w:val="0"/>
          <w:numId w:val="8"/>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其他相关要求</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80" w:firstLineChars="200"/>
        <w:jc w:val="both"/>
        <w:textAlignment w:val="auto"/>
        <w:rPr>
          <w:rFonts w:hint="eastAsia" w:ascii="仿宋_GB2312" w:hAnsi="仿宋_GB2312" w:eastAsia="仿宋_GB2312" w:cs="仿宋_GB2312"/>
          <w:b w:val="0"/>
          <w:bCs/>
          <w:color w:val="auto"/>
          <w:kern w:val="2"/>
          <w:sz w:val="24"/>
          <w:szCs w:val="24"/>
          <w:lang w:val="en-US" w:eastAsia="zh-CN" w:bidi="ar-SA"/>
        </w:rPr>
      </w:pPr>
      <w:r>
        <w:rPr>
          <w:rFonts w:hint="eastAsia" w:ascii="仿宋_GB2312" w:hAnsi="仿宋_GB2312" w:eastAsia="仿宋_GB2312" w:cs="仿宋_GB2312"/>
          <w:b w:val="0"/>
          <w:bCs/>
          <w:color w:val="auto"/>
          <w:kern w:val="2"/>
          <w:sz w:val="24"/>
          <w:szCs w:val="24"/>
          <w:lang w:val="en-US" w:eastAsia="zh-CN" w:bidi="ar-SA"/>
        </w:rPr>
        <w:t>无</w:t>
      </w:r>
    </w:p>
    <w:p>
      <w:pPr>
        <w:pStyle w:val="4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0" w:firstLineChars="0"/>
        <w:jc w:val="both"/>
        <w:textAlignment w:val="auto"/>
        <w:rPr>
          <w:rFonts w:hint="eastAsia" w:ascii="仿宋_GB2312" w:hAnsi="仿宋_GB2312" w:eastAsia="仿宋_GB2312" w:cs="仿宋_GB2312"/>
          <w:b/>
          <w:color w:val="auto"/>
          <w:kern w:val="2"/>
          <w:sz w:val="24"/>
          <w:szCs w:val="24"/>
          <w:lang w:val="en-US" w:eastAsia="zh-CN" w:bidi="ar-SA"/>
        </w:rPr>
      </w:pPr>
      <w:r>
        <w:rPr>
          <w:rFonts w:hint="eastAsia" w:ascii="仿宋_GB2312" w:hAnsi="仿宋_GB2312" w:eastAsia="仿宋_GB2312" w:cs="仿宋_GB2312"/>
          <w:b/>
          <w:color w:val="auto"/>
          <w:kern w:val="2"/>
          <w:sz w:val="24"/>
          <w:szCs w:val="24"/>
          <w:lang w:val="en-US" w:eastAsia="zh-CN" w:bidi="ar-SA"/>
        </w:rPr>
        <w:t>九、特殊资质条款</w:t>
      </w:r>
    </w:p>
    <w:p>
      <w:pPr>
        <w:pStyle w:val="9"/>
        <w:ind w:left="0" w:leftChars="0" w:firstLine="480" w:firstLineChars="200"/>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无</w:t>
      </w:r>
    </w:p>
    <w:p>
      <w:pPr>
        <w:rPr>
          <w:rFonts w:hint="eastAsia" w:ascii="仿宋_GB2312" w:hAnsi="宋体" w:eastAsia="仿宋_GB2312" w:cs="Times New Roman"/>
          <w:color w:val="auto"/>
          <w:kern w:val="2"/>
          <w:sz w:val="28"/>
          <w:szCs w:val="28"/>
          <w:lang w:val="en-US" w:eastAsia="zh-CN" w:bidi="ar-SA"/>
        </w:rPr>
      </w:pPr>
    </w:p>
    <w:p>
      <w:pPr>
        <w:rPr>
          <w:rFonts w:hint="eastAsia" w:ascii="仿宋_GB2312" w:hAnsi="宋体" w:eastAsia="仿宋_GB2312" w:cs="Times New Roman"/>
          <w:color w:val="auto"/>
          <w:kern w:val="2"/>
          <w:sz w:val="28"/>
          <w:szCs w:val="28"/>
          <w:lang w:val="en-US" w:eastAsia="zh-CN" w:bidi="ar-SA"/>
        </w:rPr>
      </w:pPr>
    </w:p>
    <w:p>
      <w:pPr>
        <w:rPr>
          <w:rFonts w:hint="eastAsia" w:ascii="仿宋_GB2312" w:hAnsi="宋体" w:eastAsia="仿宋_GB2312" w:cs="Times New Roman"/>
          <w:color w:val="auto"/>
          <w:kern w:val="2"/>
          <w:sz w:val="28"/>
          <w:szCs w:val="28"/>
          <w:lang w:val="en-US" w:eastAsia="zh-CN" w:bidi="ar-SA"/>
        </w:rPr>
      </w:pPr>
    </w:p>
    <w:p>
      <w:pPr>
        <w:rPr>
          <w:rFonts w:hint="eastAsia" w:ascii="仿宋_GB2312" w:hAnsi="宋体" w:eastAsia="仿宋_GB2312" w:cs="Times New Roman"/>
          <w:color w:val="auto"/>
          <w:kern w:val="2"/>
          <w:sz w:val="28"/>
          <w:szCs w:val="28"/>
          <w:lang w:val="en-US" w:eastAsia="zh-CN" w:bidi="ar-SA"/>
        </w:rPr>
      </w:pPr>
    </w:p>
    <w:p>
      <w:pPr>
        <w:rPr>
          <w:rFonts w:hint="eastAsia" w:ascii="仿宋_GB2312" w:hAnsi="宋体" w:eastAsia="仿宋_GB2312" w:cs="Times New Roman"/>
          <w:color w:val="auto"/>
          <w:kern w:val="2"/>
          <w:sz w:val="28"/>
          <w:szCs w:val="28"/>
          <w:lang w:val="en-US" w:eastAsia="zh-CN" w:bidi="ar-SA"/>
        </w:rPr>
      </w:pPr>
    </w:p>
    <w:p>
      <w:pPr>
        <w:rPr>
          <w:rFonts w:hint="eastAsia" w:ascii="仿宋_GB2312" w:hAnsi="宋体" w:eastAsia="仿宋_GB2312" w:cs="Times New Roman"/>
          <w:color w:val="auto"/>
          <w:kern w:val="2"/>
          <w:sz w:val="28"/>
          <w:szCs w:val="28"/>
          <w:lang w:val="en-US" w:eastAsia="zh-CN" w:bidi="ar-SA"/>
        </w:rPr>
      </w:pPr>
    </w:p>
    <w:p>
      <w:pPr>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第五章  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8</w:t>
            </w:r>
          </w:p>
        </w:tc>
        <w:tc>
          <w:tcPr>
            <w:tcW w:w="7796" w:type="dxa"/>
            <w:vAlign w:val="center"/>
          </w:tcPr>
          <w:p>
            <w:pP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35"/>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35"/>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9"/>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3"/>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rPr>
          <w:rFonts w:ascii="仿宋" w:hAnsi="仿宋" w:eastAsia="仿宋" w:cs="WBJDSQ+»ªÎÄÏ¸ºÚ"/>
          <w:b/>
          <w:szCs w:val="21"/>
        </w:rPr>
      </w:pPr>
      <w:r>
        <w:rPr>
          <w:rFonts w:hint="eastAsia" w:ascii="仿宋_GB2312" w:hAnsi="仿宋_GB2312" w:eastAsia="仿宋_GB2312" w:cs="仿宋_GB2312"/>
          <w:b/>
          <w:color w:val="auto"/>
          <w:sz w:val="28"/>
          <w:szCs w:val="28"/>
          <w:shd w:val="clear" w:color="auto" w:fill="auto"/>
        </w:rPr>
        <w:t>评</w:t>
      </w:r>
      <w:r>
        <w:rPr>
          <w:rFonts w:hint="eastAsia" w:ascii="仿宋_GB2312" w:hAnsi="仿宋_GB2312" w:eastAsia="仿宋_GB2312" w:cs="仿宋_GB2312"/>
          <w:b/>
          <w:color w:val="auto"/>
          <w:sz w:val="28"/>
          <w:szCs w:val="28"/>
          <w:shd w:val="clear" w:color="auto" w:fill="auto"/>
          <w:lang w:eastAsia="zh-CN"/>
        </w:rPr>
        <w:t>分标准细则</w:t>
      </w:r>
    </w:p>
    <w:p>
      <w:pPr>
        <w:framePr w:wrap="around" w:vAnchor="margin" w:hAnchor="text" w:y="1"/>
        <w:spacing w:line="560" w:lineRule="exact"/>
        <w:rPr>
          <w:rFonts w:ascii="仿宋" w:hAnsi="仿宋" w:eastAsia="仿宋" w:cs="Times New Roman"/>
          <w:b/>
          <w:szCs w:val="21"/>
        </w:rPr>
      </w:pPr>
    </w:p>
    <w:p>
      <w:pPr>
        <w:pStyle w:val="8"/>
        <w:spacing w:before="26"/>
        <w:jc w:val="lef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w:t>
      </w:r>
      <w:r>
        <w:rPr>
          <w:rFonts w:hint="eastAsia" w:ascii="仿宋_GB2312" w:hAnsi="仿宋_GB2312" w:eastAsia="仿宋_GB2312" w:cs="仿宋_GB2312"/>
          <w:color w:val="auto"/>
          <w:sz w:val="24"/>
          <w:szCs w:val="24"/>
          <w:lang w:val="en-US" w:eastAsia="zh-CN"/>
        </w:rPr>
        <w:t>价格分（客观分）</w:t>
      </w:r>
    </w:p>
    <w:tbl>
      <w:tblPr>
        <w:tblStyle w:val="21"/>
        <w:tblpPr w:leftFromText="180" w:rightFromText="180" w:vertAnchor="text" w:horzAnchor="page" w:tblpX="1238" w:tblpY="483"/>
        <w:tblOverlap w:val="never"/>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1995"/>
        <w:gridCol w:w="543"/>
        <w:gridCol w:w="6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评审</w:t>
            </w:r>
          </w:p>
          <w:p>
            <w:pPr>
              <w:jc w:val="center"/>
              <w:rPr>
                <w:rFonts w:ascii="仿宋_GB2312" w:eastAsia="仿宋_GB2312"/>
                <w:color w:val="auto"/>
              </w:rPr>
            </w:pPr>
            <w:r>
              <w:rPr>
                <w:rFonts w:hint="eastAsia" w:ascii="仿宋_GB2312" w:eastAsia="仿宋_GB2312"/>
                <w:color w:val="auto"/>
              </w:rPr>
              <w:t>条款</w:t>
            </w:r>
          </w:p>
        </w:tc>
        <w:tc>
          <w:tcPr>
            <w:tcW w:w="1995" w:type="dxa"/>
            <w:vAlign w:val="center"/>
          </w:tcPr>
          <w:p>
            <w:pPr>
              <w:jc w:val="center"/>
              <w:rPr>
                <w:rFonts w:ascii="仿宋_GB2312" w:eastAsia="仿宋_GB2312"/>
                <w:color w:val="auto"/>
              </w:rPr>
            </w:pPr>
            <w:r>
              <w:rPr>
                <w:rFonts w:hint="eastAsia" w:ascii="仿宋_GB2312" w:eastAsia="仿宋_GB2312"/>
                <w:color w:val="auto"/>
              </w:rPr>
              <w:t>评审项</w:t>
            </w:r>
          </w:p>
        </w:tc>
        <w:tc>
          <w:tcPr>
            <w:tcW w:w="543" w:type="dxa"/>
            <w:vAlign w:val="center"/>
          </w:tcPr>
          <w:p>
            <w:pPr>
              <w:jc w:val="center"/>
              <w:rPr>
                <w:rFonts w:ascii="仿宋_GB2312" w:eastAsia="仿宋_GB2312"/>
                <w:color w:val="auto"/>
              </w:rPr>
            </w:pPr>
            <w:r>
              <w:rPr>
                <w:rFonts w:hint="eastAsia" w:ascii="仿宋_GB2312" w:eastAsia="仿宋_GB2312"/>
                <w:color w:val="auto"/>
              </w:rPr>
              <w:t>分值</w:t>
            </w:r>
          </w:p>
        </w:tc>
        <w:tc>
          <w:tcPr>
            <w:tcW w:w="6347" w:type="dxa"/>
            <w:vAlign w:val="center"/>
          </w:tcPr>
          <w:p>
            <w:pPr>
              <w:jc w:val="center"/>
              <w:rPr>
                <w:rFonts w:ascii="仿宋_GB2312" w:eastAsia="仿宋_GB2312"/>
                <w:color w:val="auto"/>
              </w:rPr>
            </w:pPr>
            <w:r>
              <w:rPr>
                <w:rFonts w:hint="eastAsia" w:ascii="仿宋_GB2312" w:eastAsia="仿宋_GB2312"/>
                <w:color w:val="auto"/>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价格</w:t>
            </w:r>
          </w:p>
          <w:p>
            <w:pPr>
              <w:jc w:val="center"/>
              <w:rPr>
                <w:rFonts w:ascii="仿宋_GB2312" w:eastAsia="仿宋_GB2312"/>
                <w:color w:val="auto"/>
              </w:rPr>
            </w:pPr>
            <w:r>
              <w:rPr>
                <w:rFonts w:hint="eastAsia" w:ascii="仿宋_GB2312" w:eastAsia="仿宋_GB2312"/>
                <w:color w:val="auto"/>
              </w:rPr>
              <w:t>(10分)</w:t>
            </w:r>
          </w:p>
        </w:tc>
        <w:tc>
          <w:tcPr>
            <w:tcW w:w="1995" w:type="dxa"/>
            <w:vAlign w:val="center"/>
          </w:tcPr>
          <w:p>
            <w:pPr>
              <w:jc w:val="center"/>
              <w:rPr>
                <w:rFonts w:ascii="仿宋_GB2312" w:eastAsia="仿宋_GB2312"/>
                <w:color w:val="auto"/>
              </w:rPr>
            </w:pPr>
            <w:r>
              <w:rPr>
                <w:rFonts w:hint="eastAsia" w:ascii="仿宋_GB2312" w:eastAsia="仿宋_GB2312"/>
                <w:color w:val="auto"/>
              </w:rPr>
              <w:t>价格</w:t>
            </w:r>
          </w:p>
        </w:tc>
        <w:tc>
          <w:tcPr>
            <w:tcW w:w="543" w:type="dxa"/>
            <w:vAlign w:val="center"/>
          </w:tcPr>
          <w:p>
            <w:pPr>
              <w:jc w:val="center"/>
              <w:rPr>
                <w:rFonts w:ascii="仿宋_GB2312" w:hAnsi="宋体" w:eastAsia="仿宋_GB2312"/>
                <w:color w:val="auto"/>
              </w:rPr>
            </w:pPr>
            <w:r>
              <w:rPr>
                <w:rFonts w:hint="eastAsia" w:ascii="仿宋_GB2312" w:eastAsia="仿宋_GB2312"/>
                <w:color w:val="auto"/>
              </w:rPr>
              <w:t>10</w:t>
            </w:r>
          </w:p>
        </w:tc>
        <w:tc>
          <w:tcPr>
            <w:tcW w:w="6347" w:type="dxa"/>
            <w:vAlign w:val="center"/>
          </w:tcPr>
          <w:p>
            <w:pPr>
              <w:rPr>
                <w:rFonts w:ascii="仿宋_GB2312" w:eastAsia="仿宋_GB2312"/>
                <w:color w:val="auto"/>
              </w:rPr>
            </w:pPr>
            <w:r>
              <w:rPr>
                <w:rFonts w:hint="eastAsia" w:ascii="仿宋_GB2312" w:hAnsi="宋体" w:eastAsia="仿宋_GB2312"/>
                <w:color w:val="auto"/>
              </w:rPr>
              <w:t>报</w:t>
            </w:r>
            <w:r>
              <w:rPr>
                <w:rFonts w:hint="eastAsia" w:ascii="仿宋_GB2312" w:eastAsia="仿宋_GB2312"/>
                <w:color w:val="auto"/>
              </w:rPr>
              <w:t>价得分＝10×（评标基准价/投标报价）。评标基准价：满足招标文件要求且投标价格最低的投标报价。注:对小型和微型企业产品的价格给予</w:t>
            </w:r>
            <w:r>
              <w:rPr>
                <w:rFonts w:ascii="仿宋_GB2312" w:eastAsia="仿宋_GB2312"/>
                <w:color w:val="auto"/>
              </w:rPr>
              <w:t>10</w:t>
            </w:r>
            <w:r>
              <w:rPr>
                <w:rFonts w:hint="eastAsia" w:ascii="仿宋_GB2312" w:eastAsia="仿宋_GB2312"/>
                <w:color w:val="auto"/>
              </w:rPr>
              <w:t>%的扣除,用扣除后的价格参与评审</w:t>
            </w:r>
          </w:p>
        </w:tc>
      </w:tr>
    </w:tbl>
    <w:p>
      <w:pPr>
        <w:spacing w:line="360" w:lineRule="auto"/>
        <w:jc w:val="left"/>
        <w:rPr>
          <w:rFonts w:ascii="仿宋" w:hAnsi="仿宋" w:eastAsia="仿宋" w:cs="WBJDSQ+»ªÎÄÏ¸ºÚ"/>
          <w:b/>
          <w:color w:val="auto"/>
          <w:sz w:val="32"/>
          <w:szCs w:val="32"/>
        </w:rPr>
      </w:pPr>
    </w:p>
    <w:p>
      <w:pPr>
        <w:pStyle w:val="8"/>
        <w:spacing w:before="26"/>
        <w:jc w:val="left"/>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二、</w:t>
      </w:r>
      <w:r>
        <w:rPr>
          <w:rFonts w:hint="eastAsia" w:ascii="仿宋_GB2312" w:hAnsi="仿宋_GB2312" w:eastAsia="仿宋_GB2312" w:cs="仿宋_GB2312"/>
          <w:color w:val="auto"/>
          <w:sz w:val="24"/>
          <w:szCs w:val="24"/>
          <w:lang w:val="en-US" w:eastAsia="zh-CN"/>
        </w:rPr>
        <w:t>管理服务能力（主观分）</w:t>
      </w:r>
    </w:p>
    <w:tbl>
      <w:tblPr>
        <w:tblStyle w:val="21"/>
        <w:tblpPr w:leftFromText="180" w:rightFromText="180" w:vertAnchor="text" w:horzAnchor="page" w:tblpX="1238" w:tblpY="483"/>
        <w:tblOverlap w:val="never"/>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1995"/>
        <w:gridCol w:w="543"/>
        <w:gridCol w:w="6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评审</w:t>
            </w:r>
          </w:p>
          <w:p>
            <w:pPr>
              <w:jc w:val="center"/>
              <w:rPr>
                <w:rFonts w:ascii="仿宋_GB2312" w:eastAsia="仿宋_GB2312"/>
                <w:color w:val="auto"/>
              </w:rPr>
            </w:pPr>
            <w:r>
              <w:rPr>
                <w:rFonts w:hint="eastAsia" w:ascii="仿宋_GB2312" w:eastAsia="仿宋_GB2312"/>
                <w:color w:val="auto"/>
              </w:rPr>
              <w:t>条款</w:t>
            </w:r>
          </w:p>
        </w:tc>
        <w:tc>
          <w:tcPr>
            <w:tcW w:w="1995" w:type="dxa"/>
            <w:vAlign w:val="center"/>
          </w:tcPr>
          <w:p>
            <w:pPr>
              <w:jc w:val="center"/>
              <w:rPr>
                <w:rFonts w:ascii="仿宋_GB2312" w:eastAsia="仿宋_GB2312"/>
                <w:color w:val="auto"/>
              </w:rPr>
            </w:pPr>
            <w:r>
              <w:rPr>
                <w:rFonts w:hint="eastAsia" w:ascii="仿宋_GB2312" w:eastAsia="仿宋_GB2312"/>
                <w:color w:val="auto"/>
              </w:rPr>
              <w:t>评审项</w:t>
            </w:r>
          </w:p>
        </w:tc>
        <w:tc>
          <w:tcPr>
            <w:tcW w:w="543" w:type="dxa"/>
            <w:vAlign w:val="center"/>
          </w:tcPr>
          <w:p>
            <w:pPr>
              <w:jc w:val="center"/>
              <w:rPr>
                <w:rFonts w:ascii="仿宋_GB2312" w:eastAsia="仿宋_GB2312"/>
                <w:color w:val="auto"/>
              </w:rPr>
            </w:pPr>
            <w:r>
              <w:rPr>
                <w:rFonts w:hint="eastAsia" w:ascii="仿宋_GB2312" w:eastAsia="仿宋_GB2312"/>
                <w:color w:val="auto"/>
              </w:rPr>
              <w:t>分值</w:t>
            </w:r>
          </w:p>
        </w:tc>
        <w:tc>
          <w:tcPr>
            <w:tcW w:w="6347" w:type="dxa"/>
            <w:vAlign w:val="center"/>
          </w:tcPr>
          <w:p>
            <w:pPr>
              <w:jc w:val="center"/>
              <w:rPr>
                <w:rFonts w:ascii="仿宋_GB2312" w:eastAsia="仿宋_GB2312"/>
                <w:color w:val="auto"/>
              </w:rPr>
            </w:pPr>
            <w:r>
              <w:rPr>
                <w:rFonts w:hint="eastAsia" w:ascii="仿宋_GB2312" w:eastAsia="仿宋_GB2312"/>
                <w:color w:val="auto"/>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restart"/>
            <w:vAlign w:val="center"/>
          </w:tcPr>
          <w:p>
            <w:pPr>
              <w:jc w:val="center"/>
              <w:rPr>
                <w:rFonts w:ascii="仿宋_GB2312" w:eastAsia="仿宋_GB2312"/>
                <w:color w:val="auto"/>
              </w:rPr>
            </w:pPr>
            <w:r>
              <w:rPr>
                <w:rFonts w:hint="eastAsia" w:ascii="仿宋_GB2312" w:eastAsia="仿宋_GB2312"/>
                <w:color w:val="auto"/>
              </w:rPr>
              <w:t>管理服务能力(</w:t>
            </w:r>
            <w:r>
              <w:rPr>
                <w:rFonts w:ascii="仿宋_GB2312" w:eastAsia="仿宋_GB2312"/>
                <w:color w:val="auto"/>
              </w:rPr>
              <w:t>59</w:t>
            </w:r>
            <w:r>
              <w:rPr>
                <w:rFonts w:hint="eastAsia" w:ascii="仿宋_GB2312" w:eastAsia="仿宋_GB2312"/>
                <w:color w:val="auto"/>
              </w:rPr>
              <w:t>分)</w:t>
            </w:r>
          </w:p>
        </w:tc>
        <w:tc>
          <w:tcPr>
            <w:tcW w:w="1995" w:type="dxa"/>
            <w:vAlign w:val="center"/>
          </w:tcPr>
          <w:p>
            <w:pPr>
              <w:rPr>
                <w:rFonts w:ascii="仿宋_GB2312" w:eastAsia="仿宋_GB2312"/>
                <w:color w:val="auto"/>
              </w:rPr>
            </w:pPr>
            <w:r>
              <w:rPr>
                <w:rFonts w:hint="eastAsia" w:ascii="仿宋_GB2312" w:eastAsia="仿宋_GB2312"/>
                <w:color w:val="auto"/>
              </w:rPr>
              <w:t>1.党建引领</w:t>
            </w:r>
          </w:p>
        </w:tc>
        <w:tc>
          <w:tcPr>
            <w:tcW w:w="543" w:type="dxa"/>
            <w:vAlign w:val="center"/>
          </w:tcPr>
          <w:p>
            <w:pPr>
              <w:jc w:val="center"/>
              <w:rPr>
                <w:rFonts w:ascii="仿宋_GB2312" w:hAnsi="宋体" w:eastAsia="仿宋_GB2312"/>
                <w:color w:val="auto"/>
              </w:rPr>
            </w:pPr>
            <w:r>
              <w:rPr>
                <w:rFonts w:hint="eastAsia" w:ascii="仿宋_GB2312" w:hAnsi="宋体" w:eastAsia="仿宋_GB2312"/>
                <w:color w:val="auto"/>
              </w:rPr>
              <w:t>6</w:t>
            </w:r>
          </w:p>
        </w:tc>
        <w:tc>
          <w:tcPr>
            <w:tcW w:w="6347" w:type="dxa"/>
          </w:tcPr>
          <w:p>
            <w:pPr>
              <w:rPr>
                <w:rFonts w:ascii="仿宋_GB2312" w:hAnsi="宋体" w:eastAsia="仿宋_GB2312"/>
                <w:color w:val="auto"/>
              </w:rPr>
            </w:pPr>
            <w:r>
              <w:rPr>
                <w:rFonts w:hint="eastAsia" w:ascii="仿宋_GB2312" w:eastAsia="仿宋_GB2312"/>
                <w:color w:val="auto"/>
              </w:rPr>
              <w:t>根据供应商所报的目前党建工作开展情况：独立建立党支部，并获得先进党组织荣誉，得6分；建立临时或联合党支部或未获得先进党组织荣誉打3分；未建立党支部打0分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2.对本项目的理解及针对性</w:t>
            </w:r>
          </w:p>
        </w:tc>
        <w:tc>
          <w:tcPr>
            <w:tcW w:w="543" w:type="dxa"/>
            <w:vAlign w:val="center"/>
          </w:tcPr>
          <w:p>
            <w:pPr>
              <w:jc w:val="center"/>
              <w:rPr>
                <w:rFonts w:ascii="仿宋_GB2312" w:hAnsi="宋体" w:eastAsia="仿宋_GB2312"/>
                <w:color w:val="auto"/>
              </w:rPr>
            </w:pPr>
            <w:r>
              <w:rPr>
                <w:rFonts w:hint="eastAsia" w:ascii="仿宋_GB2312" w:hAnsi="宋体" w:eastAsia="仿宋_GB2312"/>
                <w:color w:val="auto"/>
              </w:rPr>
              <w:t>5</w:t>
            </w:r>
          </w:p>
        </w:tc>
        <w:tc>
          <w:tcPr>
            <w:tcW w:w="6347" w:type="dxa"/>
          </w:tcPr>
          <w:p>
            <w:pPr>
              <w:rPr>
                <w:rFonts w:ascii="仿宋_GB2312" w:hAnsi="宋体" w:eastAsia="仿宋_GB2312"/>
                <w:color w:val="auto"/>
              </w:rPr>
            </w:pPr>
            <w:r>
              <w:rPr>
                <w:rFonts w:hint="eastAsia" w:ascii="仿宋_GB2312" w:eastAsia="仿宋_GB2312"/>
                <w:color w:val="auto"/>
              </w:rPr>
              <w:t>本项目的物业管理整体设计及策划：根据投标人应答情况综合评议，分析准确、针对性强</w:t>
            </w:r>
            <w:r>
              <w:rPr>
                <w:rFonts w:ascii="仿宋_GB2312" w:eastAsia="仿宋_GB2312"/>
                <w:color w:val="auto"/>
              </w:rPr>
              <w:t>、</w:t>
            </w:r>
            <w:r>
              <w:rPr>
                <w:rFonts w:hint="eastAsia" w:ascii="仿宋_GB2312" w:eastAsia="仿宋_GB2312"/>
                <w:color w:val="auto"/>
              </w:rPr>
              <w:t>整体设想、思路清晰明确得5分；针对性</w:t>
            </w:r>
            <w:r>
              <w:rPr>
                <w:rFonts w:ascii="仿宋_GB2312" w:eastAsia="仿宋_GB2312"/>
                <w:color w:val="auto"/>
              </w:rPr>
              <w:t>不强</w:t>
            </w:r>
            <w:r>
              <w:rPr>
                <w:rFonts w:hint="eastAsia" w:ascii="仿宋_GB2312" w:eastAsia="仿宋_GB2312"/>
                <w:color w:val="auto"/>
              </w:rPr>
              <w:t>，</w:t>
            </w:r>
            <w:r>
              <w:rPr>
                <w:rFonts w:ascii="仿宋_GB2312" w:eastAsia="仿宋_GB2312"/>
                <w:color w:val="auto"/>
              </w:rPr>
              <w:t>整体设想、思路</w:t>
            </w:r>
            <w:r>
              <w:rPr>
                <w:rFonts w:hint="eastAsia" w:ascii="仿宋_GB2312" w:eastAsia="仿宋_GB2312"/>
                <w:color w:val="auto"/>
              </w:rPr>
              <w:t>基本可行得3分；不适用得1分；不切合实际的打0分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3.</w:t>
            </w:r>
            <w:r>
              <w:rPr>
                <w:rFonts w:hint="eastAsia" w:ascii="仿宋_GB2312" w:hAnsi="宋体" w:eastAsia="仿宋_GB2312"/>
                <w:color w:val="auto"/>
              </w:rPr>
              <w:t>设备设施维护养护方案</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tcPr>
          <w:p>
            <w:pPr>
              <w:rPr>
                <w:rFonts w:ascii="仿宋_GB2312" w:eastAsia="仿宋_GB2312"/>
                <w:color w:val="auto"/>
              </w:rPr>
            </w:pPr>
            <w:r>
              <w:rPr>
                <w:rFonts w:hint="eastAsia" w:ascii="仿宋_GB2312" w:eastAsia="仿宋_GB2312"/>
                <w:color w:val="auto"/>
              </w:rPr>
              <w:t>设备设施维护维修养护方案：根据投标人应答情况综合评议，全部响应且运用现代化手段、科学管理、可操作性强得5分；响应情况基本满足需求，但内容饱满性、管理</w:t>
            </w:r>
            <w:r>
              <w:rPr>
                <w:rFonts w:ascii="仿宋_GB2312" w:eastAsia="仿宋_GB2312"/>
                <w:color w:val="auto"/>
              </w:rPr>
              <w:t>手段先进性、</w:t>
            </w:r>
            <w:r>
              <w:rPr>
                <w:rFonts w:hint="eastAsia" w:ascii="仿宋_GB2312" w:eastAsia="仿宋_GB2312"/>
                <w:color w:val="auto"/>
              </w:rPr>
              <w:t>可操作性一般得3分；响应了但内容需完善或不适用本项目得1分；不切合实际的打0分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4.保洁、绿化服务方案</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tcPr>
          <w:p>
            <w:pPr>
              <w:rPr>
                <w:rFonts w:ascii="仿宋_GB2312" w:hAnsi="宋体" w:eastAsia="仿宋_GB2312"/>
                <w:color w:val="auto"/>
              </w:rPr>
            </w:pPr>
            <w:r>
              <w:rPr>
                <w:rFonts w:hint="eastAsia" w:ascii="仿宋_GB2312" w:eastAsia="仿宋_GB2312"/>
                <w:color w:val="auto"/>
              </w:rPr>
              <w:t>保洁服务、绿化服务方案，根据投标人应答情况综合考评，方案合理、可操作性强得5分；全部响应但内容饱满性、可操作性一般得3分；响应了但内容需完善或不适用本项目得1分；不切合实际的打0分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5.</w:t>
            </w:r>
            <w:r>
              <w:rPr>
                <w:rFonts w:hint="eastAsia" w:ascii="仿宋_GB2312" w:hAnsi="宋体" w:eastAsia="仿宋_GB2312"/>
                <w:color w:val="auto"/>
              </w:rPr>
              <w:t>会议服务方案</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tcPr>
          <w:p>
            <w:pPr>
              <w:rPr>
                <w:rFonts w:ascii="仿宋_GB2312" w:eastAsia="仿宋_GB2312"/>
                <w:color w:val="auto"/>
              </w:rPr>
            </w:pPr>
            <w:r>
              <w:rPr>
                <w:rFonts w:hint="eastAsia" w:ascii="仿宋_GB2312" w:eastAsia="仿宋_GB2312"/>
                <w:color w:val="auto"/>
              </w:rPr>
              <w:t>会议服务方案：根据投标人应答情况综合评议，全部响应且内容丰富、合理、可操作性强得5分；全部响应但内容饱满性、可操作性一般得3分；响应了但内容需完善或不适用本项目得1分；不切合实际的打0分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6.日常管理与规章制度</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tcPr>
          <w:p>
            <w:pPr>
              <w:rPr>
                <w:rFonts w:ascii="仿宋_GB2312" w:eastAsia="仿宋_GB2312"/>
                <w:color w:val="auto"/>
              </w:rPr>
            </w:pPr>
            <w:r>
              <w:rPr>
                <w:rFonts w:hint="eastAsia" w:ascii="仿宋_GB2312" w:eastAsia="仿宋_GB2312"/>
                <w:color w:val="auto"/>
              </w:rPr>
              <w:t>根据投标人日常管理与规章制度的完善性、适用性，是否具有明晰的项目管理机构图、工作职能组织运行图，以及健全的项目经理的管理职责、内部管理的职责分工、日常管理制度和考核办法、培训制度、保密制度和应急管理措施完备等情况进行打分：完善、适用得5分；较完善、基本适用得3分；响应一般或未响应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9"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7.消防安全管理服务方案</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tcPr>
          <w:p>
            <w:pPr>
              <w:rPr>
                <w:rFonts w:ascii="仿宋_GB2312" w:eastAsia="仿宋_GB2312"/>
                <w:color w:val="auto"/>
              </w:rPr>
            </w:pPr>
            <w:r>
              <w:rPr>
                <w:rFonts w:hint="eastAsia" w:ascii="仿宋_GB2312" w:eastAsia="仿宋_GB2312"/>
                <w:color w:val="auto"/>
              </w:rPr>
              <w:t>消防安全管理服务方案：根据投标人应答情况综合评议，全部响应且内容丰富、合理、与安保人员联动响应，可操作性强得5分；全部响应但内容饱满性、可操作性一般得</w:t>
            </w:r>
            <w:r>
              <w:rPr>
                <w:rFonts w:ascii="仿宋_GB2312" w:eastAsia="仿宋_GB2312"/>
                <w:color w:val="auto"/>
              </w:rPr>
              <w:t>3</w:t>
            </w:r>
            <w:r>
              <w:rPr>
                <w:rFonts w:hint="eastAsia" w:ascii="仿宋_GB2312" w:eastAsia="仿宋_GB2312"/>
                <w:color w:val="auto"/>
              </w:rPr>
              <w:t>分；响应了但内容需完善或不适用本项目得1分；不切合实际的打0分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8"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8.安全生产管理服务方案</w:t>
            </w:r>
          </w:p>
        </w:tc>
        <w:tc>
          <w:tcPr>
            <w:tcW w:w="543" w:type="dxa"/>
            <w:vAlign w:val="center"/>
          </w:tcPr>
          <w:p>
            <w:pPr>
              <w:jc w:val="center"/>
              <w:rPr>
                <w:rFonts w:ascii="仿宋_GB2312" w:eastAsia="仿宋_GB2312"/>
                <w:color w:val="auto"/>
              </w:rPr>
            </w:pPr>
            <w:r>
              <w:rPr>
                <w:rFonts w:hint="eastAsia" w:ascii="仿宋_GB2312" w:eastAsia="仿宋_GB2312"/>
                <w:color w:val="auto"/>
              </w:rPr>
              <w:t>10</w:t>
            </w:r>
          </w:p>
        </w:tc>
        <w:tc>
          <w:tcPr>
            <w:tcW w:w="6347" w:type="dxa"/>
          </w:tcPr>
          <w:p>
            <w:pPr>
              <w:rPr>
                <w:rFonts w:ascii="仿宋_GB2312" w:eastAsia="仿宋_GB2312"/>
                <w:color w:val="auto"/>
              </w:rPr>
            </w:pPr>
            <w:r>
              <w:rPr>
                <w:rFonts w:hint="eastAsia" w:ascii="仿宋_GB2312" w:eastAsia="仿宋_GB2312"/>
                <w:color w:val="auto"/>
              </w:rPr>
              <w:t>1.安全生产管理服务方案：安全方案应包括但不限于：安全生产责任制，安全事故隐患排查治理方案、重点部位安全管理方案、值班值守安全管理方案，根据投标人应答情况综合评议，全部响应且内容丰富、合理、可操作性强得4分；全部响应但内容饱满性、可操作性一般得2分；响应了但内容需完善或不适用本项目得1分；不切合实际的打0分</w:t>
            </w:r>
          </w:p>
          <w:p>
            <w:pPr>
              <w:rPr>
                <w:rFonts w:ascii="仿宋_GB2312" w:eastAsia="仿宋_GB2312"/>
                <w:color w:val="auto"/>
              </w:rPr>
            </w:pPr>
            <w:r>
              <w:rPr>
                <w:rFonts w:hint="eastAsia" w:ascii="仿宋_GB2312" w:eastAsia="仿宋_GB2312"/>
                <w:color w:val="auto"/>
              </w:rPr>
              <w:t>2.具备安全生产管理经验，从</w:t>
            </w:r>
            <w:r>
              <w:rPr>
                <w:rFonts w:ascii="仿宋_GB2312" w:eastAsia="仿宋_GB2312"/>
                <w:color w:val="auto"/>
              </w:rPr>
              <w:t>2022</w:t>
            </w:r>
            <w:r>
              <w:rPr>
                <w:rFonts w:hint="eastAsia" w:ascii="仿宋_GB2312" w:eastAsia="仿宋_GB2312"/>
                <w:color w:val="auto"/>
              </w:rPr>
              <w:t>年1</w:t>
            </w:r>
            <w:r>
              <w:rPr>
                <w:rFonts w:ascii="仿宋_GB2312" w:eastAsia="仿宋_GB2312"/>
                <w:color w:val="auto"/>
              </w:rPr>
              <w:t>月1日</w:t>
            </w:r>
            <w:r>
              <w:rPr>
                <w:rFonts w:ascii="仿宋" w:hAnsi="仿宋" w:eastAsia="仿宋"/>
                <w:color w:val="auto"/>
                <w:sz w:val="24"/>
              </w:rPr>
              <w:t>起</w:t>
            </w:r>
            <w:r>
              <w:rPr>
                <w:rFonts w:hint="eastAsia" w:ascii="仿宋_GB2312" w:eastAsia="仿宋_GB2312"/>
                <w:color w:val="auto"/>
              </w:rPr>
              <w:t>每持有一个获得安全生产标准化二级综合楼宇物业管理项目业绩，得2分，最高得6分。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9.紧急响应、应急预案</w:t>
            </w:r>
          </w:p>
        </w:tc>
        <w:tc>
          <w:tcPr>
            <w:tcW w:w="543" w:type="dxa"/>
            <w:vAlign w:val="center"/>
          </w:tcPr>
          <w:p>
            <w:pPr>
              <w:jc w:val="center"/>
              <w:rPr>
                <w:rFonts w:ascii="仿宋_GB2312" w:eastAsia="仿宋_GB2312"/>
                <w:color w:val="auto"/>
              </w:rPr>
            </w:pPr>
            <w:r>
              <w:rPr>
                <w:rFonts w:hint="eastAsia" w:ascii="仿宋_GB2312" w:eastAsia="仿宋_GB2312"/>
                <w:color w:val="auto"/>
              </w:rPr>
              <w:t>5</w:t>
            </w:r>
          </w:p>
        </w:tc>
        <w:tc>
          <w:tcPr>
            <w:tcW w:w="6347" w:type="dxa"/>
            <w:vAlign w:val="center"/>
          </w:tcPr>
          <w:p>
            <w:pPr>
              <w:rPr>
                <w:rFonts w:ascii="仿宋_GB2312" w:eastAsia="仿宋_GB2312"/>
                <w:color w:val="auto"/>
              </w:rPr>
            </w:pPr>
            <w:r>
              <w:rPr>
                <w:rFonts w:hint="eastAsia" w:ascii="仿宋_GB2312" w:eastAsia="仿宋_GB2312"/>
                <w:color w:val="auto"/>
              </w:rPr>
              <w:t>物业应急预案：根据投标人应答情况综合评议，全部响应且内容丰富、合理、可操作性强得5分；全部响应但内容饱满性、可操作性一般得3分；响应了但内容需完善或不适用本项目得0分。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10.节能、垃圾分类管理措施</w:t>
            </w:r>
          </w:p>
        </w:tc>
        <w:tc>
          <w:tcPr>
            <w:tcW w:w="543" w:type="dxa"/>
            <w:vAlign w:val="center"/>
          </w:tcPr>
          <w:p>
            <w:pPr>
              <w:jc w:val="center"/>
              <w:rPr>
                <w:rFonts w:ascii="仿宋_GB2312" w:eastAsia="仿宋_GB2312"/>
                <w:color w:val="auto"/>
              </w:rPr>
            </w:pPr>
            <w:r>
              <w:rPr>
                <w:rFonts w:hint="eastAsia" w:ascii="仿宋_GB2312" w:eastAsia="仿宋_GB2312"/>
                <w:color w:val="auto"/>
              </w:rPr>
              <w:t>4</w:t>
            </w:r>
          </w:p>
        </w:tc>
        <w:tc>
          <w:tcPr>
            <w:tcW w:w="6347" w:type="dxa"/>
            <w:vAlign w:val="center"/>
          </w:tcPr>
          <w:p>
            <w:pPr>
              <w:rPr>
                <w:rFonts w:ascii="仿宋_GB2312" w:eastAsia="仿宋_GB2312"/>
                <w:color w:val="auto"/>
              </w:rPr>
            </w:pPr>
            <w:r>
              <w:rPr>
                <w:rFonts w:hint="eastAsia" w:ascii="仿宋_GB2312" w:eastAsia="仿宋_GB2312"/>
                <w:color w:val="auto"/>
              </w:rPr>
              <w:t>根据供应商针对本项目需求提出的科学合理、现实有效的节能、垃圾分类等措施情况打分。较好的打4分；一般的打2分；较差的打1分；未提供或不齐全的打0分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11.服务承诺及措施</w:t>
            </w:r>
          </w:p>
        </w:tc>
        <w:tc>
          <w:tcPr>
            <w:tcW w:w="543" w:type="dxa"/>
            <w:vAlign w:val="center"/>
          </w:tcPr>
          <w:p>
            <w:pPr>
              <w:jc w:val="center"/>
              <w:rPr>
                <w:rFonts w:ascii="仿宋_GB2312" w:eastAsia="仿宋_GB2312"/>
                <w:color w:val="auto"/>
              </w:rPr>
            </w:pPr>
            <w:r>
              <w:rPr>
                <w:rFonts w:hint="eastAsia" w:ascii="仿宋_GB2312" w:eastAsia="仿宋_GB2312"/>
                <w:color w:val="auto"/>
              </w:rPr>
              <w:t>4</w:t>
            </w:r>
          </w:p>
        </w:tc>
        <w:tc>
          <w:tcPr>
            <w:tcW w:w="6347" w:type="dxa"/>
          </w:tcPr>
          <w:p>
            <w:pPr>
              <w:rPr>
                <w:rFonts w:ascii="仿宋_GB2312" w:eastAsia="仿宋_GB2312"/>
                <w:color w:val="auto"/>
              </w:rPr>
            </w:pPr>
            <w:r>
              <w:rPr>
                <w:rFonts w:hint="eastAsia" w:ascii="仿宋_GB2312" w:eastAsia="仿宋_GB2312"/>
                <w:color w:val="auto"/>
              </w:rPr>
              <w:t>根据供应商所报服务承诺及保障措施，是否针对本项目的服务需求提供详尽的服务措施承诺情况打分。较好</w:t>
            </w:r>
            <w:r>
              <w:rPr>
                <w:rFonts w:hint="eastAsia" w:ascii="仿宋_GB2312" w:hAnsi="宋体" w:eastAsia="仿宋_GB2312"/>
                <w:color w:val="auto"/>
              </w:rPr>
              <w:t>的打</w:t>
            </w:r>
            <w:r>
              <w:rPr>
                <w:rFonts w:hint="eastAsia" w:ascii="仿宋_GB2312" w:eastAsia="仿宋_GB2312"/>
                <w:color w:val="auto"/>
              </w:rPr>
              <w:t>4分；一般</w:t>
            </w:r>
            <w:r>
              <w:rPr>
                <w:rFonts w:hint="eastAsia" w:ascii="仿宋_GB2312" w:hAnsi="宋体" w:eastAsia="仿宋_GB2312"/>
                <w:color w:val="auto"/>
              </w:rPr>
              <w:t>的打</w:t>
            </w:r>
            <w:r>
              <w:rPr>
                <w:rFonts w:hint="eastAsia" w:ascii="仿宋_GB2312" w:eastAsia="仿宋_GB2312"/>
                <w:color w:val="auto"/>
              </w:rPr>
              <w:t>2分；较差</w:t>
            </w:r>
            <w:r>
              <w:rPr>
                <w:rFonts w:hint="eastAsia" w:ascii="仿宋_GB2312" w:hAnsi="宋体" w:eastAsia="仿宋_GB2312"/>
                <w:color w:val="auto"/>
              </w:rPr>
              <w:t>的打</w:t>
            </w:r>
            <w:r>
              <w:rPr>
                <w:rFonts w:hint="eastAsia" w:ascii="仿宋_GB2312" w:eastAsia="仿宋_GB2312"/>
                <w:color w:val="auto"/>
              </w:rPr>
              <w:t>1分；</w:t>
            </w:r>
            <w:r>
              <w:rPr>
                <w:rFonts w:hint="eastAsia" w:ascii="仿宋_GB2312" w:hAnsi="宋体" w:eastAsia="仿宋_GB2312"/>
                <w:color w:val="auto"/>
              </w:rPr>
              <w:t>未提供或不齐全的打0分</w:t>
            </w:r>
          </w:p>
        </w:tc>
      </w:tr>
    </w:tbl>
    <w:p>
      <w:pPr>
        <w:widowControl/>
        <w:spacing w:line="360" w:lineRule="auto"/>
        <w:jc w:val="left"/>
        <w:rPr>
          <w:rFonts w:ascii="宋体" w:hAnsi="宋体"/>
          <w:b/>
          <w:color w:val="auto"/>
          <w:sz w:val="24"/>
          <w:szCs w:val="24"/>
        </w:rPr>
      </w:pPr>
    </w:p>
    <w:p>
      <w:pPr>
        <w:pStyle w:val="8"/>
        <w:spacing w:before="26"/>
        <w:jc w:val="left"/>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三、商务分（客观分）</w:t>
      </w:r>
    </w:p>
    <w:tbl>
      <w:tblPr>
        <w:tblStyle w:val="21"/>
        <w:tblpPr w:leftFromText="180" w:rightFromText="180" w:vertAnchor="text" w:horzAnchor="page" w:tblpX="1322" w:tblpY="610"/>
        <w:tblOverlap w:val="never"/>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1995"/>
        <w:gridCol w:w="543"/>
        <w:gridCol w:w="6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评审</w:t>
            </w:r>
          </w:p>
          <w:p>
            <w:pPr>
              <w:jc w:val="center"/>
              <w:rPr>
                <w:rFonts w:ascii="仿宋_GB2312" w:eastAsia="仿宋_GB2312"/>
                <w:color w:val="auto"/>
              </w:rPr>
            </w:pPr>
            <w:r>
              <w:rPr>
                <w:rFonts w:hint="eastAsia" w:ascii="仿宋_GB2312" w:eastAsia="仿宋_GB2312"/>
                <w:color w:val="auto"/>
              </w:rPr>
              <w:t>条款</w:t>
            </w:r>
          </w:p>
        </w:tc>
        <w:tc>
          <w:tcPr>
            <w:tcW w:w="1995" w:type="dxa"/>
            <w:vAlign w:val="center"/>
          </w:tcPr>
          <w:p>
            <w:pPr>
              <w:jc w:val="center"/>
              <w:rPr>
                <w:rFonts w:ascii="仿宋_GB2312" w:eastAsia="仿宋_GB2312"/>
                <w:color w:val="auto"/>
              </w:rPr>
            </w:pPr>
            <w:r>
              <w:rPr>
                <w:rFonts w:hint="eastAsia" w:ascii="仿宋_GB2312" w:eastAsia="仿宋_GB2312"/>
                <w:color w:val="auto"/>
              </w:rPr>
              <w:t>评审项</w:t>
            </w:r>
          </w:p>
        </w:tc>
        <w:tc>
          <w:tcPr>
            <w:tcW w:w="543" w:type="dxa"/>
            <w:vAlign w:val="center"/>
          </w:tcPr>
          <w:p>
            <w:pPr>
              <w:jc w:val="center"/>
              <w:rPr>
                <w:rFonts w:ascii="仿宋_GB2312" w:eastAsia="仿宋_GB2312"/>
                <w:color w:val="auto"/>
              </w:rPr>
            </w:pPr>
            <w:r>
              <w:rPr>
                <w:rFonts w:hint="eastAsia" w:ascii="仿宋_GB2312" w:eastAsia="仿宋_GB2312"/>
                <w:color w:val="auto"/>
              </w:rPr>
              <w:t>分值</w:t>
            </w:r>
          </w:p>
        </w:tc>
        <w:tc>
          <w:tcPr>
            <w:tcW w:w="6347" w:type="dxa"/>
            <w:vAlign w:val="center"/>
          </w:tcPr>
          <w:p>
            <w:pPr>
              <w:jc w:val="center"/>
              <w:rPr>
                <w:rFonts w:ascii="仿宋_GB2312" w:eastAsia="仿宋_GB2312"/>
                <w:color w:val="auto"/>
              </w:rPr>
            </w:pPr>
            <w:r>
              <w:rPr>
                <w:rFonts w:hint="eastAsia" w:ascii="仿宋_GB2312" w:eastAsia="仿宋_GB2312"/>
                <w:color w:val="auto"/>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trPr>
        <w:tc>
          <w:tcPr>
            <w:tcW w:w="1015" w:type="dxa"/>
            <w:vMerge w:val="restart"/>
            <w:vAlign w:val="center"/>
          </w:tcPr>
          <w:p>
            <w:pPr>
              <w:jc w:val="center"/>
              <w:rPr>
                <w:rFonts w:ascii="仿宋_GB2312" w:eastAsia="仿宋_GB2312"/>
                <w:color w:val="auto"/>
              </w:rPr>
            </w:pPr>
            <w:r>
              <w:rPr>
                <w:rFonts w:hint="eastAsia" w:ascii="仿宋_GB2312" w:eastAsia="仿宋_GB2312"/>
                <w:color w:val="auto"/>
              </w:rPr>
              <w:t xml:space="preserve">人员配备 </w:t>
            </w:r>
            <w:r>
              <w:rPr>
                <w:rFonts w:ascii="仿宋_GB2312" w:eastAsia="仿宋_GB2312"/>
                <w:color w:val="auto"/>
              </w:rPr>
              <w:t xml:space="preserve">  </w:t>
            </w:r>
            <w:r>
              <w:rPr>
                <w:rFonts w:hint="eastAsia" w:ascii="仿宋_GB2312" w:eastAsia="仿宋_GB2312"/>
                <w:color w:val="auto"/>
              </w:rPr>
              <w:t>(</w:t>
            </w:r>
            <w:r>
              <w:rPr>
                <w:rFonts w:ascii="仿宋_GB2312" w:eastAsia="仿宋_GB2312"/>
                <w:color w:val="auto"/>
              </w:rPr>
              <w:t>15</w:t>
            </w:r>
            <w:r>
              <w:rPr>
                <w:rFonts w:hint="eastAsia" w:ascii="仿宋_GB2312" w:eastAsia="仿宋_GB2312"/>
                <w:color w:val="auto"/>
              </w:rPr>
              <w:t>分)</w:t>
            </w:r>
          </w:p>
        </w:tc>
        <w:tc>
          <w:tcPr>
            <w:tcW w:w="1995" w:type="dxa"/>
            <w:vAlign w:val="center"/>
          </w:tcPr>
          <w:p>
            <w:pPr>
              <w:rPr>
                <w:rFonts w:ascii="仿宋_GB2312" w:eastAsia="仿宋_GB2312"/>
                <w:color w:val="auto"/>
              </w:rPr>
            </w:pPr>
            <w:r>
              <w:rPr>
                <w:rFonts w:hint="eastAsia" w:ascii="仿宋_GB2312" w:eastAsia="仿宋_GB2312"/>
                <w:color w:val="auto"/>
              </w:rPr>
              <w:t>12.</w:t>
            </w:r>
            <w:r>
              <w:rPr>
                <w:rFonts w:ascii="仿宋_GB2312" w:eastAsia="仿宋_GB2312"/>
                <w:color w:val="auto"/>
              </w:rPr>
              <w:t>管理人员配备方案</w:t>
            </w:r>
          </w:p>
        </w:tc>
        <w:tc>
          <w:tcPr>
            <w:tcW w:w="543" w:type="dxa"/>
            <w:vAlign w:val="center"/>
          </w:tcPr>
          <w:p>
            <w:pPr>
              <w:jc w:val="center"/>
              <w:rPr>
                <w:rFonts w:ascii="仿宋_GB2312" w:hAnsi="宋体" w:eastAsia="仿宋_GB2312"/>
                <w:color w:val="auto"/>
              </w:rPr>
            </w:pPr>
            <w:r>
              <w:rPr>
                <w:rFonts w:hint="eastAsia" w:ascii="仿宋_GB2312" w:eastAsia="仿宋_GB2312"/>
                <w:color w:val="auto"/>
              </w:rPr>
              <w:t>8</w:t>
            </w:r>
          </w:p>
        </w:tc>
        <w:tc>
          <w:tcPr>
            <w:tcW w:w="6347" w:type="dxa"/>
            <w:vAlign w:val="center"/>
          </w:tcPr>
          <w:p>
            <w:pPr>
              <w:rPr>
                <w:rFonts w:ascii="仿宋_GB2312" w:hAnsi="宋体" w:eastAsia="仿宋_GB2312"/>
                <w:color w:val="auto"/>
              </w:rPr>
            </w:pPr>
            <w:r>
              <w:rPr>
                <w:rFonts w:hint="eastAsia" w:ascii="仿宋_GB2312" w:eastAsia="仿宋_GB2312"/>
                <w:color w:val="auto"/>
              </w:rPr>
              <w:t>项目部经理</w:t>
            </w:r>
            <w:r>
              <w:rPr>
                <w:rFonts w:ascii="仿宋_GB2312" w:eastAsia="仿宋_GB2312"/>
                <w:color w:val="auto"/>
              </w:rPr>
              <w:t>30</w:t>
            </w:r>
            <w:r>
              <w:rPr>
                <w:rFonts w:hint="eastAsia" w:ascii="仿宋_GB2312" w:eastAsia="仿宋_GB2312"/>
                <w:color w:val="auto"/>
              </w:rPr>
              <w:t>岁以下、身份为党员，大学本科毕业、持有学士学位证，</w:t>
            </w:r>
            <w:r>
              <w:rPr>
                <w:rFonts w:hint="eastAsia" w:ascii="仿宋_GB2312" w:eastAsia="仿宋_GB2312"/>
              </w:rPr>
              <w:t>《物业管理员（师）职业能力等级证书》</w:t>
            </w:r>
            <w:r>
              <w:rPr>
                <w:rFonts w:hint="eastAsia" w:ascii="仿宋_GB2312" w:eastAsia="仿宋_GB2312"/>
                <w:color w:val="auto"/>
              </w:rPr>
              <w:t>、有同类项目管理3年以上管理经验，并提供在投标单位本年度内缴纳连续6个月的社保及公积金证明文件，</w:t>
            </w:r>
            <w:r>
              <w:rPr>
                <w:rFonts w:hint="eastAsia" w:ascii="仿宋_GB2312" w:eastAsia="仿宋_GB2312"/>
                <w:color w:val="auto"/>
                <w:lang w:eastAsia="zh-CN"/>
              </w:rPr>
              <w:t>每满足一项得</w:t>
            </w:r>
            <w:r>
              <w:rPr>
                <w:rFonts w:hint="eastAsia" w:ascii="仿宋_GB2312" w:eastAsia="仿宋_GB2312"/>
                <w:color w:val="auto"/>
                <w:lang w:val="en-US" w:eastAsia="zh-CN"/>
              </w:rPr>
              <w:t>1分，</w:t>
            </w:r>
            <w:r>
              <w:rPr>
                <w:rFonts w:hint="eastAsia" w:ascii="仿宋_GB2312" w:eastAsia="仿宋_GB2312"/>
                <w:color w:val="auto"/>
              </w:rPr>
              <w:t>全部满足得8分</w:t>
            </w:r>
            <w:r>
              <w:rPr>
                <w:rFonts w:hint="eastAsia" w:ascii="仿宋_GB2312" w:eastAsia="仿宋_GB2312"/>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Merge w:val="continue"/>
            <w:vAlign w:val="center"/>
          </w:tcPr>
          <w:p>
            <w:pPr>
              <w:jc w:val="center"/>
              <w:rPr>
                <w:rFonts w:ascii="仿宋_GB2312" w:eastAsia="仿宋_GB2312"/>
                <w:color w:val="auto"/>
              </w:rPr>
            </w:pPr>
          </w:p>
        </w:tc>
        <w:tc>
          <w:tcPr>
            <w:tcW w:w="1995" w:type="dxa"/>
            <w:vAlign w:val="center"/>
          </w:tcPr>
          <w:p>
            <w:pPr>
              <w:rPr>
                <w:rFonts w:ascii="仿宋_GB2312" w:eastAsia="仿宋_GB2312"/>
                <w:color w:val="auto"/>
              </w:rPr>
            </w:pPr>
            <w:r>
              <w:rPr>
                <w:rFonts w:hint="eastAsia" w:ascii="仿宋_GB2312" w:eastAsia="仿宋_GB2312"/>
                <w:color w:val="auto"/>
              </w:rPr>
              <w:t>13人员岗位配备方案</w:t>
            </w:r>
          </w:p>
        </w:tc>
        <w:tc>
          <w:tcPr>
            <w:tcW w:w="543" w:type="dxa"/>
            <w:vAlign w:val="center"/>
          </w:tcPr>
          <w:p>
            <w:pPr>
              <w:jc w:val="center"/>
              <w:rPr>
                <w:rFonts w:ascii="仿宋_GB2312" w:hAnsi="宋体" w:eastAsia="仿宋_GB2312"/>
                <w:color w:val="auto"/>
              </w:rPr>
            </w:pPr>
            <w:r>
              <w:rPr>
                <w:rFonts w:hint="eastAsia" w:ascii="仿宋_GB2312" w:eastAsia="仿宋_GB2312"/>
                <w:color w:val="auto"/>
              </w:rPr>
              <w:t>7</w:t>
            </w:r>
          </w:p>
        </w:tc>
        <w:tc>
          <w:tcPr>
            <w:tcW w:w="6347" w:type="dxa"/>
            <w:vAlign w:val="center"/>
          </w:tcPr>
          <w:p>
            <w:pPr>
              <w:rPr>
                <w:rFonts w:ascii="仿宋_GB2312" w:hAnsi="宋体" w:eastAsia="仿宋_GB2312"/>
                <w:color w:val="auto"/>
              </w:rPr>
            </w:pPr>
            <w:r>
              <w:rPr>
                <w:rFonts w:hint="eastAsia" w:ascii="仿宋_GB2312" w:eastAsia="仿宋_GB2312"/>
                <w:color w:val="auto"/>
              </w:rPr>
              <w:t>本项目派驻的物业人员情况：配置人员结构合理，提供专业岗位人员必须具有国家有关专业资格证书，投标单位本年度内缴纳连续6个月的社保、公积金证明文件，齐全得7分；配置人员结构较合理，专业岗位人员证件、社保、公积金记录不齐全得</w:t>
            </w:r>
            <w:r>
              <w:rPr>
                <w:rFonts w:ascii="仿宋_GB2312" w:eastAsia="仿宋_GB2312"/>
                <w:color w:val="auto"/>
              </w:rPr>
              <w:t>3</w:t>
            </w:r>
            <w:r>
              <w:rPr>
                <w:rFonts w:hint="eastAsia" w:ascii="仿宋_GB2312" w:eastAsia="仿宋_GB2312"/>
                <w:color w:val="auto"/>
              </w:rPr>
              <w:t>分；配置人员结构不合理，未提供专业岗位人员证书、社保、公积金记录不得分。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综合信誉</w:t>
            </w:r>
          </w:p>
          <w:p>
            <w:pPr>
              <w:jc w:val="center"/>
              <w:rPr>
                <w:rFonts w:ascii="仿宋_GB2312" w:eastAsia="仿宋_GB2312"/>
                <w:color w:val="auto"/>
              </w:rPr>
            </w:pPr>
            <w:r>
              <w:rPr>
                <w:rFonts w:hint="eastAsia" w:ascii="仿宋_GB2312" w:eastAsia="仿宋_GB2312"/>
                <w:color w:val="auto"/>
              </w:rPr>
              <w:t>(6分)</w:t>
            </w:r>
          </w:p>
        </w:tc>
        <w:tc>
          <w:tcPr>
            <w:tcW w:w="1995" w:type="dxa"/>
            <w:vAlign w:val="center"/>
          </w:tcPr>
          <w:p>
            <w:pPr>
              <w:rPr>
                <w:rFonts w:ascii="仿宋_GB2312" w:eastAsia="仿宋_GB2312"/>
                <w:color w:val="auto"/>
              </w:rPr>
            </w:pPr>
            <w:r>
              <w:rPr>
                <w:rFonts w:hint="eastAsia" w:ascii="仿宋_GB2312" w:eastAsia="仿宋_GB2312"/>
                <w:color w:val="auto"/>
              </w:rPr>
              <w:t>信用证书及管理体系认证</w:t>
            </w:r>
          </w:p>
        </w:tc>
        <w:tc>
          <w:tcPr>
            <w:tcW w:w="543" w:type="dxa"/>
            <w:vAlign w:val="center"/>
          </w:tcPr>
          <w:p>
            <w:pPr>
              <w:jc w:val="center"/>
              <w:rPr>
                <w:rFonts w:ascii="仿宋_GB2312" w:eastAsia="仿宋_GB2312"/>
                <w:color w:val="auto"/>
              </w:rPr>
            </w:pPr>
            <w:r>
              <w:rPr>
                <w:rFonts w:hint="eastAsia" w:ascii="仿宋_GB2312" w:eastAsia="仿宋_GB2312"/>
                <w:color w:val="auto"/>
              </w:rPr>
              <w:t>6</w:t>
            </w:r>
          </w:p>
        </w:tc>
        <w:tc>
          <w:tcPr>
            <w:tcW w:w="6347" w:type="dxa"/>
            <w:vAlign w:val="center"/>
          </w:tcPr>
          <w:p>
            <w:pPr>
              <w:rPr>
                <w:rFonts w:ascii="仿宋_GB2312" w:eastAsia="仿宋_GB2312"/>
                <w:color w:val="auto"/>
              </w:rPr>
            </w:pPr>
            <w:r>
              <w:rPr>
                <w:rFonts w:hint="eastAsia" w:ascii="仿宋_GB2312" w:eastAsia="仿宋_GB2312"/>
                <w:color w:val="auto"/>
              </w:rPr>
              <w:t>1、供应商具有市级信用AAA级证书，得3分。</w:t>
            </w:r>
          </w:p>
          <w:p>
            <w:pPr>
              <w:rPr>
                <w:rFonts w:ascii="仿宋_GB2312" w:eastAsia="仿宋_GB2312"/>
                <w:color w:val="auto"/>
              </w:rPr>
            </w:pPr>
            <w:r>
              <w:rPr>
                <w:rFonts w:hint="eastAsia" w:ascii="仿宋_GB2312" w:eastAsia="仿宋_GB2312"/>
                <w:color w:val="auto"/>
              </w:rPr>
              <w:t>2、供应商所报的管理体系认证情况打分。</w:t>
            </w:r>
            <w:r>
              <w:rPr>
                <w:rFonts w:hint="eastAsia" w:ascii="仿宋_GB2312" w:eastAsia="仿宋_GB2312"/>
                <w:color w:val="auto"/>
                <w:lang w:val="zh-TW"/>
              </w:rPr>
              <w:t>每提供一个得1分，最高</w:t>
            </w:r>
            <w:r>
              <w:rPr>
                <w:rFonts w:hint="eastAsia" w:ascii="仿宋_GB2312" w:eastAsia="仿宋_GB2312"/>
                <w:color w:val="auto"/>
              </w:rPr>
              <w:t>3</w:t>
            </w:r>
            <w:r>
              <w:rPr>
                <w:rFonts w:hint="eastAsia" w:ascii="仿宋_GB2312" w:eastAsia="仿宋_GB2312"/>
                <w:color w:val="auto"/>
                <w:lang w:val="zh-TW"/>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trPr>
        <w:tc>
          <w:tcPr>
            <w:tcW w:w="1015" w:type="dxa"/>
            <w:vAlign w:val="center"/>
          </w:tcPr>
          <w:p>
            <w:pPr>
              <w:jc w:val="center"/>
              <w:rPr>
                <w:rFonts w:ascii="仿宋_GB2312" w:eastAsia="仿宋_GB2312"/>
                <w:color w:val="auto"/>
              </w:rPr>
            </w:pPr>
            <w:r>
              <w:rPr>
                <w:rFonts w:hint="eastAsia" w:ascii="仿宋_GB2312" w:eastAsia="仿宋_GB2312"/>
                <w:color w:val="auto"/>
              </w:rPr>
              <w:t>业绩</w:t>
            </w:r>
          </w:p>
          <w:p>
            <w:pPr>
              <w:jc w:val="center"/>
              <w:rPr>
                <w:rFonts w:ascii="仿宋_GB2312" w:eastAsia="仿宋_GB2312"/>
                <w:color w:val="auto"/>
              </w:rPr>
            </w:pPr>
            <w:r>
              <w:rPr>
                <w:rFonts w:hint="eastAsia" w:ascii="仿宋_GB2312" w:eastAsia="仿宋_GB2312"/>
                <w:color w:val="auto"/>
              </w:rPr>
              <w:t>(10分)</w:t>
            </w:r>
          </w:p>
        </w:tc>
        <w:tc>
          <w:tcPr>
            <w:tcW w:w="1995" w:type="dxa"/>
            <w:vAlign w:val="center"/>
          </w:tcPr>
          <w:p>
            <w:pPr>
              <w:rPr>
                <w:rFonts w:ascii="仿宋_GB2312" w:eastAsia="仿宋_GB2312"/>
                <w:color w:val="auto"/>
              </w:rPr>
            </w:pPr>
            <w:r>
              <w:rPr>
                <w:rFonts w:hint="eastAsia" w:ascii="仿宋_GB2312" w:eastAsia="仿宋_GB2312"/>
                <w:color w:val="auto"/>
              </w:rPr>
              <w:t>项目业绩</w:t>
            </w:r>
          </w:p>
        </w:tc>
        <w:tc>
          <w:tcPr>
            <w:tcW w:w="543" w:type="dxa"/>
            <w:vAlign w:val="center"/>
          </w:tcPr>
          <w:p>
            <w:pPr>
              <w:jc w:val="center"/>
              <w:rPr>
                <w:rFonts w:ascii="仿宋_GB2312" w:eastAsia="仿宋_GB2312"/>
                <w:color w:val="auto"/>
              </w:rPr>
            </w:pPr>
            <w:r>
              <w:rPr>
                <w:rFonts w:hint="eastAsia" w:ascii="仿宋_GB2312" w:eastAsia="仿宋_GB2312"/>
                <w:color w:val="auto"/>
              </w:rPr>
              <w:t>10</w:t>
            </w:r>
          </w:p>
        </w:tc>
        <w:tc>
          <w:tcPr>
            <w:tcW w:w="6347" w:type="dxa"/>
            <w:vAlign w:val="center"/>
          </w:tcPr>
          <w:p>
            <w:pPr>
              <w:rPr>
                <w:rFonts w:ascii="仿宋_GB2312" w:hAnsi="宋体" w:eastAsia="仿宋_GB2312"/>
                <w:color w:val="auto"/>
              </w:rPr>
            </w:pPr>
            <w:r>
              <w:rPr>
                <w:rFonts w:hint="eastAsia" w:ascii="仿宋_GB2312" w:eastAsia="仿宋_GB2312"/>
                <w:color w:val="auto"/>
              </w:rPr>
              <w:t>投标人20</w:t>
            </w:r>
            <w:r>
              <w:rPr>
                <w:rFonts w:ascii="仿宋_GB2312" w:eastAsia="仿宋_GB2312"/>
                <w:color w:val="auto"/>
              </w:rPr>
              <w:t>21</w:t>
            </w:r>
            <w:r>
              <w:rPr>
                <w:rFonts w:hint="eastAsia" w:ascii="仿宋_GB2312" w:eastAsia="仿宋_GB2312"/>
                <w:color w:val="auto"/>
              </w:rPr>
              <w:t>年1月1日至今承担的同类型项目业绩证明（附与用户签订的合同首页、服务周期页、服务内容所在页及签署页复印件，无法认定项目类型或服务内容不全的合同将不计分），每提供1个满足上述要求的业绩得1分，最多得10分。</w:t>
            </w:r>
          </w:p>
        </w:tc>
      </w:tr>
    </w:tbl>
    <w:p>
      <w:pPr>
        <w:rPr>
          <w:rFonts w:hint="eastAsia" w:ascii="黑体" w:hAnsi="黑体" w:eastAsia="黑体" w:cs="黑体"/>
          <w:color w:val="auto"/>
          <w:sz w:val="28"/>
          <w:szCs w:val="28"/>
        </w:rPr>
      </w:pPr>
      <w:r>
        <w:rPr>
          <w:rFonts w:hint="eastAsia" w:ascii="黑体" w:hAnsi="黑体" w:eastAsia="黑体" w:cs="黑体"/>
          <w:color w:val="auto"/>
          <w:sz w:val="28"/>
          <w:szCs w:val="28"/>
        </w:rPr>
        <w:t>注：中标供应商需提供与评审有关资料原件备查。如发现虚假资料，将按相关规定对供应商进行处理。</w:t>
      </w:r>
    </w:p>
    <w:p>
      <w:pPr>
        <w:pStyle w:val="18"/>
        <w:rPr>
          <w:rFonts w:hint="eastAsia"/>
          <w:color w:val="auto"/>
        </w:rPr>
      </w:pPr>
    </w:p>
    <w:p>
      <w:pPr>
        <w:numPr>
          <w:ilvl w:val="0"/>
          <w:numId w:val="0"/>
        </w:numPr>
        <w:spacing w:line="360" w:lineRule="auto"/>
        <w:jc w:val="both"/>
        <w:rPr>
          <w:rFonts w:hint="eastAsia" w:ascii="仿宋_GB2312" w:hAnsi="Times New Roman" w:eastAsia="仿宋_GB2312" w:cs="Times New Roman"/>
          <w:b/>
          <w:color w:val="auto"/>
          <w:sz w:val="28"/>
          <w:szCs w:val="28"/>
        </w:rPr>
      </w:pPr>
      <w:r>
        <w:rPr>
          <w:rFonts w:hint="eastAsia" w:ascii="仿宋_GB2312" w:eastAsia="仿宋_GB2312"/>
          <w:b/>
          <w:color w:val="auto"/>
          <w:sz w:val="28"/>
          <w:szCs w:val="28"/>
          <w:lang w:val="en-US" w:eastAsia="zh-CN"/>
        </w:rPr>
        <w:t xml:space="preserve">                                                                            </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1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 xml:space="preserve"> 合同特殊条款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合同特殊条款是合同一般条款的补充和修改。如果两者之间有抵触，应以特殊条款为准。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 定义：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(1)甲方：本合同甲方系指：</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(2)乙方：本合同乙方系指：</w:t>
      </w:r>
      <w:r>
        <w:rPr>
          <w:rFonts w:hint="eastAsia" w:ascii="仿宋" w:hAnsi="仿宋" w:eastAsia="仿宋" w:cs="宋体"/>
          <w:color w:val="auto"/>
          <w:sz w:val="24"/>
          <w:u w:val="single"/>
        </w:rPr>
        <w:t xml:space="preserve">                    </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(3)现场：本合同项下需要物业管理服务的地点位于。</w:t>
      </w:r>
    </w:p>
    <w:p>
      <w:pPr>
        <w:spacing w:line="560" w:lineRule="exact"/>
        <w:ind w:firstLine="480" w:firstLineChars="200"/>
        <w:rPr>
          <w:rFonts w:ascii="仿宋" w:hAnsi="仿宋" w:eastAsia="仿宋" w:cs="宋体"/>
          <w:color w:val="auto"/>
          <w:sz w:val="24"/>
          <w:u w:val="single"/>
        </w:rPr>
      </w:pPr>
      <w:r>
        <w:rPr>
          <w:rFonts w:hint="eastAsia" w:ascii="仿宋" w:hAnsi="仿宋" w:eastAsia="仿宋" w:cs="宋体"/>
          <w:color w:val="auto"/>
          <w:sz w:val="24"/>
        </w:rPr>
        <w:t>办公区地址：</w:t>
      </w:r>
      <w:r>
        <w:rPr>
          <w:rFonts w:hint="eastAsia" w:ascii="仿宋" w:hAnsi="仿宋" w:eastAsia="仿宋" w:cs="宋体"/>
          <w:color w:val="auto"/>
          <w:sz w:val="24"/>
          <w:u w:val="single"/>
        </w:rPr>
        <w:t xml:space="preserve"> 北京市大兴区兴政街</w:t>
      </w:r>
      <w:r>
        <w:rPr>
          <w:rFonts w:ascii="仿宋" w:hAnsi="仿宋" w:eastAsia="仿宋" w:cs="宋体"/>
          <w:color w:val="auto"/>
          <w:sz w:val="24"/>
          <w:u w:val="single"/>
        </w:rPr>
        <w:t>66</w:t>
      </w:r>
      <w:r>
        <w:rPr>
          <w:rFonts w:hint="eastAsia" w:ascii="仿宋" w:hAnsi="仿宋" w:eastAsia="仿宋" w:cs="宋体"/>
          <w:color w:val="auto"/>
          <w:sz w:val="24"/>
          <w:u w:val="single"/>
        </w:rPr>
        <w:t xml:space="preserve">号  </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2.付款方式</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物业服务费按季度支付方式，甲方应于每季度第一个月向乙方支付上季度物业服务费。即：每季度物业服务费为人民币:</w:t>
      </w:r>
      <w:r>
        <w:rPr>
          <w:rFonts w:hint="eastAsia" w:ascii="仿宋" w:hAnsi="仿宋" w:eastAsia="仿宋" w:cs="宋体"/>
          <w:color w:val="auto"/>
          <w:sz w:val="24"/>
          <w:u w:val="single"/>
        </w:rPr>
        <w:t xml:space="preserve">         （小写：        元）</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3.服务标准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u w:val="single"/>
        </w:rPr>
        <w:t>以招标文件的规定为准，招标文件没有规定的，以国家及北京市有关行业规定为准</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u w:val="single"/>
        </w:rPr>
      </w:pPr>
      <w:r>
        <w:rPr>
          <w:rFonts w:hint="eastAsia" w:ascii="仿宋" w:hAnsi="仿宋" w:eastAsia="仿宋" w:cs="宋体"/>
          <w:color w:val="auto"/>
          <w:sz w:val="24"/>
        </w:rPr>
        <w:t>4.质量保证及检验按相关文件规定及标准进行验收。</w:t>
      </w:r>
    </w:p>
    <w:p>
      <w:pPr>
        <w:spacing w:line="560" w:lineRule="exact"/>
        <w:ind w:firstLine="480" w:firstLineChars="200"/>
        <w:rPr>
          <w:rFonts w:ascii="仿宋" w:hAnsi="仿宋" w:eastAsia="仿宋" w:cs="宋体"/>
          <w:color w:val="auto"/>
          <w:sz w:val="24"/>
        </w:rPr>
      </w:pP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5.甲乙双方的权利义务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5.1甲方权利义务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5.1.1维护自身及物业使用人的合法利益；</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5.1.2审定乙方提出的本物业项目的物业管理制度，监督、检查乙方的合同执行情况，协助乙方做好物业管理和宣传教育；</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5.1.3甲方应依据本合同及时、足额向乙方支付物业管理费用；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5.1.4在合同生效后甲方无偿提供一定数量的物业用房（乙方管理用房和必要的值班用房），在合同有效期内由乙方无偿使用，在合同生效后向乙方提供一定数量的分机电话号码供管理服务使用；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5.1.5负责提供物业管理所需全部图纸、资料；</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5.1.6需装饰装修办公用房时，甲方审批装修方案后通知乙方，以便乙方与施工单位签订《施工安全协议书》并在施工期间代甲方实施有效监督；</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5.1.7甲方需要乙方配合的重要活动，内部涉及物业管理的重大变动和相关信息，应提前向乙方通报；</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5.1.8监督所属人员和本物业使用人遵守大楼物业管理制度；</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5.1.9甲方对乙方本项目财务有知情权和监督权；</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5.1.10甲方有权要求乙方更换达不到要求的工作人员；</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5.1.11甲方为本合同唯一的委托方；若本物业的使用人要求乙方提供本合同约定以外的物业管理服务要求的，须由甲乙双方协商解决。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5.1.12甲方有权委托乙方对本办公区保安管理工作进行日常监督、检查工作。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5.2乙方权利义务：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5.2.1乙方依据本合同及附件，对大楼实施物业管理和服务；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5.2.2根据有关法规和政策，结合实际情况，制定本物业的物业管理制度，经甲方审核批准后实施；</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5.2.3本物业项目的所有支出费用要真实透明，并随时接受甲方的监督和审计部门的审计；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5.2.4经甲方许可，乙方可以委托专业公司承担本物业的专项管理和物业服务业务，但不得将本物业的整体管理责任转让给第三方；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5.2.5根据物业服务合同向甲方收取物业管理费用；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5.2.6不得占用本物业的共用部位、共用设施设备或改变其使用功能；如需在本物业内改、扩建或完善配套项目，需经甲方同意后实施；</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5.2.7乙方负责制定本物业的房屋和设备设施大、中修计划，并报甲方。若甲方委托乙方，乙方负责组织实施，费用另行支付；</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5.2.8建立健全本物业的物业管理档案资料，本合同终止时，乙方必须保证委托管理事项的良好状态并向甲方移交全部完整的管理用房和设备，以及物业管理的全部档案资料；</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5.2.9未经甲方许可，不得自行接待与本项目管理工作无关的参观或向第三方介绍甲方情况；</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5.2.10确保本物业项目的项目经理坚守工作岗位。若项目经理请假离岗3天以上（含），必须报甲方同意并指定相应的项目负责人；</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5.2.11本业务项目经理不得擅自更换。如需更换，须经甲方面试同意后方可上岗；</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5.2.12乙方所有工作人员按国家规定的相关社会保险、住房公积金均由乙方为其缴纳；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5.2.13乙方工作人员工作时间统一着装，并实行挂牌服务；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5.2.14乙方招用物业服务人员，应最大限度的招用具有大兴区本地户口的工作人员，并在同等条件下优先录用。甲方应积极予以协调乙方与大兴区劳动部门之间的相关工作；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5.2.15乙方负责对所服务办公区内的安全生产、消防工作、文明施工、清洁生产方面的管理，并定期组织开展安全检查，及时整改事故隐患；</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5.2.16乙方制定所服务办公区应急救援预案并组织物业服务人员进行学习、演练。</w:t>
      </w:r>
    </w:p>
    <w:p>
      <w:pPr>
        <w:spacing w:line="560" w:lineRule="exact"/>
        <w:ind w:firstLine="480" w:firstLineChars="200"/>
        <w:rPr>
          <w:rFonts w:ascii="仿宋" w:hAnsi="仿宋" w:eastAsia="仿宋" w:cs="宋体"/>
          <w:color w:val="auto"/>
          <w:sz w:val="24"/>
        </w:rPr>
      </w:pPr>
      <w:r>
        <w:rPr>
          <w:rFonts w:ascii="仿宋" w:hAnsi="仿宋" w:eastAsia="仿宋" w:cs="宋体"/>
          <w:color w:val="auto"/>
          <w:sz w:val="24"/>
        </w:rPr>
        <w:t>5.2.17</w:t>
      </w:r>
      <w:r>
        <w:rPr>
          <w:rFonts w:hint="eastAsia" w:ascii="仿宋" w:hAnsi="仿宋" w:eastAsia="仿宋" w:cs="宋体"/>
          <w:color w:val="auto"/>
          <w:sz w:val="24"/>
        </w:rPr>
        <w:t>经双方协商，甲方为乙方工作人员提供用餐，但由乙方向甲方支付用餐费用。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6.违约赔偿</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6.1合同履行期间若发生火灾责任事故，经政府的有关消防部门鉴定属于乙方管理不善而直接导致事故发生的，乙方应承担与其管理不善相应的直接损失，甲方有权依据消防部门鉴定的火灾等级等比从乙方物业服务费用年合同价款扣减1%-5%的违约金。发生重大火灾事故的，甲方有权解除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6.2合同履行期间若甲方财产发生失盗事件，经双方确认并经公安部门鉴定属于乙方管理不善而直接导致失窃事件发生的，乙方应承担与其管理不善相应的直接损失，甲方有权根据公安部门鉴定的失窃事件性质（治安案件、轻微刑事案件或重大刑事案件）分别从乙方当期应付物业管理费扣减1%、3%、5%的违约金。若失窃事件属于重大刑事案件的，甲方有权终止合同。</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6.3乙方对本合同所指物业管理、服务项目的各项承诺指标均须兑现。每年度内，每有一项指标未能兑现，甲方有权要求乙方限期整改（设备的维护维修整改期限按专业或行业相关标准确定），乙方逾期未整改的，每项不达标，甲方有权从物业服务费用年合同价款的1%作为违约金（火灾和失窃除外），如有多项不达标，累计扣减不超过物业服务费用年合同价款的5%。</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 xml:space="preserve">7.物业费用不包含以下 </w:t>
      </w:r>
      <w:r>
        <w:rPr>
          <w:rFonts w:ascii="仿宋" w:hAnsi="仿宋" w:eastAsia="仿宋" w:cs="宋体"/>
          <w:color w:val="auto"/>
          <w:sz w:val="24"/>
        </w:rPr>
        <w:t>10</w:t>
      </w:r>
      <w:r>
        <w:rPr>
          <w:rFonts w:hint="eastAsia" w:ascii="仿宋" w:hAnsi="仿宋" w:eastAsia="仿宋" w:cs="宋体"/>
          <w:color w:val="auto"/>
          <w:sz w:val="24"/>
        </w:rPr>
        <w:t>项费用：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（1）房屋建筑折旧费和维修基金；</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（2）设备设施的中修费、大修费、扩建费、更换费、设备更新改造费；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（3）水、电、气、供暖费、通讯费、有线电视费、电缆代维护费；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（4）业主自用办公设备设施、器具维修养护费；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（5）大楼会议用设备设施及用品（茶叶、纸巾、毛巾除外）；</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（6）大楼财产保险费；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（7）特殊会议服务和特定情况的布置费；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（8）业主自用设施（包括：分类垃圾桶、纸篓、直立烟缸、标识牌、皂液盒、纸架、防尘（滑）垫、告示牌、茶水桶等）；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（9）垃圾向外清运、室外绿化养护费用；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（10）设备专项维护保养费用及大楼消电检费用；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8．关于设备设施保养维修及相关事项</w:t>
      </w:r>
    </w:p>
    <w:p>
      <w:pPr>
        <w:spacing w:line="560" w:lineRule="exact"/>
        <w:ind w:firstLine="480" w:firstLineChars="200"/>
        <w:rPr>
          <w:rFonts w:ascii="仿宋" w:hAnsi="仿宋" w:eastAsia="仿宋" w:cs="宋体"/>
          <w:color w:val="auto"/>
          <w:sz w:val="24"/>
        </w:rPr>
      </w:pPr>
      <w:r>
        <w:rPr>
          <w:rFonts w:ascii="仿宋" w:hAnsi="仿宋" w:eastAsia="仿宋" w:cs="宋体"/>
          <w:color w:val="auto"/>
          <w:sz w:val="24"/>
        </w:rPr>
        <w:t>8.1</w:t>
      </w:r>
      <w:r>
        <w:rPr>
          <w:rFonts w:hint="eastAsia" w:ascii="仿宋" w:hAnsi="仿宋" w:eastAsia="仿宋" w:cs="宋体"/>
          <w:color w:val="auto"/>
          <w:sz w:val="24"/>
        </w:rPr>
        <w:t>大楼设备设施保养、维修费用，单批、单次、单件支出费用在5000元以下的（含），由物业方支付，5000元以上的，由业主方支付。</w:t>
      </w:r>
    </w:p>
    <w:p>
      <w:pPr>
        <w:spacing w:line="560" w:lineRule="exact"/>
        <w:ind w:firstLine="480" w:firstLineChars="200"/>
        <w:rPr>
          <w:rFonts w:ascii="仿宋" w:hAnsi="仿宋" w:eastAsia="仿宋" w:cs="宋体"/>
          <w:color w:val="auto"/>
          <w:sz w:val="24"/>
        </w:rPr>
      </w:pPr>
    </w:p>
    <w:p>
      <w:pPr>
        <w:numPr>
          <w:ilvl w:val="0"/>
          <w:numId w:val="0"/>
        </w:numPr>
        <w:spacing w:line="360" w:lineRule="auto"/>
        <w:jc w:val="both"/>
        <w:rPr>
          <w:rFonts w:hint="eastAsia" w:ascii="仿宋_GB2312" w:hAnsi="Times New Roman" w:eastAsia="仿宋_GB2312" w:cs="Times New Roman"/>
          <w:b/>
          <w:color w:val="auto"/>
          <w:sz w:val="28"/>
          <w:szCs w:val="28"/>
        </w:rPr>
      </w:pPr>
    </w:p>
    <w:p>
      <w:pPr>
        <w:rPr>
          <w:rFonts w:hint="eastAsia" w:ascii="仿宋_GB2312" w:hAnsi="Times New Roman" w:eastAsia="仿宋_GB2312" w:cs="Times New Roman"/>
          <w:b/>
          <w:color w:val="auto"/>
          <w:sz w:val="28"/>
          <w:szCs w:val="28"/>
        </w:rPr>
      </w:pP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spacing w:line="360" w:lineRule="auto"/>
        <w:jc w:val="center"/>
        <w:rPr>
          <w:rFonts w:hint="default" w:ascii="仿宋_GB2312" w:hAnsi="Times New Roman" w:eastAsia="仿宋_GB2312" w:cs="Times New Roman"/>
          <w:b/>
          <w:color w:val="auto"/>
          <w:sz w:val="28"/>
          <w:szCs w:val="28"/>
          <w:lang w:val="en-US" w:eastAsia="zh-CN"/>
        </w:rPr>
      </w:pPr>
      <w:r>
        <w:rPr>
          <w:rFonts w:hint="eastAsia" w:ascii="仿宋_GB2312" w:hAnsi="Times New Roman" w:eastAsia="仿宋_GB2312" w:cs="Times New Roman"/>
          <w:b/>
          <w:color w:val="auto"/>
          <w:sz w:val="28"/>
          <w:szCs w:val="28"/>
        </w:rPr>
        <w:t>第七章  合同一般条款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1.定义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本合同的下列术语应解释为：</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（1）“合同”系指甲乙双方签署的、合同格式中载明的甲乙双方所达成的协议，包括所有的附件、附录和构成合同的其它文件。</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（2）“合同价”系指根据合同规定，在乙方完全履行合同义务后应付给乙方的价格。</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（3）“服务”系指根据合同规定乙方承担的物业管理服务的全部服务。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（4）“甲方”即</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，系指用货币换取物业管理服务的单位。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（5）“乙方”即，系指根据合同规定提供物业管理服务的具有法人资格的公司。</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2.服务标准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2.1提供的物业管理服务标准应与招标文件的规定相一致。</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2.2若招标文件中无相应说明，则以国家及北京市有关部门最新颁布的相关行业标准及规范为准。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3.付款方式</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付款方式见合同特殊条款。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4.质量保证及检验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4.1乙方应按照甲方指定的时间入驻并提供物业管理服务。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4.2如果乙方未能按时入驻和提供服务，将受到以下制裁：加收违约损失赔偿和终止合同并通知政府采购监督部门。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5.违约赔偿</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除合同第6条规定外，如果乙方没有按照合同规定的时间入驻和提供服务，甲方可从应付物业管理服务费中扣除违约赔偿费，赔偿费应按每迟入驻一天，按应付物业管理服务费总价的0.5％计收。但违约赔偿费的最高限额为应付物业管理服务费总价的5％。如果乙方在达到最高限额后仍不能入驻和提供服务，甲方可考虑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6.不可抗力</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6.1如果双方中任何一方由于战争、严重火灾、水灾、台风和地震等法律法规规定的属于不可抗力的事故，致使合同履行受阻时，履行合同的期限应予延长，延长的期限应相当于事故所影响的时间。</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6.2受事故影响的一方应在不可抗力的事故发生后尽快以传真或邮件通知另一方，并在事故发生后14天内，将有关部门出具的证明文件当面或用挂号信速递另一方。如果发生不可抗力影响合同履行，在不可抗力因素消除后。双方应即时通过友好协商在合理的时间内达成进一步履行合同的协议。</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7.税费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7.1 根据国家现行税法对甲方征收的与本合同有关的一切税费均由甲方负担。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7.2 根据国家现行税法对乙方征收的与本合同有关的一切税费均由乙方负担。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8.合同争议的解决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8.1因合同履行中发生的争议，合同当事人双方可通过协商解决。协商不成的，可向大兴区人民法院提起诉讼或提请北京市仲裁委员会仲裁。</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8.2仲裁裁决应为最终裁决，当事人一方在规定时间内不履行仲裁机构裁决的，另一方可以申请人民法院强制执行。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8.3仲裁费用和诉讼费用除仲裁机构另有裁决外，应由败诉方负担。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8.4在仲裁期间，除正在进行仲裁的部分外，本合同其它部分应继续执行。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9.违约终止合同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甲方在乙方违约的情况下，如果：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(1)乙方未能在合同规定的限期或甲方同意延长的限期内入驻和提供服务。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(2)如果乙方未能履行合同规定的其它义务，乙方在收到甲方发出的违约通知后30天内，或经甲方书面认可延长的时间内未能纠正其过失。甲方可向乙方发出书面通知，终止部分或全部合同。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在以上情况下，并不影响甲方向乙方提出相应的索赔。</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10.破产终止合同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10.1如果乙方破产或无清偿能力时，甲方可在任何时候以书面形式通知乙方终止合同。该终止合同将不损害或影响甲方已经采取或将要采取的补救措施的权利。</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11.转让和分包</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11.1未经甲方事先书面同意，乙方不得整体转让、整体转包其应履行的合同义务。部分项目分包需征得甲方同意方可进行。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12.合同修改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12.1欲对合同条款进行任何改动，均须由甲乙双方签署书面的合同修改书。</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13. 通知</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13.1本合同任何一方给另一方的通知，都应以书面或传真/电报的形式发送，而另一方应以书面形式确认并发送到对方明确的地址。</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14.计量单位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14.1除招标文件中另有规定外，计量单位均使用国家法定计量单位。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15.适用法律</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15.1本合同按照中华人民共和国的法律进行解释。</w:t>
      </w:r>
    </w:p>
    <w:p>
      <w:pPr>
        <w:numPr>
          <w:ilvl w:val="0"/>
          <w:numId w:val="11"/>
        </w:numPr>
        <w:spacing w:line="560" w:lineRule="exact"/>
        <w:ind w:firstLine="480" w:firstLineChars="200"/>
        <w:rPr>
          <w:rFonts w:hint="eastAsia" w:ascii="仿宋" w:hAnsi="仿宋" w:eastAsia="仿宋" w:cs="宋体"/>
          <w:color w:val="auto"/>
          <w:sz w:val="24"/>
        </w:rPr>
      </w:pPr>
      <w:r>
        <w:rPr>
          <w:rFonts w:hint="eastAsia" w:ascii="仿宋" w:hAnsi="仿宋" w:eastAsia="仿宋" w:cs="宋体"/>
          <w:color w:val="auto"/>
          <w:sz w:val="24"/>
        </w:rPr>
        <w:t>合同生效及其它</w:t>
      </w:r>
    </w:p>
    <w:p>
      <w:pPr>
        <w:numPr>
          <w:ilvl w:val="0"/>
          <w:numId w:val="0"/>
        </w:numPr>
        <w:spacing w:line="560" w:lineRule="exact"/>
        <w:rPr>
          <w:rFonts w:ascii="仿宋" w:hAnsi="仿宋" w:eastAsia="仿宋" w:cs="宋体"/>
          <w:color w:val="auto"/>
          <w:sz w:val="24"/>
        </w:rPr>
      </w:pPr>
      <w:r>
        <w:rPr>
          <w:rFonts w:hint="eastAsia" w:ascii="仿宋" w:hAnsi="仿宋" w:eastAsia="仿宋" w:cs="宋体"/>
          <w:color w:val="auto"/>
          <w:sz w:val="24"/>
        </w:rPr>
        <w:t>16.1合同在双方签字盖章后开始生效。</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16.2本合同一式陆份，以中文书写，具有同等法律效力。</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16.3如需修改或补充合同内容，经协商，双方应签署书面修改或补充协议，该协议将作为本合同的一个组成部分。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16.4本合同自</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年 </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月</w:t>
      </w:r>
      <w:r>
        <w:rPr>
          <w:rFonts w:hint="eastAsia" w:ascii="仿宋" w:hAnsi="仿宋" w:eastAsia="仿宋" w:cs="宋体"/>
          <w:color w:val="auto"/>
          <w:sz w:val="24"/>
          <w:u w:val="single"/>
        </w:rPr>
        <w:t xml:space="preserve">  </w:t>
      </w:r>
      <w:r>
        <w:rPr>
          <w:rFonts w:hint="eastAsia" w:ascii="仿宋" w:hAnsi="仿宋" w:eastAsia="仿宋" w:cs="宋体"/>
          <w:color w:val="auto"/>
          <w:sz w:val="24"/>
        </w:rPr>
        <w:t>日至</w:t>
      </w:r>
      <w:r>
        <w:rPr>
          <w:rFonts w:hint="eastAsia" w:ascii="仿宋" w:hAnsi="仿宋" w:eastAsia="仿宋" w:cs="宋体"/>
          <w:color w:val="auto"/>
          <w:sz w:val="24"/>
          <w:u w:val="single"/>
        </w:rPr>
        <w:t xml:space="preserve">    </w:t>
      </w:r>
      <w:r>
        <w:rPr>
          <w:rFonts w:hint="eastAsia" w:ascii="仿宋" w:hAnsi="仿宋" w:eastAsia="仿宋" w:cs="宋体"/>
          <w:color w:val="auto"/>
          <w:sz w:val="24"/>
        </w:rPr>
        <w:t>年</w:t>
      </w:r>
      <w:r>
        <w:rPr>
          <w:rFonts w:hint="eastAsia" w:ascii="仿宋" w:hAnsi="仿宋" w:eastAsia="仿宋" w:cs="宋体"/>
          <w:color w:val="auto"/>
          <w:sz w:val="24"/>
          <w:u w:val="single"/>
        </w:rPr>
        <w:t xml:space="preserve">    </w:t>
      </w:r>
      <w:r>
        <w:rPr>
          <w:rFonts w:hint="eastAsia" w:ascii="仿宋" w:hAnsi="仿宋" w:eastAsia="仿宋" w:cs="宋体"/>
          <w:color w:val="auto"/>
          <w:sz w:val="24"/>
        </w:rPr>
        <w:t>月</w:t>
      </w:r>
      <w:r>
        <w:rPr>
          <w:rFonts w:hint="eastAsia" w:ascii="仿宋" w:hAnsi="仿宋" w:eastAsia="仿宋" w:cs="宋体"/>
          <w:color w:val="auto"/>
          <w:sz w:val="24"/>
          <w:u w:val="single"/>
        </w:rPr>
        <w:t xml:space="preserve">    </w:t>
      </w:r>
      <w:r>
        <w:rPr>
          <w:rFonts w:hint="eastAsia" w:ascii="仿宋" w:hAnsi="仿宋" w:eastAsia="仿宋" w:cs="宋体"/>
          <w:color w:val="auto"/>
          <w:sz w:val="24"/>
        </w:rPr>
        <w:t>日止。合同期为</w:t>
      </w:r>
      <w:r>
        <w:rPr>
          <w:rFonts w:hint="eastAsia" w:ascii="仿宋" w:hAnsi="仿宋" w:eastAsia="仿宋" w:cs="宋体"/>
          <w:color w:val="auto"/>
          <w:sz w:val="24"/>
          <w:u w:val="single"/>
        </w:rPr>
        <w:t xml:space="preserve">   </w:t>
      </w:r>
      <w:r>
        <w:rPr>
          <w:rFonts w:hint="eastAsia" w:ascii="仿宋" w:hAnsi="仿宋" w:eastAsia="仿宋" w:cs="宋体"/>
          <w:color w:val="auto"/>
          <w:sz w:val="24"/>
        </w:rPr>
        <w:t>年。</w:t>
      </w:r>
    </w:p>
    <w:p>
      <w:pPr>
        <w:spacing w:line="560" w:lineRule="exact"/>
        <w:ind w:firstLine="240" w:firstLineChars="100"/>
        <w:jc w:val="left"/>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_GB2312" w:hAnsi="仿宋_GB2312" w:eastAsia="仿宋_GB2312" w:cs="仿宋_GB2312"/>
          <w:color w:val="auto"/>
          <w:sz w:val="24"/>
          <w:szCs w:val="24"/>
          <w:lang w:eastAsia="zh-CN"/>
        </w:rPr>
      </w:pPr>
    </w:p>
    <w:p>
      <w:pPr>
        <w:ind w:firstLine="420" w:firstLineChars="150"/>
        <w:rPr>
          <w:rFonts w:ascii="宋体" w:hAnsi="宋体" w:eastAsia="宋体"/>
          <w:color w:val="auto"/>
          <w:sz w:val="28"/>
          <w:szCs w:val="28"/>
        </w:rPr>
      </w:pPr>
    </w:p>
    <w:p>
      <w:pPr>
        <w:spacing w:line="360" w:lineRule="auto"/>
        <w:ind w:firstLine="700" w:firstLineChars="250"/>
        <w:rPr>
          <w:rFonts w:hint="eastAsia" w:ascii="宋体" w:hAnsi="宋体" w:eastAsia="宋体"/>
          <w:color w:val="auto"/>
          <w:sz w:val="28"/>
          <w:szCs w:val="28"/>
          <w:u w:val="single"/>
        </w:rPr>
      </w:pPr>
    </w:p>
    <w:p>
      <w:pPr>
        <w:rPr>
          <w:rFonts w:hint="eastAsia"/>
          <w:color w:val="auto"/>
          <w:lang w:val="en-US" w:eastAsia="zh-CN"/>
        </w:rPr>
      </w:pPr>
    </w:p>
    <w:p>
      <w:pPr>
        <w:pStyle w:val="18"/>
        <w:rPr>
          <w:rFonts w:hint="eastAsia"/>
          <w:color w:val="auto"/>
          <w:lang w:val="en-US" w:eastAsia="zh-CN"/>
        </w:rPr>
      </w:pPr>
    </w:p>
    <w:p>
      <w:pPr>
        <w:rPr>
          <w:rFonts w:hint="eastAsia"/>
          <w:color w:val="auto"/>
          <w:lang w:val="en-US" w:eastAsia="zh-CN"/>
        </w:rPr>
      </w:pPr>
    </w:p>
    <w:p>
      <w:pPr>
        <w:pStyle w:val="18"/>
        <w:rPr>
          <w:rFonts w:hint="eastAsia"/>
          <w:color w:val="auto"/>
          <w:lang w:val="en-US" w:eastAsia="zh-CN"/>
        </w:rPr>
      </w:pPr>
    </w:p>
    <w:p>
      <w:pPr>
        <w:rPr>
          <w:rFonts w:hint="eastAsia"/>
          <w:color w:val="auto"/>
          <w:lang w:val="en-US" w:eastAsia="zh-CN"/>
        </w:rPr>
      </w:pPr>
      <w:r>
        <w:rPr>
          <w:rFonts w:hint="eastAsia"/>
          <w:color w:val="auto"/>
          <w:lang w:val="en-US" w:eastAsia="zh-CN"/>
        </w:rPr>
        <w:br w:type="page"/>
      </w:r>
    </w:p>
    <w:p>
      <w:pPr>
        <w:numPr>
          <w:ilvl w:val="0"/>
          <w:numId w:val="12"/>
        </w:numPr>
        <w:spacing w:line="360" w:lineRule="auto"/>
        <w:jc w:val="center"/>
        <w:rPr>
          <w:rFonts w:hint="eastAsia" w:ascii="仿宋_GB2312" w:eastAsia="仿宋_GB2312"/>
          <w:b/>
          <w:color w:val="auto"/>
          <w:sz w:val="28"/>
          <w:szCs w:val="28"/>
        </w:rPr>
      </w:pPr>
      <w:r>
        <w:rPr>
          <w:rFonts w:hint="eastAsia" w:ascii="仿宋_GB2312" w:eastAsia="仿宋_GB2312"/>
          <w:b/>
          <w:color w:val="auto"/>
          <w:sz w:val="28"/>
          <w:szCs w:val="28"/>
          <w:lang w:val="en-US" w:eastAsia="zh-CN"/>
        </w:rPr>
        <w:t xml:space="preserve"> 合同书</w:t>
      </w:r>
    </w:p>
    <w:p>
      <w:pPr>
        <w:pStyle w:val="42"/>
        <w:adjustRightInd w:val="0"/>
        <w:spacing w:line="360" w:lineRule="atLeast"/>
        <w:ind w:left="500" w:firstLine="0" w:firstLineChars="0"/>
        <w:jc w:val="left"/>
        <w:textAlignment w:val="baseline"/>
        <w:rPr>
          <w:color w:val="auto"/>
          <w:sz w:val="24"/>
        </w:rPr>
      </w:pPr>
    </w:p>
    <w:p>
      <w:pPr>
        <w:pStyle w:val="42"/>
        <w:adjustRightInd w:val="0"/>
        <w:spacing w:line="360" w:lineRule="atLeast"/>
        <w:ind w:left="500" w:firstLine="0" w:firstLineChars="0"/>
        <w:jc w:val="left"/>
        <w:textAlignment w:val="baseline"/>
        <w:rPr>
          <w:color w:val="auto"/>
          <w:sz w:val="24"/>
        </w:rPr>
      </w:pPr>
    </w:p>
    <w:p>
      <w:pPr>
        <w:spacing w:line="360" w:lineRule="auto"/>
        <w:jc w:val="center"/>
        <w:rPr>
          <w:rFonts w:ascii="仿宋" w:hAnsi="仿宋" w:eastAsia="仿宋"/>
          <w:color w:val="auto"/>
          <w:sz w:val="32"/>
          <w:szCs w:val="32"/>
        </w:rPr>
      </w:pPr>
      <w:r>
        <w:rPr>
          <w:rFonts w:hint="eastAsia" w:ascii="仿宋" w:hAnsi="仿宋" w:eastAsia="仿宋"/>
          <w:color w:val="auto"/>
          <w:sz w:val="32"/>
          <w:szCs w:val="32"/>
        </w:rPr>
        <w:t>政府采购合同</w:t>
      </w:r>
    </w:p>
    <w:p>
      <w:pPr>
        <w:spacing w:line="560" w:lineRule="exact"/>
        <w:jc w:val="center"/>
        <w:rPr>
          <w:rFonts w:ascii="仿宋" w:hAnsi="仿宋" w:eastAsia="仿宋"/>
          <w:color w:val="auto"/>
          <w:sz w:val="32"/>
          <w:szCs w:val="32"/>
        </w:rPr>
      </w:pPr>
      <w:r>
        <w:rPr>
          <w:rFonts w:hint="eastAsia" w:ascii="仿宋" w:hAnsi="仿宋" w:eastAsia="仿宋"/>
          <w:color w:val="auto"/>
          <w:sz w:val="32"/>
          <w:szCs w:val="32"/>
        </w:rPr>
        <w:t>（服务类）</w:t>
      </w:r>
    </w:p>
    <w:p>
      <w:pPr>
        <w:spacing w:line="560" w:lineRule="exact"/>
        <w:rPr>
          <w:rFonts w:ascii="仿宋" w:hAnsi="仿宋" w:eastAsia="仿宋"/>
          <w:color w:val="auto"/>
          <w:sz w:val="32"/>
          <w:szCs w:val="32"/>
        </w:rPr>
      </w:pPr>
    </w:p>
    <w:p>
      <w:pPr>
        <w:spacing w:line="560" w:lineRule="exact"/>
        <w:rPr>
          <w:rFonts w:ascii="仿宋" w:hAnsi="仿宋" w:eastAsia="仿宋"/>
          <w:color w:val="auto"/>
          <w:sz w:val="32"/>
          <w:szCs w:val="32"/>
        </w:rPr>
      </w:pPr>
    </w:p>
    <w:p>
      <w:pPr>
        <w:spacing w:line="560" w:lineRule="exact"/>
        <w:rPr>
          <w:rFonts w:ascii="仿宋" w:hAnsi="仿宋" w:eastAsia="仿宋"/>
          <w:color w:val="auto"/>
          <w:sz w:val="32"/>
          <w:szCs w:val="32"/>
        </w:rPr>
      </w:pPr>
    </w:p>
    <w:p>
      <w:pPr>
        <w:spacing w:line="560" w:lineRule="exact"/>
        <w:rPr>
          <w:rFonts w:ascii="仿宋" w:hAnsi="仿宋" w:eastAsia="仿宋"/>
          <w:color w:val="auto"/>
          <w:sz w:val="32"/>
          <w:szCs w:val="32"/>
        </w:rPr>
      </w:pPr>
    </w:p>
    <w:p>
      <w:pPr>
        <w:spacing w:line="560" w:lineRule="exact"/>
        <w:rPr>
          <w:rFonts w:hint="eastAsia" w:ascii="仿宋" w:hAnsi="仿宋" w:eastAsia="仿宋"/>
          <w:color w:val="auto"/>
          <w:sz w:val="32"/>
          <w:szCs w:val="32"/>
        </w:rPr>
      </w:pPr>
    </w:p>
    <w:p>
      <w:pPr>
        <w:spacing w:line="360" w:lineRule="auto"/>
        <w:ind w:left="1600" w:hanging="1600" w:hangingChars="500"/>
        <w:rPr>
          <w:rFonts w:ascii="仿宋" w:hAnsi="仿宋" w:eastAsia="仿宋"/>
          <w:color w:val="auto"/>
          <w:sz w:val="32"/>
          <w:szCs w:val="32"/>
          <w:u w:val="single"/>
        </w:rPr>
      </w:pPr>
      <w:r>
        <w:rPr>
          <w:rFonts w:hint="eastAsia" w:ascii="仿宋" w:hAnsi="仿宋" w:eastAsia="仿宋"/>
          <w:color w:val="auto"/>
          <w:sz w:val="32"/>
          <w:szCs w:val="32"/>
        </w:rPr>
        <w:t>项目名称：</w:t>
      </w:r>
    </w:p>
    <w:p>
      <w:pPr>
        <w:spacing w:line="360" w:lineRule="auto"/>
        <w:ind w:left="1600" w:hanging="1600" w:hangingChars="500"/>
        <w:rPr>
          <w:rFonts w:ascii="仿宋" w:hAnsi="仿宋" w:eastAsia="仿宋"/>
          <w:color w:val="auto"/>
          <w:sz w:val="32"/>
          <w:szCs w:val="32"/>
        </w:rPr>
      </w:pPr>
      <w:r>
        <w:rPr>
          <w:rFonts w:hint="eastAsia" w:ascii="仿宋" w:hAnsi="仿宋" w:eastAsia="仿宋"/>
          <w:color w:val="auto"/>
          <w:sz w:val="32"/>
          <w:szCs w:val="32"/>
        </w:rPr>
        <w:t>服务内容：</w:t>
      </w:r>
      <w:r>
        <w:rPr>
          <w:rFonts w:hint="eastAsia" w:ascii="仿宋" w:hAnsi="仿宋" w:eastAsia="仿宋"/>
          <w:color w:val="auto"/>
          <w:sz w:val="32"/>
          <w:szCs w:val="32"/>
          <w:u w:val="single"/>
        </w:rPr>
        <w:t>物业服务</w:t>
      </w:r>
    </w:p>
    <w:p>
      <w:pPr>
        <w:spacing w:line="360" w:lineRule="auto"/>
        <w:rPr>
          <w:rFonts w:ascii="仿宋" w:hAnsi="仿宋" w:eastAsia="仿宋"/>
          <w:color w:val="auto"/>
          <w:sz w:val="32"/>
          <w:szCs w:val="32"/>
        </w:rPr>
      </w:pPr>
    </w:p>
    <w:p>
      <w:pPr>
        <w:spacing w:line="360" w:lineRule="auto"/>
        <w:rPr>
          <w:rFonts w:ascii="仿宋" w:hAnsi="仿宋" w:eastAsia="仿宋"/>
          <w:color w:val="auto"/>
          <w:sz w:val="32"/>
          <w:szCs w:val="32"/>
        </w:rPr>
      </w:pPr>
    </w:p>
    <w:p>
      <w:pPr>
        <w:spacing w:line="360" w:lineRule="auto"/>
        <w:rPr>
          <w:rFonts w:hint="eastAsia" w:ascii="仿宋" w:hAnsi="仿宋" w:eastAsia="仿宋"/>
          <w:color w:val="auto"/>
          <w:sz w:val="32"/>
          <w:szCs w:val="32"/>
        </w:rPr>
      </w:pPr>
    </w:p>
    <w:p>
      <w:pPr>
        <w:spacing w:line="360" w:lineRule="auto"/>
        <w:rPr>
          <w:rFonts w:ascii="仿宋" w:hAnsi="仿宋" w:eastAsia="仿宋"/>
          <w:color w:val="auto"/>
          <w:sz w:val="32"/>
          <w:szCs w:val="32"/>
        </w:rPr>
      </w:pPr>
    </w:p>
    <w:p>
      <w:pPr>
        <w:spacing w:line="360" w:lineRule="auto"/>
        <w:ind w:firstLine="320" w:firstLineChars="100"/>
        <w:rPr>
          <w:rFonts w:ascii="仿宋" w:hAnsi="仿宋" w:eastAsia="仿宋"/>
          <w:color w:val="auto"/>
          <w:sz w:val="32"/>
          <w:szCs w:val="32"/>
        </w:rPr>
      </w:pPr>
      <w:r>
        <w:rPr>
          <w:rFonts w:hint="eastAsia" w:ascii="仿宋" w:hAnsi="仿宋" w:eastAsia="仿宋"/>
          <w:color w:val="auto"/>
          <w:sz w:val="32"/>
          <w:szCs w:val="32"/>
        </w:rPr>
        <w:t>甲方：</w:t>
      </w:r>
    </w:p>
    <w:p>
      <w:pPr>
        <w:spacing w:line="360" w:lineRule="auto"/>
        <w:ind w:firstLine="320" w:firstLineChars="100"/>
        <w:rPr>
          <w:rFonts w:ascii="仿宋" w:hAnsi="仿宋" w:eastAsia="仿宋"/>
          <w:color w:val="auto"/>
          <w:sz w:val="32"/>
          <w:szCs w:val="32"/>
          <w:u w:val="single"/>
        </w:rPr>
      </w:pPr>
      <w:r>
        <w:rPr>
          <w:rFonts w:hint="eastAsia" w:ascii="仿宋" w:hAnsi="仿宋" w:eastAsia="仿宋"/>
          <w:color w:val="auto"/>
          <w:sz w:val="32"/>
          <w:szCs w:val="32"/>
        </w:rPr>
        <w:t>乙方：</w:t>
      </w:r>
    </w:p>
    <w:p>
      <w:pPr>
        <w:spacing w:line="360" w:lineRule="auto"/>
        <w:rPr>
          <w:rFonts w:ascii="仿宋" w:hAnsi="仿宋" w:eastAsia="仿宋"/>
          <w:color w:val="auto"/>
          <w:sz w:val="32"/>
          <w:szCs w:val="32"/>
        </w:rPr>
      </w:pPr>
    </w:p>
    <w:p>
      <w:pPr>
        <w:spacing w:line="360" w:lineRule="auto"/>
        <w:rPr>
          <w:rFonts w:ascii="仿宋" w:hAnsi="仿宋" w:eastAsia="仿宋"/>
          <w:color w:val="auto"/>
          <w:sz w:val="32"/>
          <w:szCs w:val="32"/>
        </w:rPr>
      </w:pPr>
    </w:p>
    <w:p>
      <w:pPr>
        <w:pStyle w:val="18"/>
        <w:rPr>
          <w:color w:val="auto"/>
        </w:rPr>
      </w:pPr>
    </w:p>
    <w:p>
      <w:pPr>
        <w:spacing w:line="360" w:lineRule="auto"/>
        <w:jc w:val="center"/>
        <w:rPr>
          <w:rFonts w:ascii="仿宋" w:hAnsi="仿宋" w:eastAsia="仿宋"/>
          <w:color w:val="auto"/>
          <w:sz w:val="32"/>
          <w:szCs w:val="32"/>
        </w:rPr>
      </w:pPr>
    </w:p>
    <w:p>
      <w:pPr>
        <w:spacing w:line="360" w:lineRule="auto"/>
        <w:jc w:val="center"/>
        <w:rPr>
          <w:rFonts w:ascii="仿宋" w:hAnsi="仿宋" w:eastAsia="仿宋"/>
          <w:color w:val="auto"/>
          <w:sz w:val="32"/>
          <w:szCs w:val="32"/>
        </w:rPr>
      </w:pPr>
    </w:p>
    <w:p>
      <w:pPr>
        <w:spacing w:line="360" w:lineRule="auto"/>
        <w:jc w:val="center"/>
        <w:rPr>
          <w:rFonts w:ascii="仿宋" w:hAnsi="仿宋" w:eastAsia="仿宋"/>
          <w:color w:val="auto"/>
          <w:sz w:val="32"/>
          <w:szCs w:val="32"/>
        </w:rPr>
      </w:pPr>
      <w:r>
        <w:rPr>
          <w:rFonts w:hint="eastAsia" w:ascii="仿宋" w:hAnsi="仿宋" w:eastAsia="仿宋"/>
          <w:color w:val="auto"/>
          <w:sz w:val="32"/>
          <w:szCs w:val="32"/>
        </w:rPr>
        <w:t>签署日期：   年   月   日</w:t>
      </w:r>
    </w:p>
    <w:p>
      <w:pPr>
        <w:spacing w:line="560" w:lineRule="exact"/>
        <w:rPr>
          <w:rFonts w:ascii="仿宋" w:hAnsi="仿宋" w:eastAsia="仿宋"/>
          <w:color w:val="auto"/>
          <w:sz w:val="24"/>
        </w:rPr>
      </w:pPr>
    </w:p>
    <w:p>
      <w:pPr>
        <w:spacing w:line="560" w:lineRule="exact"/>
        <w:jc w:val="center"/>
        <w:rPr>
          <w:rFonts w:ascii="仿宋" w:hAnsi="仿宋" w:eastAsia="仿宋"/>
          <w:color w:val="auto"/>
          <w:sz w:val="24"/>
        </w:rPr>
      </w:pPr>
    </w:p>
    <w:p>
      <w:pPr>
        <w:spacing w:line="560" w:lineRule="exact"/>
        <w:jc w:val="center"/>
        <w:rPr>
          <w:rFonts w:ascii="仿宋" w:hAnsi="仿宋" w:eastAsia="仿宋"/>
          <w:color w:val="auto"/>
          <w:sz w:val="24"/>
        </w:rPr>
      </w:pPr>
      <w:r>
        <w:rPr>
          <w:rFonts w:hint="eastAsia" w:ascii="仿宋" w:hAnsi="仿宋" w:eastAsia="仿宋"/>
          <w:color w:val="auto"/>
          <w:sz w:val="24"/>
        </w:rPr>
        <w:t>合  同  书</w:t>
      </w:r>
    </w:p>
    <w:p>
      <w:pPr>
        <w:spacing w:line="560" w:lineRule="exact"/>
        <w:rPr>
          <w:rFonts w:ascii="仿宋" w:hAnsi="仿宋" w:eastAsia="仿宋"/>
          <w:color w:val="auto"/>
          <w:sz w:val="24"/>
        </w:rPr>
      </w:pPr>
    </w:p>
    <w:p>
      <w:pPr>
        <w:spacing w:line="560" w:lineRule="exact"/>
        <w:ind w:firstLine="240" w:firstLineChars="100"/>
        <w:rPr>
          <w:rFonts w:ascii="仿宋" w:hAnsi="仿宋" w:eastAsia="仿宋"/>
          <w:color w:val="auto"/>
          <w:sz w:val="24"/>
        </w:rPr>
      </w:pPr>
      <w:r>
        <w:rPr>
          <w:rFonts w:hint="eastAsia" w:ascii="仿宋" w:hAnsi="仿宋" w:eastAsia="仿宋"/>
          <w:color w:val="auto"/>
          <w:sz w:val="24"/>
        </w:rPr>
        <w:t xml:space="preserve">甲方： </w:t>
      </w:r>
    </w:p>
    <w:p>
      <w:pPr>
        <w:spacing w:line="560" w:lineRule="exact"/>
        <w:ind w:firstLine="240" w:firstLineChars="100"/>
        <w:rPr>
          <w:rFonts w:ascii="仿宋" w:hAnsi="仿宋" w:eastAsia="仿宋" w:cs="宋体"/>
          <w:color w:val="auto"/>
          <w:kern w:val="0"/>
          <w:sz w:val="24"/>
          <w:u w:val="single"/>
        </w:rPr>
      </w:pPr>
      <w:r>
        <w:rPr>
          <w:rFonts w:hint="eastAsia" w:ascii="仿宋" w:hAnsi="仿宋" w:eastAsia="仿宋"/>
          <w:color w:val="auto"/>
          <w:sz w:val="24"/>
        </w:rPr>
        <w:t>乙方：</w:t>
      </w:r>
    </w:p>
    <w:p>
      <w:pPr>
        <w:spacing w:line="560" w:lineRule="exact"/>
        <w:ind w:firstLine="240" w:firstLineChars="100"/>
        <w:rPr>
          <w:rFonts w:ascii="仿宋" w:hAnsi="仿宋" w:eastAsia="仿宋" w:cs="宋体"/>
          <w:color w:val="auto"/>
          <w:kern w:val="0"/>
          <w:sz w:val="24"/>
          <w:u w:val="single"/>
        </w:rPr>
      </w:pPr>
    </w:p>
    <w:p>
      <w:pPr>
        <w:spacing w:before="120" w:line="360" w:lineRule="auto"/>
        <w:ind w:firstLine="480" w:firstLineChars="200"/>
        <w:rPr>
          <w:rFonts w:ascii="仿宋" w:hAnsi="仿宋" w:eastAsia="仿宋" w:cs="宋体"/>
          <w:color w:val="auto"/>
          <w:sz w:val="24"/>
        </w:rPr>
      </w:pPr>
      <w:r>
        <w:rPr>
          <w:rFonts w:hint="eastAsia" w:ascii="仿宋" w:hAnsi="仿宋" w:eastAsia="仿宋" w:cs="宋体"/>
          <w:color w:val="auto"/>
          <w:sz w:val="24"/>
          <w:u w:val="single"/>
        </w:rPr>
        <w:t xml:space="preserve">                          </w:t>
      </w:r>
      <w:r>
        <w:rPr>
          <w:rFonts w:hint="eastAsia" w:ascii="仿宋" w:hAnsi="仿宋" w:eastAsia="仿宋" w:cs="宋体"/>
          <w:color w:val="auto"/>
          <w:sz w:val="24"/>
        </w:rPr>
        <w:t>(甲方)</w:t>
      </w:r>
      <w:r>
        <w:rPr>
          <w:rFonts w:hint="eastAsia" w:ascii="仿宋" w:hAnsi="仿宋" w:eastAsia="仿宋" w:cs="宋体"/>
          <w:color w:val="auto"/>
          <w:sz w:val="24"/>
          <w:u w:val="single"/>
        </w:rPr>
        <w:t xml:space="preserve">                           </w:t>
      </w:r>
      <w:r>
        <w:rPr>
          <w:rFonts w:hint="eastAsia" w:ascii="仿宋" w:hAnsi="仿宋" w:eastAsia="仿宋" w:cs="宋体"/>
          <w:color w:val="auto"/>
          <w:sz w:val="24"/>
        </w:rPr>
        <w:t>(项目名称)中所需</w:t>
      </w:r>
      <w:r>
        <w:rPr>
          <w:rFonts w:hint="eastAsia" w:ascii="仿宋" w:hAnsi="仿宋" w:eastAsia="仿宋" w:cs="宋体"/>
          <w:color w:val="auto"/>
          <w:sz w:val="24"/>
          <w:u w:val="single"/>
        </w:rPr>
        <w:t xml:space="preserve">  物业服务  </w:t>
      </w:r>
      <w:r>
        <w:rPr>
          <w:rFonts w:hint="eastAsia" w:ascii="仿宋" w:hAnsi="仿宋" w:eastAsia="仿宋" w:cs="宋体"/>
          <w:color w:val="auto"/>
          <w:sz w:val="24"/>
        </w:rPr>
        <w:t>(采购内容)经北京市大兴区政府采购中心以项目编号：</w:t>
      </w:r>
      <w:r>
        <w:rPr>
          <w:rFonts w:hint="eastAsia" w:ascii="仿宋" w:hAnsi="仿宋" w:eastAsia="仿宋" w:cs="宋体"/>
          <w:color w:val="auto"/>
          <w:sz w:val="24"/>
          <w:u w:val="single"/>
        </w:rPr>
        <w:t xml:space="preserve">        </w:t>
      </w:r>
      <w:r>
        <w:rPr>
          <w:rFonts w:hint="eastAsia" w:ascii="仿宋" w:hAnsi="仿宋" w:eastAsia="仿宋" w:cs="宋体"/>
          <w:color w:val="auto"/>
          <w:sz w:val="24"/>
        </w:rPr>
        <w:t>招标文件在国内</w:t>
      </w:r>
      <w:r>
        <w:rPr>
          <w:rFonts w:hint="eastAsia" w:ascii="仿宋" w:hAnsi="仿宋" w:eastAsia="仿宋" w:cs="宋体"/>
          <w:color w:val="auto"/>
          <w:sz w:val="24"/>
          <w:u w:val="single"/>
        </w:rPr>
        <w:t xml:space="preserve"> 公开 </w:t>
      </w:r>
      <w:r>
        <w:rPr>
          <w:rFonts w:hint="eastAsia" w:ascii="仿宋" w:hAnsi="仿宋" w:eastAsia="仿宋" w:cs="宋体"/>
          <w:color w:val="auto"/>
          <w:sz w:val="24"/>
        </w:rPr>
        <w:t>（公开/邀请）招标。经评标委员会评定</w:t>
      </w:r>
      <w:r>
        <w:rPr>
          <w:rFonts w:hint="eastAsia" w:ascii="仿宋" w:hAnsi="仿宋" w:eastAsia="仿宋" w:cs="宋体"/>
          <w:color w:val="auto"/>
          <w:sz w:val="24"/>
          <w:u w:val="single"/>
        </w:rPr>
        <w:t xml:space="preserve">          </w:t>
      </w:r>
      <w:r>
        <w:rPr>
          <w:rFonts w:hint="eastAsia" w:ascii="仿宋" w:hAnsi="仿宋" w:eastAsia="仿宋" w:cs="宋体"/>
          <w:color w:val="auto"/>
          <w:sz w:val="24"/>
        </w:rPr>
        <w:t>(乙方)为中标/成交人。甲、乙双方同意按照下面的条款和条件，签署本合同。</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一、合同文件</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下列文件构成本合同的组成部分：</w:t>
      </w:r>
    </w:p>
    <w:p>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a.本合同书；　</w:t>
      </w:r>
    </w:p>
    <w:p>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b.供应商确认通知书；</w:t>
      </w:r>
    </w:p>
    <w:p>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 xml:space="preserve">c.合同补充条款或说明；　 </w:t>
      </w:r>
    </w:p>
    <w:p>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d.招标文件：</w:t>
      </w:r>
    </w:p>
    <w:p>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e.投标文件等。</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二、合同范围和条件</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本合同的范围和条件应与上述规定的合同文件内容一致。</w:t>
      </w:r>
    </w:p>
    <w:p>
      <w:pPr>
        <w:spacing w:line="560" w:lineRule="exact"/>
        <w:ind w:firstLine="482" w:firstLineChars="200"/>
        <w:rPr>
          <w:rFonts w:ascii="仿宋" w:hAnsi="仿宋" w:eastAsia="仿宋" w:cs="宋体"/>
          <w:color w:val="auto"/>
          <w:sz w:val="24"/>
        </w:rPr>
      </w:pPr>
      <w:r>
        <w:rPr>
          <w:rFonts w:hint="eastAsia" w:ascii="仿宋" w:hAnsi="仿宋" w:eastAsia="仿宋" w:cs="宋体"/>
          <w:b/>
          <w:bCs/>
          <w:color w:val="auto"/>
          <w:sz w:val="24"/>
        </w:rPr>
        <w:t>三、管理项目</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本合同要求提供的管理项目见招标文件第四章《采购需求》文件。</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四、合同价款</w:t>
      </w:r>
    </w:p>
    <w:p>
      <w:pPr>
        <w:spacing w:before="120"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 xml:space="preserve">本合同总价款为人民币: </w:t>
      </w:r>
      <w:r>
        <w:rPr>
          <w:rFonts w:hint="eastAsia" w:ascii="仿宋" w:hAnsi="仿宋" w:eastAsia="仿宋" w:cs="宋体"/>
          <w:color w:val="auto"/>
          <w:sz w:val="24"/>
          <w:u w:val="single"/>
        </w:rPr>
        <w:t xml:space="preserve">         （小写：      元）</w:t>
      </w:r>
      <w:r>
        <w:rPr>
          <w:rFonts w:hint="eastAsia" w:ascii="仿宋" w:hAnsi="仿宋" w:eastAsia="仿宋" w:cs="宋体"/>
          <w:color w:val="auto"/>
          <w:sz w:val="24"/>
        </w:rPr>
        <w:t>。</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五、付款方式</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本合同的付款方式在合同特殊条款中规定。</w:t>
      </w:r>
    </w:p>
    <w:p>
      <w:pPr>
        <w:spacing w:line="560" w:lineRule="exact"/>
        <w:ind w:firstLine="482" w:firstLineChars="200"/>
        <w:rPr>
          <w:rFonts w:ascii="仿宋" w:hAnsi="仿宋" w:eastAsia="仿宋" w:cs="宋体"/>
          <w:color w:val="auto"/>
          <w:sz w:val="24"/>
        </w:rPr>
      </w:pPr>
      <w:r>
        <w:rPr>
          <w:rFonts w:hint="eastAsia" w:ascii="仿宋" w:hAnsi="仿宋" w:eastAsia="仿宋" w:cs="宋体"/>
          <w:b/>
          <w:bCs/>
          <w:color w:val="auto"/>
          <w:sz w:val="24"/>
        </w:rPr>
        <w:t>六、合同的生效</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本合同一式</w:t>
      </w:r>
      <w:r>
        <w:rPr>
          <w:rFonts w:hint="eastAsia" w:ascii="仿宋" w:hAnsi="仿宋" w:eastAsia="仿宋" w:cs="宋体"/>
          <w:color w:val="auto"/>
          <w:sz w:val="24"/>
          <w:u w:val="single"/>
        </w:rPr>
        <w:t>6</w:t>
      </w:r>
      <w:r>
        <w:rPr>
          <w:rFonts w:hint="eastAsia" w:ascii="仿宋" w:hAnsi="仿宋" w:eastAsia="仿宋" w:cs="宋体"/>
          <w:color w:val="auto"/>
          <w:sz w:val="24"/>
        </w:rPr>
        <w:t>份，本合同经甲方、乙方双方全权代表签署且加盖单位印章后生效。</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七、合同一般条款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1.定义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本合同的下列术语应解释为：</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（1）“合同”系指甲乙双方签署的、合同格式中载明的甲乙双方所达成的协议，包括所有的附件、附录和构成合同的其它文件。</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（2）“合同价”系指根据合同规定，在乙方完全履行合同义务后应付给乙方的价格。</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（3）“服务”系指根据合同规定乙方承担的物业管理服务的全部服务。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（4）“甲方”即</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，系指用货币换取物业管理服务的单位。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（5）“乙方”即，系指根据合同规定提供物业管理服务的具有法人资格的公司。</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2.服务标准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2.1提供的物业管理服务标准应与招标文件的规定相一致。</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2.2若招标文件中无相应说明，则以国家及北京市有关部门最新颁布的相关行业标准及规范为准。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3.付款方式</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付款方式见合同特殊条款。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4.质量保证及检验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4.1乙方应按照甲方指定的时间入驻并提供物业管理服务。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4.2如果乙方未能按时入驻和提供服务，将受到以下制裁：加收违约损失赔偿和终止合同并通知政府采购监督部门。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5.违约赔偿</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除合同第6条规定外，如果乙方没有按照合同规定的时间入驻和提供服务，甲方可从应付物业管理服务费中扣除违约赔偿费，赔偿费应按每迟入驻一天，按应付物业管理服务费总价的0.5％计收。但违约赔偿费的最高限额为应付物业管理服务费总价的5％。如果乙方在达到最高限额后仍不能入驻和提供服务，甲方可考虑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6.不可抗力</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6.1如果双方中任何一方由于战争、严重火灾、水灾、台风和地震等法律法规规定的属于不可抗力的事故，致使合同履行受阻时，履行合同的期限应予延长，延长的期限应相当于事故所影响的时间。</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6.2受事故影响的一方应在不可抗力的事故发生后尽快以传真或邮件通知另一方，并在事故发生后14天内，将有关部门出具的证明文件当面或用挂号信速递另一方。如果发生不可抗力影响合同履行，在不可抗力因素消除后。双方应即时通过友好协商在合理的时间内达成进一步履行合同的协议。</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7.税费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7.1 根据国家现行税法对甲方征收的与本合同有关的一切税费均由甲方负担。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7.2 根据国家现行税法对乙方征收的与本合同有关的一切税费均由乙方负担。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8.合同争议的解决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8.1因合同履行中发生的争议，合同当事人双方可通过协商解决。协商不成的，可向大兴区人民法院提起诉讼或提请北京市仲裁委员会仲裁。</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8.2仲裁裁决应为最终裁决，当事人一方在规定时间内不履行仲裁机构裁决的，另一方可以申请人民法院强制执行。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8.3仲裁费用和诉讼费用除仲裁机构另有裁决外，应由败诉方负担。</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8.4在仲裁期间，除正在进行仲裁的部分外，本合同其它部分应继续执行。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9.违约终止合同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甲方在乙方违约的情况下，如果：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(1)乙方未能在合同规定的限期或甲方同意延长的限期内入驻和提供服务。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(2)如果乙方未能履行合同规定的其它义务，乙方在收到甲方发出的违约通知后30天内，或经甲方书面认可延长的时间内未能纠正其过失。甲方可向乙方发出书面通知，终止部分或全部合同。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在以上情况下，并不影响甲方向乙方提出相应的索赔。</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10.破产终止合同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10.1如果乙方破产或无清偿能力时，甲方可在任何时候以书面形式通知乙方终止合同。该终止合同将不损害或影响甲方已经采取或将要采取的补救措施的权利。</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11.转让和分包</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11.1未经甲方事先书面同意，乙方不得整体转让、整体转包其应履行的合同义务。部分项目分包需征得甲方同意方可进行。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12.合同修改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12.1欲对合同条款进行任何改动，均须由甲乙双方签署书面的合同修改书。</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13. 通知</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13.1本合同任何一方给另一方的通知，都应以书面或传真/电报的形式发送，而另一方应以书面形式确认并发送到对方明确的地址。</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14.计量单位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14.1除招标文件中另有规定外，计量单位均使用国家法定计量单位。</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15.适用法律</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15.1本合同按照中华人民共和国的法律进行解释。</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16.合同生效及其它</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16.1合同在双方签字盖章后开始生效。</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16.2本合同一式陆份，以中文书写，具有同等法律效力。</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16.3如需修改或补充合同内容，经协商，双方应签署书面修改或补充协议，该协议将作为本合同的一个组成部分。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16.4本合同自</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年 </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月</w:t>
      </w:r>
      <w:r>
        <w:rPr>
          <w:rFonts w:hint="eastAsia" w:ascii="仿宋" w:hAnsi="仿宋" w:eastAsia="仿宋" w:cs="宋体"/>
          <w:color w:val="auto"/>
          <w:sz w:val="24"/>
          <w:u w:val="single"/>
        </w:rPr>
        <w:t xml:space="preserve">  </w:t>
      </w:r>
      <w:r>
        <w:rPr>
          <w:rFonts w:hint="eastAsia" w:ascii="仿宋" w:hAnsi="仿宋" w:eastAsia="仿宋" w:cs="宋体"/>
          <w:color w:val="auto"/>
          <w:sz w:val="24"/>
        </w:rPr>
        <w:t>日至</w:t>
      </w:r>
      <w:r>
        <w:rPr>
          <w:rFonts w:hint="eastAsia" w:ascii="仿宋" w:hAnsi="仿宋" w:eastAsia="仿宋" w:cs="宋体"/>
          <w:color w:val="auto"/>
          <w:sz w:val="24"/>
          <w:u w:val="single"/>
        </w:rPr>
        <w:t xml:space="preserve">    </w:t>
      </w:r>
      <w:r>
        <w:rPr>
          <w:rFonts w:hint="eastAsia" w:ascii="仿宋" w:hAnsi="仿宋" w:eastAsia="仿宋" w:cs="宋体"/>
          <w:color w:val="auto"/>
          <w:sz w:val="24"/>
        </w:rPr>
        <w:t>年</w:t>
      </w:r>
      <w:r>
        <w:rPr>
          <w:rFonts w:hint="eastAsia" w:ascii="仿宋" w:hAnsi="仿宋" w:eastAsia="仿宋" w:cs="宋体"/>
          <w:color w:val="auto"/>
          <w:sz w:val="24"/>
          <w:u w:val="single"/>
        </w:rPr>
        <w:t xml:space="preserve">    </w:t>
      </w:r>
      <w:r>
        <w:rPr>
          <w:rFonts w:hint="eastAsia" w:ascii="仿宋" w:hAnsi="仿宋" w:eastAsia="仿宋" w:cs="宋体"/>
          <w:color w:val="auto"/>
          <w:sz w:val="24"/>
        </w:rPr>
        <w:t>月</w:t>
      </w:r>
      <w:r>
        <w:rPr>
          <w:rFonts w:hint="eastAsia" w:ascii="仿宋" w:hAnsi="仿宋" w:eastAsia="仿宋" w:cs="宋体"/>
          <w:color w:val="auto"/>
          <w:sz w:val="24"/>
          <w:u w:val="single"/>
        </w:rPr>
        <w:t xml:space="preserve">    </w:t>
      </w:r>
      <w:r>
        <w:rPr>
          <w:rFonts w:hint="eastAsia" w:ascii="仿宋" w:hAnsi="仿宋" w:eastAsia="仿宋" w:cs="宋体"/>
          <w:color w:val="auto"/>
          <w:sz w:val="24"/>
        </w:rPr>
        <w:t>日止。合同期为</w:t>
      </w:r>
      <w:r>
        <w:rPr>
          <w:rFonts w:hint="eastAsia" w:ascii="仿宋" w:hAnsi="仿宋" w:eastAsia="仿宋" w:cs="宋体"/>
          <w:color w:val="auto"/>
          <w:sz w:val="24"/>
          <w:u w:val="single"/>
        </w:rPr>
        <w:t xml:space="preserve">   </w:t>
      </w:r>
      <w:r>
        <w:rPr>
          <w:rFonts w:hint="eastAsia" w:ascii="仿宋" w:hAnsi="仿宋" w:eastAsia="仿宋" w:cs="宋体"/>
          <w:color w:val="auto"/>
          <w:sz w:val="24"/>
        </w:rPr>
        <w:t>年。</w:t>
      </w:r>
    </w:p>
    <w:p>
      <w:pPr>
        <w:spacing w:line="560" w:lineRule="exact"/>
        <w:ind w:firstLine="482" w:firstLineChars="200"/>
        <w:rPr>
          <w:rFonts w:ascii="仿宋" w:hAnsi="仿宋" w:eastAsia="仿宋" w:cs="宋体"/>
          <w:b/>
          <w:bCs/>
          <w:color w:val="auto"/>
          <w:sz w:val="24"/>
        </w:rPr>
      </w:pPr>
      <w:r>
        <w:rPr>
          <w:rFonts w:hint="eastAsia" w:ascii="仿宋" w:hAnsi="仿宋" w:eastAsia="仿宋" w:cs="宋体"/>
          <w:b/>
          <w:bCs/>
          <w:color w:val="auto"/>
          <w:sz w:val="24"/>
        </w:rPr>
        <w:t>八、合同特殊条款</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合同特殊条款是合同一般条款的补充和修改。如果两者之间有抵触，应以特殊条款为准。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 定义：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(1)甲方：本合同甲方系指：</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  </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(2)乙方：本合同乙方系指：</w:t>
      </w:r>
      <w:r>
        <w:rPr>
          <w:rFonts w:hint="eastAsia" w:ascii="仿宋" w:hAnsi="仿宋" w:eastAsia="仿宋" w:cs="宋体"/>
          <w:color w:val="auto"/>
          <w:sz w:val="24"/>
          <w:u w:val="single"/>
        </w:rPr>
        <w:t xml:space="preserve">                    </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(3)现场：本合同项下需要物业管理服务的地点位于。</w:t>
      </w:r>
    </w:p>
    <w:p>
      <w:pPr>
        <w:spacing w:line="560" w:lineRule="exact"/>
        <w:ind w:firstLine="480" w:firstLineChars="200"/>
        <w:rPr>
          <w:rFonts w:ascii="仿宋" w:hAnsi="仿宋" w:eastAsia="仿宋" w:cs="宋体"/>
          <w:color w:val="auto"/>
          <w:sz w:val="24"/>
          <w:u w:val="single"/>
        </w:rPr>
      </w:pPr>
      <w:r>
        <w:rPr>
          <w:rFonts w:hint="eastAsia" w:ascii="仿宋" w:hAnsi="仿宋" w:eastAsia="仿宋" w:cs="宋体"/>
          <w:color w:val="auto"/>
          <w:sz w:val="24"/>
        </w:rPr>
        <w:t>办公区地址：</w:t>
      </w:r>
      <w:r>
        <w:rPr>
          <w:rFonts w:hint="eastAsia" w:ascii="仿宋" w:hAnsi="仿宋" w:eastAsia="仿宋" w:cs="宋体"/>
          <w:color w:val="auto"/>
          <w:sz w:val="24"/>
          <w:u w:val="single"/>
        </w:rPr>
        <w:t xml:space="preserve"> 北京市大兴区兴政街</w:t>
      </w:r>
      <w:r>
        <w:rPr>
          <w:rFonts w:ascii="仿宋" w:hAnsi="仿宋" w:eastAsia="仿宋" w:cs="宋体"/>
          <w:color w:val="auto"/>
          <w:sz w:val="24"/>
          <w:u w:val="single"/>
        </w:rPr>
        <w:t>66</w:t>
      </w:r>
      <w:r>
        <w:rPr>
          <w:rFonts w:hint="eastAsia" w:ascii="仿宋" w:hAnsi="仿宋" w:eastAsia="仿宋" w:cs="宋体"/>
          <w:color w:val="auto"/>
          <w:sz w:val="24"/>
          <w:u w:val="single"/>
        </w:rPr>
        <w:t xml:space="preserve">号  </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2.付款方式</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物业服务费按季度支付方式，甲方应于每季度第一个月向乙方支付上季度物业服务费。即：每季度物业服务费为人民币:</w:t>
      </w:r>
      <w:r>
        <w:rPr>
          <w:rFonts w:hint="eastAsia" w:ascii="仿宋" w:hAnsi="仿宋" w:eastAsia="仿宋" w:cs="宋体"/>
          <w:color w:val="auto"/>
          <w:sz w:val="24"/>
          <w:u w:val="single"/>
        </w:rPr>
        <w:t xml:space="preserve">         （小写：        元）</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3.服务标准</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u w:val="single"/>
        </w:rPr>
        <w:t>以招标文件的规定为准，招标文件没有规定的，以国家及北京市有关行业规定为准</w:t>
      </w:r>
      <w:r>
        <w:rPr>
          <w:rFonts w:hint="eastAsia" w:ascii="仿宋" w:hAnsi="仿宋" w:eastAsia="仿宋" w:cs="宋体"/>
          <w:color w:val="auto"/>
          <w:sz w:val="24"/>
        </w:rPr>
        <w:t>。</w:t>
      </w:r>
    </w:p>
    <w:p>
      <w:pPr>
        <w:spacing w:line="560" w:lineRule="exact"/>
        <w:ind w:firstLine="480" w:firstLineChars="200"/>
        <w:rPr>
          <w:rFonts w:ascii="仿宋" w:hAnsi="仿宋" w:eastAsia="仿宋" w:cs="宋体"/>
          <w:color w:val="auto"/>
          <w:sz w:val="24"/>
          <w:u w:val="single"/>
        </w:rPr>
      </w:pPr>
      <w:r>
        <w:rPr>
          <w:rFonts w:hint="eastAsia" w:ascii="仿宋" w:hAnsi="仿宋" w:eastAsia="仿宋" w:cs="宋体"/>
          <w:color w:val="auto"/>
          <w:sz w:val="24"/>
        </w:rPr>
        <w:t>4.质量保证及检验按相关文件规定及标准进行验收。</w:t>
      </w:r>
    </w:p>
    <w:p>
      <w:pPr>
        <w:spacing w:line="560" w:lineRule="exact"/>
        <w:ind w:firstLine="480" w:firstLineChars="200"/>
        <w:rPr>
          <w:rFonts w:ascii="仿宋" w:hAnsi="仿宋" w:eastAsia="仿宋" w:cs="宋体"/>
          <w:color w:val="auto"/>
          <w:sz w:val="24"/>
        </w:rPr>
      </w:pP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5.甲乙双方的权利义务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5.1甲方权利义务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5.1.1维护自身及物业使用人的合法利益；</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5.1.2审定乙方提出的本物业项目的物业管理制度，监督、检查乙方的合同执行情况，协助乙方做好物业管理和宣传教育；</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5.1.3甲方应依据本合同及时、足额向乙方支付物业管理费用；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5.1.4在合同生效后甲方无偿提供一定数量的物业用房（乙方管理用房和必要的值班用房），在合同有效期内由乙方无偿使用，在合同生效后向乙方提供一定数量的分机电话号码供管理服务使用；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5.1.5负责提供物业管理所需全部图纸、资料；</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5.1.6需装饰装修办公用房时，甲方审批装修方案后通知乙方，以便乙方与施工单位签订《施工安全协议书》并在施工期间代甲方实施有效监督；</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5.1.7甲方需要乙方配合的重要活动，内部涉及物业管理的重大变动和相关信息，应提前向乙方通报；</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5.1.8监督所属人员和本物业使用人遵守大楼物业管理制度；</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5.1.9甲方对乙方本项目财务有知情权和监督权；</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5.1.10甲方有权要求乙方更换达不到要求的工作人员；</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5.1.11甲方为本合同唯一的委托方；若本物业的使用人要求乙方提供本合同约定以外的物业管理服务要求的，须由甲乙双方协商解决。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5.1.12甲方有权委托乙方对本办公区保安管理工作进行日常监督、检查工作。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5.2乙方权利义务：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5.2.1乙方依据本合同及附件，对大楼实施物业管理和服务；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5.2.2根据有关法规和政策，结合实际情况，制定本物业的物业管理制度，经甲方审核批准后实施；</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5.2.3本物业项目的所有支出费用要真实透明，并随时接受甲方的监督和审计部门的审计；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5.2.4经甲方许可，乙方可以委托专业公司承担本物业的专项管理和物业服务业务，但不得将本物业的整体管理责任转让给第三方；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5.2.5根据物业服务合同向甲方收取物业管理费用；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5.2.6不得占用本物业的共用部位、共用设施设备或改变其使用功能；如需在本物业内改、扩建或完善配套项目，需经甲方同意后实施；</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5.2.7乙方负责制定本物业的房屋和设备设施大、中修计划，并报甲方。若甲方委托乙方，乙方负责组织实施，费用另行支付；</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5.2.8建立健全本物业的物业管理档案资料，本合同终止时，乙方必须保证委托管理事项的良好状态并向甲方移交全部完整的管理用房和设备，以及物业管理的全部档案资料；</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5.2.9未经甲方许可，不得自行接待与本项目管理工作无关的参观或向第三方介绍甲方情况；</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5.2.10确保本物业项目的项目经理坚守工作岗位。若项目经理请假离岗3天以上（含），必须报甲方同意并指定相应的项目负责人；</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5.2.11本业务项目经理不得擅自更换。如需更换，须经甲方面试同意后方可上岗；</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5.2.12乙方所有工作人员按国家规定的相关社会保险、住房公积金均由乙方为其缴纳；</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5.2.13乙方工作人员工作时间统一着装，并实行挂牌服务；</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5.2.14乙方招用物业服务人员，应最大限度的招用具有大兴区本地户口的工作人员，并在同等条件下优先录用。甲方应积极予以协调乙方与大兴区劳动部门之间的相关工作；</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5.2.15乙方负责对所服务办公区内的安全生产、消防工作、文明施工、清洁生产方面的管理，并定期组织开展安全检查，及时整改事故隐患；</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5.2.16乙方制定所服务办公区应急救援预案并组织物业服务人员进行学习、演练。</w:t>
      </w:r>
    </w:p>
    <w:p>
      <w:pPr>
        <w:spacing w:line="560" w:lineRule="exact"/>
        <w:ind w:firstLine="480" w:firstLineChars="200"/>
        <w:rPr>
          <w:rFonts w:ascii="仿宋" w:hAnsi="仿宋" w:eastAsia="仿宋" w:cs="宋体"/>
          <w:color w:val="auto"/>
          <w:sz w:val="24"/>
        </w:rPr>
      </w:pPr>
      <w:r>
        <w:rPr>
          <w:rFonts w:ascii="仿宋" w:hAnsi="仿宋" w:eastAsia="仿宋" w:cs="宋体"/>
          <w:color w:val="auto"/>
          <w:sz w:val="24"/>
        </w:rPr>
        <w:t>5.2.17</w:t>
      </w:r>
      <w:r>
        <w:rPr>
          <w:rFonts w:hint="eastAsia" w:ascii="仿宋" w:hAnsi="仿宋" w:eastAsia="仿宋" w:cs="宋体"/>
          <w:color w:val="auto"/>
          <w:sz w:val="24"/>
        </w:rPr>
        <w:t>经双方协商，甲方为乙方工作人员提供用餐，但由乙方向甲方支付用餐费用。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6.违约赔偿</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6.1合同履行期间若发生火灾责任事故，经政府的有关消防部门鉴定属于乙方管理不善而直接导致事故发生的，乙方应承担与其管理不善相应的直接损失，甲方有权依据消防部门鉴定的火灾等级等比从乙方物业服务费用年合同价款扣减1%-5%的违约金。发生重大火灾事故的，甲方有权解除合同。</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6.2合同履行期间若甲方财产发生失盗事件，经双方确认并经公安部门鉴定属于乙方管理不善而直接导致失窃事件发生的，乙方应承担与其管理不善相应的直接损失，甲方有权根据公安部门鉴定的失窃事件性质（治安案件、轻微刑事案件或重大刑事案件）分别从乙方当期应付物业管理费扣减1%、3%、5%的违约金。若失窃事件属于重大刑事案件的，甲方有权终止合同。</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6.3乙方对本合同所指物业管理、服务项目的各项承诺指标均须兑现。每年度内，每有一项指标未能兑现，甲方有权要求乙方限期整改（设备的维护维修整改期限按专业或行业相关标准确定），乙方逾期未整改的，每项不达标，甲方有权从物业服务费用年合同价款的1%作为违约金（火灾和失窃除外），如有多项不达标，累计扣减不超过物业服务费用年合同价款的5%。</w:t>
      </w:r>
    </w:p>
    <w:p>
      <w:pPr>
        <w:spacing w:line="560" w:lineRule="exact"/>
        <w:ind w:firstLine="480" w:firstLineChars="200"/>
        <w:rPr>
          <w:rFonts w:ascii="仿宋" w:hAnsi="仿宋" w:eastAsia="仿宋" w:cs="宋体"/>
          <w:color w:val="auto"/>
        </w:rPr>
      </w:pPr>
      <w:r>
        <w:rPr>
          <w:rFonts w:hint="eastAsia" w:ascii="仿宋" w:hAnsi="仿宋" w:eastAsia="仿宋" w:cs="宋体"/>
          <w:color w:val="auto"/>
          <w:sz w:val="24"/>
        </w:rPr>
        <w:t xml:space="preserve">7.物业费用不包含以下 </w:t>
      </w:r>
      <w:r>
        <w:rPr>
          <w:rFonts w:ascii="仿宋" w:hAnsi="仿宋" w:eastAsia="仿宋" w:cs="宋体"/>
          <w:color w:val="auto"/>
          <w:sz w:val="24"/>
        </w:rPr>
        <w:t>10</w:t>
      </w:r>
      <w:r>
        <w:rPr>
          <w:rFonts w:hint="eastAsia" w:ascii="仿宋" w:hAnsi="仿宋" w:eastAsia="仿宋" w:cs="宋体"/>
          <w:color w:val="auto"/>
          <w:sz w:val="24"/>
        </w:rPr>
        <w:t>项费用：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（1）房屋建筑折旧费和维修基金；</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（2）设备设施的中修费、大修费、扩建费、更换费、设备更新改造费；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（3）水、电、气、供暖费、通讯费、有线电视费、电缆代维护费；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（4）业主自用办公设备设施、器具维修养护费；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（5）大楼会议用设备设施及用品（茶叶、纸巾、毛巾除外）；</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（6）大楼财产保险费；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（7）特殊会议服务和特定情况的布置费；</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（8）业主自用设施（包括：分类垃圾桶、纸篓、直立烟缸、标识牌、皂液盒、纸架、防尘（滑）垫、告示牌、茶水桶等）；</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（9）垃圾向外清运、室外绿化养护费用；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（10）设备专项维护保养费用及大楼消电检费用；</w:t>
      </w:r>
    </w:p>
    <w:p>
      <w:pPr>
        <w:spacing w:line="560" w:lineRule="exact"/>
        <w:ind w:firstLine="480" w:firstLineChars="200"/>
        <w:rPr>
          <w:rFonts w:ascii="仿宋" w:hAnsi="仿宋" w:eastAsia="仿宋" w:cs="宋体"/>
          <w:color w:val="auto"/>
          <w:sz w:val="24"/>
        </w:rPr>
      </w:pPr>
      <w:r>
        <w:rPr>
          <w:rFonts w:hint="eastAsia" w:ascii="仿宋" w:hAnsi="仿宋" w:eastAsia="仿宋" w:cs="宋体"/>
          <w:color w:val="auto"/>
          <w:sz w:val="24"/>
        </w:rPr>
        <w:t>8．关于设备设施保养维修及相关事项</w:t>
      </w:r>
    </w:p>
    <w:p>
      <w:pPr>
        <w:spacing w:line="560" w:lineRule="exact"/>
        <w:ind w:firstLine="480" w:firstLineChars="200"/>
        <w:rPr>
          <w:rFonts w:ascii="仿宋" w:hAnsi="仿宋" w:eastAsia="仿宋" w:cs="宋体"/>
          <w:color w:val="auto"/>
          <w:sz w:val="24"/>
        </w:rPr>
      </w:pPr>
      <w:r>
        <w:rPr>
          <w:rFonts w:ascii="仿宋" w:hAnsi="仿宋" w:eastAsia="仿宋" w:cs="宋体"/>
          <w:color w:val="auto"/>
          <w:sz w:val="24"/>
        </w:rPr>
        <w:t>8.1</w:t>
      </w:r>
      <w:r>
        <w:rPr>
          <w:rFonts w:hint="eastAsia" w:ascii="仿宋" w:hAnsi="仿宋" w:eastAsia="仿宋" w:cs="宋体"/>
          <w:color w:val="auto"/>
          <w:sz w:val="24"/>
        </w:rPr>
        <w:t>大楼设备设施保养、维修费用，单批、单次、单件支出费用在5000元以下的（含），由物业方支付，5000元以上的，由业主方支付。</w:t>
      </w:r>
    </w:p>
    <w:p>
      <w:pPr>
        <w:spacing w:line="560" w:lineRule="exact"/>
        <w:ind w:firstLine="480" w:firstLineChars="200"/>
        <w:rPr>
          <w:rFonts w:ascii="仿宋" w:hAnsi="仿宋" w:eastAsia="仿宋" w:cs="宋体"/>
          <w:color w:val="auto"/>
          <w:sz w:val="24"/>
        </w:rPr>
      </w:pPr>
    </w:p>
    <w:p>
      <w:pPr>
        <w:spacing w:line="560" w:lineRule="exact"/>
        <w:rPr>
          <w:rFonts w:ascii="仿宋" w:hAnsi="仿宋" w:eastAsia="仿宋"/>
          <w:b/>
          <w:color w:val="auto"/>
          <w:sz w:val="24"/>
        </w:rPr>
      </w:pPr>
      <w:r>
        <w:rPr>
          <w:rFonts w:hint="eastAsia" w:ascii="仿宋" w:hAnsi="仿宋" w:eastAsia="仿宋"/>
          <w:b/>
          <w:color w:val="auto"/>
          <w:sz w:val="24"/>
        </w:rPr>
        <w:t>此下无正文</w:t>
      </w:r>
    </w:p>
    <w:p>
      <w:pPr>
        <w:spacing w:line="560" w:lineRule="exact"/>
        <w:rPr>
          <w:rFonts w:ascii="仿宋" w:hAnsi="仿宋" w:eastAsia="仿宋"/>
          <w:color w:val="auto"/>
          <w:sz w:val="24"/>
        </w:rPr>
      </w:pPr>
    </w:p>
    <w:p>
      <w:pPr>
        <w:spacing w:line="560" w:lineRule="exact"/>
        <w:rPr>
          <w:rFonts w:ascii="仿宋" w:hAnsi="仿宋" w:eastAsia="仿宋"/>
          <w:color w:val="auto"/>
          <w:sz w:val="24"/>
        </w:rPr>
      </w:pPr>
      <w:r>
        <w:rPr>
          <w:rFonts w:hint="eastAsia" w:ascii="仿宋" w:hAnsi="仿宋" w:eastAsia="仿宋"/>
          <w:color w:val="auto"/>
          <w:sz w:val="24"/>
        </w:rPr>
        <w:t>甲   方：                          乙   方：</w:t>
      </w:r>
    </w:p>
    <w:p>
      <w:pPr>
        <w:spacing w:line="560" w:lineRule="exact"/>
        <w:rPr>
          <w:rFonts w:ascii="仿宋" w:hAnsi="仿宋" w:eastAsia="仿宋"/>
          <w:color w:val="auto"/>
          <w:sz w:val="24"/>
        </w:rPr>
      </w:pPr>
      <w:r>
        <w:rPr>
          <w:rFonts w:hint="eastAsia" w:ascii="仿宋" w:hAnsi="仿宋" w:eastAsia="仿宋"/>
          <w:color w:val="auto"/>
          <w:sz w:val="24"/>
        </w:rPr>
        <w:t>名   称：（印章）                   名   称：（印章）</w:t>
      </w:r>
    </w:p>
    <w:p>
      <w:pPr>
        <w:spacing w:line="560" w:lineRule="exact"/>
        <w:rPr>
          <w:rFonts w:ascii="仿宋" w:hAnsi="仿宋" w:eastAsia="仿宋"/>
          <w:color w:val="auto"/>
          <w:sz w:val="24"/>
        </w:rPr>
      </w:pPr>
      <w:r>
        <w:rPr>
          <w:rFonts w:hint="eastAsia" w:ascii="仿宋" w:hAnsi="仿宋" w:eastAsia="仿宋"/>
          <w:color w:val="auto"/>
          <w:sz w:val="24"/>
        </w:rPr>
        <w:t>全权代表（签字）：                  全权代表（签字）：</w:t>
      </w:r>
    </w:p>
    <w:p>
      <w:pPr>
        <w:spacing w:line="560" w:lineRule="exact"/>
        <w:rPr>
          <w:rFonts w:ascii="仿宋" w:hAnsi="仿宋" w:eastAsia="仿宋"/>
          <w:color w:val="auto"/>
          <w:sz w:val="24"/>
        </w:rPr>
      </w:pPr>
      <w:r>
        <w:rPr>
          <w:rFonts w:hint="eastAsia" w:ascii="仿宋" w:hAnsi="仿宋" w:eastAsia="仿宋"/>
          <w:color w:val="auto"/>
          <w:sz w:val="24"/>
        </w:rPr>
        <w:t>日   期：                          日   期：</w:t>
      </w:r>
    </w:p>
    <w:p>
      <w:pPr>
        <w:spacing w:line="560" w:lineRule="exact"/>
        <w:rPr>
          <w:rFonts w:ascii="仿宋" w:hAnsi="仿宋" w:eastAsia="仿宋"/>
          <w:color w:val="auto"/>
          <w:sz w:val="24"/>
        </w:rPr>
      </w:pPr>
      <w:r>
        <w:rPr>
          <w:rFonts w:hint="eastAsia" w:ascii="仿宋" w:hAnsi="仿宋" w:eastAsia="仿宋"/>
          <w:color w:val="auto"/>
          <w:sz w:val="24"/>
        </w:rPr>
        <w:t xml:space="preserve">地址：                             地址： </w:t>
      </w:r>
    </w:p>
    <w:p>
      <w:pPr>
        <w:spacing w:line="560" w:lineRule="exact"/>
        <w:rPr>
          <w:rFonts w:ascii="仿宋" w:hAnsi="仿宋" w:eastAsia="仿宋"/>
          <w:color w:val="auto"/>
          <w:sz w:val="24"/>
        </w:rPr>
      </w:pPr>
      <w:r>
        <w:rPr>
          <w:rFonts w:hint="eastAsia" w:ascii="仿宋" w:hAnsi="仿宋" w:eastAsia="仿宋"/>
          <w:color w:val="auto"/>
          <w:sz w:val="24"/>
        </w:rPr>
        <w:t xml:space="preserve">电    话：                         电    话： </w:t>
      </w:r>
    </w:p>
    <w:p>
      <w:pPr>
        <w:spacing w:line="560" w:lineRule="exact"/>
        <w:rPr>
          <w:rFonts w:ascii="仿宋" w:hAnsi="仿宋" w:eastAsia="仿宋"/>
          <w:color w:val="auto"/>
          <w:sz w:val="24"/>
        </w:rPr>
      </w:pPr>
      <w:r>
        <w:rPr>
          <w:rFonts w:hint="eastAsia" w:ascii="仿宋" w:hAnsi="仿宋" w:eastAsia="仿宋"/>
          <w:color w:val="auto"/>
          <w:sz w:val="24"/>
        </w:rPr>
        <w:t xml:space="preserve">开户银行：                         开户银行： </w:t>
      </w:r>
    </w:p>
    <w:p>
      <w:pPr>
        <w:spacing w:line="560" w:lineRule="exact"/>
        <w:rPr>
          <w:rFonts w:ascii="仿宋" w:hAnsi="仿宋" w:eastAsia="仿宋"/>
          <w:color w:val="auto"/>
          <w:sz w:val="24"/>
        </w:rPr>
      </w:pPr>
      <w:r>
        <w:rPr>
          <w:rFonts w:hint="eastAsia" w:ascii="仿宋" w:hAnsi="仿宋" w:eastAsia="仿宋"/>
          <w:color w:val="auto"/>
          <w:sz w:val="24"/>
        </w:rPr>
        <w:t xml:space="preserve">账    号：                         账    号： </w:t>
      </w:r>
    </w:p>
    <w:p>
      <w:pPr>
        <w:numPr>
          <w:ilvl w:val="0"/>
          <w:numId w:val="0"/>
        </w:numPr>
        <w:spacing w:line="360" w:lineRule="auto"/>
        <w:jc w:val="both"/>
        <w:rPr>
          <w:rFonts w:hint="eastAsia" w:ascii="仿宋_GB2312" w:eastAsia="仿宋_GB2312"/>
          <w:b/>
          <w:color w:val="auto"/>
          <w:sz w:val="28"/>
          <w:szCs w:val="28"/>
        </w:rPr>
      </w:pP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35"/>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35"/>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5"/>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35"/>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35"/>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5"/>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35"/>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47"/>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0"/>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0"/>
        <w:kinsoku w:val="0"/>
        <w:overflowPunct w:val="0"/>
        <w:autoSpaceDE w:val="0"/>
        <w:autoSpaceDN w:val="0"/>
        <w:spacing w:line="320" w:lineRule="exact"/>
        <w:rPr>
          <w:rFonts w:ascii="仿宋_GB2312" w:hAnsi="宋体" w:eastAsia="仿宋_GB2312"/>
          <w:b/>
          <w:color w:val="auto"/>
          <w:kern w:val="0"/>
          <w:sz w:val="24"/>
          <w:szCs w:val="24"/>
        </w:rPr>
      </w:pPr>
    </w:p>
    <w:p>
      <w:pPr>
        <w:pStyle w:val="10"/>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0"/>
        <w:spacing w:before="268" w:beforeLines="86" w:line="300" w:lineRule="auto"/>
        <w:ind w:firstLine="480" w:firstLineChars="200"/>
        <w:rPr>
          <w:rFonts w:ascii="仿宋_GB2312" w:hAnsi="宋体" w:eastAsia="仿宋_GB2312"/>
          <w:color w:val="auto"/>
          <w:sz w:val="24"/>
          <w:szCs w:val="24"/>
        </w:rPr>
      </w:pP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0"/>
        <w:tabs>
          <w:tab w:val="left" w:pos="5580"/>
        </w:tabs>
        <w:spacing w:line="300" w:lineRule="auto"/>
        <w:rPr>
          <w:rFonts w:ascii="仿宋_GB2312" w:hAnsi="宋体" w:eastAsia="仿宋_GB2312"/>
          <w:color w:val="auto"/>
          <w:sz w:val="24"/>
          <w:szCs w:val="24"/>
        </w:rPr>
      </w:pPr>
    </w:p>
    <w:p>
      <w:pPr>
        <w:pStyle w:val="10"/>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0"/>
        <w:spacing w:before="268" w:beforeLines="86" w:line="300" w:lineRule="auto"/>
        <w:rPr>
          <w:rFonts w:ascii="仿宋_GB2312" w:hAnsi="宋体" w:eastAsia="仿宋_GB2312"/>
          <w:color w:val="auto"/>
          <w:sz w:val="24"/>
          <w:szCs w:val="24"/>
        </w:rPr>
      </w:pPr>
    </w:p>
    <w:p>
      <w:pPr>
        <w:pStyle w:val="10"/>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0"/>
        <w:spacing w:before="268" w:beforeLines="86" w:line="300" w:lineRule="auto"/>
        <w:rPr>
          <w:rFonts w:ascii="仿宋_GB2312" w:hAnsi="宋体" w:eastAsia="仿宋_GB2312"/>
          <w:color w:val="auto"/>
          <w:sz w:val="24"/>
          <w:szCs w:val="24"/>
        </w:rPr>
      </w:pPr>
    </w:p>
    <w:p>
      <w:pPr>
        <w:pStyle w:val="47"/>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0"/>
        <w:spacing w:before="268" w:beforeLines="86" w:line="300" w:lineRule="auto"/>
        <w:ind w:firstLine="480" w:firstLineChars="200"/>
        <w:rPr>
          <w:rFonts w:ascii="仿宋_GB2312" w:hAnsi="宋体" w:eastAsia="仿宋_GB2312"/>
          <w:color w:val="auto"/>
          <w:sz w:val="24"/>
          <w:szCs w:val="24"/>
        </w:rPr>
      </w:pPr>
    </w:p>
    <w:p>
      <w:pPr>
        <w:pStyle w:val="47"/>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0"/>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0"/>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0"/>
        <w:spacing w:before="187" w:beforeLines="60" w:line="300" w:lineRule="auto"/>
        <w:rPr>
          <w:rFonts w:ascii="仿宋_GB2312" w:hAnsi="宋体" w:eastAsia="仿宋_GB2312"/>
          <w:color w:val="auto"/>
          <w:sz w:val="24"/>
          <w:szCs w:val="24"/>
        </w:rPr>
      </w:pP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0"/>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35"/>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0"/>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0"/>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35"/>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5"/>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35"/>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rPr>
          <w:rFonts w:hint="eastAsia" w:ascii="仿宋_GB2312" w:hAnsi="宋体" w:eastAsia="仿宋_GB2312"/>
          <w:b/>
          <w:color w:val="auto"/>
          <w:sz w:val="24"/>
          <w:szCs w:val="24"/>
        </w:rPr>
      </w:pP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3" w:type="default"/>
          <w:footerReference r:id="rId14"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35"/>
        <w:widowControl w:val="0"/>
        <w:autoSpaceDE w:val="0"/>
        <w:autoSpaceDN w:val="0"/>
        <w:adjustRightInd w:val="0"/>
        <w:spacing w:before="0" w:after="0" w:line="360" w:lineRule="auto"/>
        <w:rPr>
          <w:rFonts w:hint="default" w:ascii="Calibri" w:hAnsi="Calibri" w:eastAsia="仿宋_GB2312"/>
          <w:b/>
          <w:color w:val="auto"/>
          <w:sz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 xml:space="preserve"> 7</w:t>
      </w:r>
    </w:p>
    <w:p>
      <w:pPr>
        <w:pStyle w:val="35"/>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35"/>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28"/>
          <w:rFonts w:hint="eastAsia" w:ascii="仿宋_GB2312" w:hAnsi="宋体" w:eastAsia="仿宋_GB2312" w:cs="微软雅黑"/>
          <w:bCs/>
          <w:color w:val="auto"/>
          <w:sz w:val="24"/>
          <w:szCs w:val="24"/>
        </w:rPr>
        <w:t>www.creditchina.gov.cn</w:t>
      </w:r>
      <w:r>
        <w:rPr>
          <w:rStyle w:val="28"/>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28"/>
          <w:rFonts w:hint="eastAsia" w:ascii="仿宋_GB2312" w:hAnsi="宋体" w:eastAsia="仿宋_GB2312" w:cs="微软雅黑"/>
          <w:bCs/>
          <w:color w:val="auto"/>
          <w:sz w:val="24"/>
          <w:szCs w:val="24"/>
        </w:rPr>
        <w:t>www.ccgp.gov.cn</w:t>
      </w:r>
      <w:r>
        <w:rPr>
          <w:rStyle w:val="28"/>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ascii="仿宋_GB2312" w:hAnsi="宋体" w:eastAsia="仿宋_GB2312"/>
          <w:color w:val="auto"/>
          <w:sz w:val="24"/>
        </w:rPr>
        <w:sectPr>
          <w:pgSz w:w="11906" w:h="16838"/>
          <w:pgMar w:top="1440" w:right="1797" w:bottom="1440" w:left="1797" w:header="851" w:footer="992" w:gutter="0"/>
          <w:pgNumType w:fmt="decimal"/>
          <w:cols w:space="720" w:num="1"/>
          <w:docGrid w:type="lines" w:linePitch="312" w:charSpace="0"/>
        </w:sect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keepNext w:val="0"/>
        <w:keepLines w:val="0"/>
        <w:pageBreakBefore w:val="0"/>
        <w:widowControl w:val="0"/>
        <w:tabs>
          <w:tab w:val="left" w:pos="900"/>
          <w:tab w:val="left" w:pos="5580"/>
        </w:tabs>
        <w:kinsoku/>
        <w:wordWrap/>
        <w:overflowPunct/>
        <w:topLinePunct w:val="0"/>
        <w:autoSpaceDE/>
        <w:autoSpaceDN/>
        <w:bidi w:val="0"/>
        <w:adjustRightInd/>
        <w:snapToGrid/>
        <w:spacing w:before="156" w:beforeLines="50" w:after="312" w:afterLines="100" w:line="240" w:lineRule="auto"/>
        <w:jc w:val="both"/>
        <w:textAlignment w:val="auto"/>
        <w:rPr>
          <w:rFonts w:hint="eastAsia" w:ascii="仿宋_GB2312" w:hAnsi="宋体" w:eastAsia="仿宋_GB2312"/>
          <w:b/>
          <w:color w:val="auto"/>
          <w:sz w:val="24"/>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0"/>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2"/>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0"/>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10"/>
        <w:numPr>
          <w:ilvl w:val="0"/>
          <w:numId w:val="0"/>
        </w:numPr>
        <w:spacing w:before="156" w:beforeLines="50" w:line="360" w:lineRule="auto"/>
        <w:ind w:leftChars="0"/>
        <w:rPr>
          <w:rFonts w:hint="eastAsia" w:ascii="仿宋_GB2312" w:hAnsi="BUQOQW+»ªÎÄÏ¸ºÚ" w:eastAsia="仿宋_GB2312" w:cs="BUQOQW+»ªÎÄÏ¸ºÚ"/>
          <w:b/>
          <w:color w:val="auto"/>
          <w:sz w:val="24"/>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0"/>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0"/>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投标分项报价表</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_GB2312" w:eastAsia="仿宋_GB2312"/>
                <w:color w:val="auto"/>
              </w:rPr>
              <w:t>党建引领</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0"/>
              <w:spacing w:line="360" w:lineRule="auto"/>
              <w:jc w:val="center"/>
              <w:rPr>
                <w:rFonts w:hint="eastAsia" w:ascii="仿宋_GB2312" w:hAnsi="PWJGTK+»ªÎÄÏ¸ºÚ" w:eastAsia="仿宋_GB2312" w:cs="PWJGTK+»ªÎÄÏ¸ºÚ"/>
                <w:color w:val="auto"/>
                <w:lang w:eastAsia="zh-CN"/>
              </w:rPr>
            </w:pPr>
            <w:r>
              <w:rPr>
                <w:rFonts w:hint="eastAsia" w:ascii="仿宋_GB2312" w:eastAsia="仿宋_GB2312"/>
                <w:color w:val="auto"/>
              </w:rPr>
              <w:t>对本项目的理解及针对性</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宋体" w:eastAsia="仿宋_GB2312"/>
                <w:color w:val="auto"/>
              </w:rPr>
              <w:t>设备设施维护养护方案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保洁、绿化服务方案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hAnsi="宋体" w:eastAsia="仿宋_GB2312"/>
                <w:color w:val="auto"/>
              </w:rPr>
              <w:t>会议服务方案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日常管理与规章制度</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eastAsia="仿宋_GB2312"/>
                <w:color w:val="auto"/>
              </w:rPr>
              <w:t>消防安全管理服务方案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安全生产管理服务方案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eastAsia="仿宋_GB2312"/>
                <w:color w:val="auto"/>
              </w:rPr>
              <w:t>紧急响应、应急预案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eastAsia="仿宋_GB2312"/>
                <w:color w:val="auto"/>
              </w:rPr>
              <w:t>节能、垃圾分类管理措施</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Style w:val="10"/>
              <w:spacing w:line="360" w:lineRule="auto"/>
              <w:jc w:val="center"/>
              <w:rPr>
                <w:rFonts w:hint="eastAsia" w:ascii="仿宋_GB2312" w:hAnsi="PWJGTK+»ªÎÄÏ¸ºÚ" w:eastAsia="仿宋_GB2312" w:cs="PWJGTK+»ªÎÄÏ¸ºÚ"/>
                <w:color w:val="auto"/>
                <w:lang w:val="en-US" w:eastAsia="zh-CN"/>
              </w:rPr>
            </w:pPr>
            <w:r>
              <w:rPr>
                <w:rFonts w:hint="eastAsia" w:ascii="仿宋_GB2312" w:eastAsia="仿宋_GB2312"/>
                <w:color w:val="auto"/>
              </w:rPr>
              <w:t>服务承诺及措施</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ascii="仿宋_GB2312" w:eastAsia="仿宋_GB2312"/>
                <w:color w:val="auto"/>
              </w:rPr>
              <w:t>管理人员配备方案</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人员岗位配备方案</w:t>
            </w:r>
          </w:p>
        </w:tc>
        <w:tc>
          <w:tcPr>
            <w:tcW w:w="1417"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20</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信用证书及管理体系认证</w:t>
            </w:r>
          </w:p>
        </w:tc>
        <w:tc>
          <w:tcPr>
            <w:tcW w:w="1417"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21</w:t>
            </w:r>
          </w:p>
        </w:tc>
        <w:tc>
          <w:tcPr>
            <w:tcW w:w="3686"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eastAsia="仿宋_GB2312"/>
                <w:color w:val="auto"/>
              </w:rPr>
              <w:t>项目业绩</w:t>
            </w:r>
          </w:p>
        </w:tc>
        <w:tc>
          <w:tcPr>
            <w:tcW w:w="1417"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22</w:t>
            </w:r>
          </w:p>
        </w:tc>
        <w:tc>
          <w:tcPr>
            <w:tcW w:w="3686"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其他相关资质及证书</w:t>
            </w:r>
          </w:p>
        </w:tc>
        <w:tc>
          <w:tcPr>
            <w:tcW w:w="1417"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0"/>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23</w:t>
            </w:r>
          </w:p>
        </w:tc>
        <w:tc>
          <w:tcPr>
            <w:tcW w:w="3686" w:type="dxa"/>
            <w:vAlign w:val="center"/>
          </w:tcPr>
          <w:p>
            <w:pPr>
              <w:pStyle w:val="10"/>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0"/>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0"/>
              <w:spacing w:line="360" w:lineRule="auto"/>
              <w:jc w:val="center"/>
              <w:rPr>
                <w:rFonts w:hint="eastAsia" w:ascii="仿宋_GB2312" w:hAnsi="PWJGTK+»ªÎÄÏ¸ºÚ" w:eastAsia="仿宋_GB2312" w:cs="PWJGTK+»ªÎÄÏ¸ºÚ"/>
                <w:color w:val="auto"/>
              </w:rPr>
            </w:pPr>
          </w:p>
        </w:tc>
        <w:tc>
          <w:tcPr>
            <w:tcW w:w="1468" w:type="dxa"/>
            <w:vAlign w:val="center"/>
          </w:tcPr>
          <w:p>
            <w:pPr>
              <w:pStyle w:val="10"/>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18"/>
        <w:rPr>
          <w:rFonts w:hint="eastAsia"/>
          <w:color w:val="auto"/>
        </w:rPr>
      </w:pPr>
    </w:p>
    <w:p>
      <w:pPr>
        <w:widowControl/>
        <w:jc w:val="left"/>
        <w:rPr>
          <w:rFonts w:hint="eastAsia" w:ascii="仿宋_GB2312" w:eastAsia="仿宋_GB2312"/>
          <w:b/>
          <w:color w:val="auto"/>
          <w:sz w:val="24"/>
          <w:szCs w:val="24"/>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0"/>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eastAsia="zh-CN"/>
        </w:rPr>
        <w:t>大兴区政协委员服务中心物业服务项目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11011524210200015845-XM001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color w:val="auto"/>
          <w:sz w:val="24"/>
          <w:szCs w:val="24"/>
          <w:lang w:val="en-US" w:eastAsia="zh-CN"/>
        </w:rPr>
        <w:t>投标U盘</w:t>
      </w:r>
      <w:r>
        <w:rPr>
          <w:rFonts w:hint="eastAsia" w:ascii="仿宋_GB2312" w:hAnsi="宋体" w:eastAsia="仿宋_GB2312"/>
          <w:b/>
          <w:color w:val="auto"/>
          <w:sz w:val="24"/>
          <w:szCs w:val="24"/>
        </w:rPr>
        <w:t>且分别单独密封。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0"/>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0"/>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pStyle w:val="10"/>
        <w:spacing w:line="360" w:lineRule="auto"/>
        <w:rPr>
          <w:rFonts w:ascii="仿宋_GB2312" w:eastAsia="仿宋_GB2312"/>
          <w:b/>
          <w:color w:val="auto"/>
          <w:sz w:val="24"/>
          <w:szCs w:val="24"/>
        </w:rPr>
      </w:pPr>
    </w:p>
    <w:p>
      <w:pPr>
        <w:pStyle w:val="10"/>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35"/>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2"/>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35"/>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35"/>
        <w:widowControl w:val="0"/>
        <w:autoSpaceDE w:val="0"/>
        <w:autoSpaceDN w:val="0"/>
        <w:adjustRightInd w:val="0"/>
        <w:spacing w:before="0" w:after="0" w:line="360" w:lineRule="auto"/>
        <w:rPr>
          <w:rFonts w:ascii="仿宋_GB2312" w:hAnsi="宋体" w:eastAsia="仿宋_GB2312"/>
          <w:color w:val="auto"/>
          <w:kern w:val="0"/>
          <w:sz w:val="24"/>
          <w:szCs w:val="22"/>
        </w:r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0"/>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0"/>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5"/>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35"/>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11011524210200015845-XM001</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大兴区政协委员服务中心物业服务项目</w:t>
      </w:r>
    </w:p>
    <w:tbl>
      <w:tblPr>
        <w:tblStyle w:val="21"/>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04"/>
        <w:gridCol w:w="3013"/>
        <w:gridCol w:w="190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lang w:eastAsia="zh-CN"/>
              </w:rPr>
              <w:t>投标报价：</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服务期限</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jc w:val="left"/>
              <w:rPr>
                <w:rFonts w:hint="eastAsia" w:ascii="仿宋_GB2312" w:hAnsi="Batang" w:eastAsia="仿宋_GB2312"/>
                <w:color w:val="auto"/>
                <w:sz w:val="24"/>
                <w:szCs w:val="24"/>
                <w:lang w:eastAsia="zh-CN"/>
              </w:rPr>
            </w:pPr>
            <w:r>
              <w:rPr>
                <w:rFonts w:hint="eastAsia" w:ascii="仿宋_GB2312" w:hAnsi="Batang" w:eastAsia="仿宋_GB2312"/>
                <w:color w:val="auto"/>
                <w:sz w:val="24"/>
                <w:szCs w:val="24"/>
                <w:lang w:eastAsia="zh-CN"/>
              </w:rPr>
              <w:t>大兴区政协委员服务中心物业服务项目</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firstLine="120" w:firstLineChars="50"/>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总价</w:t>
            </w:r>
            <w:r>
              <w:rPr>
                <w:rFonts w:hint="eastAsia" w:ascii="仿宋_GB2312" w:hAnsi="宋体" w:eastAsia="仿宋_GB2312"/>
                <w:color w:val="auto"/>
                <w:sz w:val="24"/>
                <w:szCs w:val="24"/>
              </w:rPr>
              <w:t>（元</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312"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lang w:eastAsia="zh-CN"/>
              </w:rPr>
              <w:t>大</w:t>
            </w:r>
            <w:r>
              <w:rPr>
                <w:rFonts w:hint="eastAsia" w:ascii="仿宋_GB2312" w:hAnsi="宋体" w:eastAsia="仿宋_GB2312"/>
                <w:color w:val="auto"/>
                <w:sz w:val="24"/>
                <w:szCs w:val="24"/>
              </w:rPr>
              <w:t>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spacing w:before="312" w:beforeLines="100"/>
              <w:ind w:firstLine="120" w:firstLineChars="50"/>
              <w:rPr>
                <w:rFonts w:hint="eastAsia" w:ascii="仿宋_GB2312" w:hAnsi="宋体" w:eastAsia="仿宋_GB2312"/>
                <w:color w:val="auto"/>
                <w:sz w:val="24"/>
                <w:szCs w:val="24"/>
                <w:lang w:eastAsia="zh-CN"/>
              </w:rPr>
            </w:pP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r>
    </w:tbl>
    <w:p>
      <w:pPr>
        <w:spacing w:line="360" w:lineRule="auto"/>
        <w:rPr>
          <w:rFonts w:ascii="仿宋_GB2312" w:hAnsi="宋体" w:eastAsia="仿宋_GB2312"/>
          <w:color w:val="auto"/>
          <w:sz w:val="24"/>
          <w:szCs w:val="24"/>
          <w:u w:val="single"/>
        </w:rPr>
      </w:pPr>
    </w:p>
    <w:p>
      <w:pPr>
        <w:pStyle w:val="10"/>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0"/>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8"/>
        <w:rPr>
          <w:color w:val="auto"/>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pStyle w:val="35"/>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tabs>
          <w:tab w:val="left" w:pos="5580"/>
        </w:tabs>
        <w:spacing w:before="156" w:after="156" w:line="360" w:lineRule="auto"/>
        <w:jc w:val="center"/>
        <w:rPr>
          <w:rFonts w:ascii="宋体" w:hAnsi="宋体" w:cs="宋体"/>
          <w:color w:val="auto"/>
          <w:sz w:val="32"/>
          <w:szCs w:val="32"/>
        </w:rPr>
      </w:pPr>
      <w:r>
        <w:rPr>
          <w:rFonts w:hint="eastAsia" w:ascii="仿宋_GB2312" w:eastAsia="仿宋_GB2312"/>
          <w:b/>
          <w:color w:val="auto"/>
          <w:sz w:val="24"/>
        </w:rPr>
        <w:t xml:space="preserve">投标分项报价表  </w:t>
      </w:r>
      <w:r>
        <w:rPr>
          <w:rFonts w:hint="eastAsia" w:ascii="仿宋_GB2312" w:eastAsia="仿宋_GB2312"/>
          <w:b/>
          <w:color w:val="auto"/>
          <w:sz w:val="24"/>
          <w:lang w:eastAsia="zh-CN"/>
        </w:rPr>
        <w:t>（自拟）</w:t>
      </w:r>
    </w:p>
    <w:tbl>
      <w:tblPr>
        <w:tblStyle w:val="21"/>
        <w:tblW w:w="83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39"/>
        <w:gridCol w:w="2522"/>
        <w:gridCol w:w="2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8" w:hRule="atLeast"/>
          <w:jc w:val="center"/>
        </w:trPr>
        <w:tc>
          <w:tcPr>
            <w:tcW w:w="8340" w:type="dxa"/>
            <w:gridSpan w:val="3"/>
            <w:tcBorders>
              <w:top w:val="nil"/>
              <w:left w:val="nil"/>
              <w:bottom w:val="nil"/>
              <w:right w:val="nil"/>
            </w:tcBorders>
            <w:tcMar>
              <w:top w:w="15" w:type="dxa"/>
              <w:left w:w="15" w:type="dxa"/>
              <w:right w:w="15" w:type="dxa"/>
            </w:tcMar>
            <w:vAlign w:val="center"/>
          </w:tcPr>
          <w:tbl>
            <w:tblPr>
              <w:tblStyle w:val="21"/>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3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tcBorders>
                    <w:top w:val="nil"/>
                    <w:left w:val="nil"/>
                    <w:bottom w:val="nil"/>
                    <w:right w:val="nil"/>
                  </w:tcBorders>
                  <w:tcMar>
                    <w:top w:w="15" w:type="dxa"/>
                    <w:left w:w="15" w:type="dxa"/>
                    <w:right w:w="15" w:type="dxa"/>
                  </w:tcMar>
                  <w:vAlign w:val="center"/>
                </w:tcPr>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lang w:eastAsia="zh-CN"/>
                    </w:rPr>
                    <w:t>11011524210200015845-XM001</w:t>
                  </w:r>
                </w:p>
                <w:p>
                  <w:pPr>
                    <w:ind w:left="1200" w:hanging="1200" w:hangingChars="500"/>
                    <w:rPr>
                      <w:rFonts w:hint="eastAsia" w:ascii="宋体" w:hAnsi="宋体" w:eastAsia="仿宋_GB2312" w:cs="宋体"/>
                      <w:color w:val="auto"/>
                      <w:sz w:val="24"/>
                      <w:highlight w:val="none"/>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lang w:eastAsia="zh-CN"/>
                    </w:rPr>
                    <w:t>大兴区政协委员服务中心物业服务项目</w:t>
                  </w:r>
                </w:p>
              </w:tc>
            </w:tr>
          </w:tbl>
          <w:p>
            <w:pPr>
              <w:jc w:val="center"/>
              <w:rPr>
                <w:rFonts w:ascii="宋体" w:hAnsi="宋体" w:cs="宋体"/>
                <w:color w:val="auto"/>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费用类别</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金额（元）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zh-CN" w:eastAsia="zh-CN" w:bidi="ar-SA"/>
              </w:rPr>
            </w:pPr>
            <w:r>
              <w:rPr>
                <w:rFonts w:hint="eastAsia" w:ascii="仿宋_GB2312" w:hAnsi="仿宋_GB2312" w:eastAsia="仿宋_GB2312" w:cs="仿宋_GB2312"/>
                <w:color w:val="auto"/>
                <w:sz w:val="24"/>
              </w:rPr>
              <w:t>房屋日常养护维修</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en-US" w:eastAsia="zh-CN" w:bidi="ar-SA"/>
              </w:rPr>
            </w:pPr>
            <w:r>
              <w:rPr>
                <w:rFonts w:hint="eastAsia" w:ascii="仿宋_GB2312" w:hAnsi="仿宋_GB2312" w:eastAsia="仿宋_GB2312" w:cs="仿宋_GB2312"/>
                <w:color w:val="auto"/>
                <w:sz w:val="24"/>
              </w:rPr>
              <w:t>电梯运行维保</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en-US" w:eastAsia="zh-CN" w:bidi="ar-SA"/>
              </w:rPr>
            </w:pPr>
            <w:r>
              <w:rPr>
                <w:rFonts w:hint="eastAsia" w:ascii="仿宋_GB2312" w:hAnsi="仿宋_GB2312" w:eastAsia="仿宋_GB2312" w:cs="仿宋_GB2312"/>
                <w:color w:val="auto"/>
                <w:sz w:val="24"/>
              </w:rPr>
              <w:t>空调系统运行</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en-US" w:eastAsia="zh-CN" w:bidi="ar-SA"/>
              </w:rPr>
            </w:pPr>
            <w:r>
              <w:rPr>
                <w:rFonts w:hint="eastAsia" w:ascii="仿宋_GB2312" w:hAnsi="仿宋_GB2312" w:eastAsia="仿宋_GB2312" w:cs="仿宋_GB2312"/>
                <w:color w:val="auto"/>
                <w:sz w:val="24"/>
              </w:rPr>
              <w:t>供电系统运行</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zh-CN" w:eastAsia="zh-CN" w:bidi="ar-SA"/>
              </w:rPr>
            </w:pPr>
            <w:r>
              <w:rPr>
                <w:rFonts w:hint="eastAsia" w:ascii="仿宋_GB2312" w:hAnsi="仿宋_GB2312" w:eastAsia="仿宋_GB2312" w:cs="仿宋_GB2312"/>
                <w:color w:val="auto"/>
                <w:sz w:val="24"/>
              </w:rPr>
              <w:t>消防监控运行</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zh-CN" w:eastAsia="zh-CN" w:bidi="ar-SA"/>
              </w:rPr>
            </w:pPr>
            <w:r>
              <w:rPr>
                <w:rFonts w:hint="eastAsia" w:ascii="仿宋_GB2312" w:hAnsi="仿宋_GB2312" w:eastAsia="仿宋_GB2312" w:cs="仿宋_GB2312"/>
                <w:color w:val="auto"/>
                <w:sz w:val="24"/>
              </w:rPr>
              <w:t>化粪池清掏</w:t>
            </w:r>
          </w:p>
        </w:tc>
        <w:tc>
          <w:tcPr>
            <w:tcW w:w="252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zh-CN" w:eastAsia="zh-CN" w:bidi="ar-SA"/>
              </w:rPr>
            </w:pPr>
            <w:r>
              <w:rPr>
                <w:rFonts w:hint="eastAsia" w:ascii="仿宋_GB2312" w:hAnsi="仿宋_GB2312" w:eastAsia="仿宋_GB2312" w:cs="仿宋_GB2312"/>
                <w:color w:val="auto"/>
                <w:sz w:val="24"/>
              </w:rPr>
              <w:t>保洁服务</w:t>
            </w:r>
          </w:p>
        </w:tc>
        <w:tc>
          <w:tcPr>
            <w:tcW w:w="252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en-US" w:eastAsia="zh-CN" w:bidi="ar-SA"/>
              </w:rPr>
            </w:pPr>
            <w:r>
              <w:rPr>
                <w:rFonts w:hint="eastAsia" w:ascii="仿宋_GB2312" w:hAnsi="仿宋_GB2312" w:eastAsia="仿宋_GB2312" w:cs="仿宋_GB2312"/>
                <w:color w:val="auto"/>
                <w:sz w:val="24"/>
              </w:rPr>
              <w:t>绿化美化</w:t>
            </w:r>
          </w:p>
        </w:tc>
        <w:tc>
          <w:tcPr>
            <w:tcW w:w="252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仿宋_GB2312" w:hAnsi="仿宋_GB2312" w:eastAsia="仿宋_GB2312" w:cs="仿宋_GB2312"/>
                <w:color w:val="auto"/>
                <w:kern w:val="2"/>
                <w:sz w:val="24"/>
                <w:szCs w:val="20"/>
                <w:lang w:val="en-US" w:eastAsia="zh-CN" w:bidi="ar-SA"/>
              </w:rPr>
            </w:pPr>
            <w:r>
              <w:rPr>
                <w:rFonts w:hint="eastAsia" w:ascii="仿宋_GB2312" w:hAnsi="仿宋_GB2312" w:eastAsia="仿宋_GB2312" w:cs="仿宋_GB2312"/>
                <w:color w:val="auto"/>
                <w:sz w:val="24"/>
              </w:rPr>
              <w:t>会议服务</w:t>
            </w:r>
          </w:p>
        </w:tc>
        <w:tc>
          <w:tcPr>
            <w:tcW w:w="252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auto"/>
                <w:sz w:val="24"/>
                <w:szCs w:val="28"/>
                <w:lang w:val="en-US" w:eastAsia="zh-CN"/>
              </w:rPr>
            </w:pPr>
            <w:r>
              <w:rPr>
                <w:rFonts w:hint="eastAsia" w:ascii="仿宋_GB2312" w:hAnsi="仿宋_GB2312" w:eastAsia="仿宋_GB2312" w:cs="仿宋_GB2312"/>
                <w:color w:val="auto"/>
                <w:sz w:val="24"/>
                <w:szCs w:val="28"/>
                <w:lang w:val="en-US" w:eastAsia="zh-CN"/>
              </w:rPr>
              <w:t>...</w:t>
            </w:r>
          </w:p>
        </w:tc>
        <w:tc>
          <w:tcPr>
            <w:tcW w:w="252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3739"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auto"/>
                <w:sz w:val="24"/>
                <w:szCs w:val="28"/>
                <w:lang w:val="zh-CN" w:eastAsia="zh-CN"/>
              </w:rPr>
            </w:pPr>
            <w:r>
              <w:rPr>
                <w:rFonts w:hint="eastAsia" w:ascii="仿宋_GB2312" w:hAnsi="仿宋_GB2312" w:eastAsia="仿宋_GB2312" w:cs="仿宋_GB2312"/>
                <w:color w:val="auto"/>
                <w:sz w:val="24"/>
                <w:szCs w:val="28"/>
                <w:lang w:val="zh-CN" w:eastAsia="zh-CN"/>
              </w:rPr>
              <w:t>合计</w:t>
            </w:r>
          </w:p>
        </w:tc>
        <w:tc>
          <w:tcPr>
            <w:tcW w:w="252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79"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bl>
    <w:p>
      <w:pPr>
        <w:rPr>
          <w:rFonts w:ascii="宋体" w:hAnsi="宋体" w:cs="宋体"/>
          <w:color w:val="auto"/>
          <w:sz w:val="32"/>
          <w:szCs w:val="32"/>
        </w:rPr>
      </w:pP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报价人全称：</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rPr>
        <w:t>（盖章）</w:t>
      </w:r>
    </w:p>
    <w:p>
      <w:pPr>
        <w:rPr>
          <w:rFonts w:hint="eastAsia" w:ascii="仿宋_GB2312" w:hAnsi="仿宋_GB2312" w:eastAsia="仿宋_GB2312" w:cs="仿宋_GB2312"/>
          <w:color w:val="auto"/>
          <w:sz w:val="24"/>
          <w:szCs w:val="24"/>
        </w:rPr>
      </w:pPr>
    </w:p>
    <w:p>
      <w:pPr>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color w:val="auto"/>
          <w:sz w:val="24"/>
          <w:szCs w:val="24"/>
          <w:lang w:eastAsia="zh-CN"/>
        </w:rPr>
        <w:t>法定代表人或投标人授权代表(签字或签章)：</w:t>
      </w:r>
      <w:r>
        <w:rPr>
          <w:rFonts w:hint="eastAsia" w:ascii="仿宋_GB2312" w:hAnsi="仿宋_GB2312" w:eastAsia="仿宋_GB2312" w:cs="仿宋_GB2312"/>
          <w:color w:val="auto"/>
          <w:sz w:val="24"/>
          <w:szCs w:val="24"/>
          <w:u w:val="single"/>
          <w:lang w:val="en-US" w:eastAsia="zh-CN"/>
        </w:rPr>
        <w:t xml:space="preserve">             </w:t>
      </w:r>
    </w:p>
    <w:p>
      <w:pPr>
        <w:rPr>
          <w:rFonts w:hint="eastAsia" w:ascii="仿宋_GB2312" w:hAnsi="仿宋_GB2312" w:eastAsia="仿宋_GB2312" w:cs="仿宋_GB2312"/>
          <w:color w:val="auto"/>
          <w:sz w:val="24"/>
          <w:szCs w:val="24"/>
          <w:u w:val="single"/>
          <w:lang w:val="en-US" w:eastAsia="zh-CN"/>
        </w:rPr>
      </w:pPr>
    </w:p>
    <w:p>
      <w:pPr>
        <w:spacing w:after="240" w:afterLines="100" w:line="360" w:lineRule="auto"/>
        <w:rPr>
          <w:rFonts w:hint="eastAsia" w:ascii="仿宋_GB2312" w:hAnsi="宋体" w:eastAsia="仿宋_GB2312"/>
          <w:b/>
          <w:color w:val="auto"/>
          <w:sz w:val="24"/>
        </w:rPr>
      </w:pPr>
      <w:r>
        <w:rPr>
          <w:rFonts w:hint="eastAsia" w:ascii="仿宋_GB2312" w:hAnsi="宋体" w:eastAsia="仿宋_GB2312"/>
          <w:b/>
          <w:color w:val="auto"/>
          <w:sz w:val="24"/>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lang w:eastAsia="zh-CN"/>
        </w:rPr>
      </w:pPr>
      <w:r>
        <w:rPr>
          <w:rFonts w:hint="eastAsia" w:ascii="仿宋_GB2312" w:hAnsi="宋体" w:eastAsia="仿宋_GB2312"/>
          <w:b/>
          <w:color w:val="auto"/>
          <w:sz w:val="24"/>
          <w:lang w:val="en-US" w:eastAsia="zh-CN"/>
        </w:rPr>
        <w:t>1.</w:t>
      </w:r>
      <w:r>
        <w:rPr>
          <w:rFonts w:hint="eastAsia" w:ascii="仿宋_GB2312" w:hAnsi="宋体" w:eastAsia="仿宋_GB2312"/>
          <w:b/>
          <w:color w:val="auto"/>
          <w:sz w:val="24"/>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lang w:eastAsia="zh-CN"/>
        </w:rPr>
        <w:t>，所报价格为含税价格，采购人不再负担报价以外的费用；</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lang w:val="en-US" w:eastAsia="zh-CN"/>
        </w:rPr>
      </w:pPr>
      <w:r>
        <w:rPr>
          <w:rFonts w:hint="eastAsia" w:ascii="仿宋_GB2312" w:hAnsi="宋体" w:eastAsia="仿宋_GB2312"/>
          <w:b/>
          <w:color w:val="auto"/>
          <w:sz w:val="24"/>
          <w:lang w:val="en-US" w:eastAsia="zh-CN"/>
        </w:rPr>
        <w:t>2.</w:t>
      </w:r>
      <w:r>
        <w:rPr>
          <w:rFonts w:hint="eastAsia" w:ascii="仿宋_GB2312" w:hAnsi="宋体" w:eastAsia="仿宋_GB2312"/>
          <w:b/>
          <w:color w:val="auto"/>
          <w:sz w:val="24"/>
        </w:rPr>
        <w:t>将所有对应项费用全部列出，</w:t>
      </w:r>
      <w:r>
        <w:rPr>
          <w:rFonts w:hint="eastAsia" w:ascii="仿宋_GB2312" w:hAnsi="宋体" w:eastAsia="仿宋_GB2312"/>
          <w:b/>
          <w:color w:val="auto"/>
          <w:sz w:val="24"/>
          <w:lang w:eastAsia="zh-CN"/>
        </w:rPr>
        <w:t>合计</w:t>
      </w:r>
      <w:r>
        <w:rPr>
          <w:rFonts w:hint="eastAsia" w:ascii="仿宋_GB2312" w:hAnsi="宋体" w:eastAsia="仿宋_GB2312"/>
          <w:b/>
          <w:color w:val="auto"/>
          <w:sz w:val="24"/>
        </w:rPr>
        <w:t>应与投标一览表总计一致</w:t>
      </w:r>
      <w:r>
        <w:rPr>
          <w:rFonts w:hint="eastAsia" w:ascii="仿宋_GB2312" w:hAnsi="宋体" w:eastAsia="仿宋_GB2312"/>
          <w:b/>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rPr>
      </w:pPr>
      <w:r>
        <w:rPr>
          <w:rFonts w:hint="eastAsia" w:ascii="仿宋_GB2312" w:hAnsi="宋体" w:eastAsia="仿宋_GB2312"/>
          <w:b/>
          <w:color w:val="auto"/>
          <w:sz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35"/>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p>
    <w:p>
      <w:pPr>
        <w:rPr>
          <w:rFonts w:hint="eastAsia" w:ascii="仿宋_GB2312" w:eastAsia="仿宋_GB2312"/>
          <w:b/>
          <w:color w:val="auto"/>
          <w:sz w:val="24"/>
          <w:szCs w:val="24"/>
        </w:rPr>
      </w:pPr>
    </w:p>
    <w:p>
      <w:pPr>
        <w:tabs>
          <w:tab w:val="left" w:pos="5580"/>
        </w:tabs>
        <w:spacing w:before="156" w:after="156" w:line="360" w:lineRule="auto"/>
        <w:jc w:val="center"/>
        <w:rPr>
          <w:rFonts w:hint="eastAsia" w:ascii="仿宋_GB2312" w:eastAsia="仿宋_GB2312"/>
          <w:b/>
          <w:color w:val="auto"/>
          <w:sz w:val="24"/>
        </w:rPr>
      </w:pPr>
      <w:r>
        <w:rPr>
          <w:rFonts w:hint="eastAsia" w:ascii="仿宋_GB2312" w:eastAsia="仿宋_GB2312"/>
          <w:b/>
          <w:color w:val="auto"/>
          <w:sz w:val="24"/>
        </w:rPr>
        <w:t xml:space="preserve">商务条款偏离表 </w:t>
      </w:r>
    </w:p>
    <w:p>
      <w:pPr>
        <w:pStyle w:val="6"/>
        <w:ind w:firstLine="0"/>
        <w:rPr>
          <w:rFonts w:hint="eastAsia" w:ascii="仿宋_GB2312" w:eastAsia="仿宋_GB2312"/>
          <w:color w:val="auto"/>
        </w:rPr>
      </w:pPr>
      <w:r>
        <w:rPr>
          <w:rFonts w:hint="eastAsia" w:ascii="仿宋_GB2312" w:eastAsia="仿宋_GB2312"/>
          <w:color w:val="auto"/>
        </w:rPr>
        <w:t>招标编号：               项目名称：</w:t>
      </w:r>
    </w:p>
    <w:tbl>
      <w:tblPr>
        <w:tblStyle w:val="2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0"/>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0"/>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0"/>
              <w:spacing w:before="100" w:beforeAutospacing="1" w:after="100" w:afterAutospacing="1" w:line="240" w:lineRule="exact"/>
              <w:rPr>
                <w:rFonts w:hint="eastAsia" w:ascii="仿宋_GB2312" w:eastAsia="仿宋_GB2312"/>
                <w:color w:val="auto"/>
                <w:sz w:val="24"/>
              </w:rPr>
            </w:pPr>
          </w:p>
        </w:tc>
      </w:tr>
    </w:tbl>
    <w:p>
      <w:pPr>
        <w:pStyle w:val="10"/>
        <w:spacing w:line="360" w:lineRule="auto"/>
        <w:rPr>
          <w:rFonts w:hint="eastAsia" w:ascii="仿宋_GB2312" w:eastAsia="仿宋_GB2312"/>
          <w:color w:val="auto"/>
          <w:sz w:val="24"/>
        </w:rPr>
      </w:pPr>
    </w:p>
    <w:p>
      <w:pPr>
        <w:pStyle w:val="10"/>
        <w:spacing w:line="360" w:lineRule="auto"/>
        <w:rPr>
          <w:rFonts w:hint="eastAsia" w:ascii="仿宋_GB2312" w:eastAsia="仿宋_GB2312"/>
          <w:color w:val="auto"/>
          <w:sz w:val="24"/>
        </w:rPr>
      </w:pPr>
    </w:p>
    <w:p>
      <w:pPr>
        <w:pStyle w:val="10"/>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7</w:t>
      </w:r>
    </w:p>
    <w:p>
      <w:pPr>
        <w:tabs>
          <w:tab w:val="left" w:pos="5580"/>
        </w:tabs>
        <w:spacing w:before="156" w:after="156" w:line="360" w:lineRule="auto"/>
        <w:jc w:val="center"/>
        <w:rPr>
          <w:rFonts w:hint="default" w:ascii="仿宋_GB2312" w:eastAsia="仿宋_GB2312"/>
          <w:b/>
          <w:color w:val="auto"/>
          <w:sz w:val="24"/>
          <w:lang w:val="en-US" w:eastAsia="zh-CN"/>
        </w:rPr>
      </w:pPr>
      <w:r>
        <w:rPr>
          <w:rFonts w:hint="eastAsia" w:ascii="仿宋_GB2312" w:eastAsia="仿宋_GB2312"/>
          <w:b/>
          <w:color w:val="auto"/>
          <w:sz w:val="24"/>
          <w:lang w:val="en-US" w:eastAsia="zh-CN"/>
        </w:rPr>
        <w:t>党建引领</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after="156" w:line="360" w:lineRule="auto"/>
        <w:jc w:val="center"/>
        <w:rPr>
          <w:rFonts w:hint="eastAsia" w:ascii="仿宋_GB2312" w:eastAsia="仿宋_GB2312"/>
          <w:b/>
          <w:color w:val="auto"/>
          <w:sz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9"/>
        <w:rPr>
          <w:rFonts w:hint="eastAsia" w:ascii="仿宋_GB2312" w:hAnsi="宋体" w:eastAsia="仿宋_GB2312"/>
          <w:b/>
          <w:color w:val="auto"/>
          <w:sz w:val="24"/>
          <w:szCs w:val="24"/>
          <w:lang w:eastAsia="zh-CN"/>
        </w:rPr>
      </w:pPr>
    </w:p>
    <w:p>
      <w:pPr>
        <w:rPr>
          <w:rFonts w:hint="eastAsia"/>
          <w:color w:val="auto"/>
          <w:lang w:eastAsia="zh-CN"/>
        </w:rPr>
      </w:pPr>
    </w:p>
    <w:p>
      <w:pPr>
        <w:rPr>
          <w:rFonts w:hint="eastAsia" w:ascii="仿宋_GB2312" w:eastAsia="仿宋_GB2312"/>
          <w:b/>
          <w:color w:val="auto"/>
          <w:sz w:val="24"/>
          <w:szCs w:val="24"/>
          <w:lang w:val="en-US"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rPr>
          <w:rFonts w:hint="eastAsia" w:ascii="仿宋_GB2312"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8</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对本项目的理解及针对性</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8"/>
        <w:rPr>
          <w:rFonts w:hint="eastAsia" w:ascii="仿宋_GB2312" w:hAnsi="宋体" w:eastAsia="仿宋_GB2312"/>
          <w:b/>
          <w:color w:val="auto"/>
          <w:sz w:val="24"/>
          <w:szCs w:val="24"/>
          <w:lang w:eastAsia="zh-CN"/>
        </w:rPr>
      </w:pPr>
    </w:p>
    <w:p>
      <w:pPr>
        <w:pStyle w:val="16"/>
        <w:rPr>
          <w:rFonts w:hint="eastAsia" w:ascii="仿宋_GB2312" w:hAnsi="宋体" w:eastAsia="仿宋_GB2312"/>
          <w:b/>
          <w:color w:val="auto"/>
          <w:sz w:val="24"/>
          <w:szCs w:val="24"/>
          <w:lang w:eastAsia="zh-CN"/>
        </w:rPr>
      </w:pPr>
    </w:p>
    <w:p>
      <w:pPr>
        <w:rPr>
          <w:rFonts w:hint="eastAsia"/>
          <w:color w:val="auto"/>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9</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设备设施维护养护方案</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10</w:t>
      </w: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保洁、绿化服务方案</w:t>
      </w:r>
    </w:p>
    <w:p>
      <w:pPr>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11</w:t>
      </w:r>
    </w:p>
    <w:p>
      <w:pPr>
        <w:tabs>
          <w:tab w:val="left" w:pos="5580"/>
        </w:tabs>
        <w:spacing w:before="156" w:beforeLines="50" w:after="156" w:afterLines="50" w:line="360" w:lineRule="auto"/>
        <w:jc w:val="cente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会议服务方案</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8"/>
        <w:rPr>
          <w:rFonts w:hint="eastAsia"/>
          <w:color w:val="auto"/>
          <w:lang w:eastAsia="zh-CN"/>
        </w:rPr>
      </w:pP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12</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日常管理与规章制度</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方案需具有日常管理与规章制度的完善性、适用性，是否具有明晰的项目管理机构图、工作职能组织运行图，以及健全的项目经理的管理职责、内部管理的职责分工、日常管理制度和考核办法、培训制度、保密制度和应急管理措施完备等情况。）</w:t>
      </w:r>
    </w:p>
    <w:p>
      <w:pPr>
        <w:tabs>
          <w:tab w:val="left" w:pos="5580"/>
        </w:tabs>
        <w:spacing w:before="156" w:beforeLines="50" w:after="156" w:afterLines="50" w:line="360" w:lineRule="auto"/>
        <w:rPr>
          <w:rFonts w:hint="eastAsia" w:ascii="仿宋_GB2312" w:hAnsi="宋体" w:eastAsia="仿宋_GB2312"/>
          <w:b/>
          <w:color w:val="auto"/>
          <w:sz w:val="24"/>
          <w:szCs w:val="24"/>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13</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消防安全管理服务方案</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14</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安全生产管理服务方案</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r>
        <w:rPr>
          <w:rFonts w:hint="eastAsia" w:ascii="仿宋_GB2312" w:hAnsi="宋体" w:eastAsia="仿宋_GB2312"/>
          <w:b/>
          <w:color w:val="auto"/>
          <w:sz w:val="24"/>
          <w:szCs w:val="24"/>
          <w:lang w:val="en-US" w:eastAsia="zh-CN"/>
        </w:rPr>
        <w:t>方案应包括但不限于：安全生产责任制，安全事故隐患排查治理方案、重点部位安全管理方案、值班值守安全管理方案、安全生产管理经验</w:t>
      </w:r>
      <w:r>
        <w:rPr>
          <w:rFonts w:hint="eastAsia" w:ascii="仿宋_GB2312" w:hAnsi="宋体" w:eastAsia="仿宋_GB2312"/>
          <w:b/>
          <w:color w:val="auto"/>
          <w:sz w:val="24"/>
          <w:szCs w:val="24"/>
          <w:lang w:eastAsia="zh-CN"/>
        </w:rPr>
        <w:t>）</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15</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紧急响应、应急预案</w:t>
      </w:r>
    </w:p>
    <w:p>
      <w:pPr>
        <w:tabs>
          <w:tab w:val="left" w:pos="5580"/>
        </w:tabs>
        <w:spacing w:before="156" w:beforeLines="50" w:after="156" w:afterLines="50" w:line="360" w:lineRule="auto"/>
        <w:jc w:val="center"/>
        <w:rPr>
          <w:rFonts w:hint="eastAsia" w:ascii="宋体" w:hAnsi="宋体" w:eastAsia="宋体" w:cs="宋体"/>
          <w:color w:val="000000"/>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节能、垃圾分类管理措施</w:t>
      </w:r>
    </w:p>
    <w:p>
      <w:pPr>
        <w:tabs>
          <w:tab w:val="left" w:pos="5580"/>
        </w:tabs>
        <w:spacing w:before="156" w:beforeLines="50" w:after="156" w:afterLines="50" w:line="360" w:lineRule="auto"/>
        <w:jc w:val="center"/>
        <w:rPr>
          <w:rFonts w:hint="eastAsia" w:ascii="宋体" w:hAnsi="宋体" w:cs="宋体"/>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服务承诺及措施</w:t>
      </w:r>
    </w:p>
    <w:p>
      <w:pPr>
        <w:tabs>
          <w:tab w:val="left" w:pos="5580"/>
        </w:tabs>
        <w:spacing w:before="156" w:beforeLines="50" w:after="156" w:afterLines="50" w:line="360" w:lineRule="auto"/>
        <w:jc w:val="center"/>
        <w:rPr>
          <w:rFonts w:hint="eastAsia" w:ascii="宋体" w:hAnsi="宋体" w:cs="宋体"/>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管理人员配备方案</w:t>
      </w:r>
    </w:p>
    <w:p>
      <w:pPr>
        <w:tabs>
          <w:tab w:val="left" w:pos="5580"/>
        </w:tabs>
        <w:spacing w:before="156" w:beforeLines="50" w:after="156" w:afterLines="50" w:line="360" w:lineRule="auto"/>
        <w:jc w:val="center"/>
        <w:rPr>
          <w:rFonts w:hint="eastAsia" w:ascii="宋体" w:hAnsi="宋体" w:cs="宋体"/>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19</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人员岗位配备方案</w:t>
      </w:r>
    </w:p>
    <w:p>
      <w:pPr>
        <w:tabs>
          <w:tab w:val="left" w:pos="5580"/>
        </w:tabs>
        <w:spacing w:before="156" w:beforeLines="50" w:after="156" w:afterLines="50" w:line="360" w:lineRule="auto"/>
        <w:jc w:val="center"/>
        <w:rPr>
          <w:rFonts w:hint="eastAsia" w:ascii="宋体" w:hAnsi="宋体" w:cs="宋体"/>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20</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信用证书及管理体系认证</w:t>
      </w:r>
    </w:p>
    <w:p>
      <w:pPr>
        <w:tabs>
          <w:tab w:val="left" w:pos="5580"/>
        </w:tabs>
        <w:spacing w:before="156" w:beforeLines="50" w:after="156" w:afterLines="50" w:line="360" w:lineRule="auto"/>
        <w:jc w:val="center"/>
        <w:rPr>
          <w:rFonts w:hint="eastAsia" w:ascii="宋体" w:hAnsi="宋体" w:cs="宋体"/>
          <w:szCs w:val="21"/>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sectPr>
          <w:pgSz w:w="11906" w:h="16838"/>
          <w:pgMar w:top="1440" w:right="1797" w:bottom="1440" w:left="1797" w:header="851" w:footer="992" w:gutter="0"/>
          <w:pgNumType w:fmt="decimal"/>
          <w:cols w:space="720" w:num="1"/>
          <w:docGrid w:type="lines" w:linePitch="312" w:charSpace="0"/>
        </w:sectPr>
      </w:pP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21</w:t>
      </w:r>
    </w:p>
    <w:p>
      <w:pPr>
        <w:tabs>
          <w:tab w:val="left" w:pos="5580"/>
        </w:tabs>
        <w:spacing w:before="156" w:beforeLines="50" w:after="156" w:afterLines="50"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lang w:val="en-US" w:eastAsia="zh-CN"/>
        </w:rPr>
        <w:t>项目业绩</w:t>
      </w:r>
    </w:p>
    <w:p>
      <w:pPr>
        <w:tabs>
          <w:tab w:val="left" w:pos="5580"/>
        </w:tabs>
        <w:spacing w:before="156" w:beforeLines="50" w:after="156" w:afterLines="50"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tabs>
          <w:tab w:val="left" w:pos="5580"/>
        </w:tabs>
        <w:spacing w:before="156" w:beforeLines="50" w:after="156" w:afterLines="50" w:line="360" w:lineRule="auto"/>
        <w:jc w:val="left"/>
        <w:rPr>
          <w:rFonts w:hint="eastAsia" w:ascii="仿宋_GB2312" w:hAnsi="宋体" w:eastAsia="仿宋_GB2312"/>
          <w:b/>
          <w:bCs w:val="0"/>
          <w:color w:val="auto"/>
          <w:sz w:val="24"/>
        </w:rPr>
      </w:pPr>
      <w:r>
        <w:rPr>
          <w:rFonts w:hint="eastAsia" w:ascii="仿宋_GB2312" w:hAnsi="宋体" w:eastAsia="仿宋_GB2312"/>
          <w:b/>
          <w:color w:val="auto"/>
          <w:sz w:val="24"/>
          <w:szCs w:val="24"/>
        </w:rPr>
        <w:t>投标人</w:t>
      </w:r>
      <w:r>
        <w:rPr>
          <w:rFonts w:hint="eastAsia" w:ascii="仿宋_GB2312" w:hAnsi="宋体" w:eastAsia="仿宋_GB2312"/>
          <w:b/>
          <w:color w:val="auto"/>
          <w:sz w:val="24"/>
          <w:szCs w:val="24"/>
          <w:lang w:val="en-US" w:eastAsia="zh-CN"/>
        </w:rPr>
        <w:t>2021年1月1日至今</w:t>
      </w:r>
      <w:r>
        <w:rPr>
          <w:rFonts w:hint="eastAsia" w:ascii="仿宋_GB2312" w:hAnsi="宋体" w:eastAsia="仿宋_GB2312"/>
          <w:b/>
          <w:color w:val="auto"/>
          <w:sz w:val="24"/>
          <w:szCs w:val="24"/>
        </w:rPr>
        <w:t>承担的同类型项目等业绩证明</w:t>
      </w:r>
      <w:r>
        <w:rPr>
          <w:rFonts w:hint="eastAsia" w:ascii="仿宋_GB2312" w:hAnsi="宋体" w:eastAsia="仿宋_GB2312"/>
          <w:b/>
          <w:color w:val="auto"/>
          <w:sz w:val="24"/>
          <w:szCs w:val="24"/>
          <w:lang w:eastAsia="zh-CN"/>
        </w:rPr>
        <w:t>，</w:t>
      </w:r>
      <w:r>
        <w:rPr>
          <w:rFonts w:hint="eastAsia" w:ascii="仿宋_GB2312" w:hAnsi="宋体" w:eastAsia="仿宋_GB2312"/>
          <w:b/>
          <w:color w:val="auto"/>
          <w:sz w:val="24"/>
        </w:rPr>
        <w:t>每个业绩资料应以合同签订日期为准,提供合同关键页</w:t>
      </w:r>
      <w:r>
        <w:rPr>
          <w:rFonts w:hint="eastAsia" w:ascii="仿宋_GB2312" w:hAnsi="宋体" w:eastAsia="仿宋_GB2312"/>
          <w:b/>
          <w:bCs w:val="0"/>
          <w:color w:val="auto"/>
          <w:sz w:val="24"/>
          <w:szCs w:val="24"/>
          <w:lang w:eastAsia="zh-CN"/>
        </w:rPr>
        <w:t>（附与用户签订的合同首页、服务周期页、服务内容所在页及签署页复印件，无法认定项目类型或服务内容不全的合同将不计分</w:t>
      </w:r>
      <w:r>
        <w:rPr>
          <w:rFonts w:hint="eastAsia" w:ascii="仿宋_GB2312" w:hAnsi="宋体" w:eastAsia="仿宋_GB2312"/>
          <w:b/>
          <w:bCs w:val="0"/>
          <w:color w:val="auto"/>
          <w:sz w:val="24"/>
        </w:rPr>
        <w:t>）</w:t>
      </w:r>
    </w:p>
    <w:tbl>
      <w:tblPr>
        <w:tblStyle w:val="21"/>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bl>
    <w:p>
      <w:pPr>
        <w:spacing w:before="156" w:beforeLines="50" w:after="156"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tabs>
          <w:tab w:val="left" w:pos="5580"/>
        </w:tabs>
        <w:spacing w:before="156" w:beforeLines="50" w:after="156" w:afterLines="50" w:line="360" w:lineRule="auto"/>
        <w:rPr>
          <w:rFonts w:ascii="仿宋_GB2312" w:hAnsi="宋体" w:eastAsia="仿宋_GB2312"/>
          <w:b/>
          <w:color w:val="auto"/>
          <w:sz w:val="24"/>
          <w:szCs w:val="24"/>
        </w:rPr>
      </w:pPr>
      <w:r>
        <w:rPr>
          <w:rFonts w:hint="eastAsia" w:ascii="仿宋_GB2312" w:hAnsi="宋体" w:eastAsia="仿宋_GB2312"/>
          <w:color w:val="auto"/>
          <w:sz w:val="24"/>
          <w:szCs w:val="24"/>
        </w:rPr>
        <w:t>投标人全称</w:t>
      </w:r>
      <w:r>
        <w:rPr>
          <w:rFonts w:hint="eastAsia" w:ascii="仿宋_GB2312" w:hAnsi="Calibri"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Calibri" w:eastAsia="仿宋_GB2312"/>
          <w:b/>
          <w:color w:val="auto"/>
          <w:sz w:val="24"/>
          <w:szCs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szCs w:val="24"/>
        </w:rPr>
        <w:t>)</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eastAsia="仿宋_GB2312"/>
          <w:b/>
          <w:color w:val="auto"/>
          <w:sz w:val="24"/>
          <w:szCs w:val="24"/>
        </w:rPr>
      </w:pPr>
      <w:r>
        <w:rPr>
          <w:rFonts w:hint="eastAsia" w:ascii="仿宋_GB2312" w:hAnsi="Calibri" w:eastAsia="仿宋_GB2312"/>
          <w:color w:val="auto"/>
          <w:sz w:val="24"/>
          <w:szCs w:val="24"/>
          <w:lang w:eastAsia="zh-CN"/>
        </w:rPr>
        <w:t>法定代表人或投标人授权代表(签字或签章)</w:t>
      </w:r>
      <w:r>
        <w:rPr>
          <w:rFonts w:hint="eastAsia" w:ascii="仿宋_GB2312" w:hAnsi="Calibri" w:eastAsia="仿宋_GB2312"/>
          <w:color w:val="auto"/>
          <w:sz w:val="24"/>
          <w:szCs w:val="24"/>
        </w:rPr>
        <w:t>：</w:t>
      </w:r>
      <w:r>
        <w:rPr>
          <w:rFonts w:hint="eastAsia" w:ascii="仿宋_GB2312" w:hAnsi="Calibri" w:eastAsia="仿宋_GB2312"/>
          <w:color w:val="auto"/>
          <w:sz w:val="24"/>
          <w:szCs w:val="24"/>
          <w:u w:val="single"/>
        </w:rPr>
        <w:t xml:space="preserve">                </w:t>
      </w:r>
    </w:p>
    <w:p>
      <w:pPr>
        <w:rPr>
          <w:rFonts w:hint="eastAsia" w:ascii="仿宋_GB2312" w:hAnsi="Calibri" w:eastAsia="仿宋_GB2312"/>
          <w:color w:val="auto"/>
          <w:sz w:val="24"/>
          <w:szCs w:val="24"/>
          <w:u w:val="single"/>
        </w:rPr>
        <w:sectPr>
          <w:pgSz w:w="16838" w:h="11906" w:orient="landscape"/>
          <w:pgMar w:top="1797" w:right="1440" w:bottom="1797" w:left="1440" w:header="851" w:footer="992" w:gutter="0"/>
          <w:cols w:space="720" w:num="1"/>
          <w:rtlGutter w:val="0"/>
          <w:docGrid w:type="lines" w:linePitch="319" w:charSpace="0"/>
        </w:sectPr>
      </w:pPr>
    </w:p>
    <w:p>
      <w:pPr>
        <w:tabs>
          <w:tab w:val="left" w:pos="5580"/>
        </w:tabs>
        <w:spacing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22</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23</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rFonts w:ascii="仿宋_GB2312" w:eastAsia="仿宋_GB2312"/>
          <w:b/>
          <w:color w:val="auto"/>
          <w:sz w:val="24"/>
          <w:szCs w:val="24"/>
        </w:rPr>
      </w:pPr>
    </w:p>
    <w:p>
      <w:pPr>
        <w:rPr>
          <w:rFonts w:ascii="仿宋_GB2312" w:eastAsia="仿宋_GB2312"/>
          <w:b/>
          <w:color w:val="auto"/>
          <w:sz w:val="24"/>
          <w:szCs w:val="24"/>
        </w:rPr>
      </w:pPr>
    </w:p>
    <w:p>
      <w:pPr>
        <w:pStyle w:val="9"/>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rPr>
          <w:rFonts w:ascii="仿宋_GB2312" w:eastAsia="仿宋_GB2312"/>
          <w:b/>
          <w:color w:val="auto"/>
          <w:sz w:val="24"/>
        </w:rP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QWCHIJ+»ªÎÄÏ¸ºÚ">
    <w:altName w:val="微软雅黑"/>
    <w:panose1 w:val="00000000000000000000"/>
    <w:charset w:val="01"/>
    <w:family w:val="auto"/>
    <w:pitch w:val="default"/>
    <w:sig w:usb0="00000000" w:usb1="00000000" w:usb2="00000000" w:usb3="00000000" w:csb0="0004009F" w:csb1="DFD70000"/>
  </w:font>
  <w:font w:name="MFOEFR+»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altName w:val="Malgun Gothic"/>
    <w:panose1 w:val="02030600000101010101"/>
    <w:charset w:val="81"/>
    <w:family w:val="auto"/>
    <w:pitch w:val="default"/>
    <w:sig w:usb0="00000000" w:usb1="00000000" w:usb2="00000030" w:usb3="00000000" w:csb0="4008009F" w:csb1="DFD7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2"/>
      <w:rPr>
        <w:rStyle w:val="25"/>
      </w:rPr>
    </w:pPr>
    <w:r>
      <w:fldChar w:fldCharType="begin"/>
    </w:r>
    <w:r>
      <w:rPr>
        <w:rStyle w:val="25"/>
      </w:rPr>
      <w:instrText xml:space="preserve">PAGE  </w:instrText>
    </w:r>
    <w:r>
      <w:fldChar w:fldCharType="separate"/>
    </w:r>
    <w:r>
      <w:rPr>
        <w:rStyle w:val="25"/>
      </w:rPr>
      <w:t>1</w:t>
    </w:r>
    <w:r>
      <w:fldChar w:fldCharType="end"/>
    </w:r>
  </w:p>
  <w:p>
    <w:pPr>
      <w:pStyle w:val="1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140" w:firstLineChars="23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KUg8sg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9d2aNcD8LrY8ImSm+5wgg7FcahFXbTguWt+PNesm4/1f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JylIPLIAQAAnAMAAA4AAAAAAAAAAQAgAAAAHgEAAGRycy9lMm9Eb2Mu&#10;eG1sUEsFBgAAAAAGAAYAWQEAAFgFAAAAAA==&#10;">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5"/>
        <w:snapToGrid w:val="0"/>
        <w:rPr>
          <w:rFonts w:hint="eastAsia" w:ascii="仿宋_GB2312" w:hAnsi="仿宋_GB2312" w:eastAsia="仿宋_GB2312" w:cs="仿宋_GB2312"/>
        </w:rPr>
      </w:pPr>
      <w:r>
        <w:rPr>
          <w:rStyle w:val="32"/>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8BF29"/>
    <w:multiLevelType w:val="singleLevel"/>
    <w:tmpl w:val="B888BF29"/>
    <w:lvl w:ilvl="0" w:tentative="0">
      <w:start w:val="9"/>
      <w:numFmt w:val="decimal"/>
      <w:suff w:val="space"/>
      <w:lvlText w:val="%1."/>
      <w:lvlJc w:val="left"/>
      <w:rPr>
        <w:rFonts w:hint="default"/>
        <w:color w:val="auto"/>
      </w:rPr>
    </w:lvl>
  </w:abstractNum>
  <w:abstractNum w:abstractNumId="1">
    <w:nsid w:val="C790BF22"/>
    <w:multiLevelType w:val="singleLevel"/>
    <w:tmpl w:val="C790BF22"/>
    <w:lvl w:ilvl="0" w:tentative="0">
      <w:start w:val="6"/>
      <w:numFmt w:val="chineseCounting"/>
      <w:suff w:val="space"/>
      <w:lvlText w:val="第%1章"/>
      <w:lvlJc w:val="left"/>
      <w:rPr>
        <w:rFonts w:hint="eastAsia"/>
      </w:rPr>
    </w:lvl>
  </w:abstractNum>
  <w:abstractNum w:abstractNumId="2">
    <w:nsid w:val="CC041211"/>
    <w:multiLevelType w:val="singleLevel"/>
    <w:tmpl w:val="CC041211"/>
    <w:lvl w:ilvl="0" w:tentative="0">
      <w:start w:val="16"/>
      <w:numFmt w:val="decimal"/>
      <w:lvlText w:val="%1."/>
      <w:lvlJc w:val="left"/>
      <w:pPr>
        <w:tabs>
          <w:tab w:val="left" w:pos="312"/>
        </w:tabs>
      </w:pPr>
    </w:lvl>
  </w:abstractNum>
  <w:abstractNum w:abstractNumId="3">
    <w:nsid w:val="E7DAF6DB"/>
    <w:multiLevelType w:val="singleLevel"/>
    <w:tmpl w:val="E7DAF6DB"/>
    <w:lvl w:ilvl="0" w:tentative="0">
      <w:start w:val="6"/>
      <w:numFmt w:val="chineseCounting"/>
      <w:suff w:val="nothing"/>
      <w:lvlText w:val="%1、"/>
      <w:lvlJc w:val="left"/>
      <w:rPr>
        <w:rFonts w:hint="eastAsia"/>
      </w:rPr>
    </w:lvl>
  </w:abstractNum>
  <w:abstractNum w:abstractNumId="4">
    <w:nsid w:val="FF602FD4"/>
    <w:multiLevelType w:val="singleLevel"/>
    <w:tmpl w:val="FF602FD4"/>
    <w:lvl w:ilvl="0" w:tentative="0">
      <w:start w:val="8"/>
      <w:numFmt w:val="chineseCounting"/>
      <w:suff w:val="space"/>
      <w:lvlText w:val="第%1章"/>
      <w:lvlJc w:val="left"/>
      <w:rPr>
        <w:rFonts w:hint="eastAsia"/>
      </w:rPr>
    </w:lvl>
  </w:abstractNum>
  <w:abstractNum w:abstractNumId="5">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00000014"/>
    <w:multiLevelType w:val="multilevel"/>
    <w:tmpl w:val="00000014"/>
    <w:lvl w:ilvl="0" w:tentative="0">
      <w:start w:val="1"/>
      <w:numFmt w:val="decimal"/>
      <w:pStyle w:val="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5A616A6"/>
    <w:multiLevelType w:val="multilevel"/>
    <w:tmpl w:val="55A616A6"/>
    <w:lvl w:ilvl="0" w:tentative="0">
      <w:start w:val="1"/>
      <w:numFmt w:val="japaneseCounting"/>
      <w:lvlText w:val="%1、"/>
      <w:lvlJc w:val="left"/>
      <w:pPr>
        <w:ind w:left="600" w:hanging="60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5FBF5A35"/>
    <w:multiLevelType w:val="singleLevel"/>
    <w:tmpl w:val="5FBF5A35"/>
    <w:lvl w:ilvl="0" w:tentative="0">
      <w:start w:val="1"/>
      <w:numFmt w:val="decimal"/>
      <w:suff w:val="space"/>
      <w:lvlText w:val="%1."/>
      <w:lvlJc w:val="left"/>
    </w:lvl>
  </w:abstractNum>
  <w:abstractNum w:abstractNumId="9">
    <w:nsid w:val="63E199E2"/>
    <w:multiLevelType w:val="singleLevel"/>
    <w:tmpl w:val="63E199E2"/>
    <w:lvl w:ilvl="0" w:tentative="0">
      <w:start w:val="3"/>
      <w:numFmt w:val="decimal"/>
      <w:suff w:val="nothing"/>
      <w:lvlText w:val="（%1）"/>
      <w:lvlJc w:val="left"/>
    </w:lvl>
  </w:abstractNum>
  <w:abstractNum w:abstractNumId="10">
    <w:nsid w:val="680542D9"/>
    <w:multiLevelType w:val="multilevel"/>
    <w:tmpl w:val="680542D9"/>
    <w:lvl w:ilvl="0" w:tentative="0">
      <w:start w:val="1"/>
      <w:numFmt w:val="chineseCountingThousand"/>
      <w:pStyle w:val="85"/>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
    <w:nsid w:val="772358B8"/>
    <w:multiLevelType w:val="multilevel"/>
    <w:tmpl w:val="772358B8"/>
    <w:lvl w:ilvl="0" w:tentative="0">
      <w:start w:val="1"/>
      <w:numFmt w:val="chineseCountingThousand"/>
      <w:pStyle w:val="84"/>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5"/>
  </w:num>
  <w:num w:numId="2">
    <w:abstractNumId w:val="6"/>
  </w:num>
  <w:num w:numId="3">
    <w:abstractNumId w:val="11"/>
  </w:num>
  <w:num w:numId="4">
    <w:abstractNumId w:val="10"/>
  </w:num>
  <w:num w:numId="5">
    <w:abstractNumId w:val="8"/>
  </w:num>
  <w:num w:numId="6">
    <w:abstractNumId w:val="0"/>
  </w:num>
  <w:num w:numId="7">
    <w:abstractNumId w:val="7"/>
  </w:num>
  <w:num w:numId="8">
    <w:abstractNumId w:val="3"/>
  </w:num>
  <w:num w:numId="9">
    <w:abstractNumId w:val="9"/>
  </w:num>
  <w:num w:numId="10">
    <w:abstractNumId w:val="1"/>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zMGI5NjIyYTI4NTQyNDVkMzZlYTU3ZDQ4MWI3NmE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40B5"/>
    <w:rsid w:val="00443686"/>
    <w:rsid w:val="00446113"/>
    <w:rsid w:val="00447DC8"/>
    <w:rsid w:val="0045115F"/>
    <w:rsid w:val="00455DF8"/>
    <w:rsid w:val="00457745"/>
    <w:rsid w:val="00466904"/>
    <w:rsid w:val="0047212E"/>
    <w:rsid w:val="00474C8F"/>
    <w:rsid w:val="00481463"/>
    <w:rsid w:val="00481B56"/>
    <w:rsid w:val="0048286F"/>
    <w:rsid w:val="004969A9"/>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5704"/>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757FD"/>
    <w:rsid w:val="00784BC0"/>
    <w:rsid w:val="007872EF"/>
    <w:rsid w:val="00791152"/>
    <w:rsid w:val="00796FC3"/>
    <w:rsid w:val="007A3729"/>
    <w:rsid w:val="007A79E5"/>
    <w:rsid w:val="007B4C82"/>
    <w:rsid w:val="007C5957"/>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46A12"/>
    <w:rsid w:val="00B5058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36528"/>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B237D"/>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091734"/>
    <w:rsid w:val="012409CE"/>
    <w:rsid w:val="01442BEE"/>
    <w:rsid w:val="01490937"/>
    <w:rsid w:val="01671B31"/>
    <w:rsid w:val="01B66AC1"/>
    <w:rsid w:val="01BB2E56"/>
    <w:rsid w:val="01D31A8A"/>
    <w:rsid w:val="01FE797E"/>
    <w:rsid w:val="021F595A"/>
    <w:rsid w:val="023C58BC"/>
    <w:rsid w:val="02700E5F"/>
    <w:rsid w:val="02840131"/>
    <w:rsid w:val="02B876E2"/>
    <w:rsid w:val="02C27783"/>
    <w:rsid w:val="02F93FCC"/>
    <w:rsid w:val="031919AC"/>
    <w:rsid w:val="031D38A7"/>
    <w:rsid w:val="03301691"/>
    <w:rsid w:val="03342D85"/>
    <w:rsid w:val="034F0E57"/>
    <w:rsid w:val="0364427F"/>
    <w:rsid w:val="037024D7"/>
    <w:rsid w:val="039552A7"/>
    <w:rsid w:val="03BE0C2D"/>
    <w:rsid w:val="03BE5F1D"/>
    <w:rsid w:val="03F0318C"/>
    <w:rsid w:val="040748C6"/>
    <w:rsid w:val="040E3FC7"/>
    <w:rsid w:val="04386D7B"/>
    <w:rsid w:val="04846490"/>
    <w:rsid w:val="0491498E"/>
    <w:rsid w:val="0497053B"/>
    <w:rsid w:val="04B7280E"/>
    <w:rsid w:val="04C14D18"/>
    <w:rsid w:val="04F51809"/>
    <w:rsid w:val="05121189"/>
    <w:rsid w:val="05141685"/>
    <w:rsid w:val="052464C1"/>
    <w:rsid w:val="05450480"/>
    <w:rsid w:val="05956F54"/>
    <w:rsid w:val="05EE263C"/>
    <w:rsid w:val="0610116A"/>
    <w:rsid w:val="062E56B4"/>
    <w:rsid w:val="06325EB3"/>
    <w:rsid w:val="063628BE"/>
    <w:rsid w:val="06582C75"/>
    <w:rsid w:val="066D2791"/>
    <w:rsid w:val="067B652E"/>
    <w:rsid w:val="06D84B5E"/>
    <w:rsid w:val="06DA0759"/>
    <w:rsid w:val="07595E65"/>
    <w:rsid w:val="07B964C4"/>
    <w:rsid w:val="0831155A"/>
    <w:rsid w:val="08325DE9"/>
    <w:rsid w:val="08776A4E"/>
    <w:rsid w:val="087D67E7"/>
    <w:rsid w:val="08A77982"/>
    <w:rsid w:val="08A8389B"/>
    <w:rsid w:val="08AA69C6"/>
    <w:rsid w:val="091F1204"/>
    <w:rsid w:val="093448C9"/>
    <w:rsid w:val="095944A0"/>
    <w:rsid w:val="09783D7A"/>
    <w:rsid w:val="097B6762"/>
    <w:rsid w:val="098948A8"/>
    <w:rsid w:val="09D56187"/>
    <w:rsid w:val="0A102D91"/>
    <w:rsid w:val="0A477D7A"/>
    <w:rsid w:val="0A5D6660"/>
    <w:rsid w:val="0A7E5C22"/>
    <w:rsid w:val="0AB10F36"/>
    <w:rsid w:val="0AE80638"/>
    <w:rsid w:val="0AEE0A7C"/>
    <w:rsid w:val="0B5F4FB8"/>
    <w:rsid w:val="0B6E02A8"/>
    <w:rsid w:val="0B6F4052"/>
    <w:rsid w:val="0BF30AD4"/>
    <w:rsid w:val="0C2600B3"/>
    <w:rsid w:val="0C4531F2"/>
    <w:rsid w:val="0C5D564D"/>
    <w:rsid w:val="0C641847"/>
    <w:rsid w:val="0CA230B7"/>
    <w:rsid w:val="0CAD210F"/>
    <w:rsid w:val="0CF30FE9"/>
    <w:rsid w:val="0D017BB6"/>
    <w:rsid w:val="0D114216"/>
    <w:rsid w:val="0D1B164D"/>
    <w:rsid w:val="0D214819"/>
    <w:rsid w:val="0D39005C"/>
    <w:rsid w:val="0D4B0BB9"/>
    <w:rsid w:val="0D96164D"/>
    <w:rsid w:val="0DB20906"/>
    <w:rsid w:val="0DBA5B27"/>
    <w:rsid w:val="0E4711F3"/>
    <w:rsid w:val="0E536D2F"/>
    <w:rsid w:val="0E6538B5"/>
    <w:rsid w:val="0E6C5D5F"/>
    <w:rsid w:val="0E79744D"/>
    <w:rsid w:val="0E92418E"/>
    <w:rsid w:val="0EAE2BD9"/>
    <w:rsid w:val="0EBA0800"/>
    <w:rsid w:val="0F017011"/>
    <w:rsid w:val="0F1609A3"/>
    <w:rsid w:val="0F2A5582"/>
    <w:rsid w:val="0F5202D1"/>
    <w:rsid w:val="0FB807FF"/>
    <w:rsid w:val="0FE90F1B"/>
    <w:rsid w:val="10163A77"/>
    <w:rsid w:val="10351700"/>
    <w:rsid w:val="107C5DD0"/>
    <w:rsid w:val="109276ED"/>
    <w:rsid w:val="10A121C9"/>
    <w:rsid w:val="11491CFC"/>
    <w:rsid w:val="11522C13"/>
    <w:rsid w:val="118C263D"/>
    <w:rsid w:val="11CD1E7C"/>
    <w:rsid w:val="11E97ACC"/>
    <w:rsid w:val="128E1E81"/>
    <w:rsid w:val="12A81C58"/>
    <w:rsid w:val="12B17010"/>
    <w:rsid w:val="12BF13C2"/>
    <w:rsid w:val="12BF7E4F"/>
    <w:rsid w:val="12C0132C"/>
    <w:rsid w:val="12DD286A"/>
    <w:rsid w:val="12ED1E9A"/>
    <w:rsid w:val="12EF10F2"/>
    <w:rsid w:val="12EF612A"/>
    <w:rsid w:val="12FC105D"/>
    <w:rsid w:val="130171B1"/>
    <w:rsid w:val="13113BD5"/>
    <w:rsid w:val="13171FAF"/>
    <w:rsid w:val="132E5438"/>
    <w:rsid w:val="13641AA8"/>
    <w:rsid w:val="13724645"/>
    <w:rsid w:val="13733409"/>
    <w:rsid w:val="137C2EE5"/>
    <w:rsid w:val="13973602"/>
    <w:rsid w:val="13CC3094"/>
    <w:rsid w:val="13EC295E"/>
    <w:rsid w:val="14002991"/>
    <w:rsid w:val="14162F0F"/>
    <w:rsid w:val="142E2BB1"/>
    <w:rsid w:val="1458501E"/>
    <w:rsid w:val="146215BA"/>
    <w:rsid w:val="14712AB2"/>
    <w:rsid w:val="149862D2"/>
    <w:rsid w:val="14AC68C8"/>
    <w:rsid w:val="14D7265A"/>
    <w:rsid w:val="14DB125E"/>
    <w:rsid w:val="14F423C4"/>
    <w:rsid w:val="14F71210"/>
    <w:rsid w:val="15072ECD"/>
    <w:rsid w:val="1520087F"/>
    <w:rsid w:val="1590371E"/>
    <w:rsid w:val="15CE373E"/>
    <w:rsid w:val="15D6456D"/>
    <w:rsid w:val="15DE709F"/>
    <w:rsid w:val="15EE6C67"/>
    <w:rsid w:val="1618165F"/>
    <w:rsid w:val="161A45D0"/>
    <w:rsid w:val="16225650"/>
    <w:rsid w:val="164473C2"/>
    <w:rsid w:val="164F5FED"/>
    <w:rsid w:val="16615DEB"/>
    <w:rsid w:val="166938A9"/>
    <w:rsid w:val="16C44182"/>
    <w:rsid w:val="17015280"/>
    <w:rsid w:val="17127FA7"/>
    <w:rsid w:val="17166AB0"/>
    <w:rsid w:val="171866FA"/>
    <w:rsid w:val="174662BC"/>
    <w:rsid w:val="174B0229"/>
    <w:rsid w:val="174F27ED"/>
    <w:rsid w:val="176B0462"/>
    <w:rsid w:val="1790164D"/>
    <w:rsid w:val="179370FF"/>
    <w:rsid w:val="17AB44DB"/>
    <w:rsid w:val="17AB6DFD"/>
    <w:rsid w:val="17AF6D1D"/>
    <w:rsid w:val="17C427D8"/>
    <w:rsid w:val="17E304E6"/>
    <w:rsid w:val="17F33CFA"/>
    <w:rsid w:val="18203A7F"/>
    <w:rsid w:val="18250B2D"/>
    <w:rsid w:val="1864657F"/>
    <w:rsid w:val="187B0BD1"/>
    <w:rsid w:val="187C734D"/>
    <w:rsid w:val="187D4555"/>
    <w:rsid w:val="189E16D6"/>
    <w:rsid w:val="18A5017B"/>
    <w:rsid w:val="18AD3447"/>
    <w:rsid w:val="18BA4461"/>
    <w:rsid w:val="18FD1BAB"/>
    <w:rsid w:val="190561B3"/>
    <w:rsid w:val="19070074"/>
    <w:rsid w:val="19381746"/>
    <w:rsid w:val="193E7CFB"/>
    <w:rsid w:val="195661F0"/>
    <w:rsid w:val="1977218D"/>
    <w:rsid w:val="198C749F"/>
    <w:rsid w:val="19DB17F4"/>
    <w:rsid w:val="19E06175"/>
    <w:rsid w:val="19E44A9E"/>
    <w:rsid w:val="1A0B0C9B"/>
    <w:rsid w:val="1A176D48"/>
    <w:rsid w:val="1A3E0BF9"/>
    <w:rsid w:val="1A6323A2"/>
    <w:rsid w:val="1A7804F4"/>
    <w:rsid w:val="1A7B0191"/>
    <w:rsid w:val="1A87632A"/>
    <w:rsid w:val="1AA70FB9"/>
    <w:rsid w:val="1ABF6285"/>
    <w:rsid w:val="1AC8397F"/>
    <w:rsid w:val="1B257C47"/>
    <w:rsid w:val="1B651798"/>
    <w:rsid w:val="1B706C0C"/>
    <w:rsid w:val="1B72016A"/>
    <w:rsid w:val="1B9D16C3"/>
    <w:rsid w:val="1BF856AC"/>
    <w:rsid w:val="1C8B3842"/>
    <w:rsid w:val="1CAB080E"/>
    <w:rsid w:val="1CC304DA"/>
    <w:rsid w:val="1D271E5F"/>
    <w:rsid w:val="1D273CC3"/>
    <w:rsid w:val="1D3747F2"/>
    <w:rsid w:val="1D432032"/>
    <w:rsid w:val="1D6F20ED"/>
    <w:rsid w:val="1D7455E4"/>
    <w:rsid w:val="1D796D1A"/>
    <w:rsid w:val="1D9E3044"/>
    <w:rsid w:val="1DB157F3"/>
    <w:rsid w:val="1DBA56D9"/>
    <w:rsid w:val="1DC652E2"/>
    <w:rsid w:val="1DC87483"/>
    <w:rsid w:val="1DFD34C1"/>
    <w:rsid w:val="1E0020E5"/>
    <w:rsid w:val="1E345EB9"/>
    <w:rsid w:val="1E7A7614"/>
    <w:rsid w:val="1E9D08D7"/>
    <w:rsid w:val="1EB3718E"/>
    <w:rsid w:val="1EBF5156"/>
    <w:rsid w:val="1EDD05F5"/>
    <w:rsid w:val="1EF05556"/>
    <w:rsid w:val="1F375B96"/>
    <w:rsid w:val="1F4B6242"/>
    <w:rsid w:val="1FD1704B"/>
    <w:rsid w:val="1FD94CC0"/>
    <w:rsid w:val="1FFA41DB"/>
    <w:rsid w:val="200453FC"/>
    <w:rsid w:val="20124AB2"/>
    <w:rsid w:val="202A642C"/>
    <w:rsid w:val="20336A96"/>
    <w:rsid w:val="20541472"/>
    <w:rsid w:val="20AD4C4C"/>
    <w:rsid w:val="21280AF3"/>
    <w:rsid w:val="21394DA3"/>
    <w:rsid w:val="21641831"/>
    <w:rsid w:val="217A7D90"/>
    <w:rsid w:val="21814081"/>
    <w:rsid w:val="21A04813"/>
    <w:rsid w:val="21B85F18"/>
    <w:rsid w:val="21FE4769"/>
    <w:rsid w:val="22086869"/>
    <w:rsid w:val="222174A1"/>
    <w:rsid w:val="22217F33"/>
    <w:rsid w:val="22516626"/>
    <w:rsid w:val="22805E07"/>
    <w:rsid w:val="22876707"/>
    <w:rsid w:val="22CD507E"/>
    <w:rsid w:val="22DA5006"/>
    <w:rsid w:val="22E627B6"/>
    <w:rsid w:val="22E72496"/>
    <w:rsid w:val="23140F5E"/>
    <w:rsid w:val="232D073C"/>
    <w:rsid w:val="233143A1"/>
    <w:rsid w:val="233F78AE"/>
    <w:rsid w:val="239708A9"/>
    <w:rsid w:val="23C31D58"/>
    <w:rsid w:val="23FA7D8F"/>
    <w:rsid w:val="242B4EF6"/>
    <w:rsid w:val="244E28F4"/>
    <w:rsid w:val="245179BE"/>
    <w:rsid w:val="2454526D"/>
    <w:rsid w:val="24912500"/>
    <w:rsid w:val="24A3375C"/>
    <w:rsid w:val="24EF26FA"/>
    <w:rsid w:val="25012D45"/>
    <w:rsid w:val="25353AAE"/>
    <w:rsid w:val="253F339E"/>
    <w:rsid w:val="25431CB6"/>
    <w:rsid w:val="258D36BB"/>
    <w:rsid w:val="25BC1FB6"/>
    <w:rsid w:val="25C72233"/>
    <w:rsid w:val="25DE5268"/>
    <w:rsid w:val="261272EB"/>
    <w:rsid w:val="26517359"/>
    <w:rsid w:val="26533E7B"/>
    <w:rsid w:val="26C00B9F"/>
    <w:rsid w:val="26F52768"/>
    <w:rsid w:val="270F5C7F"/>
    <w:rsid w:val="270F6A57"/>
    <w:rsid w:val="271848A9"/>
    <w:rsid w:val="272066E7"/>
    <w:rsid w:val="273259F3"/>
    <w:rsid w:val="274554FD"/>
    <w:rsid w:val="275350F7"/>
    <w:rsid w:val="275A244F"/>
    <w:rsid w:val="280F1A88"/>
    <w:rsid w:val="28130CEF"/>
    <w:rsid w:val="28175D94"/>
    <w:rsid w:val="282E6156"/>
    <w:rsid w:val="284905C6"/>
    <w:rsid w:val="286E3CDD"/>
    <w:rsid w:val="287D6592"/>
    <w:rsid w:val="28AA6FC3"/>
    <w:rsid w:val="28EA0A4D"/>
    <w:rsid w:val="29047BA0"/>
    <w:rsid w:val="290C7E6B"/>
    <w:rsid w:val="294B5D25"/>
    <w:rsid w:val="29585A5D"/>
    <w:rsid w:val="296758AA"/>
    <w:rsid w:val="29720148"/>
    <w:rsid w:val="2A126915"/>
    <w:rsid w:val="2A575ACB"/>
    <w:rsid w:val="2A6B5471"/>
    <w:rsid w:val="2A6D5DDA"/>
    <w:rsid w:val="2A816AD3"/>
    <w:rsid w:val="2A9C6369"/>
    <w:rsid w:val="2AA56802"/>
    <w:rsid w:val="2B025B77"/>
    <w:rsid w:val="2B1E1B33"/>
    <w:rsid w:val="2B27516B"/>
    <w:rsid w:val="2B3A7DA2"/>
    <w:rsid w:val="2B4D5540"/>
    <w:rsid w:val="2B582A6A"/>
    <w:rsid w:val="2B730908"/>
    <w:rsid w:val="2BA06797"/>
    <w:rsid w:val="2BD6105D"/>
    <w:rsid w:val="2BD86683"/>
    <w:rsid w:val="2BE12008"/>
    <w:rsid w:val="2BE940FE"/>
    <w:rsid w:val="2C935F9E"/>
    <w:rsid w:val="2CB2244D"/>
    <w:rsid w:val="2CBB5F54"/>
    <w:rsid w:val="2CEF2982"/>
    <w:rsid w:val="2D404630"/>
    <w:rsid w:val="2D4A6C4B"/>
    <w:rsid w:val="2D4F4CE3"/>
    <w:rsid w:val="2D614A83"/>
    <w:rsid w:val="2D8A405C"/>
    <w:rsid w:val="2D9E66A8"/>
    <w:rsid w:val="2DD02B38"/>
    <w:rsid w:val="2DDA3448"/>
    <w:rsid w:val="2DE471B5"/>
    <w:rsid w:val="2DEB7CF0"/>
    <w:rsid w:val="2E0E3BE3"/>
    <w:rsid w:val="2E212749"/>
    <w:rsid w:val="2E7A27AB"/>
    <w:rsid w:val="2EBF1B03"/>
    <w:rsid w:val="2F096DF4"/>
    <w:rsid w:val="2F226D33"/>
    <w:rsid w:val="2F504FB3"/>
    <w:rsid w:val="2F835DE9"/>
    <w:rsid w:val="2FAD2CD6"/>
    <w:rsid w:val="2FC94FB3"/>
    <w:rsid w:val="2FD2080F"/>
    <w:rsid w:val="2FEF727C"/>
    <w:rsid w:val="30420972"/>
    <w:rsid w:val="306B2FC4"/>
    <w:rsid w:val="30991CAC"/>
    <w:rsid w:val="309B540B"/>
    <w:rsid w:val="30BD7F05"/>
    <w:rsid w:val="30C96390"/>
    <w:rsid w:val="30CE6868"/>
    <w:rsid w:val="30CF2172"/>
    <w:rsid w:val="31071734"/>
    <w:rsid w:val="31107022"/>
    <w:rsid w:val="31284B0D"/>
    <w:rsid w:val="315B0EB8"/>
    <w:rsid w:val="316A3E9B"/>
    <w:rsid w:val="31897D10"/>
    <w:rsid w:val="31A11554"/>
    <w:rsid w:val="31A534FF"/>
    <w:rsid w:val="31CE7AF0"/>
    <w:rsid w:val="31D8475A"/>
    <w:rsid w:val="31E000D3"/>
    <w:rsid w:val="31ED63D0"/>
    <w:rsid w:val="31F40D37"/>
    <w:rsid w:val="31FB2F52"/>
    <w:rsid w:val="31FC1662"/>
    <w:rsid w:val="32055238"/>
    <w:rsid w:val="32127F59"/>
    <w:rsid w:val="32270056"/>
    <w:rsid w:val="32EA4BD9"/>
    <w:rsid w:val="3304198B"/>
    <w:rsid w:val="334D17A4"/>
    <w:rsid w:val="33674307"/>
    <w:rsid w:val="336B086B"/>
    <w:rsid w:val="337212D5"/>
    <w:rsid w:val="338405B1"/>
    <w:rsid w:val="33B67752"/>
    <w:rsid w:val="33B777F5"/>
    <w:rsid w:val="33C456DE"/>
    <w:rsid w:val="33DB78F0"/>
    <w:rsid w:val="33ED6A61"/>
    <w:rsid w:val="348C4B39"/>
    <w:rsid w:val="348C6F30"/>
    <w:rsid w:val="34C93FD8"/>
    <w:rsid w:val="34E53B19"/>
    <w:rsid w:val="34E82DE4"/>
    <w:rsid w:val="351975ED"/>
    <w:rsid w:val="35233564"/>
    <w:rsid w:val="354A10E2"/>
    <w:rsid w:val="354A557E"/>
    <w:rsid w:val="354E3BB3"/>
    <w:rsid w:val="355C79EA"/>
    <w:rsid w:val="357936BF"/>
    <w:rsid w:val="35981787"/>
    <w:rsid w:val="35B56363"/>
    <w:rsid w:val="35B60319"/>
    <w:rsid w:val="35FF1847"/>
    <w:rsid w:val="360836B2"/>
    <w:rsid w:val="36BA6964"/>
    <w:rsid w:val="36CC0D14"/>
    <w:rsid w:val="36E36443"/>
    <w:rsid w:val="36F25A45"/>
    <w:rsid w:val="371774E9"/>
    <w:rsid w:val="372B4C9E"/>
    <w:rsid w:val="379D368C"/>
    <w:rsid w:val="379D72D4"/>
    <w:rsid w:val="37B1520E"/>
    <w:rsid w:val="37F31F59"/>
    <w:rsid w:val="3808062B"/>
    <w:rsid w:val="384858A4"/>
    <w:rsid w:val="386134E9"/>
    <w:rsid w:val="386428B5"/>
    <w:rsid w:val="386F27EC"/>
    <w:rsid w:val="38733B2C"/>
    <w:rsid w:val="38923E41"/>
    <w:rsid w:val="38BA4683"/>
    <w:rsid w:val="390300DF"/>
    <w:rsid w:val="392870DD"/>
    <w:rsid w:val="39374512"/>
    <w:rsid w:val="393933D3"/>
    <w:rsid w:val="396D6083"/>
    <w:rsid w:val="39C758F8"/>
    <w:rsid w:val="3A4F180B"/>
    <w:rsid w:val="3A893F90"/>
    <w:rsid w:val="3A9B6AA3"/>
    <w:rsid w:val="3AF907BE"/>
    <w:rsid w:val="3B0350DF"/>
    <w:rsid w:val="3B3637C4"/>
    <w:rsid w:val="3B493907"/>
    <w:rsid w:val="3B5A2FF6"/>
    <w:rsid w:val="3B6214C5"/>
    <w:rsid w:val="3B6363FD"/>
    <w:rsid w:val="3B76069B"/>
    <w:rsid w:val="3B9F0A5D"/>
    <w:rsid w:val="3BCB7C8B"/>
    <w:rsid w:val="3BD2486D"/>
    <w:rsid w:val="3BF21A2D"/>
    <w:rsid w:val="3BF271AD"/>
    <w:rsid w:val="3C01419C"/>
    <w:rsid w:val="3C1258CB"/>
    <w:rsid w:val="3C290DF8"/>
    <w:rsid w:val="3C380267"/>
    <w:rsid w:val="3C6E7BB4"/>
    <w:rsid w:val="3CA25E13"/>
    <w:rsid w:val="3CA334A8"/>
    <w:rsid w:val="3CCD0998"/>
    <w:rsid w:val="3D487517"/>
    <w:rsid w:val="3D5E7801"/>
    <w:rsid w:val="3DAA3A6C"/>
    <w:rsid w:val="3DC93E69"/>
    <w:rsid w:val="3E5B7CCA"/>
    <w:rsid w:val="3E80151B"/>
    <w:rsid w:val="3E823D9C"/>
    <w:rsid w:val="3E942047"/>
    <w:rsid w:val="3EC60A6B"/>
    <w:rsid w:val="3EDA1C47"/>
    <w:rsid w:val="3EE13437"/>
    <w:rsid w:val="3F095677"/>
    <w:rsid w:val="3F2A618F"/>
    <w:rsid w:val="3F415790"/>
    <w:rsid w:val="3F7136A4"/>
    <w:rsid w:val="3F8A7B33"/>
    <w:rsid w:val="3F9B1600"/>
    <w:rsid w:val="3FDA1D36"/>
    <w:rsid w:val="3FFA5B87"/>
    <w:rsid w:val="40091A09"/>
    <w:rsid w:val="402D6E46"/>
    <w:rsid w:val="40357DE6"/>
    <w:rsid w:val="404C3983"/>
    <w:rsid w:val="40603893"/>
    <w:rsid w:val="40920B43"/>
    <w:rsid w:val="40A752AB"/>
    <w:rsid w:val="40AD0539"/>
    <w:rsid w:val="40E41465"/>
    <w:rsid w:val="40E806F8"/>
    <w:rsid w:val="40EF712C"/>
    <w:rsid w:val="41117B3B"/>
    <w:rsid w:val="41780BF5"/>
    <w:rsid w:val="417C4311"/>
    <w:rsid w:val="41887D48"/>
    <w:rsid w:val="41BC71AC"/>
    <w:rsid w:val="41EA2B68"/>
    <w:rsid w:val="41EE7473"/>
    <w:rsid w:val="41F36A44"/>
    <w:rsid w:val="4218309C"/>
    <w:rsid w:val="424B1C46"/>
    <w:rsid w:val="42773C54"/>
    <w:rsid w:val="427F2968"/>
    <w:rsid w:val="42922170"/>
    <w:rsid w:val="42A17EC7"/>
    <w:rsid w:val="42AB7408"/>
    <w:rsid w:val="42B9433F"/>
    <w:rsid w:val="42BC318C"/>
    <w:rsid w:val="42BE71BA"/>
    <w:rsid w:val="42D15C25"/>
    <w:rsid w:val="42D504B3"/>
    <w:rsid w:val="42DB1CFE"/>
    <w:rsid w:val="42EC4B7C"/>
    <w:rsid w:val="43222DDF"/>
    <w:rsid w:val="43765BDF"/>
    <w:rsid w:val="43975C6D"/>
    <w:rsid w:val="43C43CC7"/>
    <w:rsid w:val="43D15F43"/>
    <w:rsid w:val="43E40670"/>
    <w:rsid w:val="441D3214"/>
    <w:rsid w:val="44330D65"/>
    <w:rsid w:val="444902C2"/>
    <w:rsid w:val="444E0D7D"/>
    <w:rsid w:val="445651C1"/>
    <w:rsid w:val="44673645"/>
    <w:rsid w:val="446F24A0"/>
    <w:rsid w:val="44892185"/>
    <w:rsid w:val="449300D6"/>
    <w:rsid w:val="44935750"/>
    <w:rsid w:val="44B10BC8"/>
    <w:rsid w:val="44E9667B"/>
    <w:rsid w:val="450E203E"/>
    <w:rsid w:val="454276E4"/>
    <w:rsid w:val="4543067C"/>
    <w:rsid w:val="4598619A"/>
    <w:rsid w:val="45C145CA"/>
    <w:rsid w:val="45F30BCD"/>
    <w:rsid w:val="46091E18"/>
    <w:rsid w:val="461B62CD"/>
    <w:rsid w:val="46244289"/>
    <w:rsid w:val="463A1ECC"/>
    <w:rsid w:val="46600E6D"/>
    <w:rsid w:val="46696E8F"/>
    <w:rsid w:val="46976927"/>
    <w:rsid w:val="46B05A72"/>
    <w:rsid w:val="46D5665D"/>
    <w:rsid w:val="46E76F97"/>
    <w:rsid w:val="46EC35B7"/>
    <w:rsid w:val="4722639F"/>
    <w:rsid w:val="47251A46"/>
    <w:rsid w:val="473D3B4B"/>
    <w:rsid w:val="476B2426"/>
    <w:rsid w:val="479F1710"/>
    <w:rsid w:val="47B3460B"/>
    <w:rsid w:val="482D4C4C"/>
    <w:rsid w:val="48746273"/>
    <w:rsid w:val="48A97644"/>
    <w:rsid w:val="48CF19CE"/>
    <w:rsid w:val="491E45F2"/>
    <w:rsid w:val="49396863"/>
    <w:rsid w:val="49640EFC"/>
    <w:rsid w:val="49732AFE"/>
    <w:rsid w:val="49773515"/>
    <w:rsid w:val="499373E6"/>
    <w:rsid w:val="49BD64A4"/>
    <w:rsid w:val="49C34807"/>
    <w:rsid w:val="49D80AF2"/>
    <w:rsid w:val="49EE6CD1"/>
    <w:rsid w:val="49EF2E92"/>
    <w:rsid w:val="49F140DD"/>
    <w:rsid w:val="4A1475E1"/>
    <w:rsid w:val="4A1E4641"/>
    <w:rsid w:val="4A2D74BA"/>
    <w:rsid w:val="4A9452D8"/>
    <w:rsid w:val="4B081139"/>
    <w:rsid w:val="4B0C5DE5"/>
    <w:rsid w:val="4B0C5FAB"/>
    <w:rsid w:val="4B114633"/>
    <w:rsid w:val="4B2C6D24"/>
    <w:rsid w:val="4B6747B3"/>
    <w:rsid w:val="4C224DBF"/>
    <w:rsid w:val="4C6F3C2B"/>
    <w:rsid w:val="4C723126"/>
    <w:rsid w:val="4C9362CA"/>
    <w:rsid w:val="4C975126"/>
    <w:rsid w:val="4C9E3415"/>
    <w:rsid w:val="4CEF7970"/>
    <w:rsid w:val="4D050426"/>
    <w:rsid w:val="4D050878"/>
    <w:rsid w:val="4D3C70C3"/>
    <w:rsid w:val="4D5920FD"/>
    <w:rsid w:val="4D787F24"/>
    <w:rsid w:val="4DAB6E13"/>
    <w:rsid w:val="4DE95617"/>
    <w:rsid w:val="4DFD2DB6"/>
    <w:rsid w:val="4E070EE1"/>
    <w:rsid w:val="4E1738D6"/>
    <w:rsid w:val="4E29364A"/>
    <w:rsid w:val="4E2E2F0E"/>
    <w:rsid w:val="4E7417FE"/>
    <w:rsid w:val="4E8463F8"/>
    <w:rsid w:val="4EEA4255"/>
    <w:rsid w:val="4F001207"/>
    <w:rsid w:val="4F3E0330"/>
    <w:rsid w:val="4F3E5F51"/>
    <w:rsid w:val="4F43137B"/>
    <w:rsid w:val="4F7F6214"/>
    <w:rsid w:val="4F991262"/>
    <w:rsid w:val="4FAF1877"/>
    <w:rsid w:val="4FFE1E48"/>
    <w:rsid w:val="504B51D2"/>
    <w:rsid w:val="508905BC"/>
    <w:rsid w:val="509C0D4E"/>
    <w:rsid w:val="50CE603E"/>
    <w:rsid w:val="50E072B5"/>
    <w:rsid w:val="5106297C"/>
    <w:rsid w:val="510C475B"/>
    <w:rsid w:val="5129030D"/>
    <w:rsid w:val="514C779E"/>
    <w:rsid w:val="51553586"/>
    <w:rsid w:val="515F5935"/>
    <w:rsid w:val="51834356"/>
    <w:rsid w:val="518607FB"/>
    <w:rsid w:val="51910362"/>
    <w:rsid w:val="51EE3B0D"/>
    <w:rsid w:val="52170AB9"/>
    <w:rsid w:val="523A13C9"/>
    <w:rsid w:val="5266236A"/>
    <w:rsid w:val="52745087"/>
    <w:rsid w:val="52EF26A9"/>
    <w:rsid w:val="53013A3B"/>
    <w:rsid w:val="53076B2D"/>
    <w:rsid w:val="532C19D8"/>
    <w:rsid w:val="53342678"/>
    <w:rsid w:val="53415734"/>
    <w:rsid w:val="53662832"/>
    <w:rsid w:val="53723F2B"/>
    <w:rsid w:val="53844763"/>
    <w:rsid w:val="538A150D"/>
    <w:rsid w:val="53B62265"/>
    <w:rsid w:val="53BA7295"/>
    <w:rsid w:val="53BD611F"/>
    <w:rsid w:val="540E525E"/>
    <w:rsid w:val="54122924"/>
    <w:rsid w:val="54C4311C"/>
    <w:rsid w:val="54D7537B"/>
    <w:rsid w:val="54D7593E"/>
    <w:rsid w:val="55413449"/>
    <w:rsid w:val="557D427E"/>
    <w:rsid w:val="558573DD"/>
    <w:rsid w:val="55DF03A4"/>
    <w:rsid w:val="56445B21"/>
    <w:rsid w:val="56505EE7"/>
    <w:rsid w:val="565B3DCE"/>
    <w:rsid w:val="568E38FF"/>
    <w:rsid w:val="56E83D74"/>
    <w:rsid w:val="56FD36D2"/>
    <w:rsid w:val="57443D51"/>
    <w:rsid w:val="57572B0B"/>
    <w:rsid w:val="57656E7C"/>
    <w:rsid w:val="57B07F97"/>
    <w:rsid w:val="57CB7E80"/>
    <w:rsid w:val="57D724F1"/>
    <w:rsid w:val="581C1B02"/>
    <w:rsid w:val="5838124C"/>
    <w:rsid w:val="58481FC6"/>
    <w:rsid w:val="58707162"/>
    <w:rsid w:val="587773D2"/>
    <w:rsid w:val="587E5908"/>
    <w:rsid w:val="58901A1A"/>
    <w:rsid w:val="59407D3F"/>
    <w:rsid w:val="59625801"/>
    <w:rsid w:val="5967353C"/>
    <w:rsid w:val="59C07E7E"/>
    <w:rsid w:val="59D45CD5"/>
    <w:rsid w:val="59D606C2"/>
    <w:rsid w:val="5A061207"/>
    <w:rsid w:val="5A1559A6"/>
    <w:rsid w:val="5A33691E"/>
    <w:rsid w:val="5A355EE1"/>
    <w:rsid w:val="5A3B7586"/>
    <w:rsid w:val="5A633622"/>
    <w:rsid w:val="5A6F64A6"/>
    <w:rsid w:val="5A943918"/>
    <w:rsid w:val="5AC31779"/>
    <w:rsid w:val="5AD04C8C"/>
    <w:rsid w:val="5B546813"/>
    <w:rsid w:val="5B667CD3"/>
    <w:rsid w:val="5B834DE6"/>
    <w:rsid w:val="5BA00FBA"/>
    <w:rsid w:val="5C063FC9"/>
    <w:rsid w:val="5C354D53"/>
    <w:rsid w:val="5C6532D1"/>
    <w:rsid w:val="5CBC2DDB"/>
    <w:rsid w:val="5CE07B38"/>
    <w:rsid w:val="5D0C58EC"/>
    <w:rsid w:val="5D1010D0"/>
    <w:rsid w:val="5D185CE6"/>
    <w:rsid w:val="5D1B43CB"/>
    <w:rsid w:val="5D2F7D58"/>
    <w:rsid w:val="5D433D2D"/>
    <w:rsid w:val="5D8044EA"/>
    <w:rsid w:val="5DDB1292"/>
    <w:rsid w:val="5DE43007"/>
    <w:rsid w:val="5E1A5187"/>
    <w:rsid w:val="5E53134F"/>
    <w:rsid w:val="5E5A2D50"/>
    <w:rsid w:val="5E770480"/>
    <w:rsid w:val="5EA172A5"/>
    <w:rsid w:val="5EAD0537"/>
    <w:rsid w:val="5EB02126"/>
    <w:rsid w:val="5F030DEA"/>
    <w:rsid w:val="5F353888"/>
    <w:rsid w:val="5F79792A"/>
    <w:rsid w:val="5F8C487C"/>
    <w:rsid w:val="5F9C66ED"/>
    <w:rsid w:val="5FA559EF"/>
    <w:rsid w:val="5FAD3D00"/>
    <w:rsid w:val="5FFA30A0"/>
    <w:rsid w:val="5FFC0B2F"/>
    <w:rsid w:val="600564A8"/>
    <w:rsid w:val="600D4E10"/>
    <w:rsid w:val="603154C1"/>
    <w:rsid w:val="603B3DBB"/>
    <w:rsid w:val="60571D4B"/>
    <w:rsid w:val="60656CB9"/>
    <w:rsid w:val="608A7F68"/>
    <w:rsid w:val="60945726"/>
    <w:rsid w:val="60B73820"/>
    <w:rsid w:val="60BA3362"/>
    <w:rsid w:val="60DA2579"/>
    <w:rsid w:val="610B6FE4"/>
    <w:rsid w:val="61142154"/>
    <w:rsid w:val="618901D9"/>
    <w:rsid w:val="61895529"/>
    <w:rsid w:val="61993A53"/>
    <w:rsid w:val="61A335A9"/>
    <w:rsid w:val="61C17470"/>
    <w:rsid w:val="61DB0AC4"/>
    <w:rsid w:val="61E575EC"/>
    <w:rsid w:val="61E85617"/>
    <w:rsid w:val="62147EDE"/>
    <w:rsid w:val="621E6E07"/>
    <w:rsid w:val="621F230A"/>
    <w:rsid w:val="622F12B8"/>
    <w:rsid w:val="623D684E"/>
    <w:rsid w:val="627C53CE"/>
    <w:rsid w:val="62A13033"/>
    <w:rsid w:val="62AE49EA"/>
    <w:rsid w:val="62B974BA"/>
    <w:rsid w:val="62ED7B55"/>
    <w:rsid w:val="63BF2892"/>
    <w:rsid w:val="640A301D"/>
    <w:rsid w:val="64114861"/>
    <w:rsid w:val="641F376F"/>
    <w:rsid w:val="646A5DED"/>
    <w:rsid w:val="64EA4EEC"/>
    <w:rsid w:val="64F376FB"/>
    <w:rsid w:val="652C6C46"/>
    <w:rsid w:val="653A3AF4"/>
    <w:rsid w:val="653F60CD"/>
    <w:rsid w:val="657F4154"/>
    <w:rsid w:val="65926AEF"/>
    <w:rsid w:val="6611391E"/>
    <w:rsid w:val="66161F0A"/>
    <w:rsid w:val="662D0444"/>
    <w:rsid w:val="665C3773"/>
    <w:rsid w:val="66685856"/>
    <w:rsid w:val="667034A5"/>
    <w:rsid w:val="668429E4"/>
    <w:rsid w:val="66943122"/>
    <w:rsid w:val="66AE5C29"/>
    <w:rsid w:val="66AE7711"/>
    <w:rsid w:val="66CF5879"/>
    <w:rsid w:val="66D5166F"/>
    <w:rsid w:val="66E55458"/>
    <w:rsid w:val="66FD7245"/>
    <w:rsid w:val="67047B51"/>
    <w:rsid w:val="670C5D7F"/>
    <w:rsid w:val="67203DE6"/>
    <w:rsid w:val="672B633C"/>
    <w:rsid w:val="673A5F96"/>
    <w:rsid w:val="67517283"/>
    <w:rsid w:val="67585066"/>
    <w:rsid w:val="676471B4"/>
    <w:rsid w:val="678B5FC5"/>
    <w:rsid w:val="679B78CD"/>
    <w:rsid w:val="67C27678"/>
    <w:rsid w:val="67E36A56"/>
    <w:rsid w:val="68015E2B"/>
    <w:rsid w:val="68024349"/>
    <w:rsid w:val="6809634F"/>
    <w:rsid w:val="68EB559D"/>
    <w:rsid w:val="68EC03FD"/>
    <w:rsid w:val="69094F1A"/>
    <w:rsid w:val="69556F20"/>
    <w:rsid w:val="696A0E37"/>
    <w:rsid w:val="697604D9"/>
    <w:rsid w:val="69842EAC"/>
    <w:rsid w:val="698B5AD1"/>
    <w:rsid w:val="69FA09CA"/>
    <w:rsid w:val="6AF11099"/>
    <w:rsid w:val="6B1113B9"/>
    <w:rsid w:val="6B1E7298"/>
    <w:rsid w:val="6B4C17C5"/>
    <w:rsid w:val="6B903FBE"/>
    <w:rsid w:val="6BB95C5B"/>
    <w:rsid w:val="6BCF4A77"/>
    <w:rsid w:val="6BDD1D86"/>
    <w:rsid w:val="6BFF1157"/>
    <w:rsid w:val="6C0079BC"/>
    <w:rsid w:val="6C62145A"/>
    <w:rsid w:val="6C976C5C"/>
    <w:rsid w:val="6CB82059"/>
    <w:rsid w:val="6D130207"/>
    <w:rsid w:val="6D2351EF"/>
    <w:rsid w:val="6D2A1185"/>
    <w:rsid w:val="6D797782"/>
    <w:rsid w:val="6D8C2626"/>
    <w:rsid w:val="6D914DB3"/>
    <w:rsid w:val="6D9D6E67"/>
    <w:rsid w:val="6DDA3E49"/>
    <w:rsid w:val="6E0B5C7F"/>
    <w:rsid w:val="6E0C33CE"/>
    <w:rsid w:val="6E2E7EF4"/>
    <w:rsid w:val="6E525F7E"/>
    <w:rsid w:val="6E572333"/>
    <w:rsid w:val="6E676327"/>
    <w:rsid w:val="6E7034F3"/>
    <w:rsid w:val="6EB16DA8"/>
    <w:rsid w:val="6EC36413"/>
    <w:rsid w:val="6EEA2477"/>
    <w:rsid w:val="6EEC30CD"/>
    <w:rsid w:val="6F525DA2"/>
    <w:rsid w:val="6F8B5D0F"/>
    <w:rsid w:val="6FF84D5F"/>
    <w:rsid w:val="700B24A8"/>
    <w:rsid w:val="702F6F0B"/>
    <w:rsid w:val="70553275"/>
    <w:rsid w:val="706D72D5"/>
    <w:rsid w:val="70C74180"/>
    <w:rsid w:val="70F82B5D"/>
    <w:rsid w:val="71265CF7"/>
    <w:rsid w:val="7143481D"/>
    <w:rsid w:val="7163489C"/>
    <w:rsid w:val="71831DC3"/>
    <w:rsid w:val="719821F4"/>
    <w:rsid w:val="72011F28"/>
    <w:rsid w:val="720E08B8"/>
    <w:rsid w:val="721101B2"/>
    <w:rsid w:val="726365B1"/>
    <w:rsid w:val="72782B4A"/>
    <w:rsid w:val="729C030A"/>
    <w:rsid w:val="72B832BB"/>
    <w:rsid w:val="72CA110C"/>
    <w:rsid w:val="72D01C3A"/>
    <w:rsid w:val="73055EDA"/>
    <w:rsid w:val="7318180E"/>
    <w:rsid w:val="732310BF"/>
    <w:rsid w:val="73524DC0"/>
    <w:rsid w:val="7365250B"/>
    <w:rsid w:val="73771BB5"/>
    <w:rsid w:val="73A225C1"/>
    <w:rsid w:val="73A41EEC"/>
    <w:rsid w:val="73A56C26"/>
    <w:rsid w:val="73AD6C04"/>
    <w:rsid w:val="73D940C4"/>
    <w:rsid w:val="73DE4F5C"/>
    <w:rsid w:val="73E042AE"/>
    <w:rsid w:val="7402197A"/>
    <w:rsid w:val="740A5055"/>
    <w:rsid w:val="741E4E2A"/>
    <w:rsid w:val="744C2A5A"/>
    <w:rsid w:val="74635B80"/>
    <w:rsid w:val="74675642"/>
    <w:rsid w:val="749B3E5E"/>
    <w:rsid w:val="74A67686"/>
    <w:rsid w:val="74A77846"/>
    <w:rsid w:val="74C54B00"/>
    <w:rsid w:val="74E85E99"/>
    <w:rsid w:val="74FA4E0C"/>
    <w:rsid w:val="750578A4"/>
    <w:rsid w:val="753B0BFF"/>
    <w:rsid w:val="753E6A6B"/>
    <w:rsid w:val="75406519"/>
    <w:rsid w:val="754624D3"/>
    <w:rsid w:val="75731626"/>
    <w:rsid w:val="75997092"/>
    <w:rsid w:val="75B63B70"/>
    <w:rsid w:val="75B9532B"/>
    <w:rsid w:val="75C238C0"/>
    <w:rsid w:val="75EE3E49"/>
    <w:rsid w:val="7610192F"/>
    <w:rsid w:val="76181896"/>
    <w:rsid w:val="76346C1C"/>
    <w:rsid w:val="76370C0F"/>
    <w:rsid w:val="766A48D8"/>
    <w:rsid w:val="76F04A65"/>
    <w:rsid w:val="772A1F54"/>
    <w:rsid w:val="773C1E51"/>
    <w:rsid w:val="77414ABA"/>
    <w:rsid w:val="77675276"/>
    <w:rsid w:val="77835A31"/>
    <w:rsid w:val="77B47499"/>
    <w:rsid w:val="77B72A76"/>
    <w:rsid w:val="77FF66EE"/>
    <w:rsid w:val="780A2C16"/>
    <w:rsid w:val="781C1055"/>
    <w:rsid w:val="781E731D"/>
    <w:rsid w:val="78356412"/>
    <w:rsid w:val="78357862"/>
    <w:rsid w:val="78483201"/>
    <w:rsid w:val="78544777"/>
    <w:rsid w:val="786A2314"/>
    <w:rsid w:val="78C14194"/>
    <w:rsid w:val="78E22C72"/>
    <w:rsid w:val="795B41E0"/>
    <w:rsid w:val="798E4E34"/>
    <w:rsid w:val="79937513"/>
    <w:rsid w:val="79BD1659"/>
    <w:rsid w:val="79ED63AD"/>
    <w:rsid w:val="79EF3F83"/>
    <w:rsid w:val="7A106FD0"/>
    <w:rsid w:val="7A243CC6"/>
    <w:rsid w:val="7A376F11"/>
    <w:rsid w:val="7A8821E5"/>
    <w:rsid w:val="7AAE53F6"/>
    <w:rsid w:val="7AD25CBC"/>
    <w:rsid w:val="7B52516C"/>
    <w:rsid w:val="7B890984"/>
    <w:rsid w:val="7B9504F4"/>
    <w:rsid w:val="7BD046E7"/>
    <w:rsid w:val="7BFA36A1"/>
    <w:rsid w:val="7C097910"/>
    <w:rsid w:val="7C1C629A"/>
    <w:rsid w:val="7C570E85"/>
    <w:rsid w:val="7C8C4BB8"/>
    <w:rsid w:val="7C8D7818"/>
    <w:rsid w:val="7CB60F70"/>
    <w:rsid w:val="7CD2037D"/>
    <w:rsid w:val="7CE50BFC"/>
    <w:rsid w:val="7CEC759C"/>
    <w:rsid w:val="7CF47EDB"/>
    <w:rsid w:val="7CF65E91"/>
    <w:rsid w:val="7D290A7F"/>
    <w:rsid w:val="7D381B92"/>
    <w:rsid w:val="7D6407AE"/>
    <w:rsid w:val="7D7865AB"/>
    <w:rsid w:val="7D9315E4"/>
    <w:rsid w:val="7DC727A2"/>
    <w:rsid w:val="7DC81D72"/>
    <w:rsid w:val="7DDC1A7B"/>
    <w:rsid w:val="7E05604E"/>
    <w:rsid w:val="7E061A83"/>
    <w:rsid w:val="7E1008DC"/>
    <w:rsid w:val="7E172B88"/>
    <w:rsid w:val="7E6F2545"/>
    <w:rsid w:val="7E821CDA"/>
    <w:rsid w:val="7E8C20D1"/>
    <w:rsid w:val="7E8E3A47"/>
    <w:rsid w:val="7F157877"/>
    <w:rsid w:val="7F2C3E19"/>
    <w:rsid w:val="7F3708C6"/>
    <w:rsid w:val="7F556F5D"/>
    <w:rsid w:val="7F654D11"/>
    <w:rsid w:val="7F87438C"/>
    <w:rsid w:val="7F8D4850"/>
    <w:rsid w:val="7F9A60E4"/>
    <w:rsid w:val="7FF44381"/>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60"/>
    <w:autoRedefine/>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3">
    <w:name w:val="heading 2"/>
    <w:basedOn w:val="1"/>
    <w:next w:val="1"/>
    <w:link w:val="61"/>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4">
    <w:name w:val="heading 3"/>
    <w:basedOn w:val="1"/>
    <w:next w:val="1"/>
    <w:link w:val="58"/>
    <w:autoRedefine/>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5">
    <w:name w:val="heading 4"/>
    <w:basedOn w:val="1"/>
    <w:next w:val="1"/>
    <w:link w:val="62"/>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3">
    <w:name w:val="Default Paragraph Font"/>
    <w:autoRedefine/>
    <w:unhideWhenUsed/>
    <w:qFormat/>
    <w:uiPriority w:val="1"/>
  </w:style>
  <w:style w:type="table" w:default="1" w:styleId="21">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ind w:firstLine="420" w:firstLineChars="200"/>
    </w:pPr>
  </w:style>
  <w:style w:type="paragraph" w:styleId="7">
    <w:name w:val="annotation text"/>
    <w:basedOn w:val="1"/>
    <w:link w:val="68"/>
    <w:autoRedefine/>
    <w:unhideWhenUsed/>
    <w:qFormat/>
    <w:uiPriority w:val="99"/>
    <w:pPr>
      <w:jc w:val="left"/>
    </w:pPr>
  </w:style>
  <w:style w:type="paragraph" w:styleId="8">
    <w:name w:val="Body Text"/>
    <w:basedOn w:val="1"/>
    <w:link w:val="75"/>
    <w:autoRedefine/>
    <w:unhideWhenUsed/>
    <w:qFormat/>
    <w:uiPriority w:val="99"/>
    <w:pPr>
      <w:spacing w:after="120"/>
    </w:pPr>
    <w:rPr>
      <w:szCs w:val="24"/>
    </w:rPr>
  </w:style>
  <w:style w:type="paragraph" w:styleId="9">
    <w:name w:val="toc 3"/>
    <w:basedOn w:val="1"/>
    <w:next w:val="1"/>
    <w:autoRedefine/>
    <w:qFormat/>
    <w:uiPriority w:val="0"/>
    <w:pPr>
      <w:ind w:left="840" w:leftChars="400"/>
    </w:pPr>
  </w:style>
  <w:style w:type="paragraph" w:styleId="10">
    <w:name w:val="Plain Text"/>
    <w:basedOn w:val="1"/>
    <w:link w:val="63"/>
    <w:autoRedefine/>
    <w:qFormat/>
    <w:uiPriority w:val="99"/>
    <w:rPr>
      <w:rFonts w:ascii="宋体" w:hAnsi="Courier New"/>
      <w:szCs w:val="21"/>
    </w:rPr>
  </w:style>
  <w:style w:type="paragraph" w:styleId="11">
    <w:name w:val="Date"/>
    <w:basedOn w:val="1"/>
    <w:next w:val="1"/>
    <w:link w:val="55"/>
    <w:autoRedefine/>
    <w:unhideWhenUsed/>
    <w:qFormat/>
    <w:uiPriority w:val="99"/>
    <w:pPr>
      <w:ind w:left="100" w:leftChars="2500"/>
    </w:pPr>
  </w:style>
  <w:style w:type="paragraph" w:styleId="12">
    <w:name w:val="Balloon Text"/>
    <w:basedOn w:val="1"/>
    <w:link w:val="56"/>
    <w:autoRedefine/>
    <w:unhideWhenUsed/>
    <w:qFormat/>
    <w:uiPriority w:val="99"/>
    <w:rPr>
      <w:sz w:val="18"/>
      <w:szCs w:val="18"/>
    </w:rPr>
  </w:style>
  <w:style w:type="paragraph" w:styleId="13">
    <w:name w:val="footer"/>
    <w:basedOn w:val="1"/>
    <w:link w:val="54"/>
    <w:autoRedefine/>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4">
    <w:name w:val="header"/>
    <w:basedOn w:val="1"/>
    <w:link w:val="53"/>
    <w:autoRedefine/>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15">
    <w:name w:val="footnote text"/>
    <w:basedOn w:val="1"/>
    <w:autoRedefine/>
    <w:semiHidden/>
    <w:unhideWhenUsed/>
    <w:qFormat/>
    <w:uiPriority w:val="99"/>
    <w:pPr>
      <w:snapToGrid w:val="0"/>
      <w:jc w:val="left"/>
    </w:pPr>
    <w:rPr>
      <w:sz w:val="18"/>
    </w:rPr>
  </w:style>
  <w:style w:type="paragraph" w:styleId="16">
    <w:name w:val="toc 2"/>
    <w:basedOn w:val="1"/>
    <w:next w:val="1"/>
    <w:autoRedefine/>
    <w:unhideWhenUsed/>
    <w:qFormat/>
    <w:uiPriority w:val="39"/>
    <w:pPr>
      <w:tabs>
        <w:tab w:val="left" w:pos="900"/>
        <w:tab w:val="left" w:pos="1050"/>
        <w:tab w:val="left" w:pos="1080"/>
        <w:tab w:val="right" w:leader="dot" w:pos="8296"/>
      </w:tabs>
      <w:ind w:left="420" w:leftChars="200" w:firstLine="210" w:firstLineChars="100"/>
    </w:pPr>
  </w:style>
  <w:style w:type="paragraph" w:styleId="17">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18">
    <w:name w:val="index 1"/>
    <w:basedOn w:val="1"/>
    <w:next w:val="1"/>
    <w:autoRedefine/>
    <w:unhideWhenUsed/>
    <w:qFormat/>
    <w:uiPriority w:val="99"/>
    <w:pPr>
      <w:framePr w:wrap="around" w:vAnchor="margin" w:hAnchor="text" w:y="1"/>
    </w:pPr>
    <w:rPr>
      <w:b/>
    </w:rPr>
  </w:style>
  <w:style w:type="paragraph" w:styleId="19">
    <w:name w:val="Title"/>
    <w:basedOn w:val="1"/>
    <w:next w:val="1"/>
    <w:autoRedefine/>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0">
    <w:name w:val="Body Text First Indent"/>
    <w:basedOn w:val="8"/>
    <w:link w:val="72"/>
    <w:autoRedefine/>
    <w:unhideWhenUsed/>
    <w:qFormat/>
    <w:uiPriority w:val="99"/>
    <w:pPr>
      <w:ind w:firstLine="420" w:firstLineChars="100"/>
    </w:pPr>
    <w:rPr>
      <w:sz w:val="24"/>
    </w:rPr>
  </w:style>
  <w:style w:type="table" w:styleId="22">
    <w:name w:val="Table Grid"/>
    <w:basedOn w:val="2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22"/>
    <w:rPr>
      <w:b/>
      <w:bCs/>
    </w:rPr>
  </w:style>
  <w:style w:type="character" w:styleId="25">
    <w:name w:val="page number"/>
    <w:basedOn w:val="23"/>
    <w:autoRedefine/>
    <w:qFormat/>
    <w:uiPriority w:val="0"/>
  </w:style>
  <w:style w:type="character" w:styleId="26">
    <w:name w:val="FollowedHyperlink"/>
    <w:basedOn w:val="23"/>
    <w:autoRedefine/>
    <w:unhideWhenUsed/>
    <w:qFormat/>
    <w:uiPriority w:val="99"/>
    <w:rPr>
      <w:color w:val="800080"/>
      <w:u w:val="single"/>
    </w:rPr>
  </w:style>
  <w:style w:type="character" w:styleId="27">
    <w:name w:val="HTML Definition"/>
    <w:basedOn w:val="23"/>
    <w:autoRedefine/>
    <w:semiHidden/>
    <w:unhideWhenUsed/>
    <w:qFormat/>
    <w:uiPriority w:val="99"/>
    <w:rPr>
      <w:i/>
      <w:sz w:val="20"/>
      <w:szCs w:val="20"/>
    </w:rPr>
  </w:style>
  <w:style w:type="character" w:styleId="28">
    <w:name w:val="Hyperlink"/>
    <w:basedOn w:val="23"/>
    <w:autoRedefine/>
    <w:qFormat/>
    <w:uiPriority w:val="99"/>
    <w:rPr>
      <w:color w:val="0000FF"/>
      <w:u w:val="single"/>
    </w:rPr>
  </w:style>
  <w:style w:type="character" w:styleId="29">
    <w:name w:val="HTML Code"/>
    <w:basedOn w:val="23"/>
    <w:autoRedefine/>
    <w:semiHidden/>
    <w:unhideWhenUsed/>
    <w:qFormat/>
    <w:uiPriority w:val="99"/>
    <w:rPr>
      <w:rFonts w:hint="default" w:ascii="Consolas" w:hAnsi="Consolas" w:eastAsia="Consolas" w:cs="Consolas"/>
      <w:color w:val="C7254E"/>
      <w:sz w:val="21"/>
      <w:szCs w:val="21"/>
      <w:shd w:val="clear" w:fill="F9F2F4"/>
    </w:rPr>
  </w:style>
  <w:style w:type="character" w:styleId="30">
    <w:name w:val="annotation reference"/>
    <w:basedOn w:val="23"/>
    <w:autoRedefine/>
    <w:unhideWhenUsed/>
    <w:qFormat/>
    <w:uiPriority w:val="99"/>
    <w:rPr>
      <w:sz w:val="21"/>
      <w:szCs w:val="21"/>
    </w:rPr>
  </w:style>
  <w:style w:type="character" w:styleId="31">
    <w:name w:val="HTML Cite"/>
    <w:basedOn w:val="23"/>
    <w:autoRedefine/>
    <w:semiHidden/>
    <w:unhideWhenUsed/>
    <w:qFormat/>
    <w:uiPriority w:val="99"/>
  </w:style>
  <w:style w:type="character" w:styleId="32">
    <w:name w:val="footnote reference"/>
    <w:basedOn w:val="23"/>
    <w:autoRedefine/>
    <w:semiHidden/>
    <w:unhideWhenUsed/>
    <w:qFormat/>
    <w:uiPriority w:val="99"/>
    <w:rPr>
      <w:vertAlign w:val="superscript"/>
    </w:rPr>
  </w:style>
  <w:style w:type="character" w:styleId="33">
    <w:name w:val="HTML Keyboard"/>
    <w:basedOn w:val="23"/>
    <w:autoRedefine/>
    <w:semiHidden/>
    <w:unhideWhenUsed/>
    <w:qFormat/>
    <w:uiPriority w:val="99"/>
    <w:rPr>
      <w:rFonts w:ascii="Consolas" w:hAnsi="Consolas" w:eastAsia="Consolas" w:cs="Consolas"/>
      <w:color w:val="FFFFFF"/>
      <w:sz w:val="21"/>
      <w:szCs w:val="21"/>
      <w:shd w:val="clear" w:fill="333333"/>
    </w:rPr>
  </w:style>
  <w:style w:type="character" w:styleId="34">
    <w:name w:val="HTML Sample"/>
    <w:basedOn w:val="23"/>
    <w:autoRedefine/>
    <w:semiHidden/>
    <w:unhideWhenUsed/>
    <w:qFormat/>
    <w:uiPriority w:val="99"/>
    <w:rPr>
      <w:rFonts w:hint="default" w:ascii="Consolas" w:hAnsi="Consolas" w:eastAsia="Consolas" w:cs="Consolas"/>
      <w:sz w:val="21"/>
      <w:szCs w:val="21"/>
    </w:rPr>
  </w:style>
  <w:style w:type="paragraph" w:customStyle="1" w:styleId="35">
    <w:name w:val="Normal_0"/>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6">
    <w:name w:val="Normal_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7">
    <w:name w:val="Normal_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8">
    <w:name w:val="Normal_2"/>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9">
    <w:name w:val="Normal_3"/>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0">
    <w:name w:val="Normal_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1">
    <w:name w:val="Normal_7"/>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2">
    <w:name w:val="List Paragraph"/>
    <w:basedOn w:val="1"/>
    <w:autoRedefine/>
    <w:qFormat/>
    <w:uiPriority w:val="99"/>
    <w:pPr>
      <w:ind w:firstLine="420" w:firstLineChars="200"/>
    </w:pPr>
  </w:style>
  <w:style w:type="paragraph" w:customStyle="1" w:styleId="43">
    <w:name w:val="Normal_6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6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7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7">
    <w:name w:val="样式 样式 样式 样式 标题 2 + 宋体 五号 非加粗 黑色 + 段前: 6 磅 段后: 0 磅 行距: 单倍行距 + 段前:..."/>
    <w:basedOn w:val="1"/>
    <w:autoRedefine/>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48">
    <w:name w:val="列表段落1"/>
    <w:basedOn w:val="1"/>
    <w:autoRedefine/>
    <w:qFormat/>
    <w:uiPriority w:val="34"/>
    <w:pPr>
      <w:ind w:firstLine="420" w:firstLineChars="200"/>
    </w:pPr>
    <w:rPr>
      <w:rFonts w:ascii="Calibri" w:hAnsi="Calibri" w:eastAsia="宋体" w:cs="黑体"/>
      <w:szCs w:val="22"/>
    </w:rPr>
  </w:style>
  <w:style w:type="paragraph" w:customStyle="1" w:styleId="49">
    <w:name w:val="msonormal"/>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0">
    <w:name w:val="Revision"/>
    <w:autoRedefine/>
    <w:semiHidden/>
    <w:qFormat/>
    <w:uiPriority w:val="99"/>
    <w:rPr>
      <w:rFonts w:ascii="Times New Roman" w:hAnsi="Times New Roman" w:eastAsia="宋体" w:cs="Times New Roman"/>
      <w:kern w:val="2"/>
      <w:sz w:val="21"/>
      <w:szCs w:val="24"/>
      <w:lang w:val="en-US" w:eastAsia="zh-CN" w:bidi="ar-SA"/>
    </w:rPr>
  </w:style>
  <w:style w:type="paragraph" w:customStyle="1" w:styleId="51">
    <w:name w:val="p0"/>
    <w:basedOn w:val="1"/>
    <w:autoRedefine/>
    <w:qFormat/>
    <w:uiPriority w:val="99"/>
    <w:pPr>
      <w:widowControl/>
      <w:spacing w:before="75" w:after="75"/>
      <w:jc w:val="left"/>
    </w:pPr>
    <w:rPr>
      <w:rFonts w:ascii="宋体" w:hAnsi="宋体" w:cs="宋体"/>
      <w:kern w:val="0"/>
      <w:sz w:val="24"/>
      <w:szCs w:val="24"/>
    </w:rPr>
  </w:style>
  <w:style w:type="paragraph" w:customStyle="1" w:styleId="52">
    <w:name w:val="p15"/>
    <w:basedOn w:val="1"/>
    <w:autoRedefine/>
    <w:qFormat/>
    <w:uiPriority w:val="0"/>
    <w:pPr>
      <w:widowControl/>
      <w:jc w:val="left"/>
    </w:pPr>
    <w:rPr>
      <w:kern w:val="0"/>
      <w:sz w:val="24"/>
    </w:rPr>
  </w:style>
  <w:style w:type="character" w:customStyle="1" w:styleId="53">
    <w:name w:val="页眉 字符"/>
    <w:basedOn w:val="23"/>
    <w:link w:val="14"/>
    <w:autoRedefine/>
    <w:qFormat/>
    <w:uiPriority w:val="99"/>
    <w:rPr>
      <w:sz w:val="18"/>
      <w:szCs w:val="18"/>
    </w:rPr>
  </w:style>
  <w:style w:type="character" w:customStyle="1" w:styleId="54">
    <w:name w:val="页脚 字符"/>
    <w:basedOn w:val="23"/>
    <w:link w:val="13"/>
    <w:autoRedefine/>
    <w:qFormat/>
    <w:uiPriority w:val="99"/>
    <w:rPr>
      <w:sz w:val="18"/>
      <w:szCs w:val="18"/>
    </w:rPr>
  </w:style>
  <w:style w:type="character" w:customStyle="1" w:styleId="55">
    <w:name w:val="日期 字符"/>
    <w:basedOn w:val="23"/>
    <w:link w:val="11"/>
    <w:autoRedefine/>
    <w:semiHidden/>
    <w:qFormat/>
    <w:uiPriority w:val="99"/>
  </w:style>
  <w:style w:type="character" w:customStyle="1" w:styleId="56">
    <w:name w:val="批注框文本 字符"/>
    <w:basedOn w:val="23"/>
    <w:link w:val="12"/>
    <w:autoRedefine/>
    <w:semiHidden/>
    <w:qFormat/>
    <w:uiPriority w:val="99"/>
    <w:rPr>
      <w:sz w:val="18"/>
      <w:szCs w:val="18"/>
    </w:rPr>
  </w:style>
  <w:style w:type="character" w:customStyle="1" w:styleId="57">
    <w:name w:val="标题 3 Char"/>
    <w:basedOn w:val="23"/>
    <w:autoRedefine/>
    <w:semiHidden/>
    <w:qFormat/>
    <w:uiPriority w:val="9"/>
    <w:rPr>
      <w:rFonts w:ascii="Times New Roman" w:hAnsi="Times New Roman" w:eastAsia="宋体" w:cs="Times New Roman"/>
      <w:b/>
      <w:bCs/>
      <w:sz w:val="32"/>
      <w:szCs w:val="32"/>
    </w:rPr>
  </w:style>
  <w:style w:type="character" w:customStyle="1" w:styleId="58">
    <w:name w:val="标题 3 字符"/>
    <w:link w:val="4"/>
    <w:autoRedefine/>
    <w:qFormat/>
    <w:uiPriority w:val="0"/>
    <w:rPr>
      <w:rFonts w:ascii="宋体" w:hAnsi="Times New Roman" w:eastAsia="宋体" w:cs="Times New Roman"/>
      <w:b/>
      <w:kern w:val="0"/>
      <w:sz w:val="24"/>
      <w:szCs w:val="20"/>
      <w:u w:val="single"/>
    </w:rPr>
  </w:style>
  <w:style w:type="character" w:customStyle="1" w:styleId="59">
    <w:name w:val="标题 1 Char Char Char Char"/>
    <w:autoRedefine/>
    <w:qFormat/>
    <w:uiPriority w:val="0"/>
    <w:rPr>
      <w:rFonts w:eastAsia="宋体"/>
      <w:b/>
      <w:bCs/>
      <w:kern w:val="44"/>
      <w:sz w:val="44"/>
      <w:szCs w:val="44"/>
      <w:lang w:val="en-US" w:eastAsia="zh-CN" w:bidi="ar-SA"/>
    </w:rPr>
  </w:style>
  <w:style w:type="character" w:customStyle="1" w:styleId="60">
    <w:name w:val="标题 1 字符"/>
    <w:basedOn w:val="23"/>
    <w:link w:val="2"/>
    <w:autoRedefine/>
    <w:qFormat/>
    <w:uiPriority w:val="9"/>
    <w:rPr>
      <w:rFonts w:ascii="Calibri" w:hAnsi="Calibri" w:eastAsia="宋体" w:cs="Times New Roman"/>
      <w:b/>
      <w:bCs/>
      <w:kern w:val="44"/>
      <w:sz w:val="44"/>
      <w:szCs w:val="44"/>
    </w:rPr>
  </w:style>
  <w:style w:type="character" w:customStyle="1" w:styleId="61">
    <w:name w:val="标题 2 字符"/>
    <w:basedOn w:val="23"/>
    <w:link w:val="3"/>
    <w:autoRedefine/>
    <w:qFormat/>
    <w:uiPriority w:val="0"/>
    <w:rPr>
      <w:rFonts w:ascii="Arial" w:hAnsi="Arial" w:eastAsia="黑体" w:cs="Times New Roman"/>
      <w:b/>
      <w:bCs/>
      <w:kern w:val="0"/>
      <w:sz w:val="32"/>
      <w:szCs w:val="32"/>
    </w:rPr>
  </w:style>
  <w:style w:type="character" w:customStyle="1" w:styleId="62">
    <w:name w:val="标题 4 字符"/>
    <w:basedOn w:val="23"/>
    <w:link w:val="5"/>
    <w:autoRedefine/>
    <w:qFormat/>
    <w:uiPriority w:val="0"/>
    <w:rPr>
      <w:rFonts w:ascii="Arial" w:hAnsi="Arial" w:eastAsia="黑体" w:cs="Times New Roman"/>
      <w:b/>
      <w:bCs/>
      <w:kern w:val="0"/>
      <w:sz w:val="28"/>
      <w:szCs w:val="28"/>
    </w:rPr>
  </w:style>
  <w:style w:type="character" w:customStyle="1" w:styleId="63">
    <w:name w:val="纯文本 字符1"/>
    <w:basedOn w:val="23"/>
    <w:link w:val="10"/>
    <w:autoRedefine/>
    <w:qFormat/>
    <w:uiPriority w:val="99"/>
    <w:rPr>
      <w:rFonts w:ascii="宋体" w:hAnsi="Courier New" w:eastAsia="宋体" w:cs="Times New Roman"/>
      <w:szCs w:val="21"/>
    </w:rPr>
  </w:style>
  <w:style w:type="character" w:customStyle="1" w:styleId="64">
    <w:name w:val="纯文本 字符"/>
    <w:autoRedefine/>
    <w:qFormat/>
    <w:uiPriority w:val="99"/>
    <w:rPr>
      <w:rFonts w:ascii="宋体" w:hAnsi="Courier New" w:eastAsia="宋体"/>
      <w:kern w:val="2"/>
      <w:sz w:val="21"/>
      <w:lang w:val="en-US" w:eastAsia="zh-CN" w:bidi="ar-SA"/>
    </w:rPr>
  </w:style>
  <w:style w:type="character" w:customStyle="1" w:styleId="65">
    <w:name w:val="正文文本 Char"/>
    <w:autoRedefine/>
    <w:qFormat/>
    <w:uiPriority w:val="0"/>
    <w:rPr>
      <w:sz w:val="24"/>
      <w:szCs w:val="22"/>
    </w:rPr>
  </w:style>
  <w:style w:type="character" w:customStyle="1" w:styleId="66">
    <w:name w:val="font21"/>
    <w:basedOn w:val="23"/>
    <w:autoRedefine/>
    <w:qFormat/>
    <w:uiPriority w:val="0"/>
    <w:rPr>
      <w:rFonts w:hint="eastAsia" w:ascii="宋体" w:hAnsi="宋体" w:eastAsia="宋体" w:cs="宋体"/>
      <w:color w:val="000000"/>
      <w:sz w:val="20"/>
      <w:szCs w:val="20"/>
      <w:u w:val="none"/>
    </w:rPr>
  </w:style>
  <w:style w:type="character" w:customStyle="1" w:styleId="67">
    <w:name w:val="font71"/>
    <w:basedOn w:val="23"/>
    <w:autoRedefine/>
    <w:qFormat/>
    <w:uiPriority w:val="0"/>
    <w:rPr>
      <w:rFonts w:hint="eastAsia" w:ascii="宋体" w:hAnsi="宋体" w:eastAsia="宋体" w:cs="宋体"/>
      <w:color w:val="FF0000"/>
      <w:sz w:val="20"/>
      <w:szCs w:val="20"/>
      <w:u w:val="none"/>
    </w:rPr>
  </w:style>
  <w:style w:type="character" w:customStyle="1" w:styleId="68">
    <w:name w:val="批注文字 字符"/>
    <w:basedOn w:val="23"/>
    <w:link w:val="7"/>
    <w:autoRedefine/>
    <w:semiHidden/>
    <w:qFormat/>
    <w:uiPriority w:val="99"/>
    <w:rPr>
      <w:rFonts w:ascii="Times New Roman" w:hAnsi="Times New Roman" w:eastAsia="宋体" w:cs="Times New Roman"/>
      <w:szCs w:val="20"/>
    </w:rPr>
  </w:style>
  <w:style w:type="character" w:customStyle="1" w:styleId="69">
    <w:name w:val="font51"/>
    <w:basedOn w:val="23"/>
    <w:autoRedefine/>
    <w:qFormat/>
    <w:uiPriority w:val="0"/>
    <w:rPr>
      <w:rFonts w:hint="eastAsia" w:ascii="宋体" w:hAnsi="宋体" w:eastAsia="宋体" w:cs="宋体"/>
      <w:color w:val="000000"/>
      <w:sz w:val="16"/>
      <w:szCs w:val="16"/>
      <w:u w:val="none"/>
    </w:rPr>
  </w:style>
  <w:style w:type="character" w:customStyle="1" w:styleId="70">
    <w:name w:val="font01"/>
    <w:basedOn w:val="23"/>
    <w:autoRedefine/>
    <w:qFormat/>
    <w:uiPriority w:val="0"/>
    <w:rPr>
      <w:rFonts w:hint="default" w:ascii="Arial" w:hAnsi="Arial" w:cs="Arial"/>
      <w:color w:val="000000"/>
      <w:sz w:val="16"/>
      <w:szCs w:val="16"/>
      <w:u w:val="none"/>
    </w:rPr>
  </w:style>
  <w:style w:type="character" w:customStyle="1" w:styleId="71">
    <w:name w:val="正文文本 字符"/>
    <w:basedOn w:val="23"/>
    <w:autoRedefine/>
    <w:semiHidden/>
    <w:qFormat/>
    <w:uiPriority w:val="99"/>
    <w:rPr>
      <w:rFonts w:ascii="Times New Roman" w:hAnsi="Times New Roman" w:eastAsia="宋体" w:cs="Times New Roman"/>
      <w:szCs w:val="20"/>
    </w:rPr>
  </w:style>
  <w:style w:type="character" w:customStyle="1" w:styleId="72">
    <w:name w:val="正文文本首行缩进 字符"/>
    <w:basedOn w:val="71"/>
    <w:link w:val="20"/>
    <w:autoRedefine/>
    <w:semiHidden/>
    <w:qFormat/>
    <w:uiPriority w:val="99"/>
    <w:rPr>
      <w:rFonts w:ascii="Times New Roman" w:hAnsi="Times New Roman" w:eastAsia="宋体" w:cs="Times New Roman"/>
      <w:sz w:val="24"/>
      <w:szCs w:val="24"/>
    </w:rPr>
  </w:style>
  <w:style w:type="character" w:customStyle="1" w:styleId="73">
    <w:name w:val="font112"/>
    <w:autoRedefine/>
    <w:qFormat/>
    <w:uiPriority w:val="0"/>
    <w:rPr>
      <w:rFonts w:hint="eastAsia" w:ascii="宋体" w:hAnsi="宋体" w:eastAsia="宋体" w:cs="宋体"/>
      <w:b/>
      <w:color w:val="000000"/>
      <w:sz w:val="22"/>
      <w:szCs w:val="22"/>
      <w:u w:val="none"/>
    </w:rPr>
  </w:style>
  <w:style w:type="character" w:customStyle="1" w:styleId="74">
    <w:name w:val="font121"/>
    <w:autoRedefine/>
    <w:qFormat/>
    <w:uiPriority w:val="0"/>
    <w:rPr>
      <w:rFonts w:hint="eastAsia" w:ascii="宋体" w:hAnsi="宋体" w:eastAsia="宋体" w:cs="宋体"/>
      <w:color w:val="000000"/>
      <w:sz w:val="24"/>
      <w:szCs w:val="24"/>
      <w:u w:val="none"/>
    </w:rPr>
  </w:style>
  <w:style w:type="character" w:customStyle="1" w:styleId="75">
    <w:name w:val="正文文本 字符1"/>
    <w:basedOn w:val="23"/>
    <w:link w:val="8"/>
    <w:autoRedefine/>
    <w:semiHidden/>
    <w:qFormat/>
    <w:locked/>
    <w:uiPriority w:val="99"/>
    <w:rPr>
      <w:rFonts w:ascii="Times New Roman" w:hAnsi="Times New Roman" w:eastAsia="宋体" w:cs="Times New Roman"/>
      <w:szCs w:val="24"/>
    </w:rPr>
  </w:style>
  <w:style w:type="character" w:customStyle="1" w:styleId="76">
    <w:name w:val="正文文本首行缩进 字符1"/>
    <w:basedOn w:val="75"/>
    <w:autoRedefine/>
    <w:semiHidden/>
    <w:qFormat/>
    <w:uiPriority w:val="99"/>
    <w:rPr>
      <w:rFonts w:ascii="Times New Roman" w:hAnsi="Times New Roman" w:eastAsia="宋体" w:cs="Times New Roman"/>
      <w:szCs w:val="24"/>
    </w:rPr>
  </w:style>
  <w:style w:type="character" w:customStyle="1" w:styleId="77">
    <w:name w:val="批注框文本 字符1"/>
    <w:basedOn w:val="23"/>
    <w:autoRedefine/>
    <w:semiHidden/>
    <w:qFormat/>
    <w:uiPriority w:val="99"/>
    <w:rPr>
      <w:kern w:val="2"/>
      <w:sz w:val="18"/>
      <w:szCs w:val="18"/>
    </w:rPr>
  </w:style>
  <w:style w:type="character" w:customStyle="1" w:styleId="78">
    <w:name w:val="页眉 字符1"/>
    <w:basedOn w:val="23"/>
    <w:autoRedefine/>
    <w:semiHidden/>
    <w:qFormat/>
    <w:uiPriority w:val="99"/>
    <w:rPr>
      <w:kern w:val="2"/>
      <w:sz w:val="18"/>
      <w:szCs w:val="18"/>
    </w:rPr>
  </w:style>
  <w:style w:type="character" w:customStyle="1" w:styleId="79">
    <w:name w:val="页脚 字符1"/>
    <w:basedOn w:val="23"/>
    <w:autoRedefine/>
    <w:semiHidden/>
    <w:qFormat/>
    <w:uiPriority w:val="99"/>
    <w:rPr>
      <w:kern w:val="2"/>
      <w:sz w:val="18"/>
      <w:szCs w:val="18"/>
    </w:rPr>
  </w:style>
  <w:style w:type="character" w:customStyle="1" w:styleId="80">
    <w:name w:val="日期 字符1"/>
    <w:basedOn w:val="23"/>
    <w:autoRedefine/>
    <w:semiHidden/>
    <w:qFormat/>
    <w:uiPriority w:val="99"/>
    <w:rPr>
      <w:kern w:val="2"/>
      <w:sz w:val="21"/>
      <w:szCs w:val="24"/>
    </w:rPr>
  </w:style>
  <w:style w:type="character" w:customStyle="1" w:styleId="81">
    <w:name w:val="标题 3 Char Char"/>
    <w:basedOn w:val="23"/>
    <w:autoRedefine/>
    <w:qFormat/>
    <w:uiPriority w:val="0"/>
    <w:rPr>
      <w:rFonts w:ascii="宋体" w:hAnsi="宋体"/>
    </w:rPr>
  </w:style>
  <w:style w:type="table" w:customStyle="1" w:styleId="82">
    <w:name w:val="Table Normal"/>
    <w:autoRedefine/>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83">
    <w:name w:val="列出段落1"/>
    <w:basedOn w:val="1"/>
    <w:autoRedefine/>
    <w:qFormat/>
    <w:uiPriority w:val="34"/>
    <w:pPr>
      <w:widowControl/>
      <w:ind w:firstLine="420" w:firstLineChars="200"/>
      <w:jc w:val="left"/>
    </w:pPr>
    <w:rPr>
      <w:rFonts w:eastAsiaTheme="minorEastAsia"/>
      <w:kern w:val="0"/>
      <w:sz w:val="22"/>
      <w:szCs w:val="22"/>
    </w:rPr>
  </w:style>
  <w:style w:type="paragraph" w:customStyle="1" w:styleId="84">
    <w:name w:val="样式5"/>
    <w:basedOn w:val="85"/>
    <w:autoRedefine/>
    <w:qFormat/>
    <w:uiPriority w:val="0"/>
    <w:pPr>
      <w:numPr>
        <w:numId w:val="3"/>
      </w:numPr>
      <w:spacing w:before="652" w:after="163"/>
    </w:pPr>
    <w:rPr>
      <w:b w:val="0"/>
    </w:rPr>
  </w:style>
  <w:style w:type="paragraph" w:customStyle="1" w:styleId="85">
    <w:name w:val="1级编号"/>
    <w:basedOn w:val="1"/>
    <w:autoRedefine/>
    <w:qFormat/>
    <w:uiPriority w:val="0"/>
    <w:pPr>
      <w:numPr>
        <w:ilvl w:val="0"/>
        <w:numId w:val="4"/>
      </w:numPr>
      <w:spacing w:beforeLines="200" w:afterLines="50" w:line="480" w:lineRule="exact"/>
      <w:jc w:val="center"/>
      <w:outlineLvl w:val="0"/>
    </w:pPr>
    <w:rPr>
      <w:rFonts w:eastAsia="仿宋"/>
      <w:b/>
      <w:sz w:val="28"/>
    </w:rPr>
  </w:style>
  <w:style w:type="character" w:customStyle="1" w:styleId="86">
    <w:name w:val="before"/>
    <w:basedOn w:val="23"/>
    <w:autoRedefine/>
    <w:qFormat/>
    <w:uiPriority w:val="0"/>
    <w:rPr>
      <w:rFonts w:hint="default" w:ascii="FontAwesome" w:hAnsi="FontAwesome" w:eastAsia="FontAwesome" w:cs="FontAwesome"/>
      <w:color w:val="888888"/>
    </w:rPr>
  </w:style>
  <w:style w:type="character" w:customStyle="1" w:styleId="87">
    <w:name w:val="before1"/>
    <w:basedOn w:val="23"/>
    <w:autoRedefine/>
    <w:qFormat/>
    <w:uiPriority w:val="0"/>
    <w:rPr>
      <w:rFonts w:hint="default" w:ascii="FontAwesome" w:hAnsi="FontAwesome" w:eastAsia="FontAwesome" w:cs="FontAwesome"/>
      <w:color w:val="888888"/>
    </w:rPr>
  </w:style>
  <w:style w:type="character" w:customStyle="1" w:styleId="88">
    <w:name w:val="first-child"/>
    <w:basedOn w:val="23"/>
    <w:autoRedefine/>
    <w:qFormat/>
    <w:uiPriority w:val="0"/>
  </w:style>
  <w:style w:type="character" w:customStyle="1" w:styleId="89">
    <w:name w:val="input-icon2"/>
    <w:basedOn w:val="23"/>
    <w:autoRedefine/>
    <w:qFormat/>
    <w:uiPriority w:val="0"/>
  </w:style>
  <w:style w:type="character" w:customStyle="1" w:styleId="90">
    <w:name w:val="ui-jqgrid-resize"/>
    <w:basedOn w:val="23"/>
    <w:autoRedefine/>
    <w:qFormat/>
    <w:uiPriority w:val="0"/>
  </w:style>
  <w:style w:type="character" w:customStyle="1" w:styleId="91">
    <w:name w:val="ui-icon32"/>
    <w:basedOn w:val="23"/>
    <w:autoRedefine/>
    <w:qFormat/>
    <w:uiPriority w:val="0"/>
  </w:style>
  <w:style w:type="character" w:customStyle="1" w:styleId="92">
    <w:name w:val="ui-icon33"/>
    <w:basedOn w:val="23"/>
    <w:autoRedefine/>
    <w:qFormat/>
    <w:uiPriority w:val="0"/>
  </w:style>
  <w:style w:type="character" w:customStyle="1" w:styleId="93">
    <w:name w:val="layui-this"/>
    <w:basedOn w:val="23"/>
    <w:autoRedefine/>
    <w:qFormat/>
    <w:uiPriority w:val="0"/>
    <w:rPr>
      <w:bdr w:val="single" w:color="EEEEEE" w:sz="6" w:space="0"/>
      <w:shd w:val="clear" w:fill="FFFFFF"/>
    </w:rPr>
  </w:style>
  <w:style w:type="character" w:customStyle="1" w:styleId="94">
    <w:name w:val="active6"/>
    <w:basedOn w:val="23"/>
    <w:autoRedefine/>
    <w:qFormat/>
    <w:uiPriority w:val="0"/>
    <w:rPr>
      <w:color w:val="FFFFFF"/>
      <w:shd w:val="clear" w:fill="428BCA"/>
    </w:rPr>
  </w:style>
  <w:style w:type="character" w:customStyle="1" w:styleId="95">
    <w:name w:val="hover6"/>
    <w:basedOn w:val="23"/>
    <w:autoRedefine/>
    <w:qFormat/>
    <w:uiPriority w:val="0"/>
    <w:rPr>
      <w:shd w:val="clear" w:fill="EEEEEE"/>
    </w:rPr>
  </w:style>
  <w:style w:type="character" w:customStyle="1" w:styleId="96">
    <w:name w:val="ui-icon37"/>
    <w:basedOn w:val="23"/>
    <w:autoRedefine/>
    <w:qFormat/>
    <w:uiPriority w:val="0"/>
  </w:style>
  <w:style w:type="character" w:customStyle="1" w:styleId="97">
    <w:name w:val="ui-icon38"/>
    <w:basedOn w:val="23"/>
    <w:autoRedefine/>
    <w:qFormat/>
    <w:uiPriority w:val="0"/>
  </w:style>
  <w:style w:type="character" w:customStyle="1" w:styleId="98">
    <w:name w:val="ui-icon39"/>
    <w:basedOn w:val="23"/>
    <w:autoRedefine/>
    <w:qFormat/>
    <w:uiPriority w:val="0"/>
  </w:style>
  <w:style w:type="character" w:customStyle="1" w:styleId="99">
    <w:name w:val="old"/>
    <w:basedOn w:val="23"/>
    <w:autoRedefine/>
    <w:qFormat/>
    <w:uiPriority w:val="0"/>
    <w:rPr>
      <w:color w:val="999999"/>
    </w:rPr>
  </w:style>
  <w:style w:type="paragraph" w:customStyle="1" w:styleId="100">
    <w:name w:val="章标题"/>
    <w:basedOn w:val="2"/>
    <w:autoRedefine/>
    <w:qFormat/>
    <w:uiPriority w:val="99"/>
    <w:pPr>
      <w:keepNext/>
      <w:keepLines/>
      <w:spacing w:before="340" w:after="330" w:line="578" w:lineRule="auto"/>
      <w:jc w:val="center"/>
    </w:pPr>
    <w:rPr>
      <w:rFonts w:ascii="Times New Roman" w:hAnsi="Times New Roman" w:cs="Times New Roman"/>
      <w:kern w:val="44"/>
    </w:rPr>
  </w:style>
  <w:style w:type="paragraph" w:customStyle="1" w:styleId="101">
    <w:name w:val="_Style 5"/>
    <w:basedOn w:val="2"/>
    <w:next w:val="1"/>
    <w:autoRedefine/>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2">
    <w:name w:val="A2"/>
    <w:basedOn w:val="3"/>
    <w:autoRedefine/>
    <w:qFormat/>
    <w:uiPriority w:val="0"/>
    <w:pPr>
      <w:numPr>
        <w:ilvl w:val="0"/>
        <w:numId w:val="0"/>
      </w:numPr>
      <w:adjustRightInd/>
      <w:spacing w:line="360" w:lineRule="auto"/>
      <w:ind w:left="28"/>
      <w:jc w:val="both"/>
      <w:textAlignment w:val="auto"/>
    </w:pPr>
    <w:rPr>
      <w:kern w:val="2"/>
      <w:sz w:val="28"/>
      <w:lang w:val="zh-CN"/>
    </w:rPr>
  </w:style>
  <w:style w:type="paragraph" w:customStyle="1" w:styleId="103">
    <w:name w:val="正文 A"/>
    <w:autoRedefine/>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04">
    <w:name w:val="列出段落"/>
    <w:autoRedefine/>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05">
    <w:name w:val="页脚1"/>
    <w:autoRedefine/>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06">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107">
    <w:name w:val="Table Paragraph"/>
    <w:basedOn w:val="1"/>
    <w:autoRedefine/>
    <w:qFormat/>
    <w:uiPriority w:val="1"/>
  </w:style>
  <w:style w:type="table" w:customStyle="1" w:styleId="108">
    <w:name w:val="Table Normal1"/>
    <w:autoRedefine/>
    <w:qFormat/>
    <w:uiPriority w:val="0"/>
    <w:rPr>
      <w:rFonts w:ascii="Times New Roman" w:hAnsi="Times New Roman" w:eastAsia="等线" w:cs="Times New Roman"/>
      <w:kern w:val="0"/>
      <w:sz w:val="20"/>
      <w:szCs w:val="20"/>
    </w:rPr>
    <w:tblPr>
      <w:tblCellMar>
        <w:top w:w="0" w:type="dxa"/>
        <w:left w:w="0" w:type="dxa"/>
        <w:bottom w:w="0" w:type="dxa"/>
        <w:right w:w="0" w:type="dxa"/>
      </w:tblCellMar>
    </w:tblPr>
  </w:style>
  <w:style w:type="character" w:customStyle="1" w:styleId="109">
    <w:name w:val="页码1"/>
    <w:basedOn w:val="23"/>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104</Pages>
  <Words>44322</Words>
  <Characters>47449</Characters>
  <Lines>526</Lines>
  <Paragraphs>148</Paragraphs>
  <TotalTime>1</TotalTime>
  <ScaleCrop>false</ScaleCrop>
  <LinksUpToDate>false</LinksUpToDate>
  <CharactersWithSpaces>50176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地瓜彤</cp:lastModifiedBy>
  <cp:lastPrinted>2024-02-18T03:14:00Z</cp:lastPrinted>
  <dcterms:modified xsi:type="dcterms:W3CDTF">2024-02-23T01:36:43Z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B2E0CA92DCB845029F10A5A1A0C86729_13</vt:lpwstr>
  </property>
</Properties>
</file>