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p>
    <w:p>
      <w:pPr>
        <w:spacing w:line="360" w:lineRule="auto"/>
        <w:ind w:firstLine="300" w:firstLineChars="50"/>
        <w:rPr>
          <w:sz w:val="60"/>
          <w:szCs w:val="60"/>
          <w:highlight w:val="none"/>
        </w:rPr>
      </w:pPr>
    </w:p>
    <w:p>
      <w:pPr>
        <w:jc w:val="center"/>
        <w:rPr>
          <w:b/>
          <w:bCs/>
          <w:sz w:val="60"/>
          <w:szCs w:val="60"/>
          <w:highlight w:val="none"/>
        </w:rPr>
      </w:pPr>
    </w:p>
    <w:p>
      <w:pPr>
        <w:tabs>
          <w:tab w:val="left" w:pos="2634"/>
          <w:tab w:val="center" w:pos="4596"/>
        </w:tabs>
        <w:jc w:val="left"/>
        <w:rPr>
          <w:b/>
          <w:bCs/>
          <w:sz w:val="60"/>
          <w:szCs w:val="60"/>
          <w:highlight w:val="none"/>
        </w:rPr>
      </w:pPr>
      <w:r>
        <w:rPr>
          <w:rFonts w:hint="eastAsia"/>
          <w:b/>
          <w:bCs/>
          <w:sz w:val="60"/>
          <w:szCs w:val="60"/>
          <w:highlight w:val="none"/>
          <w:lang w:eastAsia="zh-CN"/>
        </w:rPr>
        <w:tab/>
      </w:r>
      <w:r>
        <w:rPr>
          <w:rFonts w:hint="eastAsia"/>
          <w:b/>
          <w:bCs/>
          <w:sz w:val="60"/>
          <w:szCs w:val="60"/>
          <w:highlight w:val="none"/>
          <w:lang w:eastAsia="zh-CN"/>
        </w:rPr>
        <w:tab/>
      </w:r>
      <w:r>
        <w:rPr>
          <w:b/>
          <w:bCs/>
          <w:sz w:val="60"/>
          <w:szCs w:val="60"/>
          <w:highlight w:val="none"/>
        </w:rPr>
        <w:t>公开招标文件</w:t>
      </w: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jc w:val="center"/>
        <w:rPr>
          <w:b/>
          <w:bCs/>
          <w:sz w:val="60"/>
          <w:szCs w:val="60"/>
          <w:highlight w:val="none"/>
        </w:rPr>
      </w:pPr>
    </w:p>
    <w:p>
      <w:pPr>
        <w:spacing w:line="360" w:lineRule="auto"/>
        <w:jc w:val="center"/>
        <w:rPr>
          <w:sz w:val="60"/>
          <w:szCs w:val="60"/>
          <w:highlight w:val="none"/>
        </w:rPr>
      </w:pPr>
    </w:p>
    <w:p>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庞各庄镇2023-2024年农村地区“煤改清洁能源”长效管护项目</w:t>
      </w: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项目编号/包号：</w:t>
      </w:r>
      <w:r>
        <w:rPr>
          <w:rFonts w:hint="eastAsia"/>
          <w:bCs/>
          <w:sz w:val="36"/>
          <w:szCs w:val="36"/>
          <w:highlight w:val="none"/>
        </w:rPr>
        <w:t>11011523210200015094-XM001</w:t>
      </w:r>
    </w:p>
    <w:p>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北京市大兴区庞各庄镇人民政府</w:t>
      </w: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采购代理机构：</w:t>
      </w:r>
      <w:r>
        <w:rPr>
          <w:rFonts w:hint="eastAsia" w:ascii="宋体" w:hAnsi="宋体"/>
          <w:bCs/>
          <w:sz w:val="36"/>
          <w:szCs w:val="36"/>
          <w:highlight w:val="none"/>
        </w:rPr>
        <w:t>北京正采工程咨询有限公司</w:t>
      </w:r>
      <w:r>
        <w:rPr>
          <w:bCs/>
          <w:sz w:val="36"/>
          <w:szCs w:val="36"/>
          <w:highlight w:val="none"/>
        </w:rPr>
        <w:t xml:space="preserve"> </w:t>
      </w:r>
    </w:p>
    <w:p>
      <w:pPr>
        <w:widowControl/>
        <w:jc w:val="left"/>
        <w:rPr>
          <w:b/>
          <w:bCs/>
          <w:sz w:val="44"/>
          <w:highlight w:val="none"/>
        </w:rPr>
      </w:pPr>
      <w:r>
        <w:rPr>
          <w:b/>
          <w:bCs/>
          <w:sz w:val="44"/>
          <w:highlight w:val="none"/>
        </w:rPr>
        <w:br w:type="page"/>
      </w:r>
    </w:p>
    <w:p>
      <w:pPr>
        <w:spacing w:line="360" w:lineRule="auto"/>
        <w:jc w:val="center"/>
        <w:outlineLvl w:val="0"/>
        <w:rPr>
          <w:b/>
          <w:sz w:val="36"/>
          <w:szCs w:val="36"/>
          <w:highlight w:val="none"/>
        </w:rPr>
      </w:pPr>
      <w:bookmarkStart w:id="0" w:name="_Toc99301418"/>
      <w:r>
        <w:rPr>
          <w:b/>
          <w:sz w:val="36"/>
          <w:szCs w:val="36"/>
          <w:highlight w:val="none"/>
        </w:rPr>
        <w:t>目      录</w:t>
      </w:r>
      <w:bookmarkEnd w:id="0"/>
    </w:p>
    <w:p>
      <w:pPr>
        <w:rPr>
          <w:highlight w:val="none"/>
        </w:rPr>
      </w:pPr>
    </w:p>
    <w:p>
      <w:pPr>
        <w:rPr>
          <w:highlight w:val="none"/>
        </w:rPr>
      </w:pPr>
    </w:p>
    <w:p>
      <w:pPr>
        <w:rPr>
          <w:highlight w:val="none"/>
        </w:rPr>
      </w:pPr>
    </w:p>
    <w:p>
      <w:pPr>
        <w:pStyle w:val="30"/>
        <w:rPr>
          <w:rFonts w:ascii="Times New Roman" w:hAnsi="Times New Roman" w:eastAsiaTheme="minorEastAsia"/>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50"/>
          <w:rFonts w:ascii="Times New Roman" w:hAnsi="Times New Roman"/>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2</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50"/>
          <w:rFonts w:ascii="Times New Roman" w:hAnsi="Times New Roman"/>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6</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50"/>
          <w:rFonts w:ascii="Times New Roman" w:hAnsi="Times New Roman"/>
          <w:highlight w:val="none"/>
        </w:rPr>
        <w:t>第三章   资格审查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50"/>
          <w:rFonts w:ascii="Times New Roman" w:hAnsi="Times New Roman"/>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25</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50"/>
          <w:rFonts w:ascii="Times New Roman" w:hAnsi="Times New Roman"/>
          <w:highlight w:val="none"/>
        </w:rPr>
        <w:t>第五章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33</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50"/>
          <w:rFonts w:ascii="Times New Roman" w:hAnsi="Times New Roman"/>
          <w:highlight w:val="none"/>
        </w:rPr>
        <w:t>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36</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50"/>
          <w:rFonts w:ascii="Times New Roman" w:hAnsi="Times New Roman"/>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36</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b w:val="0"/>
          <w:highlight w:val="none"/>
        </w:rPr>
      </w:pPr>
      <w:r>
        <w:rPr>
          <w:rFonts w:ascii="Times New Roman" w:hAnsi="Times New Roman"/>
          <w:b w:val="0"/>
          <w:highlight w:val="none"/>
        </w:rPr>
        <w:fldChar w:fldCharType="end"/>
      </w:r>
    </w:p>
    <w:p>
      <w:pPr>
        <w:spacing w:line="360" w:lineRule="auto"/>
        <w:jc w:val="center"/>
        <w:outlineLvl w:val="0"/>
        <w:rPr>
          <w:b/>
          <w:sz w:val="36"/>
          <w:szCs w:val="36"/>
          <w:highlight w:val="none"/>
        </w:rPr>
      </w:pPr>
      <w:r>
        <w:rPr>
          <w:sz w:val="24"/>
          <w:highlight w:val="none"/>
        </w:rPr>
        <w:br w:type="page"/>
      </w:r>
      <w:bookmarkStart w:id="1" w:name="_Toc99301419"/>
      <w:r>
        <w:rPr>
          <w:b/>
          <w:sz w:val="36"/>
          <w:szCs w:val="36"/>
          <w:highlight w:val="none"/>
        </w:rPr>
        <w:t>第一章   投标邀请</w:t>
      </w:r>
      <w:bookmarkEnd w:id="1"/>
    </w:p>
    <w:p>
      <w:pPr>
        <w:spacing w:line="360" w:lineRule="auto"/>
        <w:ind w:firstLine="640" w:firstLineChars="200"/>
        <w:rPr>
          <w:sz w:val="32"/>
          <w:szCs w:val="32"/>
          <w:highlight w:val="none"/>
        </w:rPr>
      </w:pPr>
    </w:p>
    <w:p>
      <w:pPr>
        <w:pStyle w:val="4"/>
        <w:spacing w:before="0" w:line="360" w:lineRule="auto"/>
        <w:jc w:val="left"/>
        <w:rPr>
          <w:rFonts w:ascii="Times New Roman" w:hAnsi="Times New Roman" w:eastAsia="宋体"/>
          <w:sz w:val="24"/>
          <w:szCs w:val="24"/>
          <w:highlight w:val="none"/>
        </w:rPr>
      </w:pPr>
      <w:bookmarkStart w:id="2" w:name="_Toc28359002"/>
      <w:bookmarkStart w:id="3" w:name="_Toc35393621"/>
      <w:bookmarkStart w:id="4" w:name="_Toc28359079"/>
      <w:bookmarkStart w:id="5" w:name="_Toc35393790"/>
      <w:bookmarkStart w:id="6" w:name="_Hlk24379207"/>
      <w:r>
        <w:rPr>
          <w:rFonts w:ascii="Times New Roman" w:hAnsi="Times New Roman" w:eastAsia="宋体"/>
          <w:sz w:val="24"/>
          <w:szCs w:val="24"/>
          <w:highlight w:val="none"/>
        </w:rPr>
        <w:t>一、项目基本情况</w:t>
      </w:r>
      <w:bookmarkEnd w:id="2"/>
      <w:bookmarkEnd w:id="3"/>
      <w:bookmarkEnd w:id="4"/>
      <w:bookmarkEnd w:id="5"/>
    </w:p>
    <w:p>
      <w:pPr>
        <w:spacing w:line="360" w:lineRule="auto"/>
        <w:ind w:firstLine="480" w:firstLineChars="200"/>
        <w:rPr>
          <w:sz w:val="24"/>
          <w:highlight w:val="none"/>
        </w:rPr>
      </w:pPr>
      <w:r>
        <w:rPr>
          <w:sz w:val="24"/>
          <w:highlight w:val="none"/>
        </w:rPr>
        <w:t>1.项目编号：</w:t>
      </w:r>
      <w:r>
        <w:rPr>
          <w:rFonts w:hint="eastAsia"/>
          <w:sz w:val="24"/>
          <w:highlight w:val="none"/>
        </w:rPr>
        <w:t>11011523210200015094-XM001</w:t>
      </w:r>
    </w:p>
    <w:p>
      <w:pPr>
        <w:spacing w:line="360" w:lineRule="auto"/>
        <w:ind w:firstLine="480" w:firstLineChars="200"/>
        <w:rPr>
          <w:rFonts w:hint="eastAsia" w:eastAsia="宋体"/>
          <w:sz w:val="24"/>
          <w:highlight w:val="none"/>
          <w:lang w:eastAsia="zh-CN"/>
        </w:rPr>
      </w:pPr>
      <w:r>
        <w:rPr>
          <w:sz w:val="24"/>
          <w:highlight w:val="none"/>
        </w:rPr>
        <w:t>2.项目名称：</w:t>
      </w:r>
      <w:r>
        <w:rPr>
          <w:rFonts w:hint="eastAsia"/>
          <w:sz w:val="24"/>
          <w:highlight w:val="none"/>
          <w:lang w:eastAsia="zh-CN"/>
        </w:rPr>
        <w:t>庞各庄镇2023-2024年农村地区“煤改清洁能源”长效管护项目</w:t>
      </w:r>
    </w:p>
    <w:bookmarkEnd w:id="6"/>
    <w:p>
      <w:pPr>
        <w:spacing w:line="360" w:lineRule="auto"/>
        <w:ind w:firstLine="480" w:firstLineChars="200"/>
        <w:rPr>
          <w:sz w:val="24"/>
          <w:highlight w:val="none"/>
        </w:rPr>
      </w:pPr>
      <w:r>
        <w:rPr>
          <w:sz w:val="24"/>
          <w:highlight w:val="none"/>
        </w:rPr>
        <w:t>3.项目预算金额：</w:t>
      </w:r>
      <w:r>
        <w:rPr>
          <w:rFonts w:hint="eastAsia"/>
          <w:sz w:val="24"/>
          <w:highlight w:val="none"/>
          <w:lang w:val="en-US" w:eastAsia="zh-CN"/>
        </w:rPr>
        <w:t>426.417</w:t>
      </w:r>
      <w:r>
        <w:rPr>
          <w:sz w:val="24"/>
          <w:highlight w:val="none"/>
        </w:rPr>
        <w:t>万元、项目最高限价（如有）：</w:t>
      </w:r>
      <w:r>
        <w:rPr>
          <w:rFonts w:hint="eastAsia"/>
          <w:sz w:val="24"/>
          <w:highlight w:val="none"/>
          <w:lang w:val="en-US" w:eastAsia="zh-CN"/>
        </w:rPr>
        <w:t>426.417</w:t>
      </w:r>
      <w:r>
        <w:rPr>
          <w:sz w:val="24"/>
          <w:highlight w:val="none"/>
        </w:rPr>
        <w:t>万元</w:t>
      </w:r>
    </w:p>
    <w:p>
      <w:pPr>
        <w:spacing w:line="360" w:lineRule="auto"/>
        <w:ind w:firstLine="480" w:firstLineChars="200"/>
        <w:rPr>
          <w:sz w:val="24"/>
          <w:highlight w:val="none"/>
        </w:rPr>
      </w:pPr>
      <w:r>
        <w:rPr>
          <w:sz w:val="24"/>
          <w:highlight w:val="none"/>
        </w:rPr>
        <w:t>4.采购需求：</w:t>
      </w:r>
    </w:p>
    <w:tbl>
      <w:tblPr>
        <w:tblStyle w:val="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2203"/>
        <w:gridCol w:w="1566"/>
        <w:gridCol w:w="916"/>
        <w:gridCol w:w="3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353" w:type="pct"/>
            <w:vAlign w:val="center"/>
          </w:tcPr>
          <w:p>
            <w:pPr>
              <w:keepNext w:val="0"/>
              <w:keepLines w:val="0"/>
              <w:suppressLineNumbers w:val="0"/>
              <w:spacing w:before="0" w:beforeAutospacing="0" w:after="0" w:afterAutospacing="0"/>
              <w:ind w:left="0" w:right="0"/>
              <w:jc w:val="center"/>
              <w:rPr>
                <w:rFonts w:hint="eastAsia" w:eastAsia="宋体"/>
                <w:bCs/>
                <w:szCs w:val="21"/>
                <w:highlight w:val="none"/>
                <w:lang w:val="en-US" w:eastAsia="zh-CN"/>
              </w:rPr>
            </w:pPr>
            <w:r>
              <w:rPr>
                <w:rFonts w:hint="eastAsia"/>
                <w:bCs/>
                <w:szCs w:val="21"/>
                <w:highlight w:val="none"/>
                <w:lang w:val="en-US" w:eastAsia="zh-CN"/>
              </w:rPr>
              <w:t>包号</w:t>
            </w:r>
          </w:p>
        </w:tc>
        <w:tc>
          <w:tcPr>
            <w:tcW w:w="1186" w:type="pct"/>
            <w:vAlign w:val="center"/>
          </w:tcPr>
          <w:p>
            <w:pPr>
              <w:keepNext w:val="0"/>
              <w:keepLines w:val="0"/>
              <w:suppressLineNumbers w:val="0"/>
              <w:spacing w:before="0" w:beforeAutospacing="0" w:after="0" w:afterAutospacing="0"/>
              <w:ind w:left="0" w:right="0"/>
              <w:jc w:val="center"/>
              <w:rPr>
                <w:rFonts w:hint="default"/>
                <w:bCs/>
                <w:szCs w:val="21"/>
                <w:highlight w:val="none"/>
              </w:rPr>
            </w:pPr>
            <w:r>
              <w:rPr>
                <w:rFonts w:hint="default"/>
                <w:bCs/>
                <w:szCs w:val="21"/>
                <w:highlight w:val="none"/>
              </w:rPr>
              <w:t>标的名称</w:t>
            </w:r>
          </w:p>
        </w:tc>
        <w:tc>
          <w:tcPr>
            <w:tcW w:w="843" w:type="pct"/>
            <w:vAlign w:val="center"/>
          </w:tcPr>
          <w:p>
            <w:pPr>
              <w:keepNext w:val="0"/>
              <w:keepLines w:val="0"/>
              <w:suppressLineNumbers w:val="0"/>
              <w:spacing w:before="0" w:beforeAutospacing="0" w:after="0" w:afterAutospacing="0"/>
              <w:ind w:left="0" w:right="0"/>
              <w:jc w:val="center"/>
              <w:rPr>
                <w:rFonts w:hint="default"/>
                <w:bCs/>
                <w:szCs w:val="21"/>
                <w:highlight w:val="none"/>
              </w:rPr>
            </w:pPr>
            <w:r>
              <w:rPr>
                <w:rFonts w:hint="default"/>
                <w:bCs/>
                <w:szCs w:val="21"/>
                <w:highlight w:val="none"/>
              </w:rPr>
              <w:t>采购包预算金额</w:t>
            </w:r>
          </w:p>
          <w:p>
            <w:pPr>
              <w:keepNext w:val="0"/>
              <w:keepLines w:val="0"/>
              <w:suppressLineNumbers w:val="0"/>
              <w:spacing w:before="0" w:beforeAutospacing="0" w:after="0" w:afterAutospacing="0"/>
              <w:ind w:left="0" w:right="0"/>
              <w:jc w:val="center"/>
              <w:rPr>
                <w:rFonts w:hint="default"/>
                <w:bCs/>
                <w:szCs w:val="21"/>
                <w:highlight w:val="none"/>
              </w:rPr>
            </w:pPr>
            <w:r>
              <w:rPr>
                <w:rFonts w:hint="default"/>
                <w:bCs/>
                <w:szCs w:val="21"/>
                <w:highlight w:val="none"/>
              </w:rPr>
              <w:t>（万元）</w:t>
            </w:r>
          </w:p>
        </w:tc>
        <w:tc>
          <w:tcPr>
            <w:tcW w:w="493" w:type="pct"/>
            <w:vAlign w:val="center"/>
          </w:tcPr>
          <w:p>
            <w:pPr>
              <w:keepNext w:val="0"/>
              <w:keepLines w:val="0"/>
              <w:suppressLineNumbers w:val="0"/>
              <w:spacing w:before="0" w:beforeAutospacing="0" w:after="0" w:afterAutospacing="0"/>
              <w:ind w:left="0" w:right="0"/>
              <w:jc w:val="center"/>
              <w:rPr>
                <w:rFonts w:hint="default"/>
                <w:bCs/>
                <w:szCs w:val="21"/>
                <w:highlight w:val="none"/>
              </w:rPr>
            </w:pPr>
            <w:r>
              <w:rPr>
                <w:rFonts w:hint="default"/>
                <w:bCs/>
                <w:szCs w:val="21"/>
                <w:highlight w:val="none"/>
              </w:rPr>
              <w:t>数量</w:t>
            </w:r>
          </w:p>
        </w:tc>
        <w:tc>
          <w:tcPr>
            <w:tcW w:w="2122" w:type="pct"/>
            <w:vAlign w:val="center"/>
          </w:tcPr>
          <w:p>
            <w:pPr>
              <w:keepNext w:val="0"/>
              <w:keepLines w:val="0"/>
              <w:suppressLineNumbers w:val="0"/>
              <w:spacing w:before="0" w:beforeAutospacing="0" w:after="0" w:afterAutospacing="0"/>
              <w:ind w:left="0" w:right="0"/>
              <w:jc w:val="center"/>
              <w:rPr>
                <w:rFonts w:hint="default"/>
                <w:szCs w:val="21"/>
                <w:highlight w:val="none"/>
              </w:rPr>
            </w:pPr>
            <w:r>
              <w:rPr>
                <w:rFonts w:hint="default"/>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1</w:t>
            </w:r>
          </w:p>
        </w:tc>
        <w:tc>
          <w:tcPr>
            <w:tcW w:w="1186" w:type="pct"/>
            <w:vAlign w:val="center"/>
          </w:tcPr>
          <w:p>
            <w:pPr>
              <w:keepNext w:val="0"/>
              <w:keepLines w:val="0"/>
              <w:suppressLineNumbers w:val="0"/>
              <w:spacing w:before="0" w:beforeAutospacing="0" w:after="0" w:afterAutospacing="0"/>
              <w:ind w:left="0" w:right="0"/>
              <w:jc w:val="center"/>
              <w:rPr>
                <w:rFonts w:hint="default" w:eastAsia="宋体"/>
                <w:bCs/>
                <w:szCs w:val="21"/>
                <w:highlight w:val="none"/>
                <w:lang w:val="en-US" w:eastAsia="zh-CN"/>
              </w:rPr>
            </w:pPr>
            <w:r>
              <w:rPr>
                <w:rFonts w:hint="eastAsia"/>
                <w:bCs/>
                <w:szCs w:val="21"/>
                <w:highlight w:val="none"/>
                <w:lang w:eastAsia="zh-CN"/>
              </w:rPr>
              <w:t>庞各庄镇2023-2024年农村地区“煤改清洁能源”长效管护项目</w:t>
            </w:r>
            <w:r>
              <w:rPr>
                <w:rFonts w:hint="eastAsia"/>
                <w:bCs/>
                <w:szCs w:val="21"/>
                <w:highlight w:val="none"/>
                <w:lang w:val="en-US" w:eastAsia="zh-CN"/>
              </w:rPr>
              <w:t>第一包</w:t>
            </w:r>
          </w:p>
        </w:tc>
        <w:tc>
          <w:tcPr>
            <w:tcW w:w="843" w:type="pct"/>
            <w:vAlign w:val="center"/>
          </w:tcPr>
          <w:p>
            <w:pPr>
              <w:keepNext w:val="0"/>
              <w:keepLines w:val="0"/>
              <w:suppressLineNumbers w:val="0"/>
              <w:spacing w:before="0" w:beforeAutospacing="0" w:after="0" w:afterAutospacing="0"/>
              <w:ind w:left="0" w:right="0"/>
              <w:jc w:val="center"/>
              <w:rPr>
                <w:rFonts w:hint="default" w:eastAsia="宋体"/>
                <w:bCs/>
                <w:szCs w:val="21"/>
                <w:highlight w:val="none"/>
                <w:lang w:val="en-US" w:eastAsia="zh-CN"/>
              </w:rPr>
            </w:pPr>
            <w:r>
              <w:rPr>
                <w:rFonts w:hint="eastAsia"/>
                <w:bCs/>
                <w:szCs w:val="21"/>
                <w:highlight w:val="none"/>
                <w:lang w:val="en-US" w:eastAsia="zh-CN"/>
              </w:rPr>
              <w:t>139</w:t>
            </w:r>
          </w:p>
        </w:tc>
        <w:tc>
          <w:tcPr>
            <w:tcW w:w="493" w:type="pct"/>
            <w:vAlign w:val="center"/>
          </w:tcPr>
          <w:p>
            <w:pPr>
              <w:keepNext w:val="0"/>
              <w:keepLines w:val="0"/>
              <w:suppressLineNumbers w:val="0"/>
              <w:spacing w:before="0" w:beforeAutospacing="0" w:after="0" w:afterAutospacing="0"/>
              <w:ind w:left="0" w:right="0"/>
              <w:jc w:val="center"/>
              <w:rPr>
                <w:rFonts w:hint="eastAsia" w:eastAsia="宋体"/>
                <w:bCs/>
                <w:szCs w:val="21"/>
                <w:highlight w:val="none"/>
                <w:lang w:val="en-US" w:eastAsia="zh-CN"/>
              </w:rPr>
            </w:pPr>
            <w:r>
              <w:rPr>
                <w:rFonts w:hint="eastAsia"/>
                <w:bCs/>
                <w:szCs w:val="21"/>
                <w:highlight w:val="none"/>
                <w:lang w:val="en-US" w:eastAsia="zh-CN"/>
              </w:rPr>
              <w:t>1</w:t>
            </w:r>
          </w:p>
        </w:tc>
        <w:tc>
          <w:tcPr>
            <w:tcW w:w="2122" w:type="pct"/>
            <w:vAlign w:val="center"/>
          </w:tcPr>
          <w:p>
            <w:pPr>
              <w:keepNext w:val="0"/>
              <w:keepLines w:val="0"/>
              <w:suppressLineNumbers w:val="0"/>
              <w:spacing w:before="0" w:beforeAutospacing="0" w:after="0" w:afterAutospacing="0"/>
              <w:ind w:left="0" w:right="0"/>
              <w:jc w:val="left"/>
              <w:rPr>
                <w:rFonts w:hint="default" w:eastAsia="宋体"/>
                <w:kern w:val="0"/>
                <w:szCs w:val="21"/>
                <w:highlight w:val="none"/>
                <w:lang w:val="en-US" w:eastAsia="zh-CN"/>
              </w:rPr>
            </w:pPr>
            <w:r>
              <w:rPr>
                <w:rFonts w:hint="eastAsia" w:ascii="宋体" w:hAnsi="宋体" w:cs="宋体"/>
                <w:sz w:val="21"/>
                <w:szCs w:val="21"/>
                <w:highlight w:val="none"/>
                <w:lang w:val="en-US" w:eastAsia="zh-CN"/>
              </w:rPr>
              <w:t>对</w:t>
            </w:r>
            <w:r>
              <w:rPr>
                <w:rFonts w:hint="eastAsia" w:ascii="宋体" w:hAnsi="宋体" w:eastAsia="宋体" w:cs="宋体"/>
                <w:sz w:val="21"/>
                <w:szCs w:val="21"/>
                <w:highlight w:val="none"/>
              </w:rPr>
              <w:t>北李渠</w:t>
            </w:r>
            <w:r>
              <w:rPr>
                <w:rFonts w:hint="eastAsia" w:ascii="宋体" w:hAnsi="宋体" w:eastAsia="宋体" w:cs="宋体"/>
                <w:sz w:val="21"/>
                <w:szCs w:val="21"/>
                <w:highlight w:val="none"/>
                <w:lang w:val="en-US" w:eastAsia="zh-CN"/>
              </w:rPr>
              <w:t>等</w:t>
            </w:r>
            <w:r>
              <w:rPr>
                <w:rFonts w:hint="eastAsia" w:ascii="宋体" w:hAnsi="宋体" w:cs="宋体"/>
                <w:sz w:val="21"/>
                <w:szCs w:val="21"/>
                <w:highlight w:val="none"/>
                <w:lang w:val="en-US" w:eastAsia="zh-CN"/>
              </w:rPr>
              <w:t>14</w:t>
            </w:r>
            <w:r>
              <w:rPr>
                <w:rFonts w:hint="eastAsia" w:ascii="宋体" w:hAnsi="宋体" w:eastAsia="宋体" w:cs="宋体"/>
                <w:sz w:val="21"/>
                <w:szCs w:val="21"/>
                <w:highlight w:val="none"/>
              </w:rPr>
              <w:t>个村</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建立清洁能源设备维护长效机制及售后服务体系，做好取暖设备运行服务管理，实现设备故障报修1小时上门，2小时解决问题的服务体系和相应保障能力为工作目标，切实做好“煤改清洁能源”设备供暖保障工作</w:t>
            </w:r>
            <w:r>
              <w:rPr>
                <w:rFonts w:hint="eastAsia" w:ascii="宋体" w:hAnsi="宋体" w:eastAsia="宋体" w:cs="宋体"/>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2</w:t>
            </w:r>
          </w:p>
        </w:tc>
        <w:tc>
          <w:tcPr>
            <w:tcW w:w="1186" w:type="pct"/>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bCs/>
                <w:kern w:val="2"/>
                <w:sz w:val="21"/>
                <w:szCs w:val="21"/>
                <w:highlight w:val="none"/>
                <w:lang w:val="en-US" w:eastAsia="zh-CN" w:bidi="ar-SA"/>
              </w:rPr>
            </w:pPr>
            <w:r>
              <w:rPr>
                <w:rFonts w:hint="eastAsia"/>
                <w:bCs/>
                <w:szCs w:val="21"/>
                <w:highlight w:val="none"/>
                <w:lang w:eastAsia="zh-CN"/>
              </w:rPr>
              <w:t>庞各庄镇2023-2024年农村地区“煤改清洁能源”长效管护项目</w:t>
            </w:r>
            <w:r>
              <w:rPr>
                <w:rFonts w:hint="eastAsia"/>
                <w:bCs/>
                <w:szCs w:val="21"/>
                <w:highlight w:val="none"/>
                <w:lang w:val="en-US" w:eastAsia="zh-CN"/>
              </w:rPr>
              <w:t>第二包</w:t>
            </w:r>
          </w:p>
        </w:tc>
        <w:tc>
          <w:tcPr>
            <w:tcW w:w="84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95.217</w:t>
            </w:r>
          </w:p>
        </w:tc>
        <w:tc>
          <w:tcPr>
            <w:tcW w:w="49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1</w:t>
            </w:r>
          </w:p>
        </w:tc>
        <w:tc>
          <w:tcPr>
            <w:tcW w:w="2122" w:type="pct"/>
            <w:vAlign w:val="center"/>
          </w:tcPr>
          <w:p>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对</w:t>
            </w:r>
            <w:r>
              <w:rPr>
                <w:rFonts w:hint="eastAsia" w:ascii="宋体" w:hAnsi="宋体" w:eastAsia="宋体" w:cs="宋体"/>
                <w:sz w:val="21"/>
                <w:szCs w:val="21"/>
                <w:highlight w:val="none"/>
              </w:rPr>
              <w:t>东梨园</w:t>
            </w:r>
            <w:r>
              <w:rPr>
                <w:rFonts w:hint="eastAsia" w:ascii="宋体" w:hAnsi="宋体" w:eastAsia="宋体" w:cs="宋体"/>
                <w:sz w:val="21"/>
                <w:szCs w:val="21"/>
                <w:highlight w:val="none"/>
                <w:lang w:val="en-US" w:eastAsia="zh-CN"/>
              </w:rPr>
              <w:t>等</w:t>
            </w:r>
            <w:r>
              <w:rPr>
                <w:rFonts w:hint="eastAsia" w:ascii="宋体" w:hAnsi="宋体" w:cs="宋体"/>
                <w:sz w:val="21"/>
                <w:szCs w:val="21"/>
                <w:highlight w:val="none"/>
                <w:lang w:val="en-US" w:eastAsia="zh-CN"/>
              </w:rPr>
              <w:t>16</w:t>
            </w:r>
            <w:r>
              <w:rPr>
                <w:rFonts w:hint="eastAsia" w:ascii="宋体" w:hAnsi="宋体" w:eastAsia="宋体" w:cs="宋体"/>
                <w:sz w:val="21"/>
                <w:szCs w:val="21"/>
                <w:highlight w:val="none"/>
              </w:rPr>
              <w:t>个村</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建立清洁能源设备维护长效机制及售后服务体系，做好取暖设备运行服务管理，实现设备故障报修1小时上门，2小时解决问题的服务体系和相应保障能力为工作目标，切实做好“煤改清洁能源”设备供暖保障工作</w:t>
            </w:r>
            <w:r>
              <w:rPr>
                <w:rFonts w:hint="eastAsia" w:ascii="宋体" w:hAnsi="宋体" w:eastAsia="宋体" w:cs="宋体"/>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3</w:t>
            </w:r>
          </w:p>
        </w:tc>
        <w:tc>
          <w:tcPr>
            <w:tcW w:w="1186" w:type="pct"/>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bCs/>
                <w:kern w:val="2"/>
                <w:sz w:val="21"/>
                <w:szCs w:val="21"/>
                <w:highlight w:val="none"/>
                <w:lang w:val="en-US" w:eastAsia="zh-CN" w:bidi="ar-SA"/>
              </w:rPr>
            </w:pPr>
            <w:r>
              <w:rPr>
                <w:rFonts w:hint="eastAsia"/>
                <w:bCs/>
                <w:szCs w:val="21"/>
                <w:highlight w:val="none"/>
                <w:lang w:eastAsia="zh-CN"/>
              </w:rPr>
              <w:t>庞各庄镇2023-2024年农村地区“煤改清洁能源”长效管护项目</w:t>
            </w:r>
            <w:r>
              <w:rPr>
                <w:rFonts w:hint="eastAsia"/>
                <w:bCs/>
                <w:szCs w:val="21"/>
                <w:highlight w:val="none"/>
                <w:lang w:val="en-US" w:eastAsia="zh-CN"/>
              </w:rPr>
              <w:t>第三包</w:t>
            </w:r>
          </w:p>
        </w:tc>
        <w:tc>
          <w:tcPr>
            <w:tcW w:w="84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192.2</w:t>
            </w:r>
          </w:p>
        </w:tc>
        <w:tc>
          <w:tcPr>
            <w:tcW w:w="493" w:type="pct"/>
            <w:vAlign w:val="center"/>
          </w:tcPr>
          <w:p>
            <w:pPr>
              <w:keepNext w:val="0"/>
              <w:keepLines w:val="0"/>
              <w:suppressLineNumbers w:val="0"/>
              <w:spacing w:before="0" w:beforeAutospacing="0" w:after="0" w:afterAutospacing="0"/>
              <w:ind w:left="0" w:right="0"/>
              <w:jc w:val="center"/>
              <w:rPr>
                <w:rFonts w:hint="default"/>
                <w:bCs/>
                <w:szCs w:val="21"/>
                <w:highlight w:val="none"/>
                <w:lang w:val="en-US" w:eastAsia="zh-CN"/>
              </w:rPr>
            </w:pPr>
            <w:r>
              <w:rPr>
                <w:rFonts w:hint="eastAsia"/>
                <w:bCs/>
                <w:szCs w:val="21"/>
                <w:highlight w:val="none"/>
                <w:lang w:val="en-US" w:eastAsia="zh-CN"/>
              </w:rPr>
              <w:t>1</w:t>
            </w:r>
          </w:p>
        </w:tc>
        <w:tc>
          <w:tcPr>
            <w:tcW w:w="2122" w:type="pct"/>
            <w:vAlign w:val="center"/>
          </w:tcPr>
          <w:p>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对</w:t>
            </w:r>
            <w:r>
              <w:rPr>
                <w:rFonts w:hint="eastAsia" w:ascii="宋体" w:hAnsi="宋体" w:eastAsia="宋体" w:cs="宋体"/>
                <w:sz w:val="21"/>
                <w:szCs w:val="21"/>
                <w:highlight w:val="none"/>
                <w:lang w:val="en-US" w:eastAsia="zh-CN"/>
              </w:rPr>
              <w:t>福上等</w:t>
            </w:r>
            <w:r>
              <w:rPr>
                <w:rFonts w:hint="eastAsia" w:ascii="宋体" w:hAnsi="宋体" w:cs="宋体"/>
                <w:sz w:val="21"/>
                <w:szCs w:val="21"/>
                <w:highlight w:val="none"/>
                <w:lang w:val="en-US" w:eastAsia="zh-CN"/>
              </w:rPr>
              <w:t>17</w:t>
            </w:r>
            <w:r>
              <w:rPr>
                <w:rFonts w:hint="eastAsia" w:ascii="宋体" w:hAnsi="宋体" w:eastAsia="宋体" w:cs="宋体"/>
                <w:sz w:val="21"/>
                <w:szCs w:val="21"/>
                <w:highlight w:val="none"/>
              </w:rPr>
              <w:t>个村</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建立清洁能源设备维护长效机制及售后服务体系，做好取暖设备运行服务管理，实现设备故障报修1小时上门，2小时解决问题的服务体系和相应保障能力为工作目标，切实做好“煤改清洁能源”设备供暖保障工作</w:t>
            </w:r>
            <w:r>
              <w:rPr>
                <w:rFonts w:hint="eastAsia" w:ascii="宋体" w:hAnsi="宋体" w:eastAsia="宋体" w:cs="宋体"/>
                <w:sz w:val="21"/>
                <w:szCs w:val="21"/>
                <w:highlight w:val="none"/>
                <w:lang w:eastAsia="zh-CN"/>
              </w:rPr>
              <w:t>。</w:t>
            </w:r>
          </w:p>
        </w:tc>
      </w:tr>
    </w:tbl>
    <w:p>
      <w:pPr>
        <w:spacing w:line="360" w:lineRule="auto"/>
        <w:ind w:firstLine="480" w:firstLineChars="200"/>
        <w:rPr>
          <w:sz w:val="24"/>
          <w:highlight w:val="none"/>
        </w:rPr>
      </w:pPr>
      <w:r>
        <w:rPr>
          <w:sz w:val="24"/>
          <w:highlight w:val="none"/>
        </w:rPr>
        <w:t>5.合同履行期限：</w:t>
      </w:r>
      <w:r>
        <w:rPr>
          <w:rFonts w:hint="eastAsia"/>
          <w:sz w:val="24"/>
          <w:highlight w:val="none"/>
          <w:lang w:val="en-US" w:eastAsia="zh-CN"/>
        </w:rPr>
        <w:t>6.5个月</w:t>
      </w:r>
    </w:p>
    <w:p>
      <w:pPr>
        <w:spacing w:line="360" w:lineRule="auto"/>
        <w:ind w:firstLine="480" w:firstLineChars="200"/>
        <w:rPr>
          <w:sz w:val="24"/>
          <w:highlight w:val="none"/>
        </w:rPr>
      </w:pPr>
      <w:r>
        <w:rPr>
          <w:sz w:val="24"/>
          <w:highlight w:val="none"/>
        </w:rPr>
        <w:t>6.本项目是否接受联合体投标：</w:t>
      </w:r>
      <w:r>
        <w:rPr>
          <w:rFonts w:hint="eastAsia"/>
          <w:sz w:val="24"/>
          <w:highlight w:val="none"/>
          <w:lang w:eastAsia="zh-CN"/>
        </w:rPr>
        <w:t>□</w:t>
      </w:r>
      <w:r>
        <w:rPr>
          <w:sz w:val="24"/>
          <w:highlight w:val="none"/>
        </w:rPr>
        <w:t xml:space="preserve">是  </w:t>
      </w:r>
      <w:r>
        <w:rPr>
          <w:rFonts w:hint="eastAsia"/>
          <w:sz w:val="24"/>
          <w:highlight w:val="none"/>
        </w:rPr>
        <w:t>■</w:t>
      </w:r>
      <w:r>
        <w:rPr>
          <w:sz w:val="24"/>
          <w:highlight w:val="none"/>
        </w:rPr>
        <w:t>否。</w:t>
      </w:r>
    </w:p>
    <w:p>
      <w:pPr>
        <w:pStyle w:val="4"/>
        <w:spacing w:before="0" w:line="360" w:lineRule="auto"/>
        <w:jc w:val="left"/>
        <w:rPr>
          <w:rFonts w:ascii="Times New Roman" w:hAnsi="Times New Roman" w:eastAsia="宋体"/>
          <w:sz w:val="24"/>
          <w:szCs w:val="24"/>
          <w:highlight w:val="none"/>
        </w:rPr>
      </w:pPr>
      <w:bookmarkStart w:id="7" w:name="_Toc35393791"/>
      <w:bookmarkStart w:id="8" w:name="_Toc28359080"/>
      <w:bookmarkStart w:id="9" w:name="_Toc28359003"/>
      <w:bookmarkStart w:id="10" w:name="_Toc35393622"/>
      <w:r>
        <w:rPr>
          <w:rFonts w:ascii="Times New Roman" w:hAnsi="Times New Roman" w:eastAsia="宋体"/>
          <w:sz w:val="24"/>
          <w:szCs w:val="24"/>
          <w:highlight w:val="none"/>
        </w:rPr>
        <w:t>二、申请人的资格要求（须同时满足）</w:t>
      </w:r>
      <w:bookmarkEnd w:id="7"/>
      <w:bookmarkEnd w:id="8"/>
      <w:bookmarkEnd w:id="9"/>
      <w:bookmarkEnd w:id="10"/>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1" w:name="_Toc28359004"/>
      <w:bookmarkStart w:id="12" w:name="_Toc28359081"/>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sz w:val="24"/>
          <w:highlight w:val="none"/>
        </w:rPr>
      </w:pPr>
      <w:r>
        <w:rPr>
          <w:rFonts w:hint="eastAsia"/>
          <w:sz w:val="24"/>
          <w:highlight w:val="none"/>
          <w:lang w:eastAsia="zh-CN"/>
        </w:rPr>
        <w:t>□</w:t>
      </w:r>
      <w:r>
        <w:rPr>
          <w:sz w:val="24"/>
          <w:highlight w:val="none"/>
        </w:rPr>
        <w:t>本项目不专门面向中小企业预留采购份额。</w:t>
      </w:r>
    </w:p>
    <w:p>
      <w:pPr>
        <w:spacing w:line="360" w:lineRule="auto"/>
        <w:ind w:firstLine="480" w:firstLineChars="200"/>
        <w:rPr>
          <w:sz w:val="24"/>
          <w:highlight w:val="none"/>
        </w:rPr>
      </w:pPr>
      <w:r>
        <w:rPr>
          <w:rFonts w:hint="eastAsia"/>
          <w:sz w:val="24"/>
          <w:highlight w:val="none"/>
          <w:lang w:eastAsia="zh-CN"/>
        </w:rPr>
        <w:t>■</w:t>
      </w:r>
      <w:r>
        <w:rPr>
          <w:sz w:val="24"/>
          <w:highlight w:val="none"/>
        </w:rPr>
        <w:t xml:space="preserve">本项目专门面向  </w:t>
      </w:r>
      <w:r>
        <w:rPr>
          <w:rFonts w:hint="eastAsia"/>
          <w:sz w:val="24"/>
          <w:highlight w:val="none"/>
          <w:lang w:eastAsia="zh-CN"/>
        </w:rPr>
        <w:t>□</w:t>
      </w:r>
      <w:r>
        <w:rPr>
          <w:sz w:val="24"/>
          <w:highlight w:val="none"/>
        </w:rPr>
        <w:t xml:space="preserve">中小 </w:t>
      </w:r>
      <w:r>
        <w:rPr>
          <w:rFonts w:hint="eastAsia"/>
          <w:sz w:val="24"/>
          <w:highlight w:val="none"/>
          <w:lang w:eastAsia="zh-CN"/>
        </w:rPr>
        <w:t>■</w:t>
      </w:r>
      <w:r>
        <w:rPr>
          <w:sz w:val="24"/>
          <w:highlight w:val="none"/>
        </w:rPr>
        <w:t>小微企业  采购。即：提供的货物全部由符合政策要求的中小/小微企业制造、服务全部由符合政策要求的中小/小微企业承接。</w:t>
      </w:r>
    </w:p>
    <w:p>
      <w:pPr>
        <w:spacing w:line="360" w:lineRule="auto"/>
        <w:ind w:firstLine="480" w:firstLineChars="200"/>
        <w:rPr>
          <w:sz w:val="24"/>
          <w:highlight w:val="none"/>
        </w:rPr>
      </w:pPr>
      <w:r>
        <w:rPr>
          <w:rFonts w:hint="eastAsia"/>
          <w:sz w:val="24"/>
          <w:highlight w:val="none"/>
          <w:lang w:eastAsia="zh-CN"/>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本项目预留部分采购项目预算专门面向中小企业采购。对于预留份额，提供的货物由符合政策要求的中小企业制造、服务由符合政策要求的中小企业承接。预留份额通过以下措施进行：______</w:t>
      </w:r>
      <w:r>
        <w:rPr>
          <w:rFonts w:hint="eastAsia"/>
          <w:sz w:val="24"/>
          <w:highlight w:val="none"/>
          <w:lang w:val="en-US" w:eastAsia="zh-CN"/>
        </w:rPr>
        <w:t>/</w:t>
      </w:r>
      <w:r>
        <w:rPr>
          <w:sz w:val="24"/>
          <w:highlight w:val="none"/>
        </w:rPr>
        <w:t>____________。</w:t>
      </w:r>
    </w:p>
    <w:p>
      <w:pPr>
        <w:spacing w:line="360" w:lineRule="auto"/>
        <w:ind w:firstLine="480" w:firstLineChars="200"/>
        <w:rPr>
          <w:sz w:val="24"/>
          <w:highlight w:val="none"/>
        </w:rPr>
      </w:pPr>
      <w:r>
        <w:rPr>
          <w:sz w:val="24"/>
          <w:highlight w:val="none"/>
        </w:rPr>
        <w:t>2.2 其它落实政府采购政策的资格要求（如有）：_________</w:t>
      </w:r>
      <w:r>
        <w:rPr>
          <w:rFonts w:hint="eastAsia"/>
          <w:sz w:val="24"/>
          <w:highlight w:val="none"/>
          <w:lang w:val="en-US" w:eastAsia="zh-CN"/>
        </w:rPr>
        <w:t>/</w:t>
      </w:r>
      <w:r>
        <w:rPr>
          <w:sz w:val="24"/>
          <w:highlight w:val="none"/>
        </w:rPr>
        <w:t>__________。</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24"/>
          <w:highlight w:val="none"/>
          <w:lang w:eastAsia="zh-CN"/>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24"/>
          <w:highlight w:val="none"/>
          <w:lang w:eastAsia="zh-CN"/>
        </w:rPr>
        <w:t>□</w:t>
      </w:r>
      <w:r>
        <w:rPr>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w:t>
      </w:r>
      <w:r>
        <w:rPr>
          <w:rFonts w:hint="eastAsia"/>
          <w:sz w:val="24"/>
          <w:highlight w:val="none"/>
          <w:lang w:val="en-US" w:eastAsia="zh-CN"/>
        </w:rPr>
        <w:t>2</w:t>
      </w:r>
      <w:r>
        <w:rPr>
          <w:sz w:val="24"/>
          <w:highlight w:val="none"/>
        </w:rPr>
        <w:t>本项目是否接受分支机构参与投标：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r>
        <w:rPr>
          <w:rFonts w:hint="eastAsia"/>
          <w:sz w:val="24"/>
          <w:highlight w:val="none"/>
        </w:rPr>
        <w:t>（仅当项目涉及银行、保险、石油石化、电力、电信等行业有特殊情况的，可以接受分支机构参与）</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w:t>
      </w:r>
      <w:r>
        <w:rPr>
          <w:rFonts w:hint="eastAsia"/>
          <w:sz w:val="24"/>
          <w:highlight w:val="none"/>
          <w:lang w:val="en-US" w:eastAsia="zh-CN"/>
        </w:rPr>
        <w:t>3</w:t>
      </w:r>
      <w:r>
        <w:rPr>
          <w:sz w:val="24"/>
          <w:highlight w:val="none"/>
        </w:rPr>
        <w:t>其他特定资格要求</w:t>
      </w:r>
      <w:r>
        <w:rPr>
          <w:rFonts w:eastAsiaTheme="minorEastAsia"/>
          <w:sz w:val="24"/>
          <w:highlight w:val="none"/>
        </w:rPr>
        <w:t>：_____</w:t>
      </w:r>
      <w:r>
        <w:rPr>
          <w:rFonts w:hint="eastAsia" w:eastAsiaTheme="minorEastAsia"/>
          <w:sz w:val="24"/>
          <w:highlight w:val="none"/>
          <w:lang w:val="en-US" w:eastAsia="zh-CN"/>
        </w:rPr>
        <w:t>/</w:t>
      </w:r>
      <w:r>
        <w:rPr>
          <w:rFonts w:eastAsiaTheme="minorEastAsia"/>
          <w:sz w:val="24"/>
          <w:highlight w:val="none"/>
        </w:rPr>
        <w:t>______</w:t>
      </w:r>
      <w:r>
        <w:rPr>
          <w:sz w:val="24"/>
          <w:highlight w:val="none"/>
        </w:rPr>
        <w:t>。</w:t>
      </w:r>
    </w:p>
    <w:p>
      <w:pPr>
        <w:tabs>
          <w:tab w:val="left" w:pos="900"/>
          <w:tab w:val="left" w:pos="1134"/>
          <w:tab w:val="left" w:pos="1589"/>
          <w:tab w:val="left" w:pos="5521"/>
        </w:tabs>
        <w:snapToGrid w:val="0"/>
        <w:spacing w:line="360" w:lineRule="auto"/>
        <w:ind w:firstLine="480" w:firstLineChars="200"/>
        <w:rPr>
          <w:sz w:val="24"/>
          <w:highlight w:val="none"/>
        </w:rPr>
      </w:pPr>
      <w:r>
        <w:rPr>
          <w:rFonts w:ascii="宋体" w:hAnsi="宋体" w:cs="微软雅黑"/>
          <w:sz w:val="24"/>
          <w:highlight w:val="none"/>
        </w:rPr>
        <w:t>4.</w:t>
      </w:r>
      <w:r>
        <w:rPr>
          <w:rFonts w:hint="eastAsia" w:ascii="宋体" w:hAnsi="宋体" w:cs="微软雅黑"/>
          <w:sz w:val="24"/>
          <w:highlight w:val="none"/>
        </w:rPr>
        <w:t xml:space="preserve"> </w:t>
      </w:r>
      <w:r>
        <w:rPr>
          <w:rFonts w:hint="eastAsia" w:ascii="宋体" w:hAnsi="宋体"/>
          <w:sz w:val="24"/>
          <w:highlight w:val="none"/>
        </w:rPr>
        <w:t>参加本次政府采购活动前三年内，在经营活动中没有重大违法记录；未被“信用中国”、“中国政府采购网”网站列入失信被执行人、重大税收违法失信主体、政府采购严重违法失信行为记录名单</w:t>
      </w:r>
      <w:r>
        <w:rPr>
          <w:rFonts w:hint="eastAsia" w:ascii="宋体" w:hAnsi="宋体"/>
          <w:kern w:val="0"/>
          <w:sz w:val="24"/>
          <w:highlight w:val="none"/>
          <w:lang w:eastAsia="ja-JP"/>
        </w:rPr>
        <w:t>。</w:t>
      </w:r>
    </w:p>
    <w:p>
      <w:pPr>
        <w:spacing w:line="360" w:lineRule="auto"/>
        <w:ind w:firstLine="480" w:firstLineChars="200"/>
        <w:rPr>
          <w:i/>
          <w:iCs/>
          <w:sz w:val="24"/>
          <w:highlight w:val="none"/>
          <w:u w:val="single"/>
        </w:rPr>
      </w:pPr>
    </w:p>
    <w:bookmarkEnd w:id="11"/>
    <w:bookmarkEnd w:id="12"/>
    <w:p>
      <w:pPr>
        <w:pStyle w:val="4"/>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highlight w:val="none"/>
        </w:rPr>
        <w:t>三、获取招标文件</w:t>
      </w:r>
      <w:bookmarkEnd w:id="13"/>
      <w:bookmarkEnd w:id="14"/>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val="en-US" w:eastAsia="zh-CN" w:bidi="ar"/>
        </w:rPr>
        <w:t>2023</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5</w:t>
      </w:r>
      <w:r>
        <w:rPr>
          <w:sz w:val="24"/>
          <w:highlight w:val="none"/>
          <w:lang w:bidi="ar"/>
        </w:rPr>
        <w:t>日至</w:t>
      </w:r>
      <w:r>
        <w:rPr>
          <w:rFonts w:hint="eastAsia"/>
          <w:sz w:val="24"/>
          <w:highlight w:val="none"/>
          <w:lang w:val="en-US" w:eastAsia="zh-CN" w:bidi="ar"/>
        </w:rPr>
        <w:t>2023</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11</w:t>
      </w:r>
      <w:r>
        <w:rPr>
          <w:sz w:val="24"/>
          <w:highlight w:val="none"/>
          <w:lang w:bidi="ar"/>
        </w:rPr>
        <w:t>日，每天上午</w:t>
      </w:r>
      <w:r>
        <w:rPr>
          <w:rFonts w:hint="eastAsia"/>
          <w:sz w:val="24"/>
          <w:highlight w:val="none"/>
          <w:u w:val="single"/>
          <w:lang w:val="en-US" w:eastAsia="zh-CN" w:bidi="ar"/>
        </w:rPr>
        <w:t>08:30</w:t>
      </w:r>
      <w:r>
        <w:rPr>
          <w:sz w:val="24"/>
          <w:highlight w:val="none"/>
          <w:lang w:bidi="ar"/>
        </w:rPr>
        <w:t>至</w:t>
      </w:r>
      <w:r>
        <w:rPr>
          <w:rFonts w:hint="eastAsia"/>
          <w:sz w:val="24"/>
          <w:highlight w:val="none"/>
          <w:u w:val="single"/>
          <w:lang w:val="en-US" w:eastAsia="zh-CN" w:bidi="ar"/>
        </w:rPr>
        <w:t>12:00</w:t>
      </w:r>
      <w:r>
        <w:rPr>
          <w:sz w:val="24"/>
          <w:highlight w:val="none"/>
          <w:lang w:bidi="ar"/>
        </w:rPr>
        <w:t>，下午</w:t>
      </w:r>
      <w:r>
        <w:rPr>
          <w:rFonts w:hint="eastAsia"/>
          <w:sz w:val="24"/>
          <w:highlight w:val="none"/>
          <w:u w:val="single"/>
          <w:lang w:val="en-US" w:eastAsia="zh-CN" w:bidi="ar"/>
        </w:rPr>
        <w:t>12:00</w:t>
      </w:r>
      <w:r>
        <w:rPr>
          <w:sz w:val="24"/>
          <w:highlight w:val="none"/>
          <w:lang w:bidi="ar"/>
        </w:rPr>
        <w:t>至</w:t>
      </w:r>
      <w:r>
        <w:rPr>
          <w:rFonts w:hint="eastAsia"/>
          <w:sz w:val="24"/>
          <w:highlight w:val="none"/>
          <w:u w:val="single"/>
          <w:lang w:val="en-US" w:eastAsia="zh-CN" w:bidi="ar"/>
        </w:rPr>
        <w:t>16:30</w:t>
      </w:r>
      <w:r>
        <w:rPr>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spacing w:line="360" w:lineRule="auto"/>
        <w:ind w:firstLine="484" w:firstLineChars="202"/>
        <w:rPr>
          <w:rStyle w:val="46"/>
          <w:rFonts w:ascii="宋体" w:hAnsi="宋体"/>
          <w:b w:val="0"/>
          <w:bCs w:val="0"/>
          <w:sz w:val="24"/>
          <w:highlight w:val="none"/>
        </w:rPr>
      </w:pPr>
      <w:r>
        <w:rPr>
          <w:rFonts w:hint="eastAsia" w:ascii="宋体" w:hAnsi="宋体"/>
          <w:sz w:val="24"/>
          <w:highlight w:val="none"/>
          <w:lang w:val="en-US" w:eastAsia="zh-CN"/>
        </w:rPr>
        <w:t>3.</w:t>
      </w:r>
      <w:r>
        <w:rPr>
          <w:rFonts w:hint="eastAsia" w:ascii="宋体" w:hAnsi="宋体"/>
          <w:sz w:val="24"/>
          <w:highlight w:val="none"/>
        </w:rPr>
        <w:t>售价：</w:t>
      </w:r>
      <w:r>
        <w:rPr>
          <w:rFonts w:hint="eastAsia" w:ascii="宋体" w:hAnsi="宋体" w:cs="宋体"/>
          <w:sz w:val="24"/>
          <w:highlight w:val="none"/>
          <w:u w:val="single"/>
        </w:rPr>
        <w:t>0元</w:t>
      </w:r>
    </w:p>
    <w:p>
      <w:pPr>
        <w:spacing w:line="360" w:lineRule="auto"/>
        <w:ind w:firstLine="484" w:firstLineChars="202"/>
        <w:rPr>
          <w:rStyle w:val="46"/>
          <w:rFonts w:ascii="宋体" w:hAnsi="宋体"/>
          <w:b w:val="0"/>
          <w:bCs w:val="0"/>
          <w:sz w:val="24"/>
          <w:highlight w:val="none"/>
        </w:rPr>
      </w:pPr>
      <w:r>
        <w:rPr>
          <w:rFonts w:hint="eastAsia" w:ascii="宋体" w:hAnsi="宋体"/>
          <w:sz w:val="24"/>
          <w:highlight w:val="none"/>
          <w:lang w:val="en-US" w:eastAsia="zh-CN"/>
        </w:rPr>
        <w:t>4.</w:t>
      </w:r>
      <w:r>
        <w:rPr>
          <w:rFonts w:hint="eastAsia" w:ascii="宋体" w:hAnsi="宋体"/>
          <w:sz w:val="24"/>
          <w:highlight w:val="none"/>
        </w:rPr>
        <w:t>方式：</w:t>
      </w:r>
      <w:r>
        <w:rPr>
          <w:rFonts w:hint="eastAsia" w:ascii="宋体" w:hAnsi="宋体" w:cs="宋体"/>
          <w:sz w:val="24"/>
          <w:highlight w:val="none"/>
          <w:u w:val="single"/>
        </w:rPr>
        <w:t>获取电子采购文件</w:t>
      </w:r>
    </w:p>
    <w:p>
      <w:pPr>
        <w:widowControl/>
        <w:adjustRightInd w:val="0"/>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领取须知：</w:t>
      </w:r>
    </w:p>
    <w:p>
      <w:pPr>
        <w:widowControl/>
        <w:adjustRightInd w:val="0"/>
        <w:snapToGrid w:val="0"/>
        <w:spacing w:line="360" w:lineRule="auto"/>
        <w:ind w:firstLine="480" w:firstLineChars="200"/>
        <w:jc w:val="left"/>
        <w:rPr>
          <w:sz w:val="24"/>
          <w:highlight w:val="none"/>
        </w:rPr>
      </w:pPr>
      <w:r>
        <w:rPr>
          <w:rFonts w:hint="eastAsia" w:ascii="宋体" w:hAnsi="宋体" w:cs="宋体"/>
          <w:kern w:val="0"/>
          <w:sz w:val="24"/>
          <w:highlight w:val="none"/>
        </w:rPr>
        <w:t>凡有意参加本项目的潜在供应商，须在公告有效期内登陆北京市政府采购电子交易平台(</w:t>
      </w:r>
      <w:r>
        <w:rPr>
          <w:rFonts w:ascii="宋体" w:hAnsi="宋体" w:cs="宋体"/>
          <w:kern w:val="0"/>
          <w:sz w:val="24"/>
          <w:highlight w:val="none"/>
        </w:rPr>
        <w:t>http://zbcg-bjzc.zhongcy.com/bjczj-portal-site/index.html#/home</w:t>
      </w:r>
      <w:r>
        <w:rPr>
          <w:rFonts w:hint="eastAsia" w:ascii="宋体" w:hAnsi="宋体" w:cs="宋体"/>
          <w:kern w:val="0"/>
          <w:sz w:val="24"/>
          <w:highlight w:val="none"/>
        </w:rPr>
        <w:t>），并按照“办事指南”进行用户注册、浏览器设置和CA证书绑定（采购电子交易平台联系方式：010-86483801），并通过北京市政府采购电子交易平台进行项目“关注”并下载电子招标文件。本项目招标仅接受公告有效期内已经完成北京市政府采购电子交易平台线上项目“关注”并下载电子招标文件的投标人参与招标，如不按照提示操作将可能影响招投标活动，请潜在供应商按公告要求在规定时间领取招标文件。</w:t>
      </w:r>
    </w:p>
    <w:p>
      <w:pPr>
        <w:tabs>
          <w:tab w:val="left" w:pos="900"/>
          <w:tab w:val="left" w:pos="1980"/>
        </w:tabs>
        <w:snapToGrid w:val="0"/>
        <w:spacing w:line="360" w:lineRule="auto"/>
        <w:ind w:left="840"/>
        <w:rPr>
          <w:sz w:val="24"/>
          <w:highlight w:val="none"/>
        </w:rPr>
      </w:pPr>
    </w:p>
    <w:p>
      <w:pPr>
        <w:pStyle w:val="4"/>
        <w:widowControl/>
        <w:spacing w:before="0" w:line="360" w:lineRule="auto"/>
        <w:jc w:val="left"/>
        <w:rPr>
          <w:rFonts w:ascii="Times New Roman" w:hAnsi="Times New Roman" w:eastAsia="宋体"/>
          <w:sz w:val="24"/>
          <w:szCs w:val="24"/>
          <w:highlight w:val="none"/>
        </w:rPr>
      </w:pPr>
      <w:bookmarkStart w:id="15" w:name="_Toc28359005"/>
      <w:bookmarkStart w:id="16" w:name="_Toc28359082"/>
      <w:bookmarkStart w:id="17" w:name="_Toc35393624"/>
      <w:bookmarkStart w:id="18" w:name="_Toc35393793"/>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lang w:val="en-US" w:eastAsia="zh-CN" w:bidi="ar"/>
        </w:rPr>
        <w:t>2023</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27</w:t>
      </w:r>
      <w:r>
        <w:rPr>
          <w:sz w:val="24"/>
          <w:highlight w:val="none"/>
          <w:lang w:bidi="ar"/>
        </w:rPr>
        <w:t>日</w:t>
      </w:r>
      <w:r>
        <w:rPr>
          <w:rFonts w:hint="eastAsia"/>
          <w:sz w:val="24"/>
          <w:highlight w:val="none"/>
          <w:lang w:val="en-US" w:eastAsia="zh-CN" w:bidi="ar"/>
        </w:rPr>
        <w:t>10</w:t>
      </w:r>
      <w:r>
        <w:rPr>
          <w:sz w:val="24"/>
          <w:highlight w:val="none"/>
          <w:lang w:bidi="ar"/>
        </w:rPr>
        <w:t>点</w:t>
      </w:r>
      <w:r>
        <w:rPr>
          <w:rFonts w:hint="eastAsia"/>
          <w:sz w:val="24"/>
          <w:highlight w:val="none"/>
          <w:lang w:val="en-US" w:eastAsia="zh-CN" w:bidi="ar"/>
        </w:rPr>
        <w:t>00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rFonts w:hint="eastAsia" w:eastAsia="宋体"/>
          <w:sz w:val="24"/>
          <w:highlight w:val="none"/>
          <w:lang w:val="zh-TW" w:eastAsia="zh-CN" w:bidi="ar"/>
        </w:rPr>
      </w:pPr>
      <w:r>
        <w:rPr>
          <w:sz w:val="24"/>
          <w:highlight w:val="none"/>
          <w:lang w:bidi="ar"/>
        </w:rPr>
        <w:t>地点：</w:t>
      </w:r>
      <w:r>
        <w:rPr>
          <w:rFonts w:hint="eastAsia" w:ascii="宋体" w:hAnsi="宋体"/>
          <w:sz w:val="24"/>
          <w:highlight w:val="none"/>
          <w:u w:val="single"/>
        </w:rPr>
        <w:t>北京市大兴区清澄名苑北区27号楼</w:t>
      </w:r>
      <w:r>
        <w:rPr>
          <w:rFonts w:hint="eastAsia" w:ascii="宋体" w:hAnsi="宋体"/>
          <w:sz w:val="24"/>
          <w:highlight w:val="none"/>
          <w:u w:val="single"/>
          <w:lang w:val="en-US" w:eastAsia="zh-CN"/>
        </w:rPr>
        <w:t>C</w:t>
      </w:r>
      <w:r>
        <w:rPr>
          <w:rFonts w:hint="eastAsia" w:ascii="宋体" w:hAnsi="宋体"/>
          <w:sz w:val="24"/>
          <w:highlight w:val="none"/>
          <w:u w:val="single"/>
        </w:rPr>
        <w:t>座</w:t>
      </w:r>
      <w:r>
        <w:rPr>
          <w:rFonts w:hint="eastAsia" w:ascii="宋体" w:hAnsi="宋体"/>
          <w:sz w:val="24"/>
          <w:highlight w:val="none"/>
          <w:u w:val="single"/>
          <w:lang w:val="en-US" w:eastAsia="zh-CN"/>
        </w:rPr>
        <w:t>1007</w:t>
      </w:r>
      <w:r>
        <w:rPr>
          <w:rFonts w:hint="eastAsia" w:ascii="宋体" w:hAnsi="宋体"/>
          <w:sz w:val="24"/>
          <w:highlight w:val="none"/>
          <w:u w:val="single"/>
        </w:rPr>
        <w:t>室</w:t>
      </w:r>
      <w:r>
        <w:rPr>
          <w:rFonts w:hint="eastAsia"/>
          <w:sz w:val="24"/>
          <w:highlight w:val="none"/>
          <w:lang w:eastAsia="zh-CN" w:bidi="ar"/>
        </w:rPr>
        <w:t>。</w:t>
      </w:r>
    </w:p>
    <w:p>
      <w:pPr>
        <w:spacing w:line="360" w:lineRule="auto"/>
        <w:ind w:firstLine="480" w:firstLineChars="200"/>
        <w:rPr>
          <w:bCs/>
          <w:sz w:val="24"/>
          <w:highlight w:val="none"/>
          <w:u w:val="single"/>
        </w:rPr>
      </w:pPr>
    </w:p>
    <w:p>
      <w:pPr>
        <w:pStyle w:val="4"/>
        <w:spacing w:before="0" w:line="360" w:lineRule="auto"/>
        <w:jc w:val="left"/>
        <w:rPr>
          <w:rFonts w:ascii="Times New Roman" w:hAnsi="Times New Roman" w:eastAsia="宋体"/>
          <w:sz w:val="24"/>
          <w:szCs w:val="24"/>
          <w:highlight w:val="none"/>
        </w:rPr>
      </w:pPr>
      <w:bookmarkStart w:id="19" w:name="_Toc35393794"/>
      <w:bookmarkStart w:id="20" w:name="_Toc28359007"/>
      <w:bookmarkStart w:id="21" w:name="_Toc28359084"/>
      <w:bookmarkStart w:id="22" w:name="_Toc35393625"/>
      <w:r>
        <w:rPr>
          <w:rFonts w:ascii="Times New Roman" w:hAnsi="Times New Roman" w:eastAsia="宋体"/>
          <w:sz w:val="24"/>
          <w:szCs w:val="24"/>
          <w:highlight w:val="none"/>
        </w:rPr>
        <w:t>五、公告期限</w:t>
      </w:r>
      <w:bookmarkEnd w:id="19"/>
      <w:bookmarkEnd w:id="20"/>
      <w:bookmarkEnd w:id="21"/>
      <w:bookmarkEnd w:id="22"/>
    </w:p>
    <w:p>
      <w:pPr>
        <w:spacing w:line="360" w:lineRule="auto"/>
        <w:ind w:firstLine="480" w:firstLineChars="200"/>
        <w:rPr>
          <w:kern w:val="0"/>
          <w:sz w:val="24"/>
          <w:highlight w:val="none"/>
        </w:rPr>
      </w:pPr>
      <w:r>
        <w:rPr>
          <w:kern w:val="0"/>
          <w:sz w:val="24"/>
          <w:highlight w:val="none"/>
        </w:rPr>
        <w:t>自本公告发布之日起5个工作日。</w:t>
      </w:r>
    </w:p>
    <w:p>
      <w:pPr>
        <w:spacing w:line="360" w:lineRule="auto"/>
        <w:ind w:firstLine="480" w:firstLineChars="200"/>
        <w:rPr>
          <w:kern w:val="0"/>
          <w:sz w:val="24"/>
          <w:highlight w:val="none"/>
        </w:rPr>
      </w:pPr>
    </w:p>
    <w:p>
      <w:pPr>
        <w:pStyle w:val="4"/>
        <w:spacing w:before="0" w:line="360" w:lineRule="auto"/>
        <w:jc w:val="left"/>
        <w:rPr>
          <w:rFonts w:ascii="Times New Roman" w:hAnsi="Times New Roman" w:eastAsia="宋体"/>
          <w:sz w:val="24"/>
          <w:szCs w:val="24"/>
          <w:highlight w:val="none"/>
        </w:rPr>
      </w:pPr>
      <w:bookmarkStart w:id="23" w:name="_Toc35393626"/>
      <w:bookmarkStart w:id="24" w:name="_Toc35393795"/>
      <w:r>
        <w:rPr>
          <w:rFonts w:ascii="Times New Roman" w:hAnsi="Times New Roman" w:eastAsia="宋体"/>
          <w:sz w:val="24"/>
          <w:szCs w:val="24"/>
          <w:highlight w:val="none"/>
        </w:rPr>
        <w:t>六、其他补充事宜</w:t>
      </w:r>
      <w:bookmarkEnd w:id="23"/>
      <w:bookmarkEnd w:id="24"/>
    </w:p>
    <w:p>
      <w:pPr>
        <w:spacing w:line="360" w:lineRule="auto"/>
        <w:ind w:firstLine="480" w:firstLineChars="200"/>
        <w:rPr>
          <w:sz w:val="24"/>
          <w:highlight w:val="none"/>
          <w:u w:val="none"/>
        </w:rPr>
      </w:pPr>
      <w:r>
        <w:rPr>
          <w:sz w:val="24"/>
          <w:highlight w:val="none"/>
          <w:u w:val="none"/>
        </w:rPr>
        <w:t>1.本项目需要落实的政府采购政策：</w:t>
      </w:r>
      <w:r>
        <w:rPr>
          <w:rFonts w:hint="eastAsia" w:ascii="宋体" w:hAnsi="宋体" w:cs="宋体"/>
          <w:sz w:val="24"/>
          <w:highlight w:val="none"/>
          <w:u w:val="none"/>
        </w:rPr>
        <w:t>节约能源、绿色环保、保护环境、扶持不发达地区和少数民族地区、促进中小企业发展、支持监狱企业发展、促进残疾人就业、政府采购信用担保等。</w:t>
      </w:r>
      <w:r>
        <w:rPr>
          <w:sz w:val="24"/>
          <w:highlight w:val="none"/>
          <w:u w:val="none"/>
        </w:rPr>
        <w:t xml:space="preserve"> </w:t>
      </w:r>
    </w:p>
    <w:p>
      <w:pPr>
        <w:spacing w:line="360" w:lineRule="auto"/>
        <w:ind w:firstLine="480" w:firstLineChars="200"/>
        <w:rPr>
          <w:rStyle w:val="46"/>
          <w:rFonts w:ascii="宋体" w:hAnsi="宋体"/>
          <w:bCs w:val="0"/>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w:t>
      </w:r>
      <w:r>
        <w:rPr>
          <w:rStyle w:val="46"/>
          <w:rFonts w:hint="eastAsia" w:ascii="宋体" w:hAnsi="宋体"/>
          <w:bCs w:val="0"/>
          <w:sz w:val="24"/>
          <w:highlight w:val="none"/>
        </w:rPr>
        <w:t>本项目为</w:t>
      </w:r>
      <w:r>
        <w:rPr>
          <w:rStyle w:val="46"/>
          <w:rFonts w:hint="eastAsia" w:ascii="宋体" w:hAnsi="宋体"/>
          <w:sz w:val="24"/>
          <w:highlight w:val="none"/>
        </w:rPr>
        <w:t>电子化与线下相结合交易方式</w:t>
      </w:r>
      <w:r>
        <w:rPr>
          <w:rStyle w:val="46"/>
          <w:rFonts w:hint="eastAsia" w:ascii="宋体" w:hAnsi="宋体"/>
          <w:bCs w:val="0"/>
          <w:sz w:val="24"/>
          <w:highlight w:val="none"/>
        </w:rPr>
        <w:t>，如有参加意向的供应商需注意以下事项：</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（1）新用户注册</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北京市政府采购电子交易平台：</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办理CA数字认证证书，详见北京市政府采购电子交易平台（</w:t>
      </w:r>
      <w:r>
        <w:rPr>
          <w:rStyle w:val="46"/>
          <w:rFonts w:ascii="宋体" w:hAnsi="宋体"/>
          <w:bCs w:val="0"/>
          <w:sz w:val="24"/>
          <w:highlight w:val="none"/>
        </w:rPr>
        <w:t>http://zbcg-bjzc.zhongcy.com/bjczj-portal-site/index.html#/home</w:t>
      </w:r>
      <w:r>
        <w:rPr>
          <w:rStyle w:val="46"/>
          <w:rFonts w:hint="eastAsia" w:ascii="宋体" w:hAnsi="宋体"/>
          <w:bCs w:val="0"/>
          <w:sz w:val="24"/>
          <w:highlight w:val="none"/>
        </w:rPr>
        <w:t>）或进入【北京市政府采购网】右侧点击【政府采购电子交易平台】查阅 “用户指南”—“操作指南”—“市场主体CA办理操作流程指引”，按照程序要求办理，于北京市政府采购电子交易平台“用户指南”—“操作指南”—“市场主体注册入库操作流程指引”进行自助注册绑定。</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（2）招标文件下载</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北京市政府采购电子交易平台：</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供应商按照规定办理CA数字认证证书后，自招标公告发布之日起持供应商自身数字证书登录北京市政府采购电子交易平台获取电子版招标文件。</w:t>
      </w:r>
    </w:p>
    <w:p>
      <w:pPr>
        <w:spacing w:line="360" w:lineRule="auto"/>
        <w:ind w:firstLine="482" w:firstLineChars="200"/>
        <w:rPr>
          <w:rStyle w:val="46"/>
          <w:rFonts w:ascii="宋体" w:hAnsi="宋体"/>
          <w:bCs w:val="0"/>
          <w:sz w:val="24"/>
          <w:highlight w:val="none"/>
        </w:rPr>
      </w:pPr>
      <w:r>
        <w:rPr>
          <w:rStyle w:val="46"/>
          <w:rFonts w:hint="eastAsia" w:ascii="宋体" w:hAnsi="宋体"/>
          <w:bCs w:val="0"/>
          <w:sz w:val="24"/>
          <w:highlight w:val="none"/>
        </w:rPr>
        <w:t>（3）递交文件方式：</w:t>
      </w:r>
    </w:p>
    <w:p>
      <w:pPr>
        <w:spacing w:line="360" w:lineRule="auto"/>
        <w:ind w:firstLine="482" w:firstLineChars="200"/>
        <w:rPr>
          <w:rStyle w:val="46"/>
          <w:rFonts w:ascii="宋体" w:hAnsi="宋体"/>
          <w:b w:val="0"/>
          <w:bCs w:val="0"/>
          <w:sz w:val="24"/>
          <w:highlight w:val="none"/>
        </w:rPr>
      </w:pPr>
      <w:r>
        <w:rPr>
          <w:rStyle w:val="46"/>
          <w:rFonts w:hint="eastAsia" w:ascii="宋体" w:hAnsi="宋体"/>
          <w:bCs w:val="0"/>
          <w:sz w:val="24"/>
          <w:highlight w:val="none"/>
        </w:rPr>
        <w:t>1.线下递交</w:t>
      </w:r>
    </w:p>
    <w:p>
      <w:pPr>
        <w:spacing w:line="360" w:lineRule="auto"/>
        <w:ind w:firstLine="482" w:firstLineChars="200"/>
        <w:rPr>
          <w:rStyle w:val="46"/>
          <w:rFonts w:ascii="宋体" w:hAnsi="宋体"/>
          <w:b w:val="0"/>
          <w:bCs w:val="0"/>
          <w:sz w:val="24"/>
          <w:highlight w:val="none"/>
        </w:rPr>
      </w:pPr>
      <w:r>
        <w:rPr>
          <w:rStyle w:val="46"/>
          <w:rFonts w:hint="eastAsia" w:ascii="宋体" w:hAnsi="宋体"/>
          <w:bCs w:val="0"/>
          <w:sz w:val="24"/>
          <w:highlight w:val="none"/>
        </w:rPr>
        <w:t>2.投标现场需提供的资料</w:t>
      </w:r>
    </w:p>
    <w:p>
      <w:pPr>
        <w:spacing w:line="360" w:lineRule="auto"/>
        <w:ind w:firstLine="482" w:firstLineChars="200"/>
        <w:rPr>
          <w:rFonts w:ascii="宋体" w:hAnsi="宋体" w:cs="宋体"/>
          <w:kern w:val="0"/>
          <w:sz w:val="24"/>
          <w:highlight w:val="none"/>
        </w:rPr>
      </w:pPr>
      <w:r>
        <w:rPr>
          <w:rStyle w:val="46"/>
          <w:rFonts w:hint="eastAsia" w:ascii="宋体" w:hAnsi="宋体"/>
          <w:bCs w:val="0"/>
          <w:sz w:val="24"/>
          <w:highlight w:val="none"/>
        </w:rPr>
        <w:t>投标人需在开标当日，由投标单位法人或授权人参加开标会。届时应提供以下资料：①《投标文件》纸质版正本1份，副本4份；②《开标一览表》纸质版1份。③投标U盘2份，U盘内容包括： WORD或WPS格式《投标文件》1份、盖章扫描版PDF格式《投标文件》1份。④</w:t>
      </w:r>
      <w:r>
        <w:rPr>
          <w:rStyle w:val="46"/>
          <w:rFonts w:hint="eastAsia" w:ascii="宋体"/>
          <w:sz w:val="24"/>
          <w:highlight w:val="none"/>
        </w:rPr>
        <w:t>法人身份</w:t>
      </w:r>
      <w:r>
        <w:rPr>
          <w:rStyle w:val="46"/>
          <w:rFonts w:hint="eastAsia" w:ascii="宋体" w:hAnsi="宋体"/>
          <w:bCs w:val="0"/>
          <w:sz w:val="24"/>
          <w:highlight w:val="none"/>
        </w:rPr>
        <w:t>证明或法人代表授权书1份。以上资料需开标当日现场递交，不接受现场递交以外的投递形式，投标人采取其他投递形式致使投标无效，招标代理机构不承担任何责任。（现场递交系指投标人将投标文件相关资料直接递交给代理机构，并签字确认）。</w:t>
      </w:r>
    </w:p>
    <w:p>
      <w:pPr>
        <w:widowControl/>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w:t>
      </w:r>
      <w:r>
        <w:rPr>
          <w:rFonts w:hint="eastAsia" w:ascii="宋体" w:hAnsi="宋体" w:cs="仿宋_GB2312"/>
          <w:sz w:val="24"/>
          <w:highlight w:val="none"/>
        </w:rPr>
        <w:t>评标方法和标准：</w:t>
      </w:r>
      <w:r>
        <w:rPr>
          <w:rFonts w:hint="eastAsia" w:ascii="宋体" w:hAnsi="宋体" w:cs="仿宋_GB2312"/>
          <w:sz w:val="24"/>
          <w:highlight w:val="none"/>
          <w:u w:val="single"/>
        </w:rPr>
        <w:t>综合评分</w:t>
      </w:r>
      <w:r>
        <w:rPr>
          <w:rFonts w:hint="eastAsia" w:ascii="宋体" w:hAnsi="宋体" w:cs="仿宋_GB2312"/>
          <w:sz w:val="24"/>
          <w:highlight w:val="none"/>
        </w:rPr>
        <w:t>法，满分</w:t>
      </w:r>
      <w:r>
        <w:rPr>
          <w:rFonts w:hint="eastAsia" w:ascii="宋体" w:hAnsi="宋体" w:cs="仿宋_GB2312"/>
          <w:sz w:val="24"/>
          <w:highlight w:val="none"/>
          <w:u w:val="single"/>
        </w:rPr>
        <w:t>100</w:t>
      </w:r>
      <w:r>
        <w:rPr>
          <w:rFonts w:hint="eastAsia" w:ascii="宋体" w:hAnsi="宋体" w:cs="仿宋_GB2312"/>
          <w:sz w:val="24"/>
          <w:highlight w:val="none"/>
        </w:rPr>
        <w:t>分</w:t>
      </w:r>
      <w:r>
        <w:rPr>
          <w:rFonts w:hint="eastAsia" w:ascii="宋体" w:hAnsi="宋体" w:cs="宋体"/>
          <w:sz w:val="24"/>
          <w:highlight w:val="none"/>
        </w:rPr>
        <w:t>。</w:t>
      </w:r>
    </w:p>
    <w:p>
      <w:pPr>
        <w:widowControl/>
        <w:spacing w:line="360" w:lineRule="auto"/>
        <w:ind w:firstLine="480" w:firstLineChars="200"/>
        <w:rPr>
          <w:rFonts w:ascii="宋体" w:hAnsi="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w:t>
      </w:r>
      <w:r>
        <w:rPr>
          <w:rFonts w:hint="eastAsia" w:ascii="宋体" w:hAnsi="宋体"/>
          <w:sz w:val="24"/>
          <w:highlight w:val="none"/>
        </w:rPr>
        <w:t>本次招标公告发布媒体：</w:t>
      </w:r>
      <w:r>
        <w:rPr>
          <w:rFonts w:hint="eastAsia" w:ascii="宋体" w:hAnsi="宋体"/>
          <w:sz w:val="24"/>
          <w:highlight w:val="none"/>
          <w:u w:val="single"/>
        </w:rPr>
        <w:t>本公告在《中国政府采购网》、《北京市政府采购网》发布</w:t>
      </w:r>
      <w:r>
        <w:rPr>
          <w:rFonts w:hint="eastAsia" w:ascii="宋体" w:hAnsi="宋体"/>
          <w:sz w:val="24"/>
          <w:highlight w:val="none"/>
        </w:rPr>
        <w:t>。</w:t>
      </w:r>
    </w:p>
    <w:p>
      <w:pPr>
        <w:spacing w:line="360" w:lineRule="auto"/>
        <w:ind w:firstLine="480" w:firstLineChars="200"/>
        <w:rPr>
          <w:sz w:val="24"/>
          <w:highlight w:val="none"/>
          <w:lang w:eastAsia="zh-TW"/>
        </w:rPr>
      </w:pPr>
      <w:r>
        <w:rPr>
          <w:rFonts w:hint="eastAsia" w:ascii="宋体" w:hAnsi="宋体"/>
          <w:sz w:val="24"/>
          <w:highlight w:val="none"/>
          <w:lang w:val="en-US" w:eastAsia="zh-CN"/>
        </w:rPr>
        <w:t>5</w:t>
      </w:r>
      <w:r>
        <w:rPr>
          <w:rFonts w:hint="eastAsia" w:ascii="宋体" w:hAnsi="宋体"/>
          <w:sz w:val="24"/>
          <w:highlight w:val="none"/>
        </w:rPr>
        <w:t>、凡对本次招标提出询问及质疑，请与代理公司联系（质疑函请采用政府采购供应商质疑函范本格式，以书面形式一次性提交）</w:t>
      </w:r>
    </w:p>
    <w:p>
      <w:pPr>
        <w:spacing w:line="360" w:lineRule="auto"/>
        <w:ind w:firstLine="480" w:firstLineChars="200"/>
        <w:rPr>
          <w:sz w:val="24"/>
          <w:highlight w:val="none"/>
        </w:rPr>
      </w:pPr>
    </w:p>
    <w:p>
      <w:pPr>
        <w:pStyle w:val="4"/>
        <w:spacing w:before="0" w:line="360" w:lineRule="auto"/>
        <w:jc w:val="left"/>
        <w:rPr>
          <w:rFonts w:ascii="Times New Roman" w:hAnsi="Times New Roman" w:eastAsia="宋体"/>
          <w:sz w:val="24"/>
          <w:szCs w:val="24"/>
          <w:highlight w:val="none"/>
        </w:rPr>
      </w:pPr>
      <w:bookmarkStart w:id="25" w:name="_Toc28359008"/>
      <w:bookmarkStart w:id="26" w:name="_Toc28359085"/>
      <w:bookmarkStart w:id="27" w:name="_Toc35393627"/>
      <w:bookmarkStart w:id="28" w:name="_Toc35393796"/>
      <w:r>
        <w:rPr>
          <w:rFonts w:ascii="Times New Roman" w:hAnsi="Times New Roman" w:eastAsia="宋体"/>
          <w:sz w:val="24"/>
          <w:szCs w:val="24"/>
          <w:highlight w:val="none"/>
        </w:rPr>
        <w:t>七、对本次招标提出询问，请按以下方式联系。</w:t>
      </w:r>
      <w:bookmarkEnd w:id="25"/>
      <w:bookmarkEnd w:id="26"/>
      <w:bookmarkEnd w:id="27"/>
      <w:bookmarkEnd w:id="28"/>
    </w:p>
    <w:p>
      <w:pPr>
        <w:spacing w:line="360" w:lineRule="auto"/>
        <w:ind w:left="1080" w:leftChars="371" w:hanging="301" w:hangingChars="125"/>
        <w:jc w:val="left"/>
        <w:rPr>
          <w:b/>
          <w:sz w:val="24"/>
          <w:highlight w:val="none"/>
        </w:rPr>
      </w:pPr>
      <w:r>
        <w:rPr>
          <w:b/>
          <w:sz w:val="24"/>
          <w:highlight w:val="none"/>
        </w:rPr>
        <w:t>1.采购人信息</w:t>
      </w:r>
    </w:p>
    <w:p>
      <w:pPr>
        <w:spacing w:line="360" w:lineRule="auto"/>
        <w:ind w:left="1079" w:leftChars="371" w:hanging="300" w:hangingChars="125"/>
        <w:jc w:val="left"/>
        <w:rPr>
          <w:rFonts w:hint="eastAsia" w:eastAsia="宋体"/>
          <w:sz w:val="24"/>
          <w:highlight w:val="none"/>
          <w:lang w:eastAsia="zh-CN"/>
        </w:rPr>
      </w:pPr>
      <w:bookmarkStart w:id="29" w:name="_Toc28359009"/>
      <w:bookmarkStart w:id="30" w:name="_Toc28359086"/>
      <w:r>
        <w:rPr>
          <w:sz w:val="24"/>
          <w:highlight w:val="none"/>
        </w:rPr>
        <w:t>名    称：</w:t>
      </w:r>
      <w:r>
        <w:rPr>
          <w:rFonts w:hint="eastAsia"/>
          <w:sz w:val="24"/>
          <w:highlight w:val="none"/>
          <w:lang w:eastAsia="zh-CN"/>
        </w:rPr>
        <w:t>北京市大兴区庞各庄镇人民政府</w:t>
      </w:r>
    </w:p>
    <w:p>
      <w:pPr>
        <w:spacing w:line="360" w:lineRule="auto"/>
        <w:ind w:left="1079" w:leftChars="371" w:hanging="300" w:hangingChars="125"/>
        <w:jc w:val="left"/>
        <w:rPr>
          <w:rFonts w:hint="eastAsia" w:eastAsia="宋体"/>
          <w:sz w:val="24"/>
          <w:highlight w:val="none"/>
          <w:lang w:eastAsia="zh-CN"/>
        </w:rPr>
      </w:pPr>
      <w:r>
        <w:rPr>
          <w:sz w:val="24"/>
          <w:highlight w:val="none"/>
        </w:rPr>
        <w:t>地    址：</w:t>
      </w:r>
      <w:r>
        <w:rPr>
          <w:rFonts w:hint="eastAsia"/>
          <w:sz w:val="24"/>
          <w:highlight w:val="none"/>
          <w:lang w:eastAsia="zh-CN"/>
        </w:rPr>
        <w:t>北京市大兴区庞各庄镇</w:t>
      </w:r>
    </w:p>
    <w:p>
      <w:pPr>
        <w:spacing w:line="360" w:lineRule="auto"/>
        <w:ind w:left="1079" w:leftChars="371" w:hanging="300" w:hangingChars="125"/>
        <w:jc w:val="left"/>
        <w:rPr>
          <w:sz w:val="24"/>
          <w:highlight w:val="none"/>
          <w:u w:val="single"/>
        </w:rPr>
      </w:pPr>
      <w:r>
        <w:rPr>
          <w:sz w:val="24"/>
          <w:highlight w:val="none"/>
        </w:rPr>
        <w:t>联系方式：</w:t>
      </w:r>
      <w:r>
        <w:rPr>
          <w:rFonts w:hint="eastAsia" w:ascii="宋体" w:hAnsi="宋体"/>
          <w:sz w:val="24"/>
          <w:highlight w:val="none"/>
          <w:u w:val="single"/>
          <w:lang w:eastAsia="zh-CN"/>
        </w:rPr>
        <w:t>孙同斌；010-89206873</w:t>
      </w:r>
    </w:p>
    <w:p>
      <w:pPr>
        <w:spacing w:line="360" w:lineRule="auto"/>
        <w:ind w:left="1080" w:leftChars="371" w:hanging="301" w:hangingChars="125"/>
        <w:jc w:val="left"/>
        <w:rPr>
          <w:b/>
          <w:sz w:val="24"/>
          <w:highlight w:val="none"/>
        </w:rPr>
      </w:pPr>
      <w:r>
        <w:rPr>
          <w:b/>
          <w:sz w:val="24"/>
          <w:highlight w:val="none"/>
        </w:rPr>
        <w:t>2.采购代理机构信息</w:t>
      </w:r>
      <w:bookmarkEnd w:id="29"/>
      <w:bookmarkEnd w:id="30"/>
    </w:p>
    <w:p>
      <w:pPr>
        <w:spacing w:line="360" w:lineRule="auto"/>
        <w:ind w:left="1079" w:leftChars="371" w:hanging="300" w:hangingChars="125"/>
        <w:jc w:val="left"/>
        <w:rPr>
          <w:sz w:val="24"/>
          <w:highlight w:val="none"/>
        </w:rPr>
      </w:pPr>
      <w:bookmarkStart w:id="31" w:name="_Toc28359010"/>
      <w:bookmarkStart w:id="32" w:name="_Toc28359087"/>
      <w:r>
        <w:rPr>
          <w:sz w:val="24"/>
          <w:highlight w:val="none"/>
        </w:rPr>
        <w:t>名    称：</w:t>
      </w:r>
      <w:r>
        <w:rPr>
          <w:rFonts w:hint="eastAsia"/>
          <w:sz w:val="24"/>
          <w:highlight w:val="none"/>
        </w:rPr>
        <w:t>北京正采工程咨询有限公司</w:t>
      </w:r>
    </w:p>
    <w:p>
      <w:pPr>
        <w:spacing w:line="360" w:lineRule="auto"/>
        <w:ind w:left="1079" w:leftChars="371" w:hanging="300" w:hangingChars="125"/>
        <w:jc w:val="left"/>
        <w:rPr>
          <w:sz w:val="24"/>
          <w:highlight w:val="none"/>
        </w:rPr>
      </w:pPr>
      <w:r>
        <w:rPr>
          <w:sz w:val="24"/>
          <w:highlight w:val="none"/>
        </w:rPr>
        <w:t>地    址：</w:t>
      </w:r>
      <w:r>
        <w:rPr>
          <w:rFonts w:hint="eastAsia"/>
          <w:sz w:val="24"/>
          <w:highlight w:val="none"/>
        </w:rPr>
        <w:t>北京市大兴区清澄名苑北区27号楼B座2003室</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rPr>
        <w:t>闫玛娜；010-61262672</w:t>
      </w:r>
    </w:p>
    <w:p>
      <w:pPr>
        <w:spacing w:line="360" w:lineRule="auto"/>
        <w:ind w:left="1080" w:leftChars="371" w:hanging="301" w:hangingChars="125"/>
        <w:jc w:val="left"/>
        <w:rPr>
          <w:b/>
          <w:sz w:val="24"/>
          <w:highlight w:val="none"/>
          <w:u w:val="single"/>
        </w:rPr>
      </w:pPr>
      <w:r>
        <w:rPr>
          <w:b/>
          <w:sz w:val="24"/>
          <w:highlight w:val="none"/>
        </w:rPr>
        <w:t>3.项目联系方式</w:t>
      </w:r>
      <w:bookmarkEnd w:id="31"/>
      <w:bookmarkEnd w:id="32"/>
    </w:p>
    <w:p>
      <w:pPr>
        <w:spacing w:line="360" w:lineRule="auto"/>
        <w:ind w:left="1079" w:leftChars="371" w:hanging="300" w:hangingChars="125"/>
        <w:jc w:val="left"/>
        <w:rPr>
          <w:sz w:val="24"/>
          <w:highlight w:val="none"/>
        </w:rPr>
      </w:pPr>
      <w:r>
        <w:rPr>
          <w:sz w:val="24"/>
          <w:highlight w:val="none"/>
        </w:rPr>
        <w:t>项目联系人：</w:t>
      </w:r>
      <w:r>
        <w:rPr>
          <w:rFonts w:hint="eastAsia"/>
          <w:sz w:val="24"/>
          <w:highlight w:val="none"/>
        </w:rPr>
        <w:t>闫玛娜</w:t>
      </w:r>
    </w:p>
    <w:p>
      <w:pPr>
        <w:spacing w:line="360" w:lineRule="auto"/>
        <w:ind w:left="1079" w:leftChars="371" w:hanging="300" w:hangingChars="125"/>
        <w:jc w:val="left"/>
        <w:rPr>
          <w:sz w:val="24"/>
          <w:highlight w:val="none"/>
        </w:rPr>
      </w:pPr>
      <w:r>
        <w:rPr>
          <w:sz w:val="24"/>
          <w:highlight w:val="none"/>
        </w:rPr>
        <w:t>电      话：</w:t>
      </w:r>
      <w:r>
        <w:rPr>
          <w:rFonts w:hint="eastAsia"/>
          <w:sz w:val="24"/>
          <w:highlight w:val="none"/>
        </w:rPr>
        <w:t>010-61262672</w:t>
      </w:r>
    </w:p>
    <w:p>
      <w:pPr>
        <w:spacing w:line="360" w:lineRule="auto"/>
        <w:ind w:firstLine="5880" w:firstLineChars="2450"/>
        <w:jc w:val="right"/>
        <w:rPr>
          <w:sz w:val="24"/>
          <w:highlight w:val="none"/>
        </w:rPr>
      </w:pPr>
    </w:p>
    <w:p>
      <w:pPr>
        <w:spacing w:line="360" w:lineRule="auto"/>
        <w:jc w:val="center"/>
        <w:outlineLvl w:val="0"/>
        <w:rPr>
          <w:b/>
          <w:sz w:val="32"/>
          <w:szCs w:val="32"/>
          <w:highlight w:val="none"/>
        </w:rPr>
      </w:pPr>
      <w:r>
        <w:rPr>
          <w:sz w:val="24"/>
          <w:highlight w:val="none"/>
        </w:rPr>
        <w:br w:type="page"/>
      </w:r>
      <w:bookmarkStart w:id="33" w:name="_Toc150774783"/>
      <w:bookmarkStart w:id="34" w:name="_Toc305158854"/>
      <w:bookmarkStart w:id="35" w:name="_Toc305158928"/>
      <w:bookmarkStart w:id="36" w:name="_Toc99301420"/>
      <w:bookmarkStart w:id="37" w:name="_Toc127151777"/>
      <w:bookmarkStart w:id="38" w:name="_Toc195842950"/>
      <w:bookmarkStart w:id="39" w:name="_Toc512937850"/>
      <w:bookmarkStart w:id="40" w:name="_Toc265228423"/>
      <w:bookmarkStart w:id="41" w:name="_Toc353873938"/>
      <w:bookmarkStart w:id="42" w:name="_Toc127161488"/>
      <w:bookmarkStart w:id="43" w:name="_Toc353825548"/>
      <w:bookmarkStart w:id="44" w:name="_Toc226965856"/>
      <w:bookmarkStart w:id="45" w:name="_Toc264969275"/>
      <w:r>
        <w:rPr>
          <w:b/>
          <w:sz w:val="36"/>
          <w:szCs w:val="36"/>
          <w:highlight w:val="none"/>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sz w:val="28"/>
          <w:highlight w:val="none"/>
        </w:rPr>
      </w:pPr>
      <w:bookmarkStart w:id="46" w:name="_Toc164229214"/>
      <w:bookmarkStart w:id="47" w:name="_Toc226337215"/>
      <w:bookmarkStart w:id="48" w:name="_Toc164229360"/>
      <w:bookmarkStart w:id="49" w:name="_Toc226965709"/>
      <w:bookmarkStart w:id="50" w:name="_Toc164608633"/>
      <w:bookmarkStart w:id="51" w:name="_Toc195842884"/>
      <w:bookmarkStart w:id="52" w:name="_Toc142311021"/>
      <w:bookmarkStart w:id="53" w:name="_Toc127161433"/>
      <w:bookmarkStart w:id="54" w:name="_Toc150480757"/>
      <w:bookmarkStart w:id="55" w:name="_Toc127151720"/>
      <w:bookmarkStart w:id="56" w:name="_Toc520356144"/>
      <w:bookmarkStart w:id="57" w:name="_Toc164351613"/>
      <w:bookmarkStart w:id="58" w:name="_Toc127151519"/>
      <w:bookmarkStart w:id="59" w:name="_Toc151193833"/>
      <w:bookmarkStart w:id="60" w:name="_Toc150509270"/>
      <w:bookmarkStart w:id="61" w:name="_Toc151193617"/>
      <w:bookmarkStart w:id="62" w:name="_Toc151190146"/>
      <w:bookmarkStart w:id="63" w:name="_Toc226965792"/>
      <w:bookmarkStart w:id="64" w:name="_Toc151193907"/>
      <w:bookmarkStart w:id="65" w:name="_Toc226309763"/>
      <w:bookmarkStart w:id="66" w:name="_Toc149720812"/>
      <w:bookmarkStart w:id="67" w:name="_Toc151193761"/>
      <w:bookmarkStart w:id="68" w:name="_Toc164608788"/>
      <w:bookmarkStart w:id="69" w:name="_Toc150774724"/>
      <w:bookmarkStart w:id="70" w:name="_Toc151193689"/>
      <w:bookmarkStart w:id="71" w:name="_Toc150774619"/>
      <w:r>
        <w:rPr>
          <w:rFonts w:ascii="Times New Roman" w:hAnsi="Times New Roman" w:eastAsia="宋体"/>
          <w:sz w:val="28"/>
          <w:highlight w:val="none"/>
        </w:rPr>
        <w:t>投标人须知资料表</w:t>
      </w:r>
    </w:p>
    <w:p>
      <w:pPr>
        <w:jc w:val="center"/>
        <w:rPr>
          <w:b/>
          <w:sz w:val="28"/>
          <w:szCs w:val="28"/>
          <w:highlight w:val="none"/>
        </w:rPr>
      </w:pPr>
    </w:p>
    <w:p>
      <w:pPr>
        <w:spacing w:line="360" w:lineRule="auto"/>
        <w:ind w:firstLine="480"/>
        <w:rPr>
          <w:sz w:val="24"/>
          <w:highlight w:val="none"/>
        </w:rPr>
      </w:pPr>
      <w:r>
        <w:rPr>
          <w:sz w:val="24"/>
          <w:highlight w:val="none"/>
        </w:rPr>
        <w:t>本表是对投标人须知的具体补充和修改，如有矛盾，均以本资料表为准。标记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的选项意为适用于本项目，标记“□”的选项意为不适用于本项目。</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keepNext w:val="0"/>
              <w:keepLines w:val="0"/>
              <w:suppressLineNumbers w:val="0"/>
              <w:spacing w:before="0" w:beforeAutospacing="0" w:after="0" w:afterAutospacing="0"/>
              <w:ind w:left="0" w:right="0"/>
              <w:jc w:val="center"/>
              <w:rPr>
                <w:rFonts w:hint="default"/>
                <w:b/>
                <w:bCs/>
                <w:sz w:val="24"/>
                <w:highlight w:val="none"/>
              </w:rPr>
            </w:pPr>
            <w:r>
              <w:rPr>
                <w:rFonts w:hint="default"/>
                <w:b/>
                <w:sz w:val="24"/>
                <w:highlight w:val="none"/>
              </w:rPr>
              <w:t>条款号</w:t>
            </w:r>
          </w:p>
        </w:tc>
        <w:tc>
          <w:tcPr>
            <w:tcW w:w="1701" w:type="dxa"/>
            <w:vAlign w:val="center"/>
          </w:tcPr>
          <w:p>
            <w:pPr>
              <w:keepNext w:val="0"/>
              <w:keepLines w:val="0"/>
              <w:suppressLineNumbers w:val="0"/>
              <w:spacing w:before="0" w:beforeAutospacing="0" w:after="0" w:afterAutospacing="0"/>
              <w:ind w:left="0" w:right="0"/>
              <w:jc w:val="center"/>
              <w:rPr>
                <w:rFonts w:hint="default"/>
                <w:b/>
                <w:bCs/>
                <w:sz w:val="24"/>
                <w:highlight w:val="none"/>
              </w:rPr>
            </w:pPr>
            <w:r>
              <w:rPr>
                <w:rFonts w:hint="default"/>
                <w:b/>
                <w:bCs/>
                <w:sz w:val="24"/>
                <w:highlight w:val="none"/>
              </w:rPr>
              <w:t>条目</w:t>
            </w:r>
          </w:p>
        </w:tc>
        <w:tc>
          <w:tcPr>
            <w:tcW w:w="7540" w:type="dxa"/>
            <w:vAlign w:val="center"/>
          </w:tcPr>
          <w:p>
            <w:pPr>
              <w:keepNext w:val="0"/>
              <w:keepLines w:val="0"/>
              <w:suppressLineNumbers w:val="0"/>
              <w:spacing w:before="0" w:beforeAutospacing="0" w:after="0" w:afterAutospacing="0"/>
              <w:ind w:left="0" w:right="0"/>
              <w:jc w:val="center"/>
              <w:rPr>
                <w:rFonts w:hint="default"/>
                <w:b/>
                <w:bCs/>
                <w:sz w:val="24"/>
                <w:highlight w:val="none"/>
              </w:rPr>
            </w:pPr>
            <w:r>
              <w:rPr>
                <w:rFonts w:hint="default"/>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项目属性</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项目属性：</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服务</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科研仪器设备</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是否属于科研仪器设备采购项目：</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是</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核心产品</w:t>
            </w:r>
          </w:p>
        </w:tc>
        <w:tc>
          <w:tcPr>
            <w:tcW w:w="7540" w:type="dxa"/>
            <w:vAlign w:val="center"/>
          </w:tcPr>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eastAsia" w:ascii="Times New Roman" w:hAnsi="Times New Roman"/>
                <w:sz w:val="24"/>
                <w:szCs w:val="24"/>
                <w:highlight w:val="none"/>
                <w:lang w:eastAsia="zh-CN"/>
              </w:rPr>
              <w:t>□</w:t>
            </w:r>
            <w:r>
              <w:rPr>
                <w:rFonts w:hint="default" w:ascii="Times New Roman" w:hAnsi="Times New Roman"/>
                <w:sz w:val="24"/>
                <w:szCs w:val="24"/>
                <w:highlight w:val="none"/>
              </w:rPr>
              <w:t>关于核心产品本项目</w:t>
            </w:r>
            <w:r>
              <w:rPr>
                <w:rFonts w:hint="eastAsia" w:ascii="Times New Roman" w:hAnsi="Times New Roman"/>
                <w:sz w:val="24"/>
                <w:szCs w:val="24"/>
                <w:highlight w:val="none"/>
                <w:u w:val="single"/>
                <w:lang w:val="en-US" w:eastAsia="zh-CN"/>
              </w:rPr>
              <w:t xml:space="preserve"> /  </w:t>
            </w:r>
            <w:r>
              <w:rPr>
                <w:rFonts w:hint="default" w:ascii="Times New Roman" w:hAnsi="Times New Roman"/>
                <w:sz w:val="24"/>
                <w:szCs w:val="24"/>
                <w:highlight w:val="none"/>
              </w:rPr>
              <w:t>包不适用。</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eastAsia" w:ascii="Times New Roman" w:hAnsi="Times New Roman"/>
                <w:sz w:val="24"/>
                <w:szCs w:val="24"/>
                <w:highlight w:val="none"/>
                <w:lang w:eastAsia="zh-CN"/>
              </w:rPr>
              <w:t>□</w:t>
            </w:r>
            <w:r>
              <w:rPr>
                <w:rFonts w:hint="default" w:ascii="Times New Roman" w:hAnsi="Times New Roman"/>
                <w:sz w:val="24"/>
                <w:szCs w:val="24"/>
                <w:highlight w:val="none"/>
              </w:rPr>
              <w:t>本项目</w:t>
            </w:r>
            <w:r>
              <w:rPr>
                <w:rFonts w:hint="eastAsia" w:ascii="Times New Roman" w:hAnsi="Times New Roman"/>
                <w:sz w:val="24"/>
                <w:szCs w:val="24"/>
                <w:highlight w:val="none"/>
                <w:u w:val="single"/>
                <w:lang w:val="en-US" w:eastAsia="zh-CN"/>
              </w:rPr>
              <w:t xml:space="preserve">  /  </w:t>
            </w:r>
            <w:r>
              <w:rPr>
                <w:rFonts w:hint="default" w:ascii="Times New Roman" w:hAnsi="Times New Roman"/>
                <w:sz w:val="24"/>
                <w:szCs w:val="24"/>
                <w:highlight w:val="none"/>
              </w:rPr>
              <w:t>包为单一产品采购项目。</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本项目</w:t>
            </w:r>
            <w:r>
              <w:rPr>
                <w:rFonts w:hint="eastAsia"/>
                <w:sz w:val="24"/>
                <w:highlight w:val="none"/>
                <w:u w:val="single"/>
                <w:lang w:val="en-US" w:eastAsia="zh-CN"/>
              </w:rPr>
              <w:t xml:space="preserve">  /   </w:t>
            </w:r>
            <w:r>
              <w:rPr>
                <w:rFonts w:hint="default"/>
                <w:sz w:val="24"/>
                <w:highlight w:val="none"/>
              </w:rPr>
              <w:t>包为非单一产品采购项目，核心产品为：</w:t>
            </w:r>
            <w:r>
              <w:rPr>
                <w:rFonts w:hint="eastAsia"/>
                <w:sz w:val="24"/>
                <w:highlight w:val="none"/>
                <w:u w:val="single"/>
                <w:lang w:val="en-US" w:eastAsia="zh-CN"/>
              </w:rPr>
              <w:t xml:space="preserve">  /   </w:t>
            </w:r>
            <w:r>
              <w:rPr>
                <w:rFonts w:hint="default"/>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现场考察</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不组织</w:t>
            </w:r>
          </w:p>
          <w:p>
            <w:pPr>
              <w:keepNext w:val="0"/>
              <w:keepLines w:val="0"/>
              <w:suppressLineNumbers w:val="0"/>
              <w:spacing w:before="0" w:beforeAutospacing="0" w:after="0" w:afterAutospacing="0"/>
              <w:ind w:left="0" w:right="0"/>
              <w:jc w:val="left"/>
              <w:rPr>
                <w:rFonts w:hint="default"/>
                <w:bCs/>
                <w:sz w:val="24"/>
                <w:highlight w:val="none"/>
              </w:rPr>
            </w:pPr>
            <w:r>
              <w:rPr>
                <w:rFonts w:hint="eastAsia"/>
                <w:sz w:val="24"/>
                <w:highlight w:val="none"/>
                <w:lang w:eastAsia="zh-CN"/>
              </w:rPr>
              <w:t>□</w:t>
            </w:r>
            <w:r>
              <w:rPr>
                <w:rFonts w:hint="default"/>
                <w:sz w:val="24"/>
                <w:highlight w:val="none"/>
              </w:rPr>
              <w:t>组织，考察时间：</w:t>
            </w:r>
            <w:r>
              <w:rPr>
                <w:rFonts w:hint="eastAsia" w:ascii="宋体" w:hAnsi="宋体"/>
                <w:sz w:val="24"/>
                <w:highlight w:val="none"/>
                <w:u w:val="single"/>
              </w:rPr>
              <w:t xml:space="preserve">  /  </w:t>
            </w:r>
            <w:r>
              <w:rPr>
                <w:rFonts w:hint="default" w:ascii="宋体" w:hAnsi="宋体"/>
                <w:sz w:val="24"/>
                <w:highlight w:val="none"/>
              </w:rPr>
              <w:t>年</w:t>
            </w:r>
            <w:r>
              <w:rPr>
                <w:rFonts w:hint="eastAsia" w:ascii="宋体" w:hAnsi="宋体"/>
                <w:sz w:val="24"/>
                <w:highlight w:val="none"/>
                <w:u w:val="single"/>
              </w:rPr>
              <w:t xml:space="preserve">  /  </w:t>
            </w:r>
            <w:r>
              <w:rPr>
                <w:rFonts w:hint="default" w:ascii="宋体" w:hAnsi="宋体"/>
                <w:sz w:val="24"/>
                <w:highlight w:val="none"/>
              </w:rPr>
              <w:t>月</w:t>
            </w:r>
            <w:r>
              <w:rPr>
                <w:rFonts w:hint="eastAsia" w:ascii="宋体" w:hAnsi="宋体"/>
                <w:sz w:val="24"/>
                <w:highlight w:val="none"/>
                <w:u w:val="single"/>
              </w:rPr>
              <w:t xml:space="preserve">  /  </w:t>
            </w:r>
            <w:r>
              <w:rPr>
                <w:rFonts w:hint="default" w:ascii="宋体" w:hAnsi="宋体"/>
                <w:sz w:val="24"/>
                <w:highlight w:val="none"/>
              </w:rPr>
              <w:t>日</w:t>
            </w:r>
            <w:r>
              <w:rPr>
                <w:rFonts w:hint="eastAsia" w:ascii="宋体" w:hAnsi="宋体"/>
                <w:sz w:val="24"/>
                <w:highlight w:val="none"/>
                <w:u w:val="single"/>
              </w:rPr>
              <w:t xml:space="preserve">  /  </w:t>
            </w:r>
            <w:r>
              <w:rPr>
                <w:rFonts w:hint="default" w:ascii="宋体" w:hAnsi="宋体"/>
                <w:bCs/>
                <w:sz w:val="24"/>
                <w:highlight w:val="none"/>
              </w:rPr>
              <w:t>点</w:t>
            </w:r>
            <w:r>
              <w:rPr>
                <w:rFonts w:hint="eastAsia" w:ascii="宋体" w:hAnsi="宋体"/>
                <w:sz w:val="24"/>
                <w:highlight w:val="none"/>
                <w:u w:val="single"/>
              </w:rPr>
              <w:t xml:space="preserve">  /  </w:t>
            </w:r>
            <w:r>
              <w:rPr>
                <w:rFonts w:hint="default" w:ascii="宋体" w:hAnsi="宋体"/>
                <w:bCs/>
                <w:sz w:val="24"/>
                <w:highlight w:val="none"/>
              </w:rPr>
              <w:t>分</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default" w:ascii="Times New Roman" w:hAnsi="Times New Roman"/>
                <w:sz w:val="24"/>
                <w:highlight w:val="none"/>
              </w:rPr>
              <w:t>考察地点：</w:t>
            </w:r>
            <w:r>
              <w:rPr>
                <w:rFonts w:hAnsi="宋体"/>
                <w:sz w:val="24"/>
                <w:highlight w:val="none"/>
                <w:u w:val="single"/>
              </w:rPr>
              <w:t xml:space="preserve">  /  </w:t>
            </w:r>
            <w:r>
              <w:rPr>
                <w:rFonts w:hint="default" w:ascii="Times New Roman" w:hAnsi="Times New Roman"/>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开标前答疑会</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不召开</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召开，召开时间：</w:t>
            </w:r>
            <w:r>
              <w:rPr>
                <w:rFonts w:hint="eastAsia" w:ascii="宋体" w:hAnsi="宋体"/>
                <w:sz w:val="24"/>
                <w:highlight w:val="none"/>
                <w:u w:val="single"/>
              </w:rPr>
              <w:t xml:space="preserve">  /  </w:t>
            </w:r>
            <w:r>
              <w:rPr>
                <w:rFonts w:hint="default" w:ascii="宋体" w:hAnsi="宋体"/>
                <w:sz w:val="24"/>
                <w:highlight w:val="none"/>
              </w:rPr>
              <w:t>年</w:t>
            </w:r>
            <w:r>
              <w:rPr>
                <w:rFonts w:hint="eastAsia" w:ascii="宋体" w:hAnsi="宋体"/>
                <w:sz w:val="24"/>
                <w:highlight w:val="none"/>
                <w:u w:val="single"/>
              </w:rPr>
              <w:t xml:space="preserve">  /  </w:t>
            </w:r>
            <w:r>
              <w:rPr>
                <w:rFonts w:hint="default" w:ascii="宋体" w:hAnsi="宋体"/>
                <w:sz w:val="24"/>
                <w:highlight w:val="none"/>
              </w:rPr>
              <w:t>月</w:t>
            </w:r>
            <w:r>
              <w:rPr>
                <w:rFonts w:hint="eastAsia" w:ascii="宋体" w:hAnsi="宋体"/>
                <w:sz w:val="24"/>
                <w:highlight w:val="none"/>
                <w:u w:val="single"/>
              </w:rPr>
              <w:t xml:space="preserve">  /  </w:t>
            </w:r>
            <w:r>
              <w:rPr>
                <w:rFonts w:hint="default" w:ascii="宋体" w:hAnsi="宋体"/>
                <w:sz w:val="24"/>
                <w:highlight w:val="none"/>
              </w:rPr>
              <w:t>日</w:t>
            </w:r>
            <w:r>
              <w:rPr>
                <w:rFonts w:hint="eastAsia" w:ascii="宋体" w:hAnsi="宋体"/>
                <w:sz w:val="24"/>
                <w:highlight w:val="none"/>
                <w:u w:val="single"/>
              </w:rPr>
              <w:t xml:space="preserve">  /  </w:t>
            </w:r>
            <w:r>
              <w:rPr>
                <w:rFonts w:hint="default" w:ascii="宋体" w:hAnsi="宋体"/>
                <w:bCs/>
                <w:sz w:val="24"/>
                <w:highlight w:val="none"/>
              </w:rPr>
              <w:t>点</w:t>
            </w:r>
            <w:r>
              <w:rPr>
                <w:rFonts w:hint="eastAsia" w:ascii="宋体" w:hAnsi="宋体"/>
                <w:sz w:val="24"/>
                <w:highlight w:val="none"/>
                <w:u w:val="single"/>
              </w:rPr>
              <w:t xml:space="preserve">  /  </w:t>
            </w:r>
            <w:r>
              <w:rPr>
                <w:rFonts w:hint="default" w:ascii="宋体" w:hAnsi="宋体"/>
                <w:bCs/>
                <w:sz w:val="24"/>
                <w:highlight w:val="none"/>
              </w:rPr>
              <w:t>分</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召开地点：</w:t>
            </w:r>
            <w:r>
              <w:rPr>
                <w:rFonts w:hint="default" w:hAnsi="宋体"/>
                <w:sz w:val="24"/>
                <w:highlight w:val="none"/>
                <w:u w:val="single"/>
              </w:rPr>
              <w:t xml:space="preserve">  /  </w:t>
            </w:r>
            <w:r>
              <w:rPr>
                <w:rFonts w:hint="default"/>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样品</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投标样品递交：</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不需要</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需要，具体要求如下：</w:t>
            </w:r>
          </w:p>
          <w:p>
            <w:pPr>
              <w:keepNext w:val="0"/>
              <w:keepLines w:val="0"/>
              <w:suppressLineNumbers w:val="0"/>
              <w:spacing w:before="0" w:beforeAutospacing="0" w:after="0" w:afterAutospacing="0"/>
              <w:ind w:left="0" w:right="0"/>
              <w:jc w:val="left"/>
              <w:rPr>
                <w:rFonts w:hint="default"/>
                <w:sz w:val="24"/>
                <w:highlight w:val="none"/>
                <w:u w:val="single"/>
              </w:rPr>
            </w:pPr>
            <w:r>
              <w:rPr>
                <w:rFonts w:hint="default"/>
                <w:sz w:val="24"/>
                <w:highlight w:val="none"/>
              </w:rPr>
              <w:t>（1）样品制作的标准和要求：</w:t>
            </w:r>
            <w:r>
              <w:rPr>
                <w:rFonts w:hint="default" w:hAnsi="宋体"/>
                <w:sz w:val="24"/>
                <w:highlight w:val="none"/>
                <w:u w:val="single"/>
              </w:rPr>
              <w:t xml:space="preserve">  /  </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（2）是否需要随样品提交相关检测报告：</w:t>
            </w:r>
          </w:p>
          <w:p>
            <w:pPr>
              <w:keepNext w:val="0"/>
              <w:keepLines w:val="0"/>
              <w:suppressLineNumbers w:val="0"/>
              <w:spacing w:before="0" w:beforeAutospacing="0" w:after="0" w:afterAutospacing="0"/>
              <w:ind w:left="0" w:right="0" w:firstLine="600" w:firstLineChars="250"/>
              <w:jc w:val="left"/>
              <w:rPr>
                <w:rFonts w:hint="default"/>
                <w:sz w:val="24"/>
                <w:highlight w:val="none"/>
              </w:rPr>
            </w:pPr>
            <w:r>
              <w:rPr>
                <w:rFonts w:hint="eastAsia"/>
                <w:sz w:val="24"/>
                <w:highlight w:val="none"/>
                <w:lang w:eastAsia="zh-CN"/>
              </w:rPr>
              <w:t>□</w:t>
            </w:r>
            <w:r>
              <w:rPr>
                <w:rFonts w:hint="default"/>
                <w:sz w:val="24"/>
                <w:highlight w:val="none"/>
              </w:rPr>
              <w:t>不需要</w:t>
            </w:r>
          </w:p>
          <w:p>
            <w:pPr>
              <w:keepNext w:val="0"/>
              <w:keepLines w:val="0"/>
              <w:suppressLineNumbers w:val="0"/>
              <w:spacing w:before="0" w:beforeAutospacing="0" w:after="0" w:afterAutospacing="0"/>
              <w:ind w:left="0" w:right="0" w:firstLine="600" w:firstLineChars="250"/>
              <w:jc w:val="left"/>
              <w:rPr>
                <w:rFonts w:hint="default"/>
                <w:sz w:val="24"/>
                <w:highlight w:val="none"/>
              </w:rPr>
            </w:pPr>
            <w:r>
              <w:rPr>
                <w:rFonts w:hint="eastAsia"/>
                <w:sz w:val="24"/>
                <w:highlight w:val="none"/>
                <w:lang w:eastAsia="zh-CN"/>
              </w:rPr>
              <w:t>□</w:t>
            </w:r>
            <w:r>
              <w:rPr>
                <w:rFonts w:hint="default"/>
                <w:sz w:val="24"/>
                <w:highlight w:val="none"/>
              </w:rPr>
              <w:t>需要</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（3）样品递交要求：</w:t>
            </w:r>
            <w:r>
              <w:rPr>
                <w:rFonts w:hint="default" w:hAnsi="宋体"/>
                <w:sz w:val="24"/>
                <w:highlight w:val="none"/>
                <w:u w:val="single"/>
              </w:rPr>
              <w:t xml:space="preserve">  /  </w:t>
            </w:r>
            <w:r>
              <w:rPr>
                <w:rFonts w:hint="default"/>
                <w:sz w:val="24"/>
                <w:highlight w:val="none"/>
              </w:rPr>
              <w:t>_；</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（4）未中标人样品退还：</w:t>
            </w:r>
            <w:r>
              <w:rPr>
                <w:rFonts w:hint="default" w:hAnsi="宋体"/>
                <w:sz w:val="24"/>
                <w:highlight w:val="none"/>
                <w:u w:val="single"/>
              </w:rPr>
              <w:t xml:space="preserve">  /  </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u w:val="single"/>
              </w:rPr>
            </w:pPr>
            <w:r>
              <w:rPr>
                <w:rFonts w:hint="default"/>
                <w:sz w:val="24"/>
                <w:highlight w:val="none"/>
              </w:rPr>
              <w:t>（5）中标人样品保管、封存及退还：</w:t>
            </w:r>
            <w:r>
              <w:rPr>
                <w:rFonts w:hint="default" w:hAnsi="宋体"/>
                <w:sz w:val="24"/>
                <w:highlight w:val="none"/>
                <w:u w:val="single"/>
              </w:rPr>
              <w:t xml:space="preserve">  /  </w:t>
            </w:r>
            <w:r>
              <w:rPr>
                <w:rFonts w:hint="default"/>
                <w:sz w:val="24"/>
                <w:highlight w:val="none"/>
              </w:rPr>
              <w:t>_；</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（6）其他要求（如有）：</w:t>
            </w:r>
            <w:r>
              <w:rPr>
                <w:rFonts w:hint="default" w:hAnsi="宋体"/>
                <w:sz w:val="24"/>
                <w:highlight w:val="none"/>
                <w:u w:val="single"/>
              </w:rPr>
              <w:t xml:space="preserve">  /  </w:t>
            </w:r>
            <w:r>
              <w:rPr>
                <w:rFonts w:hint="default"/>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标的所属行业</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eastAsiaTheme="minorEastAsia"/>
                      <w:bCs/>
                      <w:sz w:val="24"/>
                      <w:highlight w:val="none"/>
                    </w:rPr>
                  </w:pPr>
                  <w:r>
                    <w:rPr>
                      <w:rFonts w:hint="default" w:eastAsiaTheme="minorEastAsia"/>
                      <w:bCs/>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eastAsiaTheme="minorEastAsia"/>
                      <w:bCs/>
                      <w:sz w:val="24"/>
                      <w:highlight w:val="none"/>
                    </w:rPr>
                  </w:pPr>
                  <w:r>
                    <w:rPr>
                      <w:rFonts w:hint="default" w:eastAsiaTheme="minorEastAsia"/>
                      <w:bCs/>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eastAsiaTheme="minorEastAsia"/>
                      <w:sz w:val="24"/>
                      <w:highlight w:val="none"/>
                    </w:rPr>
                  </w:pPr>
                  <w:r>
                    <w:rPr>
                      <w:rFonts w:hint="default"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eastAsiaTheme="minorEastAsia"/>
                      <w:bCs/>
                      <w:sz w:val="24"/>
                      <w:highlight w:val="none"/>
                    </w:rPr>
                  </w:pPr>
                </w:p>
              </w:tc>
              <w:tc>
                <w:tcPr>
                  <w:tcW w:w="205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eastAsiaTheme="minorEastAsia"/>
                      <w:bCs/>
                      <w:sz w:val="24"/>
                      <w:highlight w:val="none"/>
                      <w:lang w:eastAsia="zh-CN"/>
                    </w:rPr>
                  </w:pPr>
                  <w:r>
                    <w:rPr>
                      <w:rFonts w:hint="eastAsia" w:eastAsiaTheme="minorEastAsia"/>
                      <w:bCs/>
                      <w:sz w:val="24"/>
                      <w:highlight w:val="none"/>
                      <w:lang w:eastAsia="zh-CN"/>
                    </w:rPr>
                    <w:t>庞各庄镇2023-2024年农村地区“煤改清洁能源”长效管护项目</w:t>
                  </w:r>
                </w:p>
              </w:tc>
              <w:tc>
                <w:tcPr>
                  <w:tcW w:w="238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eastAsiaTheme="minorEastAsia"/>
                      <w:kern w:val="0"/>
                      <w:sz w:val="24"/>
                      <w:highlight w:val="none"/>
                    </w:rPr>
                  </w:pPr>
                  <w:r>
                    <w:rPr>
                      <w:rFonts w:hint="eastAsia" w:ascii="宋体" w:hAnsi="宋体"/>
                      <w:kern w:val="0"/>
                      <w:sz w:val="24"/>
                      <w:highlight w:val="none"/>
                    </w:rPr>
                    <w:t>其他未列明行业</w:t>
                  </w:r>
                </w:p>
              </w:tc>
            </w:tr>
          </w:tbl>
          <w:p>
            <w:pPr>
              <w:keepNext w:val="0"/>
              <w:keepLines w:val="0"/>
              <w:suppressLineNumbers w:val="0"/>
              <w:spacing w:before="0" w:beforeAutospacing="0" w:after="0" w:afterAutospacing="0"/>
              <w:ind w:left="0" w:right="0"/>
              <w:jc w:val="left"/>
              <w:rPr>
                <w:rFonts w:hint="default"/>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highlight w:val="none"/>
              </w:rPr>
              <w:br w:type="page"/>
            </w:r>
            <w:r>
              <w:rPr>
                <w:rFonts w:hint="default" w:ascii="Times New Roman" w:hAnsi="Times New Roman"/>
                <w:sz w:val="24"/>
                <w:szCs w:val="24"/>
                <w:highlight w:val="none"/>
              </w:rPr>
              <w:t>11.2</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投标报价</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投标报价的特殊规定：</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无</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有，具体情形：</w:t>
            </w:r>
            <w:r>
              <w:rPr>
                <w:rFonts w:hint="default" w:hAnsi="宋体"/>
                <w:sz w:val="24"/>
                <w:highlight w:val="none"/>
                <w:u w:val="single"/>
              </w:rPr>
              <w:t xml:space="preserve">  /  </w:t>
            </w:r>
            <w:r>
              <w:rPr>
                <w:rFonts w:hint="default"/>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投标保证金</w:t>
            </w:r>
          </w:p>
        </w:tc>
        <w:tc>
          <w:tcPr>
            <w:tcW w:w="7540" w:type="dxa"/>
            <w:vAlign w:val="center"/>
          </w:tcPr>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default" w:ascii="Times New Roman" w:hAnsi="Times New Roman"/>
                <w:sz w:val="24"/>
                <w:szCs w:val="24"/>
                <w:highlight w:val="none"/>
              </w:rPr>
              <w:t>投标保证金金额：</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default" w:ascii="Times New Roman" w:hAnsi="Times New Roman"/>
                <w:sz w:val="24"/>
                <w:szCs w:val="24"/>
                <w:highlight w:val="none"/>
              </w:rPr>
              <w:t>01包：</w:t>
            </w:r>
            <w:r>
              <w:rPr>
                <w:rFonts w:hint="default" w:ascii="Times New Roman" w:hAnsi="Times New Roman"/>
                <w:sz w:val="24"/>
                <w:highlight w:val="none"/>
              </w:rPr>
              <w:t>____</w:t>
            </w:r>
            <w:r>
              <w:rPr>
                <w:rFonts w:hint="eastAsia" w:ascii="Times New Roman" w:hAnsi="Times New Roman"/>
                <w:sz w:val="24"/>
                <w:highlight w:val="none"/>
                <w:lang w:val="en-US" w:eastAsia="zh-CN"/>
              </w:rPr>
              <w:t>/</w:t>
            </w:r>
            <w:r>
              <w:rPr>
                <w:rFonts w:hint="default" w:ascii="Times New Roman" w:hAnsi="Times New Roman"/>
                <w:sz w:val="24"/>
                <w:highlight w:val="none"/>
              </w:rPr>
              <w:t>_______</w:t>
            </w:r>
            <w:r>
              <w:rPr>
                <w:rFonts w:hint="default" w:ascii="Times New Roman" w:hAnsi="Times New Roman"/>
                <w:sz w:val="24"/>
                <w:szCs w:val="24"/>
                <w:highlight w:val="none"/>
              </w:rPr>
              <w:t>；</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default" w:ascii="Times New Roman" w:hAnsi="Times New Roman"/>
                <w:sz w:val="24"/>
                <w:szCs w:val="24"/>
                <w:highlight w:val="none"/>
              </w:rPr>
              <w:t>… 包：</w:t>
            </w:r>
            <w:r>
              <w:rPr>
                <w:rFonts w:hint="default" w:ascii="Times New Roman" w:hAnsi="Times New Roman"/>
                <w:sz w:val="24"/>
                <w:highlight w:val="none"/>
              </w:rPr>
              <w:t>____</w:t>
            </w:r>
            <w:r>
              <w:rPr>
                <w:rFonts w:hint="eastAsia" w:ascii="Times New Roman" w:hAnsi="Times New Roman"/>
                <w:sz w:val="24"/>
                <w:highlight w:val="none"/>
                <w:lang w:val="en-US" w:eastAsia="zh-CN"/>
              </w:rPr>
              <w:t>/</w:t>
            </w:r>
            <w:r>
              <w:rPr>
                <w:rFonts w:hint="default" w:ascii="Times New Roman" w:hAnsi="Times New Roman"/>
                <w:sz w:val="24"/>
                <w:highlight w:val="none"/>
              </w:rPr>
              <w:t>_______</w:t>
            </w:r>
            <w:r>
              <w:rPr>
                <w:rFonts w:hint="default" w:ascii="Times New Roman" w:hAnsi="Times New Roman"/>
                <w:sz w:val="24"/>
                <w:szCs w:val="24"/>
                <w:highlight w:val="none"/>
              </w:rPr>
              <w:t>。</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投标保证金收受人信息：_____</w:t>
            </w:r>
            <w:r>
              <w:rPr>
                <w:rFonts w:hint="eastAsia"/>
                <w:sz w:val="24"/>
                <w:highlight w:val="none"/>
                <w:lang w:val="en-US" w:eastAsia="zh-CN"/>
              </w:rPr>
              <w:t>/</w:t>
            </w:r>
            <w:r>
              <w:rPr>
                <w:rFonts w:hint="default"/>
                <w:sz w:val="24"/>
                <w:highlight w:val="none"/>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12.7.2</w:t>
            </w:r>
          </w:p>
        </w:tc>
        <w:tc>
          <w:tcPr>
            <w:tcW w:w="1701" w:type="dxa"/>
            <w:vMerge w:val="continue"/>
            <w:vAlign w:val="center"/>
          </w:tcPr>
          <w:p>
            <w:pPr>
              <w:keepNext w:val="0"/>
              <w:keepLines w:val="0"/>
              <w:suppressLineNumbers w:val="0"/>
              <w:spacing w:before="0" w:beforeAutospacing="0" w:after="0" w:afterAutospacing="0"/>
              <w:ind w:left="0" w:right="0"/>
              <w:jc w:val="center"/>
              <w:rPr>
                <w:rFonts w:hint="default"/>
                <w:sz w:val="24"/>
                <w:highlight w:val="none"/>
              </w:rPr>
            </w:pP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投标保证金可以不予退还的其他情形：</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无</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szCs w:val="24"/>
                <w:highlight w:val="none"/>
              </w:rPr>
            </w:pPr>
            <w:r>
              <w:rPr>
                <w:rFonts w:hint="eastAsia" w:ascii="Times New Roman" w:hAnsi="Times New Roman"/>
                <w:sz w:val="24"/>
                <w:highlight w:val="none"/>
                <w:lang w:eastAsia="zh-CN"/>
              </w:rPr>
              <w:t>□</w:t>
            </w:r>
            <w:r>
              <w:rPr>
                <w:rFonts w:hint="default" w:ascii="Times New Roman" w:hAnsi="Times New Roman"/>
                <w:sz w:val="24"/>
                <w:highlight w:val="none"/>
              </w:rPr>
              <w:t>有，具体情形：___</w:t>
            </w:r>
            <w:r>
              <w:rPr>
                <w:rFonts w:hint="eastAsia" w:ascii="Times New Roman" w:hAnsi="Times New Roman"/>
                <w:sz w:val="24"/>
                <w:highlight w:val="none"/>
                <w:lang w:val="en-US" w:eastAsia="zh-CN"/>
              </w:rPr>
              <w:t>/</w:t>
            </w:r>
            <w:r>
              <w:rPr>
                <w:rFonts w:hint="default" w:ascii="Times New Roman" w:hAnsi="Times New Roman"/>
                <w:sz w:val="24"/>
                <w:highlight w:val="none"/>
              </w:rPr>
              <w:t>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投标有效期</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自提交投标文件的截止之日起算_</w:t>
            </w:r>
            <w:r>
              <w:rPr>
                <w:rFonts w:hint="eastAsia"/>
                <w:sz w:val="24"/>
                <w:highlight w:val="none"/>
                <w:lang w:val="en-US" w:eastAsia="zh-CN"/>
              </w:rPr>
              <w:t>90</w:t>
            </w:r>
            <w:r>
              <w:rPr>
                <w:rFonts w:hint="default"/>
                <w:sz w:val="24"/>
                <w:highlight w:val="none"/>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4"/>
                <w:szCs w:val="24"/>
                <w:highlight w:val="none"/>
                <w:lang w:val="en-US" w:eastAsia="zh-CN" w:bidi="ar-SA"/>
              </w:rPr>
            </w:pPr>
            <w:r>
              <w:rPr>
                <w:rFonts w:hAnsi="宋体"/>
                <w:sz w:val="24"/>
                <w:szCs w:val="24"/>
                <w:highlight w:val="none"/>
              </w:rPr>
              <w:t>15.2.1</w:t>
            </w:r>
          </w:p>
        </w:tc>
        <w:tc>
          <w:tcPr>
            <w:tcW w:w="1701" w:type="dxa"/>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kern w:val="2"/>
                <w:sz w:val="24"/>
                <w:szCs w:val="24"/>
                <w:highlight w:val="none"/>
                <w:lang w:val="en-US" w:eastAsia="zh-CN" w:bidi="ar-SA"/>
              </w:rPr>
            </w:pPr>
            <w:r>
              <w:rPr>
                <w:rFonts w:hint="default" w:ascii="宋体" w:hAnsi="宋体"/>
                <w:sz w:val="24"/>
                <w:highlight w:val="none"/>
              </w:rPr>
              <w:t>副本份数及电子版</w:t>
            </w:r>
          </w:p>
        </w:tc>
        <w:tc>
          <w:tcPr>
            <w:tcW w:w="7540" w:type="dxa"/>
            <w:vAlign w:val="center"/>
          </w:tcPr>
          <w:p>
            <w:pPr>
              <w:keepNext w:val="0"/>
              <w:keepLines w:val="0"/>
              <w:suppressLineNumbers w:val="0"/>
              <w:spacing w:before="0" w:beforeAutospacing="0" w:after="0" w:afterAutospacing="0"/>
              <w:ind w:left="0" w:right="0"/>
              <w:jc w:val="left"/>
              <w:rPr>
                <w:rFonts w:hint="eastAsia" w:ascii="宋体" w:hAnsi="宋体"/>
                <w:sz w:val="24"/>
                <w:highlight w:val="none"/>
              </w:rPr>
            </w:pPr>
            <w:r>
              <w:rPr>
                <w:rFonts w:hint="eastAsia" w:ascii="宋体" w:hAnsi="宋体"/>
                <w:sz w:val="24"/>
                <w:highlight w:val="none"/>
              </w:rPr>
              <w:t>投标人需要按包次单独编制包含资格证明文件、商务技术和投标报价在内的全套投标文件并胶装成册。</w:t>
            </w:r>
          </w:p>
          <w:p>
            <w:pPr>
              <w:keepNext w:val="0"/>
              <w:keepLines w:val="0"/>
              <w:suppressLineNumbers w:val="0"/>
              <w:spacing w:before="0" w:beforeAutospacing="0" w:after="0" w:afterAutospacing="0"/>
              <w:ind w:left="0" w:right="0"/>
              <w:jc w:val="left"/>
              <w:rPr>
                <w:rFonts w:hint="eastAsia" w:ascii="宋体" w:hAnsi="宋体"/>
                <w:sz w:val="24"/>
                <w:highlight w:val="none"/>
              </w:rPr>
            </w:pPr>
            <w:r>
              <w:rPr>
                <w:rFonts w:hint="eastAsia" w:ascii="宋体" w:hAnsi="宋体"/>
                <w:sz w:val="24"/>
                <w:highlight w:val="none"/>
              </w:rPr>
              <w:t>副本：4份</w:t>
            </w:r>
          </w:p>
          <w:p>
            <w:pPr>
              <w:keepNext w:val="0"/>
              <w:keepLines w:val="0"/>
              <w:suppressLineNumbers w:val="0"/>
              <w:spacing w:before="0" w:beforeAutospacing="0" w:after="0" w:afterAutospacing="0"/>
              <w:ind w:left="0" w:right="0"/>
              <w:jc w:val="left"/>
              <w:rPr>
                <w:rFonts w:hint="default" w:ascii="宋体" w:hAnsi="宋体" w:eastAsia="宋体" w:cs="Times New Roman"/>
                <w:kern w:val="2"/>
                <w:sz w:val="24"/>
                <w:szCs w:val="24"/>
                <w:highlight w:val="none"/>
                <w:lang w:val="en-US" w:eastAsia="zh-CN" w:bidi="ar-SA"/>
              </w:rPr>
            </w:pPr>
            <w:r>
              <w:rPr>
                <w:rFonts w:hint="eastAsia" w:ascii="宋体" w:hAnsi="宋体"/>
                <w:sz w:val="24"/>
                <w:highlight w:val="none"/>
              </w:rPr>
              <w:t>电子版：2套U盘，内容包括： WORD或WPS格式《投标文件》1份、盖章扫描版PDF格式《投标文件》1份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确定中标人</w:t>
            </w:r>
          </w:p>
        </w:tc>
        <w:tc>
          <w:tcPr>
            <w:tcW w:w="7540" w:type="dxa"/>
            <w:vAlign w:val="center"/>
          </w:tcPr>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highlight w:val="none"/>
              </w:rPr>
            </w:pPr>
            <w:r>
              <w:rPr>
                <w:rFonts w:hint="eastAsia"/>
                <w:sz w:val="24"/>
                <w:highlight w:val="none"/>
              </w:rPr>
              <w:t>■</w:t>
            </w:r>
            <w:r>
              <w:rPr>
                <w:rFonts w:hint="default" w:ascii="Times New Roman" w:hAnsi="Times New Roman"/>
                <w:sz w:val="24"/>
                <w:highlight w:val="none"/>
              </w:rPr>
              <w:t>否</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highlight w:val="none"/>
              </w:rPr>
            </w:pPr>
            <w:r>
              <w:rPr>
                <w:rFonts w:hint="eastAsia" w:ascii="Times New Roman" w:hAnsi="Times New Roman"/>
                <w:sz w:val="24"/>
                <w:highlight w:val="none"/>
                <w:lang w:eastAsia="zh-CN"/>
              </w:rPr>
              <w:t>□</w:t>
            </w:r>
            <w:r>
              <w:rPr>
                <w:rFonts w:hint="default" w:ascii="Times New Roman" w:hAnsi="Times New Roman"/>
                <w:sz w:val="24"/>
                <w:highlight w:val="none"/>
              </w:rPr>
              <w:t>是</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pPr>
              <w:pStyle w:val="2"/>
              <w:keepNext w:val="0"/>
              <w:keepLines w:val="0"/>
              <w:suppressLineNumbers w:val="0"/>
              <w:adjustRightInd w:val="0"/>
              <w:snapToGrid w:val="0"/>
              <w:spacing w:before="0" w:beforeAutospacing="0" w:after="0" w:afterAutospacing="0"/>
              <w:ind w:left="0" w:right="0"/>
              <w:rPr>
                <w:rFonts w:hint="default" w:ascii="Times New Roman" w:hAnsi="Times New Roman"/>
                <w:sz w:val="24"/>
                <w:highlight w:val="none"/>
              </w:rPr>
            </w:pPr>
            <w:r>
              <w:rPr>
                <w:rFonts w:hint="eastAsia"/>
                <w:sz w:val="24"/>
                <w:highlight w:val="none"/>
              </w:rPr>
              <w:t>■</w:t>
            </w:r>
            <w:r>
              <w:rPr>
                <w:rFonts w:hint="default" w:ascii="Times New Roman" w:hAnsi="Times New Roman"/>
                <w:sz w:val="24"/>
                <w:highlight w:val="none"/>
              </w:rPr>
              <w:t>得分且投标报价均相同的，以</w:t>
            </w:r>
            <w:r>
              <w:rPr>
                <w:rFonts w:hint="eastAsia" w:ascii="Times New Roman" w:hAnsi="Times New Roman"/>
                <w:sz w:val="24"/>
                <w:highlight w:val="none"/>
                <w:lang w:val="en-US" w:eastAsia="zh-CN"/>
              </w:rPr>
              <w:t xml:space="preserve"> </w:t>
            </w:r>
            <w:r>
              <w:rPr>
                <w:sz w:val="24"/>
                <w:highlight w:val="none"/>
                <w:u w:val="single"/>
              </w:rPr>
              <w:t>技术指标优劣</w:t>
            </w:r>
            <w:r>
              <w:rPr>
                <w:rFonts w:hint="eastAsia"/>
                <w:sz w:val="24"/>
                <w:highlight w:val="none"/>
                <w:u w:val="single"/>
                <w:lang w:val="en-US" w:eastAsia="zh-CN"/>
              </w:rPr>
              <w:t xml:space="preserve"> </w:t>
            </w:r>
            <w:r>
              <w:rPr>
                <w:rFonts w:hint="default" w:ascii="Times New Roman" w:hAnsi="Times New Roman"/>
                <w:sz w:val="24"/>
                <w:highlight w:val="none"/>
              </w:rPr>
              <w:t>得分高者为中标人</w:t>
            </w:r>
          </w:p>
          <w:p>
            <w:pPr>
              <w:keepNext w:val="0"/>
              <w:keepLines w:val="0"/>
              <w:suppressLineNumbers w:val="0"/>
              <w:spacing w:before="0" w:beforeAutospacing="0" w:after="0" w:afterAutospacing="0"/>
              <w:ind w:left="0" w:right="0"/>
              <w:jc w:val="left"/>
              <w:rPr>
                <w:rFonts w:hint="default"/>
                <w:sz w:val="24"/>
                <w:highlight w:val="none"/>
                <w:u w:val="single"/>
              </w:rPr>
            </w:pPr>
            <w:r>
              <w:rPr>
                <w:rFonts w:hint="eastAsia"/>
                <w:sz w:val="24"/>
                <w:highlight w:val="none"/>
                <w:lang w:eastAsia="zh-CN"/>
              </w:rPr>
              <w:t>□</w:t>
            </w:r>
            <w:r>
              <w:rPr>
                <w:rFonts w:hint="default"/>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分包</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 xml:space="preserve">本项目的非主体、非关键性工作是否允许分包： </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不允许</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允许，具体要求：</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（1）可以分包履行的具体内容：</w:t>
            </w:r>
            <w:r>
              <w:rPr>
                <w:rFonts w:hint="default" w:hAnsi="宋体"/>
                <w:sz w:val="24"/>
                <w:highlight w:val="none"/>
                <w:u w:val="single"/>
              </w:rPr>
              <w:t xml:space="preserve">  /  </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（2）允许分包的金额或者比例：</w:t>
            </w:r>
            <w:r>
              <w:rPr>
                <w:rFonts w:hint="default" w:hAnsi="宋体"/>
                <w:sz w:val="24"/>
                <w:highlight w:val="none"/>
                <w:u w:val="single"/>
              </w:rPr>
              <w:t xml:space="preserve">  /  </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u w:val="single"/>
              </w:rPr>
            </w:pPr>
            <w:r>
              <w:rPr>
                <w:rFonts w:hint="default"/>
                <w:sz w:val="24"/>
                <w:highlight w:val="none"/>
              </w:rPr>
              <w:t>（3）其他要求：</w:t>
            </w:r>
            <w:r>
              <w:rPr>
                <w:rFonts w:hint="default" w:hAnsi="宋体"/>
                <w:sz w:val="24"/>
                <w:highlight w:val="none"/>
                <w:u w:val="single"/>
              </w:rPr>
              <w:t xml:space="preserve">  /  </w:t>
            </w:r>
            <w:r>
              <w:rPr>
                <w:rFonts w:hint="default"/>
                <w:sz w:val="24"/>
                <w:highlight w:val="none"/>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询问</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询问送达形式：</w:t>
            </w:r>
            <w:r>
              <w:rPr>
                <w:rFonts w:hint="eastAsia" w:ascii="宋体" w:hAnsi="宋体"/>
                <w:sz w:val="24"/>
                <w:highlight w:val="none"/>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联系方式</w:t>
            </w:r>
          </w:p>
        </w:tc>
        <w:tc>
          <w:tcPr>
            <w:tcW w:w="7540" w:type="dxa"/>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接收询问和质疑的联系方式</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联系部门：</w:t>
            </w:r>
            <w:r>
              <w:rPr>
                <w:rFonts w:hint="eastAsia"/>
                <w:sz w:val="24"/>
                <w:highlight w:val="none"/>
              </w:rPr>
              <w:t>北京正采工程咨询有限公司</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联系电话：</w:t>
            </w:r>
            <w:r>
              <w:rPr>
                <w:rFonts w:hint="eastAsia"/>
                <w:sz w:val="24"/>
                <w:highlight w:val="none"/>
              </w:rPr>
              <w:t>010-61262672</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通讯地址：</w:t>
            </w:r>
            <w:r>
              <w:rPr>
                <w:rFonts w:hint="eastAsia"/>
                <w:sz w:val="24"/>
                <w:highlight w:val="none"/>
              </w:rPr>
              <w:t>北京市大兴区清澄名苑北区27号楼B座2003室</w:t>
            </w:r>
            <w:r>
              <w:rPr>
                <w:rFonts w:hint="default"/>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
              <w:keepNext w:val="0"/>
              <w:keepLines w:val="0"/>
              <w:suppressLineNumbers w:val="0"/>
              <w:adjustRightInd w:val="0"/>
              <w:snapToGrid w:val="0"/>
              <w:spacing w:before="0" w:beforeAutospacing="0" w:after="0" w:afterAutospacing="0"/>
              <w:ind w:left="0" w:right="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收费对象：</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lang w:eastAsia="zh-CN"/>
              </w:rPr>
              <w:t>□</w:t>
            </w:r>
            <w:r>
              <w:rPr>
                <w:rFonts w:hint="default"/>
                <w:sz w:val="24"/>
                <w:highlight w:val="none"/>
              </w:rPr>
              <w:t>采购人</w:t>
            </w:r>
          </w:p>
          <w:p>
            <w:pPr>
              <w:keepNext w:val="0"/>
              <w:keepLines w:val="0"/>
              <w:suppressLineNumbers w:val="0"/>
              <w:spacing w:before="0" w:beforeAutospacing="0" w:after="0" w:afterAutospacing="0"/>
              <w:ind w:left="0" w:right="0"/>
              <w:jc w:val="left"/>
              <w:rPr>
                <w:rFonts w:hint="default"/>
                <w:sz w:val="24"/>
                <w:highlight w:val="none"/>
              </w:rPr>
            </w:pPr>
            <w:r>
              <w:rPr>
                <w:rFonts w:hint="eastAsia"/>
                <w:sz w:val="24"/>
                <w:highlight w:val="none"/>
              </w:rPr>
              <w:t>■</w:t>
            </w:r>
            <w:r>
              <w:rPr>
                <w:rFonts w:hint="default"/>
                <w:sz w:val="24"/>
                <w:highlight w:val="none"/>
              </w:rPr>
              <w:t>中标人</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收费标准：</w:t>
            </w:r>
            <w:r>
              <w:rPr>
                <w:rFonts w:hint="eastAsia" w:ascii="宋体" w:hAnsi="宋体" w:cs="Times New Roman"/>
                <w:sz w:val="24"/>
                <w:highlight w:val="none"/>
                <w:u w:val="single"/>
              </w:rPr>
              <w:t>参</w:t>
            </w:r>
            <w:r>
              <w:rPr>
                <w:rFonts w:hint="eastAsia" w:ascii="宋体" w:hAnsi="宋体" w:cs="Times New Roman"/>
                <w:sz w:val="24"/>
                <w:highlight w:val="none"/>
                <w:u w:val="single"/>
                <w:lang w:val="en-US" w:eastAsia="zh-CN"/>
              </w:rPr>
              <w:t>照</w:t>
            </w:r>
            <w:r>
              <w:rPr>
                <w:rFonts w:hint="eastAsia" w:ascii="宋体" w:hAnsi="宋体" w:cs="Times New Roman"/>
                <w:sz w:val="24"/>
                <w:highlight w:val="none"/>
                <w:u w:val="single"/>
              </w:rPr>
              <w:t>国家发改委《发改价格【2011】534号》、原国家计委《计价格[2002]1980号》及国家发展改革委办公厅《发改办价格【2003】857号》文件</w:t>
            </w:r>
            <w:r>
              <w:rPr>
                <w:rFonts w:hint="eastAsia" w:ascii="宋体" w:hAnsi="宋体" w:cs="Times New Roman"/>
                <w:sz w:val="24"/>
                <w:highlight w:val="none"/>
                <w:u w:val="single"/>
                <w:lang w:val="en-US" w:eastAsia="zh-CN"/>
              </w:rPr>
              <w:t>规定</w:t>
            </w:r>
            <w:r>
              <w:rPr>
                <w:rFonts w:hint="default" w:ascii="宋体" w:hAnsi="宋体" w:cs="Times New Roman"/>
                <w:sz w:val="24"/>
                <w:highlight w:val="none"/>
                <w:u w:val="single"/>
              </w:rPr>
              <w:t>的</w:t>
            </w:r>
            <w:r>
              <w:rPr>
                <w:rFonts w:hint="eastAsia" w:ascii="宋体" w:hAnsi="宋体" w:cs="Times New Roman"/>
                <w:sz w:val="24"/>
                <w:highlight w:val="none"/>
                <w:u w:val="single"/>
              </w:rPr>
              <w:t>招标代理服务收费标准，以中标总价为基数按差额定率累进法计算</w:t>
            </w:r>
            <w:r>
              <w:rPr>
                <w:rFonts w:hint="default"/>
                <w:sz w:val="24"/>
                <w:highlight w:val="none"/>
              </w:rPr>
              <w:t>；</w:t>
            </w:r>
          </w:p>
          <w:p>
            <w:pPr>
              <w:keepNext w:val="0"/>
              <w:keepLines w:val="0"/>
              <w:suppressLineNumbers w:val="0"/>
              <w:spacing w:before="0" w:beforeAutospacing="0" w:after="0" w:afterAutospacing="0"/>
              <w:ind w:left="0" w:right="0"/>
              <w:jc w:val="left"/>
              <w:rPr>
                <w:rFonts w:hint="default"/>
                <w:sz w:val="24"/>
                <w:highlight w:val="none"/>
              </w:rPr>
            </w:pPr>
            <w:r>
              <w:rPr>
                <w:rFonts w:hint="default"/>
                <w:sz w:val="24"/>
                <w:highlight w:val="none"/>
              </w:rPr>
              <w:t>缴纳时间：</w:t>
            </w:r>
            <w:r>
              <w:rPr>
                <w:rFonts w:hint="eastAsia" w:ascii="宋体" w:hAnsi="宋体"/>
                <w:sz w:val="24"/>
                <w:highlight w:val="none"/>
                <w:u w:val="single"/>
              </w:rPr>
              <w:t>中标人领取中标通知书时以电汇方式一次性支付全款</w:t>
            </w:r>
            <w:r>
              <w:rPr>
                <w:rFonts w:hint="default"/>
                <w:sz w:val="24"/>
                <w:highlight w:val="none"/>
              </w:rPr>
              <w:t>。</w:t>
            </w:r>
          </w:p>
        </w:tc>
      </w:tr>
    </w:tbl>
    <w:p>
      <w:pPr>
        <w:tabs>
          <w:tab w:val="left" w:pos="5580"/>
        </w:tabs>
        <w:adjustRightInd w:val="0"/>
        <w:spacing w:line="360" w:lineRule="auto"/>
        <w:jc w:val="distribute"/>
        <w:rPr>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highlight w:val="none"/>
        </w:rPr>
      </w:pPr>
      <w:bookmarkStart w:id="72" w:name="_Toc264969207"/>
      <w:bookmarkStart w:id="73" w:name="_Toc226337213"/>
      <w:bookmarkStart w:id="74" w:name="_Toc150480755"/>
      <w:bookmarkStart w:id="75" w:name="_Toc226965790"/>
      <w:bookmarkStart w:id="76" w:name="_Toc353873932"/>
      <w:bookmarkStart w:id="77" w:name="_Toc353873662"/>
      <w:bookmarkStart w:id="78" w:name="_Toc265228355"/>
      <w:bookmarkStart w:id="79" w:name="_Toc305158859"/>
      <w:bookmarkStart w:id="80" w:name="_Toc195842882"/>
      <w:bookmarkStart w:id="81" w:name="_Toc127151517"/>
      <w:bookmarkStart w:id="82" w:name="_Toc353825542"/>
      <w:bookmarkStart w:id="83" w:name="_Toc142311019"/>
      <w:bookmarkStart w:id="84" w:name="_Toc150774722"/>
      <w:bookmarkStart w:id="85" w:name="_Toc305158785"/>
      <w:r>
        <w:rPr>
          <w:b/>
          <w:sz w:val="28"/>
          <w:szCs w:val="28"/>
          <w:highlight w:val="none"/>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ascii="Times New Roman" w:hAnsi="Times New Roman" w:eastAsia="宋体"/>
          <w:sz w:val="28"/>
          <w:highlight w:val="none"/>
        </w:rPr>
      </w:pPr>
      <w:bookmarkStart w:id="86" w:name="_Toc127151518"/>
      <w:bookmarkStart w:id="87" w:name="_Toc520356143"/>
      <w:r>
        <w:rPr>
          <w:rFonts w:ascii="Times New Roman" w:hAnsi="Times New Roman" w:eastAsia="宋体"/>
          <w:sz w:val="28"/>
          <w:highlight w:val="none"/>
        </w:rPr>
        <w:tab/>
      </w:r>
      <w:bookmarkStart w:id="88" w:name="_Toc305158860"/>
      <w:bookmarkStart w:id="89" w:name="_Toc226309762"/>
      <w:bookmarkStart w:id="90" w:name="_Toc150774723"/>
      <w:bookmarkStart w:id="91" w:name="_Toc151193760"/>
      <w:bookmarkStart w:id="92" w:name="_Toc150509269"/>
      <w:bookmarkStart w:id="93" w:name="_Toc195842883"/>
      <w:bookmarkStart w:id="94" w:name="_Toc150480756"/>
      <w:bookmarkStart w:id="95" w:name="_Toc305158786"/>
      <w:bookmarkStart w:id="96" w:name="_Toc151193832"/>
      <w:bookmarkStart w:id="97" w:name="_Toc151193688"/>
      <w:bookmarkStart w:id="98" w:name="_Toc226965708"/>
      <w:bookmarkStart w:id="99" w:name="_Toc151193616"/>
      <w:bookmarkStart w:id="100" w:name="_Toc150774618"/>
      <w:bookmarkStart w:id="101" w:name="_Toc151190145"/>
      <w:bookmarkStart w:id="102" w:name="_Toc226965791"/>
      <w:bookmarkStart w:id="103" w:name="_Toc265228356"/>
      <w:bookmarkStart w:id="104" w:name="_Toc264969208"/>
      <w:bookmarkStart w:id="105" w:name="_Toc142311020"/>
      <w:bookmarkStart w:id="106" w:name="_Toc226337214"/>
      <w:bookmarkStart w:id="107" w:name="_Toc151193906"/>
      <w:r>
        <w:rPr>
          <w:rFonts w:ascii="Times New Roman" w:hAnsi="Times New Roman" w:eastAsia="宋体"/>
          <w:sz w:val="28"/>
          <w:highlight w:val="none"/>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108" w:name="_Toc305158861"/>
      <w:bookmarkStart w:id="109" w:name="_Toc305158787"/>
      <w:bookmarkStart w:id="110" w:name="_Toc265228357"/>
      <w:bookmarkStart w:id="111" w:name="_Toc264969209"/>
      <w:r>
        <w:rPr>
          <w:sz w:val="24"/>
          <w:highlight w:val="none"/>
        </w:rPr>
        <w:t>采购人、采购代理机构、投标人</w:t>
      </w:r>
      <w:bookmarkEnd w:id="108"/>
      <w:bookmarkEnd w:id="109"/>
      <w:bookmarkEnd w:id="110"/>
      <w:bookmarkEnd w:id="111"/>
      <w:r>
        <w:rPr>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112" w:name="_Toc151193908"/>
      <w:bookmarkStart w:id="113" w:name="_Toc226309764"/>
      <w:bookmarkStart w:id="114" w:name="_Toc150480758"/>
      <w:bookmarkStart w:id="115" w:name="_Toc226965710"/>
      <w:bookmarkStart w:id="116" w:name="_Toc150774725"/>
      <w:bookmarkStart w:id="117" w:name="_Toc142311022"/>
      <w:bookmarkStart w:id="118" w:name="_Toc226965793"/>
      <w:bookmarkStart w:id="119" w:name="_Toc164608789"/>
      <w:bookmarkStart w:id="120" w:name="_Toc151193834"/>
      <w:bookmarkStart w:id="121" w:name="_Toc127151721"/>
      <w:bookmarkStart w:id="122" w:name="_Toc164229215"/>
      <w:bookmarkStart w:id="123" w:name="_Toc151193690"/>
      <w:bookmarkStart w:id="124" w:name="_Toc150509271"/>
      <w:bookmarkStart w:id="125" w:name="_Toc226337216"/>
      <w:bookmarkStart w:id="126" w:name="_Toc164608634"/>
      <w:bookmarkStart w:id="127" w:name="_Toc127161434"/>
      <w:bookmarkStart w:id="128" w:name="_Toc195842885"/>
      <w:bookmarkStart w:id="129" w:name="_Toc265228358"/>
      <w:bookmarkStart w:id="130" w:name="_Toc164229361"/>
      <w:bookmarkStart w:id="131" w:name="_Toc164351614"/>
      <w:bookmarkStart w:id="132" w:name="_Toc151193618"/>
      <w:bookmarkStart w:id="133" w:name="_Toc151190147"/>
      <w:bookmarkStart w:id="134" w:name="_Toc305158788"/>
      <w:bookmarkStart w:id="135" w:name="_Toc149720813"/>
      <w:bookmarkStart w:id="136" w:name="_Toc150774620"/>
      <w:bookmarkStart w:id="137" w:name="_Toc151193762"/>
      <w:bookmarkStart w:id="138" w:name="_Toc127151520"/>
      <w:bookmarkStart w:id="139" w:name="_Toc305158862"/>
      <w:bookmarkStart w:id="140" w:name="_Toc264969210"/>
      <w:r>
        <w:rPr>
          <w:sz w:val="24"/>
          <w:highlight w:val="none"/>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现场考察、开标前答疑会</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1" w:name="_Toc305158864"/>
      <w:bookmarkStart w:id="142" w:name="_Toc151190149"/>
      <w:bookmarkStart w:id="143" w:name="_Toc150774727"/>
      <w:bookmarkStart w:id="144" w:name="_Toc195842887"/>
      <w:bookmarkStart w:id="145" w:name="_Toc226309766"/>
      <w:bookmarkStart w:id="146" w:name="_Toc150774622"/>
      <w:bookmarkStart w:id="147" w:name="_Toc151193836"/>
      <w:bookmarkStart w:id="148" w:name="_Toc150509273"/>
      <w:bookmarkStart w:id="149" w:name="_Toc150480760"/>
      <w:bookmarkStart w:id="150" w:name="_Toc520356146"/>
      <w:bookmarkStart w:id="151" w:name="_Toc226965712"/>
      <w:bookmarkStart w:id="152" w:name="_Toc226337218"/>
      <w:bookmarkStart w:id="153" w:name="_Toc151193620"/>
      <w:bookmarkStart w:id="154" w:name="_Toc151193764"/>
      <w:bookmarkStart w:id="155" w:name="_Toc151193910"/>
      <w:bookmarkStart w:id="156" w:name="_Toc151193692"/>
      <w:bookmarkStart w:id="157" w:name="_Toc265228360"/>
      <w:bookmarkStart w:id="158" w:name="_Toc142311024"/>
      <w:bookmarkStart w:id="159" w:name="_Toc127151522"/>
      <w:bookmarkStart w:id="160" w:name="_Toc305158790"/>
      <w:bookmarkStart w:id="161" w:name="_Toc264969212"/>
      <w:bookmarkStart w:id="162" w:name="_Toc226965795"/>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highlight w:val="none"/>
        </w:rPr>
      </w:pPr>
      <w:r>
        <w:rPr>
          <w:sz w:val="24"/>
          <w:highlight w:val="none"/>
        </w:rPr>
        <w:t>样品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pPr>
        <w:numPr>
          <w:ilvl w:val="2"/>
          <w:numId w:val="8"/>
        </w:numPr>
        <w:tabs>
          <w:tab w:val="left" w:pos="2014"/>
        </w:tabs>
        <w:snapToGrid w:val="0"/>
        <w:spacing w:line="360" w:lineRule="auto"/>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sz w:val="24"/>
          <w:highlight w:val="none"/>
        </w:rPr>
      </w:pPr>
      <w:r>
        <w:rPr>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sz w:val="24"/>
          <w:highlight w:val="none"/>
        </w:rPr>
      </w:pPr>
      <w:r>
        <w:rPr>
          <w:sz w:val="24"/>
          <w:highlight w:val="none"/>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sz w:val="24"/>
          <w:highlight w:val="none"/>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2"/>
        <w:numPr>
          <w:ilvl w:val="2"/>
          <w:numId w:val="8"/>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2"/>
        <w:numPr>
          <w:ilvl w:val="2"/>
          <w:numId w:val="8"/>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本项目是否专门面向中小企业预留采购份额见第一章《投标邀请》。</w:t>
      </w:r>
    </w:p>
    <w:p>
      <w:pPr>
        <w:numPr>
          <w:ilvl w:val="2"/>
          <w:numId w:val="8"/>
        </w:numPr>
        <w:snapToGrid w:val="0"/>
        <w:spacing w:line="360" w:lineRule="auto"/>
        <w:rPr>
          <w:sz w:val="24"/>
          <w:highlight w:val="none"/>
        </w:rPr>
      </w:pPr>
      <w:r>
        <w:rPr>
          <w:sz w:val="24"/>
          <w:highlight w:val="none"/>
        </w:rPr>
        <w:t>采购标的对应的中小企业划分标准所属行业见《投标人须知资料表》。</w:t>
      </w:r>
    </w:p>
    <w:p>
      <w:pPr>
        <w:numPr>
          <w:ilvl w:val="2"/>
          <w:numId w:val="8"/>
        </w:numPr>
        <w:snapToGrid w:val="0"/>
        <w:spacing w:line="360" w:lineRule="auto"/>
        <w:rPr>
          <w:sz w:val="24"/>
          <w:highlight w:val="none"/>
        </w:rPr>
      </w:pPr>
      <w:r>
        <w:rPr>
          <w:sz w:val="24"/>
          <w:highlight w:val="none"/>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rFonts w:eastAsiaTheme="minorEastAsia"/>
          <w:sz w:val="24"/>
          <w:highlight w:val="none"/>
        </w:rPr>
        <w:t>网络安全专用产品</w:t>
      </w:r>
    </w:p>
    <w:p>
      <w:pPr>
        <w:numPr>
          <w:ilvl w:val="2"/>
          <w:numId w:val="8"/>
        </w:numPr>
        <w:tabs>
          <w:tab w:val="left" w:pos="2014"/>
        </w:tabs>
        <w:snapToGrid w:val="0"/>
        <w:spacing w:line="360" w:lineRule="auto"/>
        <w:rPr>
          <w:sz w:val="24"/>
          <w:highlight w:val="none"/>
        </w:rPr>
      </w:pPr>
      <w:r>
        <w:rPr>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采购需求标准</w:t>
      </w:r>
    </w:p>
    <w:p>
      <w:pPr>
        <w:numPr>
          <w:ilvl w:val="2"/>
          <w:numId w:val="8"/>
        </w:numPr>
        <w:tabs>
          <w:tab w:val="left" w:pos="2014"/>
        </w:tabs>
        <w:snapToGrid w:val="0"/>
        <w:spacing w:line="360" w:lineRule="auto"/>
        <w:rPr>
          <w:sz w:val="24"/>
          <w:highlight w:val="none"/>
        </w:rPr>
      </w:pPr>
      <w:r>
        <w:rPr>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highlight w:val="none"/>
        </w:rPr>
      </w:pPr>
      <w:r>
        <w:rPr>
          <w:sz w:val="24"/>
          <w:highlight w:val="none"/>
        </w:rPr>
        <w:t>绿色数据中心政府采购需求标准（试行）</w:t>
      </w:r>
    </w:p>
    <w:p>
      <w:pPr>
        <w:tabs>
          <w:tab w:val="left" w:pos="900"/>
          <w:tab w:val="left" w:pos="1980"/>
        </w:tabs>
        <w:snapToGrid w:val="0"/>
        <w:spacing w:line="360" w:lineRule="auto"/>
        <w:ind w:left="1980"/>
        <w:rPr>
          <w:sz w:val="24"/>
          <w:highlight w:val="none"/>
        </w:rPr>
      </w:pPr>
      <w:r>
        <w:rPr>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highlight w:val="none"/>
        </w:rPr>
      </w:pPr>
      <w:r>
        <w:rPr>
          <w:sz w:val="24"/>
          <w:highlight w:val="none"/>
        </w:rPr>
        <w:t>投标费用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63" w:name="_1.8_计量单位"/>
      <w:bookmarkEnd w:id="163"/>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1"/>
        <w:rPr>
          <w:sz w:val="24"/>
          <w:highlight w:val="none"/>
        </w:rPr>
      </w:pPr>
      <w:bookmarkStart w:id="164" w:name="_Toc195842888"/>
      <w:bookmarkStart w:id="165" w:name="_Toc305158865"/>
      <w:bookmarkStart w:id="166" w:name="_Toc226965713"/>
      <w:bookmarkStart w:id="167" w:name="_Toc164351617"/>
      <w:bookmarkStart w:id="168" w:name="_Toc226965796"/>
      <w:bookmarkStart w:id="169" w:name="_Toc520356147"/>
      <w:bookmarkStart w:id="170" w:name="_Toc151193837"/>
      <w:bookmarkStart w:id="171" w:name="_Toc127161437"/>
      <w:bookmarkStart w:id="172" w:name="_Toc226309767"/>
      <w:bookmarkStart w:id="173" w:name="_Toc151193911"/>
      <w:bookmarkStart w:id="174" w:name="_Toc150509274"/>
      <w:bookmarkStart w:id="175" w:name="_Toc151193693"/>
      <w:bookmarkStart w:id="176" w:name="_Toc164229364"/>
      <w:bookmarkStart w:id="177" w:name="_Toc151193621"/>
      <w:bookmarkStart w:id="178" w:name="_Toc265228361"/>
      <w:bookmarkStart w:id="179" w:name="_Toc127151724"/>
      <w:bookmarkStart w:id="180" w:name="_Toc150480761"/>
      <w:bookmarkStart w:id="181" w:name="_Toc264969213"/>
      <w:bookmarkStart w:id="182" w:name="_Toc127151523"/>
      <w:bookmarkStart w:id="183" w:name="_Toc305158791"/>
      <w:bookmarkStart w:id="184" w:name="_Toc164229218"/>
      <w:bookmarkStart w:id="185" w:name="_Toc142311025"/>
      <w:bookmarkStart w:id="186" w:name="_Toc150774728"/>
      <w:bookmarkStart w:id="187" w:name="_Toc150774623"/>
      <w:bookmarkStart w:id="188" w:name="_Toc151193765"/>
      <w:bookmarkStart w:id="189" w:name="_Toc164608792"/>
      <w:bookmarkStart w:id="190" w:name="_Toc164608637"/>
      <w:bookmarkStart w:id="191" w:name="_Toc149720816"/>
      <w:bookmarkStart w:id="192" w:name="_Toc151190150"/>
      <w:bookmarkStart w:id="193" w:name="_Toc226337219"/>
      <w:r>
        <w:rPr>
          <w:sz w:val="24"/>
          <w:highlight w:val="none"/>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招标文件包括以下部分：</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投标邀请</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投标人须知</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资格审查</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拟签订的合同文本</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投标文件格式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highlight w:val="none"/>
        </w:rPr>
      </w:pPr>
      <w:bookmarkStart w:id="194" w:name="_Toc516367020"/>
      <w:bookmarkStart w:id="195" w:name="_Toc305158794"/>
      <w:bookmarkStart w:id="196" w:name="_Toc226337222"/>
      <w:bookmarkStart w:id="197" w:name="_Toc151193840"/>
      <w:bookmarkStart w:id="198" w:name="_Toc520356150"/>
      <w:bookmarkStart w:id="199" w:name="_Toc150480764"/>
      <w:bookmarkStart w:id="200" w:name="_Toc226309770"/>
      <w:bookmarkStart w:id="201" w:name="_Toc151193624"/>
      <w:bookmarkStart w:id="202" w:name="_Toc151193696"/>
      <w:bookmarkStart w:id="203" w:name="_Toc151193768"/>
      <w:bookmarkStart w:id="204" w:name="_Toc127151526"/>
      <w:bookmarkStart w:id="205" w:name="_Toc142311028"/>
      <w:bookmarkStart w:id="206" w:name="_Toc305158868"/>
      <w:bookmarkStart w:id="207" w:name="_Toc151190153"/>
      <w:bookmarkStart w:id="208" w:name="_Toc151193914"/>
      <w:bookmarkStart w:id="209" w:name="_Toc265228364"/>
      <w:bookmarkStart w:id="210" w:name="_Toc150509277"/>
      <w:bookmarkStart w:id="211" w:name="_Toc150774626"/>
      <w:bookmarkStart w:id="212" w:name="_Toc264969216"/>
      <w:bookmarkStart w:id="213" w:name="_Toc150774731"/>
      <w:bookmarkStart w:id="214" w:name="_Toc226965716"/>
      <w:bookmarkStart w:id="215" w:name="_Toc226965799"/>
      <w:bookmarkStart w:id="216" w:name="_Toc195842891"/>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4"/>
      <w:r>
        <w:rPr>
          <w:rFonts w:ascii="Times New Roman" w:hAnsi="Times New Roman" w:eastAsia="宋体"/>
          <w:sz w:val="28"/>
          <w:highlight w:val="none"/>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1"/>
        <w:rPr>
          <w:sz w:val="24"/>
          <w:highlight w:val="none"/>
        </w:rPr>
      </w:pPr>
      <w:bookmarkStart w:id="217" w:name="_Toc127161441"/>
      <w:bookmarkStart w:id="218" w:name="_Toc164351621"/>
      <w:bookmarkStart w:id="219" w:name="_Toc164229222"/>
      <w:bookmarkStart w:id="220" w:name="_Toc150480765"/>
      <w:bookmarkStart w:id="221" w:name="_Toc151193697"/>
      <w:bookmarkStart w:id="222" w:name="_Toc226337223"/>
      <w:bookmarkStart w:id="223" w:name="_Toc264969217"/>
      <w:bookmarkStart w:id="224" w:name="_Toc127151728"/>
      <w:bookmarkStart w:id="225" w:name="_Toc164608796"/>
      <w:bookmarkStart w:id="226" w:name="_Toc226309771"/>
      <w:bookmarkStart w:id="227" w:name="_Toc164608641"/>
      <w:bookmarkStart w:id="228" w:name="_Toc151193915"/>
      <w:bookmarkStart w:id="229" w:name="_Toc151193625"/>
      <w:bookmarkStart w:id="230" w:name="_Toc164229368"/>
      <w:bookmarkStart w:id="231" w:name="_Toc305158869"/>
      <w:bookmarkStart w:id="232" w:name="_Toc127151527"/>
      <w:bookmarkStart w:id="233" w:name="_Toc151193841"/>
      <w:bookmarkStart w:id="234" w:name="_Toc520356151"/>
      <w:bookmarkStart w:id="235" w:name="_Toc195842892"/>
      <w:bookmarkStart w:id="236" w:name="_Toc226965717"/>
      <w:bookmarkStart w:id="237" w:name="_Toc151190154"/>
      <w:bookmarkStart w:id="238" w:name="_Toc150774732"/>
      <w:bookmarkStart w:id="239" w:name="_Toc150509278"/>
      <w:bookmarkStart w:id="240" w:name="_Toc226965800"/>
      <w:bookmarkStart w:id="241" w:name="_Toc305158795"/>
      <w:bookmarkStart w:id="242" w:name="_Toc151193769"/>
      <w:bookmarkStart w:id="243" w:name="_Toc149720820"/>
      <w:bookmarkStart w:id="244" w:name="_Toc142311029"/>
      <w:bookmarkStart w:id="245" w:name="_Toc265228365"/>
      <w:bookmarkStart w:id="246" w:name="_Toc516367021"/>
      <w:bookmarkStart w:id="247" w:name="_Toc150774627"/>
      <w:r>
        <w:rPr>
          <w:sz w:val="24"/>
          <w:highlight w:val="none"/>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highlight w:val="none"/>
        </w:rPr>
        <w:t>及投标语言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highlight w:val="none"/>
        </w:rPr>
        <w:t>无效投标</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highlight w:val="none"/>
        </w:rPr>
      </w:pPr>
      <w:bookmarkStart w:id="248" w:name="_Ref467306676"/>
      <w:bookmarkStart w:id="249" w:name="_Ref467306195"/>
      <w:bookmarkStart w:id="250" w:name="_Toc516367022"/>
      <w:bookmarkStart w:id="251" w:name="_Toc151193770"/>
      <w:bookmarkStart w:id="252" w:name="_Toc142311030"/>
      <w:bookmarkStart w:id="253" w:name="_Toc264969218"/>
      <w:bookmarkStart w:id="254" w:name="_Toc151193842"/>
      <w:bookmarkStart w:id="255" w:name="_Toc150509279"/>
      <w:bookmarkStart w:id="256" w:name="_Toc164229369"/>
      <w:bookmarkStart w:id="257" w:name="_Toc226965801"/>
      <w:bookmarkStart w:id="258" w:name="_Toc127151528"/>
      <w:bookmarkStart w:id="259" w:name="_Toc164351622"/>
      <w:bookmarkStart w:id="260" w:name="_Toc226965718"/>
      <w:bookmarkStart w:id="261" w:name="_Toc305158796"/>
      <w:bookmarkStart w:id="262" w:name="_Toc151193916"/>
      <w:bookmarkStart w:id="263" w:name="_Toc305158870"/>
      <w:bookmarkStart w:id="264" w:name="_Toc195842893"/>
      <w:bookmarkStart w:id="265" w:name="_Toc127161442"/>
      <w:bookmarkStart w:id="266" w:name="_Toc150774733"/>
      <w:bookmarkStart w:id="267" w:name="_Toc265228366"/>
      <w:bookmarkStart w:id="268" w:name="_Toc150774628"/>
      <w:bookmarkStart w:id="269" w:name="_Toc164608797"/>
      <w:bookmarkStart w:id="270" w:name="_Toc226337224"/>
      <w:bookmarkStart w:id="271" w:name="_Toc127151729"/>
      <w:bookmarkStart w:id="272" w:name="_Toc149720821"/>
      <w:bookmarkStart w:id="273" w:name="_Toc520356152"/>
      <w:bookmarkStart w:id="274" w:name="_Toc164229223"/>
      <w:bookmarkStart w:id="275" w:name="_Toc151193626"/>
      <w:bookmarkStart w:id="276" w:name="_Toc151190155"/>
      <w:bookmarkStart w:id="277" w:name="_Toc164608642"/>
      <w:bookmarkStart w:id="278" w:name="_Toc150480766"/>
      <w:bookmarkStart w:id="279" w:name="_Toc151193698"/>
      <w:bookmarkStart w:id="280" w:name="_Toc226309772"/>
      <w:r>
        <w:rPr>
          <w:sz w:val="24"/>
          <w:highlight w:val="none"/>
        </w:rPr>
        <w:t>投标文件</w:t>
      </w:r>
      <w:bookmarkEnd w:id="248"/>
      <w:bookmarkEnd w:id="249"/>
      <w:bookmarkEnd w:id="250"/>
      <w:r>
        <w:rPr>
          <w:sz w:val="24"/>
          <w:highlight w:val="none"/>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sz w:val="24"/>
          <w:highlight w:val="none"/>
        </w:rPr>
      </w:pPr>
      <w:bookmarkStart w:id="281" w:name="_Ref467052588"/>
      <w:r>
        <w:rPr>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1"/>
    </w:p>
    <w:p>
      <w:pPr>
        <w:numPr>
          <w:ilvl w:val="0"/>
          <w:numId w:val="8"/>
        </w:numPr>
        <w:tabs>
          <w:tab w:val="left" w:pos="360"/>
        </w:tabs>
        <w:snapToGrid w:val="0"/>
        <w:spacing w:line="360" w:lineRule="auto"/>
        <w:ind w:left="357" w:hanging="357"/>
        <w:outlineLvl w:val="1"/>
        <w:rPr>
          <w:sz w:val="24"/>
          <w:highlight w:val="none"/>
        </w:rPr>
      </w:pPr>
      <w:bookmarkStart w:id="282" w:name="_Toc127151530"/>
      <w:bookmarkStart w:id="283" w:name="_Toc150774630"/>
      <w:bookmarkStart w:id="284" w:name="_Toc151193844"/>
      <w:bookmarkStart w:id="285" w:name="_Toc150774735"/>
      <w:bookmarkStart w:id="286" w:name="_Toc150509281"/>
      <w:bookmarkStart w:id="287" w:name="_Toc164229371"/>
      <w:bookmarkStart w:id="288" w:name="_Toc164608799"/>
      <w:bookmarkStart w:id="289" w:name="_Toc142311032"/>
      <w:bookmarkStart w:id="290" w:name="_Toc164608644"/>
      <w:bookmarkStart w:id="291" w:name="_Toc151193918"/>
      <w:bookmarkStart w:id="292" w:name="_Toc151193772"/>
      <w:bookmarkStart w:id="293" w:name="_Toc127151731"/>
      <w:bookmarkStart w:id="294" w:name="_Toc127161444"/>
      <w:bookmarkStart w:id="295" w:name="_Toc150480768"/>
      <w:bookmarkStart w:id="296" w:name="_Toc151193700"/>
      <w:bookmarkStart w:id="297" w:name="_Toc151193628"/>
      <w:bookmarkStart w:id="298" w:name="_Toc164229225"/>
      <w:bookmarkStart w:id="299" w:name="_Toc164351624"/>
      <w:bookmarkStart w:id="300" w:name="_Toc520356155"/>
      <w:bookmarkStart w:id="301" w:name="_Toc149720823"/>
      <w:bookmarkStart w:id="302" w:name="_Toc195842895"/>
      <w:bookmarkStart w:id="303" w:name="_Toc151190157"/>
      <w:r>
        <w:rPr>
          <w:sz w:val="24"/>
          <w:highlight w:val="none"/>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highlight w:val="none"/>
        </w:rPr>
      </w:pPr>
      <w:r>
        <w:rPr>
          <w:sz w:val="24"/>
          <w:highlight w:val="none"/>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w:t>
      </w:r>
      <w:r>
        <w:rPr>
          <w:rFonts w:hint="eastAsia"/>
          <w:sz w:val="24"/>
          <w:highlight w:val="none"/>
        </w:rPr>
        <w:t>（招标文件另有规定的除外）</w:t>
      </w:r>
      <w:r>
        <w:rPr>
          <w:sz w:val="24"/>
          <w:highlight w:val="none"/>
        </w:rPr>
        <w:t>，否则其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04" w:name="_Toc127161445"/>
      <w:bookmarkStart w:id="305" w:name="_Toc149720824"/>
      <w:bookmarkStart w:id="306" w:name="_Toc164608800"/>
      <w:bookmarkStart w:id="307" w:name="_Toc195842896"/>
      <w:bookmarkStart w:id="308" w:name="_Toc226965804"/>
      <w:bookmarkStart w:id="309" w:name="_Toc151193845"/>
      <w:bookmarkStart w:id="310" w:name="_Toc151193919"/>
      <w:bookmarkStart w:id="311" w:name="_Toc150509282"/>
      <w:bookmarkStart w:id="312" w:name="_Toc142311033"/>
      <w:bookmarkStart w:id="313" w:name="_Toc305158873"/>
      <w:bookmarkStart w:id="314" w:name="_Toc151193701"/>
      <w:bookmarkStart w:id="315" w:name="_Toc305158799"/>
      <w:bookmarkStart w:id="316" w:name="_Ref467306513"/>
      <w:bookmarkStart w:id="317" w:name="_Toc265228369"/>
      <w:bookmarkStart w:id="318" w:name="_Toc164608645"/>
      <w:bookmarkStart w:id="319" w:name="_Toc127151531"/>
      <w:bookmarkStart w:id="320" w:name="_Toc164229372"/>
      <w:bookmarkStart w:id="321" w:name="_Toc151193773"/>
      <w:bookmarkStart w:id="322" w:name="_Toc226337227"/>
      <w:bookmarkStart w:id="323" w:name="_Toc264969221"/>
      <w:bookmarkStart w:id="324" w:name="_Toc150774736"/>
      <w:bookmarkStart w:id="325" w:name="_Toc127151732"/>
      <w:bookmarkStart w:id="326" w:name="_Toc151193629"/>
      <w:bookmarkStart w:id="327" w:name="_Toc226965721"/>
      <w:bookmarkStart w:id="328" w:name="_Toc150480769"/>
      <w:bookmarkStart w:id="329" w:name="_Toc520356156"/>
      <w:bookmarkStart w:id="330" w:name="_Toc151190158"/>
      <w:bookmarkStart w:id="331" w:name="_Toc164229226"/>
      <w:bookmarkStart w:id="332" w:name="_Toc226309775"/>
      <w:bookmarkStart w:id="333" w:name="_Toc150774631"/>
      <w:bookmarkStart w:id="334" w:name="_Toc164351625"/>
      <w:r>
        <w:rPr>
          <w:sz w:val="24"/>
          <w:highlight w:val="none"/>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sz w:val="24"/>
          <w:highlight w:val="none"/>
        </w:rPr>
      </w:pPr>
      <w:bookmarkStart w:id="335" w:name="_Ref467306302"/>
      <w:r>
        <w:rPr>
          <w:sz w:val="24"/>
          <w:highlight w:val="none"/>
        </w:rPr>
        <w:t>投标人应按《投标人须知资料表》中规定的金额及要求交纳投标保证金</w:t>
      </w:r>
      <w:bookmarkEnd w:id="335"/>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投标保证金有效期同投标有效期。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w:t>
      </w:r>
      <w:r>
        <w:rPr>
          <w:rFonts w:eastAsiaTheme="minorEastAsia"/>
          <w:sz w:val="24"/>
          <w:highlight w:val="none"/>
        </w:rPr>
        <w:t>采用银行保函、担保机构担保函等形式递交的投标保证金，经投标人同意后采购人、采购代理机构可以不再退还，</w:t>
      </w:r>
      <w:r>
        <w:rPr>
          <w:sz w:val="24"/>
          <w:highlight w:val="none"/>
        </w:rPr>
        <w:t>但因投标人自身原因导致无法及时退还的除外：</w:t>
      </w:r>
    </w:p>
    <w:p>
      <w:pPr>
        <w:numPr>
          <w:ilvl w:val="2"/>
          <w:numId w:val="8"/>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highlight w:val="none"/>
        </w:rPr>
      </w:pPr>
      <w:r>
        <w:rPr>
          <w:sz w:val="24"/>
          <w:highlight w:val="none"/>
        </w:rPr>
        <w:t>中标人的投标保证金，自采购合同签订之日起5个工作日内退还中标人；</w:t>
      </w:r>
    </w:p>
    <w:p>
      <w:pPr>
        <w:numPr>
          <w:ilvl w:val="2"/>
          <w:numId w:val="8"/>
        </w:numPr>
        <w:snapToGrid w:val="0"/>
        <w:spacing w:line="360" w:lineRule="auto"/>
        <w:rPr>
          <w:sz w:val="24"/>
          <w:highlight w:val="none"/>
        </w:rPr>
      </w:pPr>
      <w:r>
        <w:rPr>
          <w:sz w:val="24"/>
          <w:highlight w:val="none"/>
        </w:rPr>
        <w:t>未中标投标人的投标保证金，自中标通知书发出之日起5个工作日内退还未中标人；</w:t>
      </w:r>
    </w:p>
    <w:p>
      <w:pPr>
        <w:numPr>
          <w:ilvl w:val="2"/>
          <w:numId w:val="8"/>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pPr>
        <w:numPr>
          <w:ilvl w:val="2"/>
          <w:numId w:val="8"/>
        </w:numPr>
        <w:snapToGrid w:val="0"/>
        <w:spacing w:line="360" w:lineRule="auto"/>
        <w:rPr>
          <w:sz w:val="24"/>
          <w:highlight w:val="none"/>
        </w:rPr>
      </w:pPr>
      <w:r>
        <w:rPr>
          <w:sz w:val="24"/>
          <w:highlight w:val="none"/>
        </w:rPr>
        <w:t>投标有效期内投标人撤销投标文件的；</w:t>
      </w:r>
    </w:p>
    <w:p>
      <w:pPr>
        <w:numPr>
          <w:ilvl w:val="2"/>
          <w:numId w:val="8"/>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pPr>
        <w:numPr>
          <w:ilvl w:val="0"/>
          <w:numId w:val="8"/>
        </w:numPr>
        <w:tabs>
          <w:tab w:val="left" w:pos="360"/>
        </w:tabs>
        <w:snapToGrid w:val="0"/>
        <w:spacing w:line="360" w:lineRule="auto"/>
        <w:ind w:left="357" w:hanging="357"/>
        <w:outlineLvl w:val="1"/>
        <w:rPr>
          <w:sz w:val="24"/>
          <w:highlight w:val="none"/>
        </w:rPr>
      </w:pPr>
      <w:bookmarkStart w:id="336" w:name="_Toc226965805"/>
      <w:bookmarkStart w:id="337" w:name="_Toc127151532"/>
      <w:bookmarkStart w:id="338" w:name="_Toc226965722"/>
      <w:bookmarkStart w:id="339" w:name="_Toc195842897"/>
      <w:bookmarkStart w:id="340" w:name="_Toc520356157"/>
      <w:bookmarkStart w:id="341" w:name="_Toc226337228"/>
      <w:bookmarkStart w:id="342" w:name="_Toc305158874"/>
      <w:bookmarkStart w:id="343" w:name="_Toc226309776"/>
      <w:bookmarkStart w:id="344" w:name="_Toc150774737"/>
      <w:bookmarkStart w:id="345" w:name="_Toc150480770"/>
      <w:bookmarkStart w:id="346" w:name="_Toc150774632"/>
      <w:bookmarkStart w:id="347" w:name="_Toc150509283"/>
      <w:bookmarkStart w:id="348" w:name="_Toc164229227"/>
      <w:bookmarkStart w:id="349" w:name="_Toc265228370"/>
      <w:bookmarkStart w:id="350" w:name="_Toc264969222"/>
      <w:bookmarkStart w:id="351" w:name="_Toc142311034"/>
      <w:bookmarkStart w:id="352" w:name="_Toc151193920"/>
      <w:bookmarkStart w:id="353" w:name="_Toc149720825"/>
      <w:bookmarkStart w:id="354" w:name="_Toc151193702"/>
      <w:bookmarkStart w:id="355" w:name="_Toc151193630"/>
      <w:bookmarkStart w:id="356" w:name="_Toc127151733"/>
      <w:bookmarkStart w:id="357" w:name="_Toc151190159"/>
      <w:bookmarkStart w:id="358" w:name="_Toc127161446"/>
      <w:bookmarkStart w:id="359" w:name="_Toc151193846"/>
      <w:bookmarkStart w:id="360" w:name="_Toc164351626"/>
      <w:bookmarkStart w:id="361" w:name="_Toc305158800"/>
      <w:bookmarkStart w:id="362" w:name="_Toc164229373"/>
      <w:bookmarkStart w:id="363" w:name="_Toc151193774"/>
      <w:bookmarkStart w:id="364" w:name="_Toc164608646"/>
      <w:bookmarkStart w:id="365" w:name="_Toc164608801"/>
      <w:r>
        <w:rPr>
          <w:sz w:val="24"/>
          <w:highlight w:val="none"/>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投标文件应在本招标文件《投标人须知资料表》中规定的投标有效期内保持有效，投标有效期少于招标文件规定期限的，其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66" w:name="_Toc127161447"/>
      <w:bookmarkStart w:id="367" w:name="_Toc195842898"/>
      <w:bookmarkStart w:id="368" w:name="_Toc164608802"/>
      <w:bookmarkStart w:id="369" w:name="_Toc265228371"/>
      <w:bookmarkStart w:id="370" w:name="_Toc127151734"/>
      <w:bookmarkStart w:id="371" w:name="_Toc164229374"/>
      <w:bookmarkStart w:id="372" w:name="_Toc164229228"/>
      <w:bookmarkStart w:id="373" w:name="_Toc151193631"/>
      <w:bookmarkStart w:id="374" w:name="_Toc264969223"/>
      <w:bookmarkStart w:id="375" w:name="_Toc151190160"/>
      <w:bookmarkStart w:id="376" w:name="_Toc150774633"/>
      <w:bookmarkStart w:id="377" w:name="_Toc149720826"/>
      <w:bookmarkStart w:id="378" w:name="_Toc151193847"/>
      <w:bookmarkStart w:id="379" w:name="_Toc226337229"/>
      <w:bookmarkStart w:id="380" w:name="_Toc127151533"/>
      <w:bookmarkStart w:id="381" w:name="_Toc226309777"/>
      <w:bookmarkStart w:id="382" w:name="_Toc305158875"/>
      <w:bookmarkStart w:id="383" w:name="_Toc305158801"/>
      <w:bookmarkStart w:id="384" w:name="_Toc151193921"/>
      <w:bookmarkStart w:id="385" w:name="_Toc150509284"/>
      <w:bookmarkStart w:id="386" w:name="_Toc226965723"/>
      <w:bookmarkStart w:id="387" w:name="_Toc151193775"/>
      <w:bookmarkStart w:id="388" w:name="_Toc150480771"/>
      <w:bookmarkStart w:id="389" w:name="_Toc164351627"/>
      <w:bookmarkStart w:id="390" w:name="_Toc151193703"/>
      <w:bookmarkStart w:id="391" w:name="_Toc520356158"/>
      <w:bookmarkStart w:id="392" w:name="_Toc226965806"/>
      <w:bookmarkStart w:id="393" w:name="_Toc142311035"/>
      <w:bookmarkStart w:id="394" w:name="_Toc150774738"/>
      <w:bookmarkStart w:id="395" w:name="_Toc164608647"/>
      <w:r>
        <w:rPr>
          <w:sz w:val="24"/>
          <w:highlight w:val="none"/>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highlight w:val="none"/>
        </w:rPr>
        <w:t>、盖章</w:t>
      </w:r>
    </w:p>
    <w:p>
      <w:pPr>
        <w:numPr>
          <w:ilvl w:val="1"/>
          <w:numId w:val="8"/>
        </w:numPr>
        <w:tabs>
          <w:tab w:val="left" w:pos="1080"/>
          <w:tab w:val="left" w:pos="2014"/>
        </w:tabs>
        <w:snapToGrid w:val="0"/>
        <w:spacing w:line="360" w:lineRule="auto"/>
        <w:ind w:left="1077" w:hanging="720"/>
        <w:rPr>
          <w:sz w:val="24"/>
          <w:highlight w:val="none"/>
        </w:rPr>
      </w:pPr>
      <w:bookmarkStart w:id="396" w:name="_Toc226965724"/>
      <w:bookmarkStart w:id="397" w:name="_Toc150774739"/>
      <w:bookmarkStart w:id="398" w:name="_Toc151190161"/>
      <w:bookmarkStart w:id="399" w:name="_Toc520356159"/>
      <w:bookmarkStart w:id="400" w:name="_Toc151193704"/>
      <w:bookmarkStart w:id="401" w:name="_Toc151193776"/>
      <w:bookmarkStart w:id="402" w:name="_Toc265228372"/>
      <w:bookmarkStart w:id="403" w:name="_Toc226337230"/>
      <w:bookmarkStart w:id="404" w:name="_Toc151193848"/>
      <w:bookmarkStart w:id="405" w:name="_Toc195842899"/>
      <w:bookmarkStart w:id="406" w:name="_Toc150509285"/>
      <w:bookmarkStart w:id="407" w:name="_Toc150480772"/>
      <w:bookmarkStart w:id="408" w:name="_Toc226965807"/>
      <w:bookmarkStart w:id="409" w:name="_Toc305158802"/>
      <w:bookmarkStart w:id="410" w:name="_Toc150774634"/>
      <w:bookmarkStart w:id="411" w:name="_Toc151193922"/>
      <w:bookmarkStart w:id="412" w:name="_Toc127151534"/>
      <w:bookmarkStart w:id="413" w:name="_Toc226309778"/>
      <w:bookmarkStart w:id="414" w:name="_Toc151193632"/>
      <w:bookmarkStart w:id="415" w:name="_Toc142311036"/>
      <w:bookmarkStart w:id="416" w:name="_Toc264969224"/>
      <w:bookmarkStart w:id="417" w:name="_Toc305158876"/>
      <w:r>
        <w:rPr>
          <w:rFonts w:hint="eastAsia" w:ascii="宋体" w:hAnsi="宋体"/>
          <w:sz w:val="24"/>
          <w:highlight w:val="none"/>
        </w:rPr>
        <w:t>投标文件由投标人的法定代表人或其委托代理人签字或盖章。委托代理人签字或盖章的，投标文件应附法定代表人签署的授权委托书</w:t>
      </w:r>
      <w:r>
        <w:rPr>
          <w:sz w:val="24"/>
          <w:highlight w:val="none"/>
        </w:rPr>
        <w:t>。</w:t>
      </w:r>
    </w:p>
    <w:p>
      <w:pPr>
        <w:numPr>
          <w:ilvl w:val="1"/>
          <w:numId w:val="8"/>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本招标文件中要求加盖投标人公章的，是指与投标人名称全称相一致的“行政公章”，不得加盖“合同专用章、投标专用章、财务专用章”等非行政公章</w:t>
      </w:r>
      <w:r>
        <w:rPr>
          <w:rFonts w:ascii="宋体" w:hAnsi="宋体"/>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rFonts w:hint="eastAsia" w:ascii="宋体" w:hAnsi="宋体"/>
          <w:sz w:val="24"/>
          <w:highlight w:val="none"/>
        </w:rPr>
        <w:t>投标文件正本、投标文件副本均采用左侧胶装</w:t>
      </w:r>
      <w:r>
        <w:rPr>
          <w:sz w:val="24"/>
          <w:highlight w:val="none"/>
        </w:rPr>
        <w:t>。</w:t>
      </w:r>
    </w:p>
    <w:p>
      <w:pPr>
        <w:tabs>
          <w:tab w:val="left" w:pos="900"/>
          <w:tab w:val="left" w:pos="1080"/>
        </w:tabs>
        <w:snapToGrid w:val="0"/>
        <w:spacing w:line="360" w:lineRule="auto"/>
        <w:ind w:left="357"/>
        <w:rPr>
          <w:highlight w:val="none"/>
        </w:rPr>
      </w:pPr>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8"/>
        </w:numPr>
        <w:tabs>
          <w:tab w:val="left" w:pos="360"/>
        </w:tabs>
        <w:snapToGrid w:val="0"/>
        <w:spacing w:line="360" w:lineRule="auto"/>
        <w:ind w:left="357" w:hanging="357"/>
        <w:outlineLvl w:val="1"/>
        <w:rPr>
          <w:sz w:val="24"/>
          <w:highlight w:val="none"/>
        </w:rPr>
      </w:pPr>
      <w:bookmarkStart w:id="418" w:name="_Toc226337231"/>
      <w:bookmarkStart w:id="419" w:name="_Toc151193777"/>
      <w:bookmarkStart w:id="420" w:name="_Toc520356160"/>
      <w:bookmarkStart w:id="421" w:name="_Toc150509286"/>
      <w:bookmarkStart w:id="422" w:name="_Toc226309779"/>
      <w:bookmarkStart w:id="423" w:name="_Toc265228373"/>
      <w:bookmarkStart w:id="424" w:name="_Toc151193923"/>
      <w:bookmarkStart w:id="425" w:name="_Toc151193633"/>
      <w:bookmarkStart w:id="426" w:name="_Toc127161449"/>
      <w:bookmarkStart w:id="427" w:name="_Toc226965725"/>
      <w:bookmarkStart w:id="428" w:name="_Toc305158877"/>
      <w:bookmarkStart w:id="429" w:name="_Toc127151736"/>
      <w:bookmarkStart w:id="430" w:name="_Toc150774635"/>
      <w:bookmarkStart w:id="431" w:name="_Toc164229376"/>
      <w:bookmarkStart w:id="432" w:name="_Toc305158803"/>
      <w:bookmarkStart w:id="433" w:name="_Toc164608649"/>
      <w:bookmarkStart w:id="434" w:name="_Toc142311037"/>
      <w:bookmarkStart w:id="435" w:name="_Toc264969225"/>
      <w:bookmarkStart w:id="436" w:name="_Toc195842900"/>
      <w:bookmarkStart w:id="437" w:name="_Toc151193849"/>
      <w:bookmarkStart w:id="438" w:name="_Toc150774740"/>
      <w:bookmarkStart w:id="439" w:name="_Toc151193705"/>
      <w:bookmarkStart w:id="440" w:name="_Toc151190162"/>
      <w:bookmarkStart w:id="441" w:name="_Toc149720828"/>
      <w:bookmarkStart w:id="442" w:name="_Toc127151535"/>
      <w:bookmarkStart w:id="443" w:name="_Toc164351629"/>
      <w:bookmarkStart w:id="444" w:name="_Toc164608804"/>
      <w:bookmarkStart w:id="445" w:name="_Toc150480773"/>
      <w:bookmarkStart w:id="446" w:name="_Toc226965808"/>
      <w:bookmarkStart w:id="447" w:name="_Toc164229230"/>
      <w:r>
        <w:rPr>
          <w:sz w:val="24"/>
          <w:highlight w:val="none"/>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highlight w:val="none"/>
        </w:rPr>
        <w:t>提交</w:t>
      </w:r>
    </w:p>
    <w:p>
      <w:pPr>
        <w:numPr>
          <w:ilvl w:val="1"/>
          <w:numId w:val="8"/>
        </w:numPr>
        <w:tabs>
          <w:tab w:val="left" w:pos="1080"/>
          <w:tab w:val="left" w:pos="2014"/>
        </w:tabs>
        <w:snapToGrid w:val="0"/>
        <w:spacing w:line="360" w:lineRule="auto"/>
        <w:ind w:left="1077" w:hanging="720"/>
        <w:rPr>
          <w:rFonts w:ascii="宋体" w:hAnsi="宋体"/>
          <w:sz w:val="24"/>
          <w:highlight w:val="none"/>
        </w:rPr>
      </w:pPr>
      <w:r>
        <w:rPr>
          <w:rFonts w:hint="eastAsia" w:ascii="宋体" w:hAnsi="宋体"/>
          <w:sz w:val="24"/>
          <w:highlight w:val="none"/>
        </w:rPr>
        <w:t>线下递交</w:t>
      </w:r>
    </w:p>
    <w:p>
      <w:pPr>
        <w:numPr>
          <w:ilvl w:val="1"/>
          <w:numId w:val="8"/>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投标现场需提供的资料</w:t>
      </w:r>
    </w:p>
    <w:p>
      <w:pPr>
        <w:pStyle w:val="5"/>
        <w:numPr>
          <w:ilvl w:val="2"/>
          <w:numId w:val="8"/>
        </w:numPr>
        <w:autoSpaceDE/>
        <w:autoSpaceDN/>
        <w:adjustRightInd/>
        <w:spacing w:line="360" w:lineRule="auto"/>
        <w:jc w:val="both"/>
        <w:rPr>
          <w:rFonts w:hint="eastAsia" w:hAnsi="宋体"/>
          <w:szCs w:val="21"/>
          <w:highlight w:val="none"/>
        </w:rPr>
      </w:pPr>
      <w:r>
        <w:rPr>
          <w:rFonts w:hint="eastAsia" w:hAnsi="宋体"/>
          <w:szCs w:val="21"/>
          <w:highlight w:val="none"/>
        </w:rPr>
        <w:t>投标人需在开标当日，由投标单位法人或授权人参加开标会。届时应提供以下资料：①《投标文件》纸质版正本1份，《投标人须知资料表》要求份数的副本；②《开标一览表》纸质版1份。③投标人须知资料表》要求份数的U盘。④法人身份证明或法人代表授权书1份。以上资料需开标当日现场递交，不接受现场递交以外的投递形式，投标人采取其他投递形式致使投标无效，招标代理机构不承担任何责任。（现场递交系指投标人将投标文件相关资料直接递交给代理机构，并签字确认）</w:t>
      </w:r>
    </w:p>
    <w:p>
      <w:pPr>
        <w:numPr>
          <w:ilvl w:val="1"/>
          <w:numId w:val="8"/>
        </w:numPr>
        <w:tabs>
          <w:tab w:val="left" w:pos="1080"/>
          <w:tab w:val="left" w:pos="2014"/>
        </w:tabs>
        <w:snapToGrid w:val="0"/>
        <w:spacing w:line="360" w:lineRule="auto"/>
        <w:ind w:left="1077" w:hanging="720"/>
        <w:rPr>
          <w:rFonts w:hint="eastAsia" w:ascii="宋体" w:hAnsi="宋体"/>
          <w:sz w:val="24"/>
          <w:highlight w:val="none"/>
        </w:rPr>
      </w:pPr>
      <w:r>
        <w:rPr>
          <w:rFonts w:hint="eastAsia" w:ascii="宋体" w:hAnsi="宋体"/>
          <w:sz w:val="24"/>
          <w:highlight w:val="none"/>
        </w:rPr>
        <w:t>投标文件的密封及标记</w:t>
      </w:r>
    </w:p>
    <w:p>
      <w:pPr>
        <w:pStyle w:val="5"/>
        <w:numPr>
          <w:ilvl w:val="2"/>
          <w:numId w:val="8"/>
        </w:numPr>
        <w:autoSpaceDE/>
        <w:autoSpaceDN/>
        <w:adjustRightInd/>
        <w:spacing w:line="360" w:lineRule="auto"/>
        <w:jc w:val="both"/>
        <w:rPr>
          <w:rFonts w:hAnsi="宋体"/>
          <w:szCs w:val="21"/>
          <w:highlight w:val="none"/>
        </w:rPr>
      </w:pPr>
      <w:r>
        <w:rPr>
          <w:rFonts w:hint="eastAsia" w:hAnsi="宋体"/>
          <w:szCs w:val="21"/>
          <w:highlight w:val="none"/>
        </w:rPr>
        <w:t>纸质投标文件正本、投标文件副本、</w:t>
      </w:r>
      <w:r>
        <w:rPr>
          <w:rFonts w:hint="eastAsia" w:hAnsi="宋体"/>
          <w:szCs w:val="21"/>
          <w:highlight w:val="none"/>
          <w:lang w:eastAsia="zh-CN"/>
        </w:rPr>
        <w:t>开标一览表</w:t>
      </w:r>
      <w:r>
        <w:rPr>
          <w:rFonts w:hint="eastAsia" w:hAnsi="宋体"/>
          <w:szCs w:val="21"/>
          <w:highlight w:val="none"/>
        </w:rPr>
        <w:t>及投标文件电子版U盘应分三个袋装袋密封。</w:t>
      </w:r>
    </w:p>
    <w:p>
      <w:pPr>
        <w:pStyle w:val="5"/>
        <w:numPr>
          <w:ilvl w:val="2"/>
          <w:numId w:val="8"/>
        </w:numPr>
        <w:autoSpaceDE/>
        <w:autoSpaceDN/>
        <w:adjustRightInd/>
        <w:spacing w:line="360" w:lineRule="auto"/>
        <w:jc w:val="both"/>
        <w:rPr>
          <w:rFonts w:hAnsi="宋体"/>
          <w:szCs w:val="21"/>
          <w:highlight w:val="none"/>
        </w:rPr>
      </w:pPr>
      <w:r>
        <w:rPr>
          <w:rFonts w:hint="eastAsia" w:hAnsi="宋体"/>
          <w:szCs w:val="21"/>
          <w:highlight w:val="none"/>
        </w:rPr>
        <w:tab/>
      </w:r>
      <w:r>
        <w:rPr>
          <w:rFonts w:hint="eastAsia" w:hAnsi="宋体"/>
          <w:szCs w:val="21"/>
          <w:highlight w:val="none"/>
        </w:rPr>
        <w:t>投标文件正本密封袋：内装１份纸质投标文件正本。封口处加盖投标人公章。封皮上写明：①投标文件正本、②项目编号、③项目名称、⑤投标人名称、⑥开标时启封。</w:t>
      </w:r>
    </w:p>
    <w:p>
      <w:pPr>
        <w:pStyle w:val="5"/>
        <w:numPr>
          <w:ilvl w:val="2"/>
          <w:numId w:val="8"/>
        </w:numPr>
        <w:autoSpaceDE/>
        <w:autoSpaceDN/>
        <w:adjustRightInd/>
        <w:spacing w:line="360" w:lineRule="auto"/>
        <w:jc w:val="both"/>
        <w:rPr>
          <w:rFonts w:hAnsi="宋体"/>
          <w:szCs w:val="21"/>
          <w:highlight w:val="none"/>
        </w:rPr>
      </w:pPr>
      <w:r>
        <w:rPr>
          <w:rFonts w:hint="eastAsia" w:hAnsi="宋体"/>
          <w:szCs w:val="21"/>
          <w:highlight w:val="none"/>
        </w:rPr>
        <w:tab/>
      </w:r>
      <w:r>
        <w:rPr>
          <w:rFonts w:hint="eastAsia" w:hAnsi="宋体"/>
          <w:szCs w:val="21"/>
          <w:highlight w:val="none"/>
        </w:rPr>
        <w:t>投标文件副本密封袋：内装要求份数的纸质投标文件。封口处加盖投标人公章。封皮上写明：①投标文件副本、②项目编号、③项目名称、⑤投标人名称、⑥开标时启封。</w:t>
      </w:r>
    </w:p>
    <w:p>
      <w:pPr>
        <w:pStyle w:val="5"/>
        <w:numPr>
          <w:ilvl w:val="2"/>
          <w:numId w:val="8"/>
        </w:numPr>
        <w:autoSpaceDE/>
        <w:autoSpaceDN/>
        <w:adjustRightInd/>
        <w:spacing w:line="360" w:lineRule="auto"/>
        <w:jc w:val="both"/>
        <w:rPr>
          <w:rFonts w:hAnsi="宋体"/>
          <w:szCs w:val="21"/>
          <w:highlight w:val="none"/>
        </w:rPr>
      </w:pPr>
      <w:r>
        <w:rPr>
          <w:rFonts w:hint="eastAsia" w:hAnsi="宋体"/>
          <w:szCs w:val="21"/>
          <w:highlight w:val="none"/>
          <w:lang w:eastAsia="zh-CN"/>
        </w:rPr>
        <w:t>开标一览表</w:t>
      </w:r>
      <w:r>
        <w:rPr>
          <w:rFonts w:hint="eastAsia" w:hAnsi="宋体"/>
          <w:szCs w:val="21"/>
          <w:highlight w:val="none"/>
        </w:rPr>
        <w:t>密封袋：内装１套纸质“</w:t>
      </w:r>
      <w:r>
        <w:rPr>
          <w:rFonts w:hint="eastAsia" w:hAnsi="宋体"/>
          <w:szCs w:val="21"/>
          <w:highlight w:val="none"/>
          <w:lang w:eastAsia="zh-CN"/>
        </w:rPr>
        <w:t>开标一览表</w:t>
      </w:r>
      <w:r>
        <w:rPr>
          <w:rFonts w:hint="eastAsia" w:hAnsi="宋体"/>
          <w:szCs w:val="21"/>
          <w:highlight w:val="none"/>
        </w:rPr>
        <w:t>”、“投标保证金递交凭证”（复印件，如有）和要求份数的“投标文件电子版&lt;</w:t>
      </w:r>
      <w:r>
        <w:rPr>
          <w:rFonts w:hAnsi="宋体"/>
          <w:szCs w:val="21"/>
          <w:highlight w:val="none"/>
        </w:rPr>
        <w:t>U盘</w:t>
      </w:r>
      <w:r>
        <w:rPr>
          <w:rFonts w:hint="eastAsia" w:hAnsi="宋体"/>
          <w:szCs w:val="21"/>
          <w:highlight w:val="none"/>
        </w:rPr>
        <w:t>&gt;”，封口处加盖投标人公章。封皮上写明：①</w:t>
      </w:r>
      <w:r>
        <w:rPr>
          <w:rFonts w:hint="eastAsia" w:hAnsi="宋体"/>
          <w:szCs w:val="21"/>
          <w:highlight w:val="none"/>
          <w:lang w:eastAsia="zh-CN"/>
        </w:rPr>
        <w:t>开标一览表</w:t>
      </w:r>
      <w:r>
        <w:rPr>
          <w:rFonts w:hint="eastAsia" w:hAnsi="宋体"/>
          <w:szCs w:val="21"/>
          <w:highlight w:val="none"/>
        </w:rPr>
        <w:t>、②项目编号、③项目名称、⑤投标人名称、⑥开标时启封。</w:t>
      </w:r>
    </w:p>
    <w:p>
      <w:pPr>
        <w:pStyle w:val="5"/>
        <w:numPr>
          <w:ilvl w:val="2"/>
          <w:numId w:val="8"/>
        </w:numPr>
        <w:autoSpaceDE/>
        <w:autoSpaceDN/>
        <w:adjustRightInd/>
        <w:spacing w:line="360" w:lineRule="auto"/>
        <w:jc w:val="both"/>
        <w:rPr>
          <w:rFonts w:hAnsi="宋体"/>
          <w:szCs w:val="21"/>
          <w:highlight w:val="none"/>
        </w:rPr>
      </w:pPr>
      <w:r>
        <w:rPr>
          <w:rFonts w:hint="eastAsia" w:hAnsi="宋体"/>
          <w:szCs w:val="21"/>
          <w:highlight w:val="none"/>
        </w:rPr>
        <w:tab/>
      </w:r>
      <w:r>
        <w:rPr>
          <w:rFonts w:hint="eastAsia" w:hAnsi="宋体"/>
          <w:szCs w:val="21"/>
          <w:highlight w:val="none"/>
        </w:rPr>
        <w:t>采用暗标评审的，由采购代理机构补充对投标文件的制作和评标等要求，投标文件的密封及标记从其规定。</w:t>
      </w:r>
    </w:p>
    <w:p>
      <w:pPr>
        <w:pStyle w:val="5"/>
        <w:numPr>
          <w:ilvl w:val="2"/>
          <w:numId w:val="8"/>
        </w:numPr>
        <w:autoSpaceDE/>
        <w:autoSpaceDN/>
        <w:adjustRightInd/>
        <w:spacing w:line="360" w:lineRule="auto"/>
        <w:jc w:val="both"/>
        <w:rPr>
          <w:rFonts w:hint="eastAsia" w:hAnsi="宋体"/>
          <w:szCs w:val="21"/>
          <w:highlight w:val="none"/>
        </w:rPr>
      </w:pPr>
      <w:r>
        <w:rPr>
          <w:rFonts w:hint="eastAsia" w:hAnsi="宋体"/>
          <w:szCs w:val="21"/>
          <w:highlight w:val="none"/>
        </w:rPr>
        <w:tab/>
      </w:r>
      <w:r>
        <w:rPr>
          <w:rFonts w:hint="eastAsia" w:hAnsi="宋体"/>
          <w:szCs w:val="21"/>
          <w:highlight w:val="none"/>
        </w:rPr>
        <w:t>采购代理机构拒收未按要求密封、标记的投标文件</w:t>
      </w:r>
      <w:r>
        <w:rPr>
          <w:rFonts w:hint="eastAsia" w:hAnsi="宋体"/>
          <w:szCs w:val="21"/>
          <w:highlight w:val="none"/>
          <w:lang w:eastAsia="zh-CN"/>
        </w:rPr>
        <w:t>。</w:t>
      </w:r>
    </w:p>
    <w:p>
      <w:pPr>
        <w:numPr>
          <w:ilvl w:val="0"/>
          <w:numId w:val="8"/>
        </w:numPr>
        <w:tabs>
          <w:tab w:val="left" w:pos="360"/>
        </w:tabs>
        <w:snapToGrid w:val="0"/>
        <w:spacing w:line="360" w:lineRule="auto"/>
        <w:ind w:left="357" w:hanging="357"/>
        <w:outlineLvl w:val="1"/>
        <w:rPr>
          <w:sz w:val="24"/>
          <w:highlight w:val="none"/>
        </w:rPr>
      </w:pPr>
      <w:bookmarkStart w:id="448" w:name="_Toc151193706"/>
      <w:bookmarkStart w:id="449" w:name="_Toc226965726"/>
      <w:bookmarkStart w:id="450" w:name="_Toc265228374"/>
      <w:bookmarkStart w:id="451" w:name="_Toc150774741"/>
      <w:bookmarkStart w:id="452" w:name="_Toc142311038"/>
      <w:bookmarkStart w:id="453" w:name="_Toc226309780"/>
      <w:bookmarkStart w:id="454" w:name="_Toc151193778"/>
      <w:bookmarkStart w:id="455" w:name="_Toc305158878"/>
      <w:bookmarkStart w:id="456" w:name="_Toc520356161"/>
      <w:bookmarkStart w:id="457" w:name="_Toc151193850"/>
      <w:bookmarkStart w:id="458" w:name="_Toc164229231"/>
      <w:bookmarkStart w:id="459" w:name="_Toc150774636"/>
      <w:bookmarkStart w:id="460" w:name="_Toc226965809"/>
      <w:bookmarkStart w:id="461" w:name="_Toc151193924"/>
      <w:bookmarkStart w:id="462" w:name="_Toc305158804"/>
      <w:bookmarkStart w:id="463" w:name="_Toc150480774"/>
      <w:bookmarkStart w:id="464" w:name="_Toc164608805"/>
      <w:bookmarkStart w:id="465" w:name="_Toc151193634"/>
      <w:bookmarkStart w:id="466" w:name="_Toc164229377"/>
      <w:bookmarkStart w:id="467" w:name="_Toc127151737"/>
      <w:bookmarkStart w:id="468" w:name="_Toc226337232"/>
      <w:bookmarkStart w:id="469" w:name="_Toc164351630"/>
      <w:bookmarkStart w:id="470" w:name="_Toc264969226"/>
      <w:bookmarkStart w:id="471" w:name="_Toc195842901"/>
      <w:bookmarkStart w:id="472" w:name="_Toc127151536"/>
      <w:bookmarkStart w:id="473" w:name="_Toc151190163"/>
      <w:bookmarkStart w:id="474" w:name="_Toc150509287"/>
      <w:bookmarkStart w:id="475" w:name="_Toc164608650"/>
      <w:bookmarkStart w:id="476" w:name="_Toc149720829"/>
      <w:bookmarkStart w:id="477" w:name="_Toc127161450"/>
      <w:r>
        <w:rPr>
          <w:sz w:val="24"/>
          <w:highlight w:val="none"/>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w:t>
      </w:r>
      <w:r>
        <w:rPr>
          <w:rFonts w:hint="eastAsia" w:ascii="宋体" w:hAnsi="宋体"/>
          <w:sz w:val="24"/>
          <w:highlight w:val="none"/>
        </w:rPr>
        <w:t>递交投标文件</w:t>
      </w:r>
      <w:r>
        <w:rPr>
          <w:rFonts w:hint="eastAsia" w:ascii="宋体" w:hAnsi="宋体"/>
          <w:sz w:val="24"/>
          <w:highlight w:val="none"/>
          <w:lang w:val="en-US" w:eastAsia="zh-CN"/>
        </w:rPr>
        <w:t>至指定</w:t>
      </w:r>
      <w:r>
        <w:rPr>
          <w:rFonts w:hint="eastAsia" w:ascii="宋体" w:hAnsi="宋体"/>
          <w:sz w:val="24"/>
          <w:highlight w:val="none"/>
        </w:rPr>
        <w:t>地址，逾期送达，不予受理</w:t>
      </w:r>
      <w:r>
        <w:rPr>
          <w:rFonts w:ascii="宋体" w:hAnsi="宋体"/>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478" w:name="_Toc305158805"/>
      <w:bookmarkStart w:id="479" w:name="_Toc164229378"/>
      <w:bookmarkStart w:id="480" w:name="_Toc127161451"/>
      <w:bookmarkStart w:id="481" w:name="_Toc149720830"/>
      <w:bookmarkStart w:id="482" w:name="_Toc226309781"/>
      <w:bookmarkStart w:id="483" w:name="_Toc150774742"/>
      <w:bookmarkStart w:id="484" w:name="_Toc195842902"/>
      <w:bookmarkStart w:id="485" w:name="_Toc265228375"/>
      <w:bookmarkStart w:id="486" w:name="_Toc164608806"/>
      <w:bookmarkStart w:id="487" w:name="_Toc226337233"/>
      <w:bookmarkStart w:id="488" w:name="_Toc226965810"/>
      <w:bookmarkStart w:id="489" w:name="_Toc151193779"/>
      <w:bookmarkStart w:id="490" w:name="_Toc150774637"/>
      <w:bookmarkStart w:id="491" w:name="_Toc150509288"/>
      <w:bookmarkStart w:id="492" w:name="_Toc520356162"/>
      <w:bookmarkStart w:id="493" w:name="_Toc264969227"/>
      <w:bookmarkStart w:id="494" w:name="_Toc127151738"/>
      <w:bookmarkStart w:id="495" w:name="_Toc164351631"/>
      <w:bookmarkStart w:id="496" w:name="_Toc151193925"/>
      <w:bookmarkStart w:id="497" w:name="_Toc164608651"/>
      <w:bookmarkStart w:id="498" w:name="_Toc151193635"/>
      <w:bookmarkStart w:id="499" w:name="_Toc142311039"/>
      <w:bookmarkStart w:id="500" w:name="_Toc151190164"/>
      <w:bookmarkStart w:id="501" w:name="_Toc151193851"/>
      <w:bookmarkStart w:id="502" w:name="_Toc127151537"/>
      <w:bookmarkStart w:id="503" w:name="_Toc226965727"/>
      <w:bookmarkStart w:id="504" w:name="_Toc164229232"/>
      <w:bookmarkStart w:id="505" w:name="_Toc151193707"/>
      <w:bookmarkStart w:id="506" w:name="_Toc150480775"/>
      <w:bookmarkStart w:id="507" w:name="_Toc305158879"/>
      <w:r>
        <w:rPr>
          <w:sz w:val="24"/>
          <w:highlight w:val="none"/>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sz w:val="24"/>
          <w:highlight w:val="none"/>
        </w:rPr>
      </w:pPr>
      <w:r>
        <w:rPr>
          <w:rFonts w:ascii="宋体" w:hAnsi="宋体"/>
          <w:sz w:val="24"/>
          <w:highlight w:val="none"/>
        </w:rPr>
        <w:t>投标截止时间前，投标人可以对所提交的投标文件进行补充、修改或者撤回，但应</w:t>
      </w:r>
      <w:r>
        <w:rPr>
          <w:rFonts w:hint="eastAsia" w:ascii="宋体" w:hAnsi="宋体"/>
          <w:sz w:val="24"/>
          <w:highlight w:val="none"/>
        </w:rPr>
        <w:t>就其</w:t>
      </w:r>
      <w:r>
        <w:rPr>
          <w:rFonts w:ascii="宋体" w:hAnsi="宋体"/>
          <w:sz w:val="24"/>
          <w:highlight w:val="none"/>
        </w:rPr>
        <w:t>补充、修改或者撤回</w:t>
      </w:r>
      <w:r>
        <w:rPr>
          <w:rFonts w:hint="eastAsia" w:ascii="宋体" w:hAnsi="宋体"/>
          <w:sz w:val="24"/>
          <w:highlight w:val="none"/>
        </w:rPr>
        <w:t>通知</w:t>
      </w:r>
      <w:r>
        <w:rPr>
          <w:rFonts w:ascii="宋体" w:hAnsi="宋体"/>
          <w:sz w:val="24"/>
          <w:highlight w:val="none"/>
        </w:rPr>
        <w:t>采购人或采购代理机构</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投标人对投标文件的补充、修改的内容应当按照招标文件要求签署、盖章，作为投标文件的组成部分。</w:t>
      </w:r>
    </w:p>
    <w:p>
      <w:pPr>
        <w:spacing w:line="360" w:lineRule="auto"/>
        <w:rPr>
          <w:sz w:val="24"/>
          <w:highlight w:val="none"/>
        </w:rPr>
      </w:pPr>
    </w:p>
    <w:p>
      <w:pPr>
        <w:pStyle w:val="4"/>
        <w:spacing w:before="0" w:line="360" w:lineRule="auto"/>
        <w:rPr>
          <w:rFonts w:ascii="Times New Roman" w:hAnsi="Times New Roman" w:eastAsia="宋体"/>
          <w:sz w:val="28"/>
          <w:highlight w:val="none"/>
        </w:rPr>
      </w:pPr>
      <w:bookmarkStart w:id="508" w:name="_Toc127151538"/>
      <w:bookmarkStart w:id="509" w:name="_Toc150774743"/>
      <w:bookmarkStart w:id="510" w:name="_Toc150509289"/>
      <w:bookmarkStart w:id="511" w:name="_Toc226337234"/>
      <w:bookmarkStart w:id="512" w:name="_Toc151190165"/>
      <w:bookmarkStart w:id="513" w:name="_Toc226309782"/>
      <w:bookmarkStart w:id="514" w:name="_Toc151193926"/>
      <w:bookmarkStart w:id="515" w:name="_Toc305158880"/>
      <w:bookmarkStart w:id="516" w:name="_Toc226965811"/>
      <w:bookmarkStart w:id="517" w:name="_Toc150774638"/>
      <w:bookmarkStart w:id="518" w:name="_Toc151193780"/>
      <w:bookmarkStart w:id="519" w:name="_Toc151193636"/>
      <w:bookmarkStart w:id="520" w:name="_Toc150480776"/>
      <w:bookmarkStart w:id="521" w:name="_Toc142311040"/>
      <w:bookmarkStart w:id="522" w:name="_Toc195842903"/>
      <w:bookmarkStart w:id="523" w:name="_Toc264969228"/>
      <w:bookmarkStart w:id="524" w:name="_Toc265228376"/>
      <w:bookmarkStart w:id="525" w:name="_Toc226965728"/>
      <w:bookmarkStart w:id="526" w:name="_Toc151193708"/>
      <w:bookmarkStart w:id="527" w:name="_Toc520356163"/>
      <w:bookmarkStart w:id="528" w:name="_Toc305158806"/>
      <w:bookmarkStart w:id="529" w:name="_Toc151193852"/>
      <w:r>
        <w:rPr>
          <w:rFonts w:ascii="Times New Roman" w:hAnsi="Times New Roman" w:eastAsia="宋体"/>
          <w:sz w:val="28"/>
          <w:highlight w:val="none"/>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8"/>
        </w:numPr>
        <w:tabs>
          <w:tab w:val="left" w:pos="360"/>
        </w:tabs>
        <w:snapToGrid w:val="0"/>
        <w:spacing w:line="360" w:lineRule="auto"/>
        <w:ind w:left="357" w:hanging="357"/>
        <w:outlineLvl w:val="1"/>
        <w:rPr>
          <w:sz w:val="24"/>
          <w:highlight w:val="none"/>
        </w:rPr>
      </w:pPr>
      <w:bookmarkStart w:id="530" w:name="_Toc151193927"/>
      <w:bookmarkStart w:id="531" w:name="_Toc164229380"/>
      <w:bookmarkStart w:id="532" w:name="_Toc264969229"/>
      <w:bookmarkStart w:id="533" w:name="_Toc151193781"/>
      <w:bookmarkStart w:id="534" w:name="_Toc520356164"/>
      <w:bookmarkStart w:id="535" w:name="_Toc127161453"/>
      <w:bookmarkStart w:id="536" w:name="_Toc150480777"/>
      <w:bookmarkStart w:id="537" w:name="_Toc265228377"/>
      <w:bookmarkStart w:id="538" w:name="_Toc150774744"/>
      <w:bookmarkStart w:id="539" w:name="_Toc226309783"/>
      <w:bookmarkStart w:id="540" w:name="_Toc151193709"/>
      <w:bookmarkStart w:id="541" w:name="_Toc150774639"/>
      <w:bookmarkStart w:id="542" w:name="_Toc305158807"/>
      <w:bookmarkStart w:id="543" w:name="_Toc151193853"/>
      <w:bookmarkStart w:id="544" w:name="_Toc127151539"/>
      <w:bookmarkStart w:id="545" w:name="_Toc150509290"/>
      <w:bookmarkStart w:id="546" w:name="_Toc151190166"/>
      <w:bookmarkStart w:id="547" w:name="_Toc149720832"/>
      <w:bookmarkStart w:id="548" w:name="_Toc151193637"/>
      <w:bookmarkStart w:id="549" w:name="_Toc226965729"/>
      <w:bookmarkStart w:id="550" w:name="_Toc142311041"/>
      <w:bookmarkStart w:id="551" w:name="_Toc164351633"/>
      <w:bookmarkStart w:id="552" w:name="_Toc127151740"/>
      <w:bookmarkStart w:id="553" w:name="_Toc226337235"/>
      <w:bookmarkStart w:id="554" w:name="_Toc226965812"/>
      <w:bookmarkStart w:id="555" w:name="_Toc164229234"/>
      <w:bookmarkStart w:id="556" w:name="_Toc164608808"/>
      <w:bookmarkStart w:id="557" w:name="_Toc195842904"/>
      <w:bookmarkStart w:id="558" w:name="_Toc305158881"/>
      <w:bookmarkStart w:id="559" w:name="_Toc164608653"/>
      <w:r>
        <w:rPr>
          <w:sz w:val="24"/>
          <w:highlight w:val="none"/>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highlight w:val="none"/>
        </w:rPr>
      </w:pPr>
      <w:r>
        <w:rPr>
          <w:rFonts w:hint="eastAsia" w:ascii="宋体" w:hAnsi="宋体"/>
          <w:sz w:val="24"/>
          <w:highlight w:val="none"/>
        </w:rPr>
        <w:t>采购代理机构按招标公告、投标邀请书的规定，在投标截止时间的同一时间和预先确定的地点组织开标。开标时邀请所有投标人授权代表和有关方面代表参加。投标人法定代理人或代理人参加开标的，应当在开标前单独提交按招标文件格式要求填写的法定代表人声明或法定代表人授权书原件，同时出示其本人身份证明。投标人未参加开标的，视同认可开标结果</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bookmarkStart w:id="560" w:name="_Toc520356165"/>
      <w:r>
        <w:rPr>
          <w:rFonts w:ascii="宋体" w:hAnsi="宋体"/>
          <w:sz w:val="24"/>
          <w:highlight w:val="none"/>
        </w:rPr>
        <w:t>开标过程将宣布投标人名称、投标价格和招标文件规定的需要宣布的其他内容并进行记录，并由参加开标的各投标人代表确认</w:t>
      </w:r>
      <w:r>
        <w:rPr>
          <w:sz w:val="24"/>
          <w:highlight w:val="none"/>
        </w:rPr>
        <w:t>。</w:t>
      </w:r>
      <w:bookmarkStart w:id="561" w:name="_Hlk143533942"/>
      <w:r>
        <w:rPr>
          <w:sz w:val="24"/>
          <w:highlight w:val="none"/>
        </w:rPr>
        <w:t>投标人未在规定时间内提出疑义或确认一览表的，视同认可开标结果。</w:t>
      </w:r>
      <w:bookmarkEnd w:id="561"/>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pPr>
        <w:numPr>
          <w:ilvl w:val="0"/>
          <w:numId w:val="8"/>
        </w:numPr>
        <w:tabs>
          <w:tab w:val="left" w:pos="360"/>
        </w:tabs>
        <w:snapToGrid w:val="0"/>
        <w:spacing w:line="360" w:lineRule="auto"/>
        <w:ind w:left="357" w:hanging="357"/>
        <w:outlineLvl w:val="1"/>
        <w:rPr>
          <w:sz w:val="24"/>
          <w:highlight w:val="none"/>
        </w:rPr>
      </w:pPr>
      <w:r>
        <w:rPr>
          <w:sz w:val="24"/>
          <w:highlight w:val="none"/>
        </w:rPr>
        <w:t>资格审查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0"/>
    <w:p>
      <w:pPr>
        <w:numPr>
          <w:ilvl w:val="0"/>
          <w:numId w:val="8"/>
        </w:numPr>
        <w:tabs>
          <w:tab w:val="left" w:pos="360"/>
        </w:tabs>
        <w:snapToGrid w:val="0"/>
        <w:spacing w:line="360" w:lineRule="auto"/>
        <w:ind w:left="357" w:hanging="357"/>
        <w:outlineLvl w:val="1"/>
        <w:rPr>
          <w:sz w:val="24"/>
          <w:highlight w:val="none"/>
        </w:rPr>
      </w:pPr>
      <w:bookmarkStart w:id="562" w:name="_Toc151193928"/>
      <w:bookmarkStart w:id="563" w:name="_Toc127161454"/>
      <w:bookmarkStart w:id="564" w:name="_Toc150774745"/>
      <w:bookmarkStart w:id="565" w:name="_Toc226337236"/>
      <w:bookmarkStart w:id="566" w:name="_Toc149720833"/>
      <w:bookmarkStart w:id="567" w:name="_Toc164608809"/>
      <w:bookmarkStart w:id="568" w:name="_Toc127151741"/>
      <w:bookmarkStart w:id="569" w:name="_Toc305158808"/>
      <w:bookmarkStart w:id="570" w:name="_Toc151193710"/>
      <w:bookmarkStart w:id="571" w:name="_Toc264969230"/>
      <w:bookmarkStart w:id="572" w:name="_Toc305158882"/>
      <w:bookmarkStart w:id="573" w:name="_Toc226965813"/>
      <w:bookmarkStart w:id="574" w:name="_Toc164351634"/>
      <w:bookmarkStart w:id="575" w:name="_Toc164608654"/>
      <w:bookmarkStart w:id="576" w:name="_Toc151193638"/>
      <w:bookmarkStart w:id="577" w:name="_Toc226965730"/>
      <w:bookmarkStart w:id="578" w:name="_Toc150774640"/>
      <w:bookmarkStart w:id="579" w:name="_Toc265228378"/>
      <w:bookmarkStart w:id="580" w:name="_Toc164229235"/>
      <w:bookmarkStart w:id="581" w:name="_Toc164229381"/>
      <w:bookmarkStart w:id="582" w:name="_Toc151193854"/>
      <w:bookmarkStart w:id="583" w:name="_Toc226309784"/>
      <w:bookmarkStart w:id="584" w:name="_Toc142311042"/>
      <w:bookmarkStart w:id="585" w:name="_Toc195842905"/>
      <w:bookmarkStart w:id="586" w:name="_Toc151190167"/>
      <w:bookmarkStart w:id="587" w:name="_Toc127151540"/>
      <w:bookmarkStart w:id="588" w:name="_Toc150509291"/>
      <w:bookmarkStart w:id="589" w:name="_Toc150480778"/>
      <w:bookmarkStart w:id="590" w:name="_Toc151193782"/>
      <w:r>
        <w:rPr>
          <w:sz w:val="24"/>
          <w:highlight w:val="none"/>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评标委员会根据政府采购有关规定和本次采购项目的特点进行组建，并负责具体评标事务，独立履行职责。</w:t>
      </w:r>
      <w:bookmarkStart w:id="591"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1"/>
      <w:bookmarkStart w:id="592" w:name="_Toc520356169"/>
    </w:p>
    <w:p>
      <w:pPr>
        <w:numPr>
          <w:ilvl w:val="0"/>
          <w:numId w:val="8"/>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pPr>
        <w:tabs>
          <w:tab w:val="left" w:pos="360"/>
          <w:tab w:val="left" w:pos="1080"/>
        </w:tabs>
        <w:snapToGrid w:val="0"/>
        <w:spacing w:line="360" w:lineRule="auto"/>
        <w:ind w:left="1080"/>
        <w:rPr>
          <w:sz w:val="24"/>
          <w:highlight w:val="none"/>
        </w:rPr>
      </w:pPr>
    </w:p>
    <w:p>
      <w:pPr>
        <w:pStyle w:val="4"/>
        <w:spacing w:before="0" w:line="360" w:lineRule="auto"/>
        <w:rPr>
          <w:rFonts w:ascii="Times New Roman" w:hAnsi="Times New Roman" w:eastAsia="宋体"/>
          <w:sz w:val="28"/>
          <w:highlight w:val="none"/>
        </w:rPr>
      </w:pPr>
      <w:bookmarkStart w:id="593" w:name="_Toc226309789"/>
      <w:bookmarkStart w:id="594" w:name="_Toc305158813"/>
      <w:bookmarkStart w:id="595" w:name="_Toc226337241"/>
      <w:bookmarkStart w:id="596" w:name="_Toc151193933"/>
      <w:bookmarkStart w:id="597" w:name="_Toc265228383"/>
      <w:bookmarkStart w:id="598" w:name="_Toc151193859"/>
      <w:bookmarkStart w:id="599" w:name="_Toc195842910"/>
      <w:bookmarkStart w:id="600" w:name="_Toc142311047"/>
      <w:bookmarkStart w:id="601" w:name="_Toc150774750"/>
      <w:bookmarkStart w:id="602" w:name="_Toc151193715"/>
      <w:bookmarkStart w:id="603" w:name="_Toc264969235"/>
      <w:bookmarkStart w:id="604" w:name="_Toc150509296"/>
      <w:bookmarkStart w:id="605" w:name="_Toc226965735"/>
      <w:bookmarkStart w:id="606" w:name="_Toc151193643"/>
      <w:bookmarkStart w:id="607" w:name="_Toc226965818"/>
      <w:bookmarkStart w:id="608" w:name="_Toc305158887"/>
      <w:bookmarkStart w:id="609" w:name="_Toc151190172"/>
      <w:bookmarkStart w:id="610" w:name="_Toc127151545"/>
      <w:bookmarkStart w:id="611" w:name="_Toc151193787"/>
      <w:bookmarkStart w:id="612" w:name="_Toc150774645"/>
      <w:bookmarkStart w:id="613" w:name="_Toc150480783"/>
      <w:r>
        <w:rPr>
          <w:rFonts w:ascii="Times New Roman" w:hAnsi="Times New Roman" w:eastAsia="宋体"/>
          <w:sz w:val="28"/>
          <w:highlight w:val="none"/>
        </w:rPr>
        <w:t xml:space="preserve">六   </w:t>
      </w:r>
      <w:bookmarkEnd w:id="592"/>
      <w:r>
        <w:rPr>
          <w:rFonts w:ascii="Times New Roman" w:hAnsi="Times New Roman" w:eastAsia="宋体"/>
          <w:sz w:val="28"/>
          <w:highlight w:val="none"/>
        </w:rPr>
        <w:t>确定中标</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Start w:id="614" w:name="_Toc226965820"/>
      <w:bookmarkStart w:id="615" w:name="_Toc150509298"/>
      <w:bookmarkStart w:id="616" w:name="_Toc151193789"/>
      <w:bookmarkStart w:id="617" w:name="_Toc164608816"/>
      <w:bookmarkStart w:id="618" w:name="_Toc164229388"/>
      <w:bookmarkStart w:id="619" w:name="_Toc151193861"/>
      <w:bookmarkStart w:id="620" w:name="_Toc142311049"/>
      <w:bookmarkStart w:id="621" w:name="_Toc150774752"/>
      <w:bookmarkStart w:id="622" w:name="_Toc305158889"/>
      <w:bookmarkStart w:id="623" w:name="_Toc265228385"/>
      <w:bookmarkStart w:id="624" w:name="_Toc305158815"/>
      <w:bookmarkStart w:id="625" w:name="_Toc151190174"/>
      <w:bookmarkStart w:id="626" w:name="_Toc149720840"/>
      <w:bookmarkStart w:id="627" w:name="_Toc226337243"/>
      <w:bookmarkStart w:id="628" w:name="_Toc164229242"/>
      <w:bookmarkStart w:id="629" w:name="_Toc226965737"/>
      <w:bookmarkStart w:id="630" w:name="_Toc127151748"/>
      <w:bookmarkStart w:id="631" w:name="_Toc150774647"/>
      <w:bookmarkStart w:id="632" w:name="_Toc164608661"/>
      <w:bookmarkStart w:id="633" w:name="_Toc195842912"/>
      <w:bookmarkStart w:id="634" w:name="_Toc127151547"/>
      <w:bookmarkStart w:id="635" w:name="_Toc264969237"/>
      <w:bookmarkStart w:id="636" w:name="_Toc151193645"/>
      <w:bookmarkStart w:id="637" w:name="_Toc127161461"/>
      <w:bookmarkStart w:id="638" w:name="_Toc150480785"/>
      <w:bookmarkStart w:id="639" w:name="_Toc151193717"/>
      <w:bookmarkStart w:id="640" w:name="_Toc226309791"/>
      <w:bookmarkStart w:id="641" w:name="_Toc164351641"/>
      <w:bookmarkStart w:id="642" w:name="_Toc151193935"/>
    </w:p>
    <w:p>
      <w:pPr>
        <w:numPr>
          <w:ilvl w:val="0"/>
          <w:numId w:val="8"/>
        </w:numPr>
        <w:tabs>
          <w:tab w:val="left" w:pos="360"/>
        </w:tabs>
        <w:snapToGrid w:val="0"/>
        <w:spacing w:line="360" w:lineRule="auto"/>
        <w:ind w:left="357" w:hanging="357"/>
        <w:outlineLvl w:val="1"/>
        <w:rPr>
          <w:sz w:val="24"/>
          <w:highlight w:val="none"/>
        </w:rPr>
      </w:pPr>
      <w:r>
        <w:rPr>
          <w:sz w:val="24"/>
          <w:highlight w:val="none"/>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highlight w:val="none"/>
        </w:rPr>
        <w:t>采购人是否</w:t>
      </w:r>
      <w:r>
        <w:rPr>
          <w:sz w:val="24"/>
          <w:highlight w:val="none"/>
        </w:rPr>
        <w:t>委托评标委员会</w:t>
      </w:r>
      <w:r>
        <w:rPr>
          <w:rFonts w:eastAsiaTheme="minorEastAsia"/>
          <w:sz w:val="24"/>
          <w:highlight w:val="none"/>
        </w:rPr>
        <w:t>直接确定中标人，见《投标人须知资料表》。中标候选人并列的，按照《投标人须知资料表》要求确定</w:t>
      </w:r>
      <w:r>
        <w:rPr>
          <w:rFonts w:hint="eastAsia" w:eastAsiaTheme="minorEastAsia"/>
          <w:sz w:val="24"/>
          <w:highlight w:val="none"/>
        </w:rPr>
        <w:t>中标人</w:t>
      </w:r>
      <w:r>
        <w:rPr>
          <w:rFonts w:eastAsiaTheme="minorEastAsia"/>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643" w:name="_Toc305158891"/>
      <w:bookmarkStart w:id="644" w:name="_Toc305158817"/>
      <w:bookmarkStart w:id="645" w:name="_Toc127161463"/>
      <w:bookmarkStart w:id="646" w:name="_Toc127151549"/>
      <w:bookmarkStart w:id="647" w:name="_Toc151193937"/>
      <w:bookmarkStart w:id="648" w:name="_Toc226965739"/>
      <w:bookmarkStart w:id="649" w:name="_Toc264969239"/>
      <w:bookmarkStart w:id="650" w:name="_Toc151193647"/>
      <w:bookmarkStart w:id="651" w:name="_Toc226309793"/>
      <w:bookmarkStart w:id="652" w:name="_Toc164229244"/>
      <w:bookmarkStart w:id="653" w:name="_Toc151193863"/>
      <w:bookmarkStart w:id="654" w:name="_Toc164229390"/>
      <w:bookmarkStart w:id="655" w:name="_Toc127151750"/>
      <w:bookmarkStart w:id="656" w:name="_Toc164608818"/>
      <w:bookmarkStart w:id="657" w:name="_Toc149720842"/>
      <w:bookmarkStart w:id="658" w:name="_Toc195842914"/>
      <w:bookmarkStart w:id="659" w:name="_Toc142311051"/>
      <w:bookmarkStart w:id="660" w:name="_Toc151193719"/>
      <w:bookmarkStart w:id="661" w:name="_Toc150480787"/>
      <w:bookmarkStart w:id="662" w:name="_Toc150774649"/>
      <w:bookmarkStart w:id="663" w:name="_Toc150774754"/>
      <w:bookmarkStart w:id="664" w:name="_Toc226965822"/>
      <w:bookmarkStart w:id="665" w:name="_Toc150509300"/>
      <w:bookmarkStart w:id="666" w:name="_Toc164608663"/>
      <w:bookmarkStart w:id="667" w:name="_Toc151193791"/>
      <w:bookmarkStart w:id="668" w:name="_Toc226337245"/>
      <w:bookmarkStart w:id="669" w:name="_Toc151190176"/>
      <w:bookmarkStart w:id="670" w:name="_Toc265228387"/>
      <w:bookmarkStart w:id="671" w:name="_Toc164351643"/>
      <w:bookmarkStart w:id="672" w:name="_Toc520356176"/>
      <w:bookmarkStart w:id="673" w:name="_Ref467307090"/>
      <w:bookmarkStart w:id="674" w:name="_Ref467306425"/>
      <w:r>
        <w:rPr>
          <w:sz w:val="24"/>
          <w:highlight w:val="none"/>
        </w:rPr>
        <w:t>中标公告与中标通知书</w:t>
      </w:r>
      <w:bookmarkEnd w:id="643"/>
      <w:bookmarkEnd w:id="644"/>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在北京市政府采购网公告中标结果</w:t>
      </w:r>
      <w:r>
        <w:rPr>
          <w:sz w:val="24"/>
          <w:highlight w:val="none"/>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highlight w:val="none"/>
        </w:rPr>
      </w:pPr>
      <w:r>
        <w:rPr>
          <w:sz w:val="24"/>
          <w:highlight w:val="none"/>
        </w:rPr>
        <w:t>废标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pPr>
        <w:numPr>
          <w:ilvl w:val="2"/>
          <w:numId w:val="8"/>
        </w:numPr>
        <w:snapToGrid w:val="0"/>
        <w:spacing w:line="360" w:lineRule="auto"/>
        <w:rPr>
          <w:sz w:val="24"/>
          <w:highlight w:val="none"/>
        </w:rPr>
      </w:pPr>
      <w:r>
        <w:rPr>
          <w:sz w:val="24"/>
          <w:highlight w:val="none"/>
        </w:rPr>
        <w:t>符合专业条件的供应商或者对招标文件作实质响应的供应商不足三家的；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z w:val="24"/>
          <w:highlight w:val="none"/>
        </w:rPr>
        <w:t>投标人的报价均超过了采购预算，采购人不能支付的；</w:t>
      </w:r>
    </w:p>
    <w:p>
      <w:pPr>
        <w:numPr>
          <w:ilvl w:val="2"/>
          <w:numId w:val="8"/>
        </w:numPr>
        <w:snapToGrid w:val="0"/>
        <w:spacing w:line="360" w:lineRule="auto"/>
        <w:rPr>
          <w:sz w:val="24"/>
          <w:highlight w:val="none"/>
        </w:rPr>
      </w:pPr>
      <w:r>
        <w:rPr>
          <w:sz w:val="24"/>
          <w:highlight w:val="none"/>
        </w:rPr>
        <w:t>因重大变故，采购任务取消的。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废标后，采购人将废标理由书面通知所有投标人。</w:t>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Pr>
        <w:numPr>
          <w:ilvl w:val="0"/>
          <w:numId w:val="8"/>
        </w:numPr>
        <w:tabs>
          <w:tab w:val="left" w:pos="360"/>
        </w:tabs>
        <w:snapToGrid w:val="0"/>
        <w:spacing w:line="360" w:lineRule="auto"/>
        <w:ind w:left="357" w:hanging="357"/>
        <w:outlineLvl w:val="1"/>
        <w:rPr>
          <w:sz w:val="24"/>
          <w:highlight w:val="none"/>
        </w:rPr>
      </w:pPr>
      <w:bookmarkStart w:id="675" w:name="_Toc226965823"/>
      <w:bookmarkStart w:id="676" w:name="_Toc127151751"/>
      <w:bookmarkStart w:id="677" w:name="_Ref467307062"/>
      <w:bookmarkStart w:id="678" w:name="_Ref467306978"/>
      <w:bookmarkStart w:id="679" w:name="_Toc226965740"/>
      <w:bookmarkStart w:id="680" w:name="_Toc150774755"/>
      <w:bookmarkStart w:id="681" w:name="_Toc305158818"/>
      <w:bookmarkStart w:id="682" w:name="_Toc195842915"/>
      <w:bookmarkStart w:id="683" w:name="_Toc151193864"/>
      <w:bookmarkStart w:id="684" w:name="_Toc149720843"/>
      <w:bookmarkStart w:id="685" w:name="_Toc164229391"/>
      <w:bookmarkStart w:id="686" w:name="_Toc151193648"/>
      <w:bookmarkStart w:id="687" w:name="_Toc151193720"/>
      <w:bookmarkStart w:id="688" w:name="_Toc150480788"/>
      <w:bookmarkStart w:id="689" w:name="_Ref467307204"/>
      <w:bookmarkStart w:id="690" w:name="_Toc265228388"/>
      <w:bookmarkStart w:id="691" w:name="_Toc164608819"/>
      <w:bookmarkStart w:id="692" w:name="_Toc264969240"/>
      <w:bookmarkStart w:id="693" w:name="_Toc305158892"/>
      <w:bookmarkStart w:id="694" w:name="_Toc164229245"/>
      <w:bookmarkStart w:id="695" w:name="_Toc151193792"/>
      <w:bookmarkStart w:id="696" w:name="_Toc164351644"/>
      <w:bookmarkStart w:id="697" w:name="_Toc150509301"/>
      <w:bookmarkStart w:id="698" w:name="_Toc150774650"/>
      <w:bookmarkStart w:id="699" w:name="_Toc520356175"/>
      <w:bookmarkStart w:id="700" w:name="_Toc151193938"/>
      <w:bookmarkStart w:id="701" w:name="_Toc164608664"/>
      <w:bookmarkStart w:id="702" w:name="_Toc127151550"/>
      <w:bookmarkStart w:id="703" w:name="_Toc226337246"/>
      <w:bookmarkStart w:id="704" w:name="_Toc127161464"/>
      <w:bookmarkStart w:id="705" w:name="_Toc151190177"/>
      <w:bookmarkStart w:id="706" w:name="_Toc142311052"/>
      <w:bookmarkStart w:id="707" w:name="_Toc226309794"/>
      <w:bookmarkStart w:id="708" w:name="_Ref467306377"/>
      <w:r>
        <w:rPr>
          <w:sz w:val="24"/>
          <w:highlight w:val="none"/>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2"/>
    <w:bookmarkEnd w:id="673"/>
    <w:bookmarkEnd w:id="674"/>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highlight w:val="none"/>
        </w:rPr>
      </w:pPr>
      <w:r>
        <w:rPr>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709" w:name="_Toc142311056"/>
      <w:bookmarkStart w:id="710" w:name="_Toc353873664"/>
      <w:bookmarkStart w:id="711" w:name="_Toc150480792"/>
      <w:bookmarkStart w:id="712" w:name="_Toc265228392"/>
      <w:bookmarkStart w:id="713" w:name="_Toc150774759"/>
      <w:bookmarkStart w:id="714" w:name="_Toc226965827"/>
      <w:bookmarkStart w:id="715" w:name="_Toc127151554"/>
      <w:bookmarkStart w:id="716" w:name="_Toc353825544"/>
      <w:bookmarkStart w:id="717" w:name="_Toc353873934"/>
      <w:bookmarkStart w:id="718" w:name="_Toc305158896"/>
      <w:bookmarkStart w:id="719" w:name="_Toc226337250"/>
      <w:bookmarkStart w:id="720" w:name="_Toc264969244"/>
      <w:bookmarkStart w:id="721" w:name="_Toc305158822"/>
      <w:r>
        <w:rPr>
          <w:sz w:val="24"/>
          <w:highlight w:val="none"/>
        </w:rPr>
        <w:br w:type="page"/>
      </w:r>
      <w:bookmarkStart w:id="722" w:name="_Toc99301421"/>
      <w:r>
        <w:rPr>
          <w:b/>
          <w:sz w:val="36"/>
          <w:szCs w:val="36"/>
          <w:highlight w:val="none"/>
        </w:rPr>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highlight w:val="none"/>
        </w:rPr>
        <w:t>资格审查</w:t>
      </w:r>
      <w:bookmarkEnd w:id="722"/>
      <w:bookmarkStart w:id="723" w:name="_Toc487900382"/>
    </w:p>
    <w:p>
      <w:pPr>
        <w:tabs>
          <w:tab w:val="left" w:pos="360"/>
          <w:tab w:val="left" w:pos="900"/>
        </w:tabs>
        <w:snapToGrid w:val="0"/>
        <w:spacing w:line="360" w:lineRule="auto"/>
        <w:jc w:val="center"/>
        <w:outlineLvl w:val="1"/>
        <w:rPr>
          <w:b/>
          <w:sz w:val="24"/>
          <w:highlight w:val="none"/>
        </w:rPr>
      </w:pPr>
      <w:bookmarkStart w:id="724" w:name="_Toc99301422"/>
      <w:r>
        <w:rPr>
          <w:b/>
          <w:sz w:val="24"/>
          <w:highlight w:val="none"/>
        </w:rPr>
        <w:t>一、资格审查程序</w:t>
      </w:r>
      <w:bookmarkEnd w:id="724"/>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pPr>
        <w:widowControl/>
        <w:jc w:val="left"/>
        <w:rPr>
          <w:sz w:val="24"/>
          <w:highlight w:val="none"/>
        </w:rPr>
      </w:pPr>
    </w:p>
    <w:p>
      <w:pPr>
        <w:tabs>
          <w:tab w:val="left" w:pos="360"/>
          <w:tab w:val="left" w:pos="900"/>
        </w:tabs>
        <w:snapToGrid w:val="0"/>
        <w:spacing w:line="360" w:lineRule="auto"/>
        <w:jc w:val="center"/>
        <w:outlineLvl w:val="1"/>
        <w:rPr>
          <w:b/>
          <w:sz w:val="24"/>
          <w:highlight w:val="none"/>
        </w:rPr>
      </w:pPr>
      <w:bookmarkStart w:id="725" w:name="_Hlk143693557"/>
      <w:r>
        <w:rPr>
          <w:b/>
          <w:sz w:val="24"/>
          <w:highlight w:val="none"/>
        </w:rPr>
        <w:t>二、资格审查要求</w:t>
      </w:r>
      <w:bookmarkEnd w:id="725"/>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b/>
                <w:sz w:val="24"/>
                <w:highlight w:val="none"/>
              </w:rPr>
            </w:pPr>
            <w:bookmarkStart w:id="726" w:name="_Hlt487972895"/>
            <w:bookmarkEnd w:id="726"/>
            <w:bookmarkStart w:id="727" w:name="_Hlk143693460"/>
            <w:r>
              <w:rPr>
                <w:rFonts w:hint="default"/>
                <w:b/>
                <w:sz w:val="24"/>
                <w:highlight w:val="none"/>
              </w:rPr>
              <w:t>序号</w:t>
            </w:r>
          </w:p>
        </w:tc>
        <w:tc>
          <w:tcPr>
            <w:tcW w:w="1067"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b/>
                <w:sz w:val="24"/>
                <w:highlight w:val="none"/>
              </w:rPr>
            </w:pPr>
            <w:r>
              <w:rPr>
                <w:rFonts w:hint="default"/>
                <w:b/>
                <w:sz w:val="24"/>
                <w:highlight w:val="none"/>
              </w:rPr>
              <w:t>审查因素</w:t>
            </w:r>
          </w:p>
        </w:tc>
        <w:tc>
          <w:tcPr>
            <w:tcW w:w="2596"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b/>
                <w:sz w:val="24"/>
                <w:highlight w:val="none"/>
              </w:rPr>
            </w:pPr>
            <w:r>
              <w:rPr>
                <w:rFonts w:hint="default"/>
                <w:b/>
                <w:sz w:val="24"/>
                <w:highlight w:val="none"/>
              </w:rPr>
              <w:t>审查内容</w:t>
            </w:r>
          </w:p>
        </w:tc>
        <w:tc>
          <w:tcPr>
            <w:tcW w:w="88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b/>
                <w:sz w:val="24"/>
                <w:highlight w:val="none"/>
              </w:rPr>
            </w:pPr>
            <w:r>
              <w:rPr>
                <w:rFonts w:hint="default"/>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1</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满足《中华人民共和国政府采购法》第二十二条规定</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具体规定见第一章《投标邀请》</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1-1</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营业执照等证明文件</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投标人为企业（包括合伙企业）的，应提供有效的“营业执照”；</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投标人为事业单位的，应提供有效的“事业单位法人证书”；</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投标人是非企业机构的，应提供有效的“执业许可证”、“登记证书”等证明文件；</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投标人是个体工商户的，应提供有效的“个体工商户营业执照”；</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投标人是自然人的，应提供有效的自然人身份证明。</w:t>
            </w:r>
          </w:p>
          <w:p>
            <w:pPr>
              <w:keepNext w:val="0"/>
              <w:keepLines w:val="0"/>
              <w:suppressLineNumbers w:val="0"/>
              <w:tabs>
                <w:tab w:val="left" w:pos="1080"/>
              </w:tabs>
              <w:snapToGrid w:val="0"/>
              <w:spacing w:before="0" w:beforeAutospacing="0" w:after="0" w:afterAutospacing="0"/>
              <w:ind w:left="0" w:right="0"/>
              <w:rPr>
                <w:rFonts w:hint="default"/>
                <w:color w:val="000000"/>
                <w:sz w:val="24"/>
                <w:highlight w:val="none"/>
              </w:rPr>
            </w:pPr>
            <w:r>
              <w:rPr>
                <w:rFonts w:hint="default"/>
                <w:color w:val="000000"/>
                <w:sz w:val="24"/>
                <w:highlight w:val="none"/>
              </w:rPr>
              <w:t>分支机构参加投标的，应提供该分支机构或其所属法人</w:t>
            </w:r>
            <w:r>
              <w:rPr>
                <w:rFonts w:hint="eastAsia"/>
                <w:color w:val="000000"/>
                <w:sz w:val="24"/>
                <w:highlight w:val="none"/>
              </w:rPr>
              <w:t>/</w:t>
            </w:r>
            <w:r>
              <w:rPr>
                <w:rFonts w:hint="default"/>
                <w:color w:val="000000"/>
                <w:sz w:val="24"/>
                <w:highlight w:val="none"/>
              </w:rPr>
              <w:t>其他组织的相应证明文件；同时还应提供其所属法人/其他组织出具的授权其参与本项目的授权书（格式自拟，须加盖其所属法人/其他组织的公章）；对于</w:t>
            </w:r>
            <w:r>
              <w:rPr>
                <w:rFonts w:hint="default"/>
                <w:iCs/>
                <w:sz w:val="24"/>
                <w:highlight w:val="none"/>
              </w:rPr>
              <w:t>银行、保险、石油石化、电力、电信等行业的分支机构，可以提供上述</w:t>
            </w:r>
            <w:r>
              <w:rPr>
                <w:rFonts w:hint="default"/>
                <w:color w:val="000000"/>
                <w:sz w:val="24"/>
                <w:highlight w:val="none"/>
              </w:rPr>
              <w:t>授权，也可以提供其所属法人/其他组织的有关文件或制度等能够证明授权其独立开展业务的证明材料。</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提供证明文件</w:t>
            </w:r>
            <w:r>
              <w:rPr>
                <w:rFonts w:hint="eastAsia" w:ascii="宋体" w:hAnsi="宋体"/>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1-2</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投标人资格声明书</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提供了符合招标文件要求的《投标人资格声明书》。</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1-3</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投标人信用记录</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查询渠道：信用中国网站和中国政府采购网（</w:t>
            </w:r>
            <w:r>
              <w:rPr>
                <w:rFonts w:hint="default"/>
                <w:highlight w:val="none"/>
              </w:rPr>
              <w:t>www.creditchina.gov.cn</w:t>
            </w:r>
            <w:r>
              <w:rPr>
                <w:rFonts w:hint="default"/>
                <w:sz w:val="24"/>
                <w:highlight w:val="none"/>
              </w:rPr>
              <w:t>、</w:t>
            </w:r>
            <w:r>
              <w:rPr>
                <w:rFonts w:hint="default"/>
                <w:highlight w:val="none"/>
              </w:rPr>
              <w:t>www.ccgp.gov.cn</w:t>
            </w:r>
            <w:r>
              <w:rPr>
                <w:rFonts w:hint="default"/>
                <w:sz w:val="24"/>
                <w:highlight w:val="none"/>
              </w:rPr>
              <w:t>）；</w:t>
            </w:r>
          </w:p>
          <w:p>
            <w:pPr>
              <w:keepNext w:val="0"/>
              <w:keepLines w:val="0"/>
              <w:suppressLineNumbers w:val="0"/>
              <w:tabs>
                <w:tab w:val="left" w:pos="900"/>
                <w:tab w:val="left" w:pos="1980"/>
              </w:tabs>
              <w:snapToGrid w:val="0"/>
              <w:spacing w:before="0" w:beforeAutospacing="0" w:after="0" w:afterAutospacing="0"/>
              <w:ind w:left="0" w:right="0"/>
              <w:rPr>
                <w:rFonts w:hint="default"/>
                <w:sz w:val="24"/>
                <w:highlight w:val="none"/>
              </w:rPr>
            </w:pPr>
            <w:r>
              <w:rPr>
                <w:rFonts w:hint="default"/>
                <w:sz w:val="24"/>
                <w:highlight w:val="none"/>
              </w:rPr>
              <w:t>截止时点：投标截止时间以后、资格审查阶段采购人或采购代理机构的实际查询时间；</w:t>
            </w:r>
          </w:p>
          <w:p>
            <w:pPr>
              <w:keepNext w:val="0"/>
              <w:keepLines w:val="0"/>
              <w:suppressLineNumbers w:val="0"/>
              <w:tabs>
                <w:tab w:val="left" w:pos="900"/>
                <w:tab w:val="left" w:pos="1980"/>
              </w:tabs>
              <w:snapToGrid w:val="0"/>
              <w:spacing w:before="0" w:beforeAutospacing="0" w:after="0" w:afterAutospacing="0"/>
              <w:ind w:left="0" w:right="0"/>
              <w:rPr>
                <w:rFonts w:hint="default"/>
                <w:sz w:val="24"/>
                <w:highlight w:val="none"/>
              </w:rPr>
            </w:pPr>
            <w:r>
              <w:rPr>
                <w:rFonts w:hint="default"/>
                <w:sz w:val="24"/>
                <w:highlight w:val="none"/>
              </w:rPr>
              <w:t>信用信息查询记录和证据留存具体方式：查询结果网页打印页作为查询记录和证据，与其他采购文件一并保存；</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信用信息的使用原则：经认定的被列入失信被执行人、重大税收违法案件当事人名单、政府采购严重违法失信行为记录名单的投标人，其</w:t>
            </w:r>
            <w:r>
              <w:rPr>
                <w:rFonts w:hint="default"/>
                <w:b/>
                <w:sz w:val="24"/>
                <w:highlight w:val="none"/>
              </w:rPr>
              <w:t>投标无效</w:t>
            </w:r>
            <w:r>
              <w:rPr>
                <w:rFonts w:hint="default"/>
                <w:sz w:val="24"/>
                <w:highlight w:val="none"/>
              </w:rPr>
              <w:t>。联合体形式投标的，联合体成员存在不良信用记录，视同联合体存在不良信用记录。</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1-4</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法律、行政法规规定的其他条件</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法律、行政法规规定的其他条件</w:t>
            </w:r>
          </w:p>
        </w:tc>
        <w:tc>
          <w:tcPr>
            <w:tcW w:w="88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2</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落实政府采购政策需满足的资格要求</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具体要求见第一章《投标邀请》</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2-1</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中小企业政策</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具体要求见第一章《投标邀请》</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2-1-1</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中小企业证明文件</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当本项目（包）涉及预留份额专门面向中小企业采购，此时建议在《资格证明文件》中提供。</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1、投标人单独投标的，应提供《中小企业声明函》或《残疾人福利性单位声明函》或由省级以上监狱管理局、戒毒管理局（含新疆生产建设兵团）出具的属于监狱企业的证明文件。</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2-1-2</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拟分包情况说明及分包意向协议</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如本项目（包）要求通过分包措施预留部分采购份额面向中小企业采购、且投标人因落实政府采购政策拟进行分包的，必须提供；否则无须提供。</w:t>
            </w:r>
          </w:p>
          <w:p>
            <w:pPr>
              <w:keepNext w:val="0"/>
              <w:keepLines w:val="0"/>
              <w:suppressLineNumbers w:val="0"/>
              <w:tabs>
                <w:tab w:val="left" w:pos="1080"/>
              </w:tabs>
              <w:snapToGrid w:val="0"/>
              <w:spacing w:before="0" w:beforeAutospacing="0" w:after="0" w:afterAutospacing="0"/>
              <w:ind w:left="0" w:right="0"/>
              <w:rPr>
                <w:rFonts w:hint="default"/>
                <w:b/>
                <w:sz w:val="24"/>
                <w:highlight w:val="none"/>
              </w:rPr>
            </w:pPr>
            <w:r>
              <w:rPr>
                <w:rFonts w:hint="default"/>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2-2</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其它落实政府采购政策的资格要求</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如有，见第一章《投标邀请》</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提供证明文件</w:t>
            </w:r>
            <w:r>
              <w:rPr>
                <w:rFonts w:hint="eastAsia" w:ascii="宋体" w:hAnsi="宋体"/>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3</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本项目的特定资格要求</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如有，见第一章《投标邀请》</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3-1</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本项目对于联合体的要求</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2、联合体各成员单位均须提供本表中序号1-1、1-2的证明文件。联合体各成员单位均应满足本表3-2及3-3项规定。</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3、本表序号3-4项规定的其他特定资格要求中的每一小项要求，联合体各方中至少应当有一方符合本表中其他资格要求并提供证明文件。</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4、联合体中有同类资质的供应商按照联合体分工承担相同工作的，应当按照资质等级较低的供应商确定资质等级。</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5、以联合体形式参加政府采购活动的，联合体各方不得再单独参加或者与其他供应商另外组成联合体参加同一合同项下的政府采购活动。</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6、若联合体中任一成员单位中途退出，则该联合体的</w:t>
            </w:r>
            <w:r>
              <w:rPr>
                <w:rFonts w:hint="default"/>
                <w:b/>
                <w:sz w:val="24"/>
                <w:highlight w:val="none"/>
              </w:rPr>
              <w:t>投标无效</w:t>
            </w:r>
            <w:r>
              <w:rPr>
                <w:rFonts w:hint="default"/>
                <w:sz w:val="24"/>
                <w:highlight w:val="none"/>
              </w:rPr>
              <w:t>。</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7、本项目不接受联合体投标时，投标人不得为联合体。</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提供《联合协议》原件</w:t>
            </w:r>
            <w:r>
              <w:rPr>
                <w:rFonts w:hint="eastAsia" w:ascii="宋体" w:hAnsi="宋体"/>
                <w:sz w:val="24"/>
                <w:highlight w:val="none"/>
              </w:rPr>
              <w:t>并加盖投标人公章</w:t>
            </w:r>
          </w:p>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3-2</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政府购买服务承接主体的要求</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如本项目属于政府购买服务，投标人不属于公益一类事业单位、使用事业编制且由财政拨款保障的群团组织。</w:t>
            </w:r>
          </w:p>
        </w:tc>
        <w:tc>
          <w:tcPr>
            <w:tcW w:w="882"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p>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3-3</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其他特定资格要求</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color w:val="000000"/>
                <w:sz w:val="24"/>
                <w:highlight w:val="none"/>
              </w:rPr>
              <w:t>如有，见</w:t>
            </w:r>
            <w:r>
              <w:rPr>
                <w:rFonts w:hint="default"/>
                <w:sz w:val="24"/>
                <w:highlight w:val="none"/>
              </w:rPr>
              <w:t>第一章《投标邀请》</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提供证明文件</w:t>
            </w:r>
            <w:r>
              <w:rPr>
                <w:rFonts w:hint="eastAsia" w:ascii="宋体" w:hAnsi="宋体"/>
                <w:sz w:val="24"/>
                <w:highlight w:val="none"/>
              </w:rPr>
              <w:t>并加盖投标人公章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sz w:val="24"/>
                <w:highlight w:val="none"/>
              </w:rPr>
            </w:pPr>
            <w:r>
              <w:rPr>
                <w:rFonts w:hint="default"/>
                <w:sz w:val="24"/>
                <w:highlight w:val="none"/>
              </w:rPr>
              <w:t>4</w:t>
            </w:r>
          </w:p>
        </w:tc>
        <w:tc>
          <w:tcPr>
            <w:tcW w:w="1067"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sz w:val="24"/>
                <w:highlight w:val="none"/>
              </w:rPr>
              <w:t>投标保证金</w:t>
            </w:r>
          </w:p>
        </w:tc>
        <w:tc>
          <w:tcPr>
            <w:tcW w:w="2596"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r>
              <w:rPr>
                <w:rFonts w:hint="default"/>
                <w:color w:val="000000"/>
                <w:kern w:val="0"/>
                <w:sz w:val="24"/>
                <w:highlight w:val="none"/>
              </w:rPr>
              <w:t>按照招标文件的规定提交投标保证金。</w:t>
            </w:r>
          </w:p>
        </w:tc>
        <w:tc>
          <w:tcPr>
            <w:tcW w:w="882" w:type="pct"/>
            <w:vAlign w:val="center"/>
          </w:tcPr>
          <w:p>
            <w:pPr>
              <w:keepNext w:val="0"/>
              <w:keepLines w:val="0"/>
              <w:suppressLineNumbers w:val="0"/>
              <w:tabs>
                <w:tab w:val="left" w:pos="1080"/>
              </w:tabs>
              <w:snapToGrid w:val="0"/>
              <w:spacing w:before="0" w:beforeAutospacing="0" w:after="0" w:afterAutospacing="0"/>
              <w:ind w:left="0" w:right="0"/>
              <w:rPr>
                <w:rFonts w:hint="default"/>
                <w:sz w:val="24"/>
                <w:highlight w:val="none"/>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3"/>
      <w:bookmarkEnd w:id="727"/>
    </w:tbl>
    <w:p>
      <w:pPr>
        <w:widowControl/>
        <w:jc w:val="left"/>
        <w:rPr>
          <w:sz w:val="24"/>
          <w:highlight w:val="none"/>
        </w:rPr>
      </w:pPr>
      <w:bookmarkStart w:id="728" w:name="_Hlt522424701"/>
      <w:bookmarkEnd w:id="728"/>
      <w:bookmarkStart w:id="729" w:name="_Hlt487900425"/>
      <w:bookmarkEnd w:id="729"/>
      <w:bookmarkStart w:id="730" w:name="_Toc226965858"/>
      <w:bookmarkStart w:id="731" w:name="_Toc353825550"/>
      <w:bookmarkStart w:id="732" w:name="_Toc127161490"/>
      <w:bookmarkStart w:id="733" w:name="_Toc127151779"/>
      <w:bookmarkStart w:id="734" w:name="_Toc353873940"/>
      <w:r>
        <w:rPr>
          <w:sz w:val="24"/>
          <w:highlight w:val="none"/>
        </w:rPr>
        <w:br w:type="page"/>
      </w:r>
    </w:p>
    <w:p>
      <w:pPr>
        <w:spacing w:line="360" w:lineRule="auto"/>
        <w:jc w:val="center"/>
        <w:outlineLvl w:val="0"/>
        <w:rPr>
          <w:b/>
          <w:sz w:val="36"/>
          <w:szCs w:val="36"/>
          <w:highlight w:val="none"/>
        </w:rPr>
      </w:pPr>
      <w:bookmarkStart w:id="735" w:name="_Toc99301423"/>
      <w:r>
        <w:rPr>
          <w:b/>
          <w:sz w:val="36"/>
          <w:szCs w:val="36"/>
          <w:highlight w:val="none"/>
        </w:rPr>
        <w:t xml:space="preserve">第四章   </w:t>
      </w:r>
      <w:bookmarkEnd w:id="730"/>
      <w:bookmarkEnd w:id="731"/>
      <w:bookmarkEnd w:id="732"/>
      <w:bookmarkEnd w:id="733"/>
      <w:bookmarkEnd w:id="734"/>
      <w:bookmarkStart w:id="736" w:name="_Hlt164229061"/>
      <w:bookmarkEnd w:id="736"/>
      <w:r>
        <w:rPr>
          <w:b/>
          <w:sz w:val="36"/>
          <w:szCs w:val="36"/>
          <w:highlight w:val="none"/>
        </w:rPr>
        <w:t>评标程序、评标方法和评标标准</w:t>
      </w:r>
      <w:bookmarkEnd w:id="735"/>
    </w:p>
    <w:p>
      <w:pPr>
        <w:tabs>
          <w:tab w:val="left" w:pos="360"/>
          <w:tab w:val="left" w:pos="900"/>
        </w:tabs>
        <w:snapToGrid w:val="0"/>
        <w:spacing w:line="360" w:lineRule="auto"/>
        <w:jc w:val="center"/>
        <w:outlineLvl w:val="1"/>
        <w:rPr>
          <w:b/>
          <w:highlight w:val="none"/>
        </w:rPr>
      </w:pPr>
      <w:r>
        <w:rPr>
          <w:b/>
          <w:sz w:val="24"/>
          <w:highlight w:val="none"/>
        </w:rPr>
        <w:t>一、评标方法</w:t>
      </w:r>
    </w:p>
    <w:p>
      <w:pPr>
        <w:numPr>
          <w:ilvl w:val="0"/>
          <w:numId w:val="11"/>
        </w:numPr>
        <w:tabs>
          <w:tab w:val="left" w:pos="360"/>
        </w:tabs>
        <w:snapToGrid w:val="0"/>
        <w:spacing w:line="360" w:lineRule="auto"/>
        <w:outlineLvl w:val="1"/>
        <w:rPr>
          <w:sz w:val="24"/>
          <w:highlight w:val="none"/>
        </w:rPr>
      </w:pPr>
      <w:bookmarkStart w:id="737" w:name="_Toc264969231"/>
      <w:bookmarkStart w:id="738" w:name="_Toc305158809"/>
      <w:bookmarkStart w:id="739" w:name="_Toc150774641"/>
      <w:bookmarkStart w:id="740" w:name="_Toc127151742"/>
      <w:bookmarkStart w:id="741" w:name="_Toc164229382"/>
      <w:bookmarkStart w:id="742" w:name="_Toc226965731"/>
      <w:bookmarkStart w:id="743" w:name="_Toc195842906"/>
      <w:bookmarkStart w:id="744" w:name="_Toc265228379"/>
      <w:bookmarkStart w:id="745" w:name="_Toc150774746"/>
      <w:bookmarkStart w:id="746" w:name="_Toc151193783"/>
      <w:bookmarkStart w:id="747" w:name="_Toc151193711"/>
      <w:bookmarkStart w:id="748" w:name="_Toc151193855"/>
      <w:bookmarkStart w:id="749" w:name="_Toc226965814"/>
      <w:bookmarkStart w:id="750" w:name="_Toc151190168"/>
      <w:bookmarkStart w:id="751" w:name="_Toc150480779"/>
      <w:bookmarkStart w:id="752" w:name="_Toc142311043"/>
      <w:bookmarkStart w:id="753" w:name="_Toc151193929"/>
      <w:bookmarkStart w:id="754" w:name="_Toc305158883"/>
      <w:bookmarkStart w:id="755" w:name="_Toc127151541"/>
      <w:bookmarkStart w:id="756" w:name="_Toc150509292"/>
      <w:bookmarkStart w:id="757" w:name="_Toc164608810"/>
      <w:bookmarkStart w:id="758" w:name="_Toc149720834"/>
      <w:bookmarkStart w:id="759" w:name="_Toc164229236"/>
      <w:bookmarkStart w:id="760" w:name="_Toc151193639"/>
      <w:bookmarkStart w:id="761" w:name="_Toc164351635"/>
      <w:bookmarkStart w:id="762" w:name="_Toc127161455"/>
      <w:bookmarkStart w:id="763" w:name="_Toc226309785"/>
      <w:bookmarkStart w:id="764" w:name="_Toc226337237"/>
      <w:bookmarkStart w:id="765" w:name="_Toc164608655"/>
      <w:bookmarkStart w:id="766" w:name="_Toc353873941"/>
      <w:bookmarkStart w:id="767" w:name="_Toc353825551"/>
      <w:bookmarkStart w:id="768" w:name="_Toc150774760"/>
      <w:bookmarkStart w:id="769" w:name="_Toc195842920"/>
      <w:bookmarkStart w:id="770" w:name="_Toc353873935"/>
      <w:bookmarkStart w:id="771" w:name="_Toc142311057"/>
      <w:bookmarkStart w:id="772" w:name="_Toc305158823"/>
      <w:bookmarkStart w:id="773" w:name="_Toc127151555"/>
      <w:bookmarkStart w:id="774" w:name="_Toc264969245"/>
      <w:bookmarkStart w:id="775" w:name="_Toc226337251"/>
      <w:bookmarkStart w:id="776" w:name="_Toc353873665"/>
      <w:bookmarkStart w:id="777" w:name="_Toc150480793"/>
      <w:bookmarkStart w:id="778" w:name="_Toc305158897"/>
      <w:bookmarkStart w:id="779" w:name="_Toc226965828"/>
      <w:bookmarkStart w:id="780" w:name="_Toc353825545"/>
      <w:bookmarkStart w:id="781" w:name="_Toc265228393"/>
      <w:r>
        <w:rPr>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pPr>
        <w:numPr>
          <w:ilvl w:val="1"/>
          <w:numId w:val="11"/>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2" w:name="_Toc520356167"/>
    </w:p>
    <w:p>
      <w:pPr>
        <w:numPr>
          <w:ilvl w:val="1"/>
          <w:numId w:val="11"/>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sz w:val="24"/>
          <w:highlight w:val="none"/>
        </w:rPr>
        <w:t>要求的，</w:t>
      </w:r>
      <w:r>
        <w:rPr>
          <w:b/>
          <w:sz w:val="24"/>
          <w:highlight w:val="none"/>
        </w:rPr>
        <w:t>投标无效</w:t>
      </w:r>
      <w:r>
        <w:rPr>
          <w:sz w:val="24"/>
          <w:highlight w:val="none"/>
        </w:rPr>
        <w:t>。</w:t>
      </w:r>
    </w:p>
    <w:p>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b/>
                <w:color w:val="000000"/>
                <w:kern w:val="0"/>
                <w:sz w:val="24"/>
                <w:highlight w:val="none"/>
              </w:rPr>
            </w:pPr>
            <w:r>
              <w:rPr>
                <w:rFonts w:hint="default"/>
                <w:b/>
                <w:color w:val="000000"/>
                <w:kern w:val="0"/>
                <w:sz w:val="24"/>
                <w:highlight w:val="none"/>
              </w:rPr>
              <w:t>序号</w:t>
            </w:r>
          </w:p>
        </w:tc>
        <w:tc>
          <w:tcPr>
            <w:tcW w:w="976"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b/>
                <w:color w:val="000000"/>
                <w:kern w:val="0"/>
                <w:sz w:val="24"/>
                <w:highlight w:val="none"/>
              </w:rPr>
            </w:pPr>
            <w:r>
              <w:rPr>
                <w:rFonts w:hint="default"/>
                <w:b/>
                <w:color w:val="000000"/>
                <w:kern w:val="0"/>
                <w:sz w:val="24"/>
                <w:highlight w:val="none"/>
              </w:rPr>
              <w:t>审查因素</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b/>
                <w:color w:val="000000"/>
                <w:kern w:val="0"/>
                <w:sz w:val="24"/>
                <w:highlight w:val="none"/>
              </w:rPr>
            </w:pPr>
            <w:r>
              <w:rPr>
                <w:rFonts w:hint="default"/>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授权委托书</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2</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投标完整性</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sz w:val="24"/>
                <w:highlight w:val="none"/>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3</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投标报价</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投标报价未</w:t>
            </w:r>
            <w:r>
              <w:rPr>
                <w:rFonts w:hint="default"/>
                <w:color w:val="000000" w:themeColor="text1"/>
                <w:sz w:val="24"/>
                <w:highlight w:val="none"/>
                <w14:textFill>
                  <w14:solidFill>
                    <w14:schemeClr w14:val="tx1"/>
                  </w14:solidFill>
                </w14:textFill>
              </w:rPr>
              <w:t>超过招标文件中规定的项目/采购包预算金额或者项目/采购包最高限价</w:t>
            </w:r>
            <w:r>
              <w:rPr>
                <w:rFonts w:hint="default"/>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4</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报价唯一性</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投标文件未</w:t>
            </w:r>
            <w:r>
              <w:rPr>
                <w:rFonts w:hint="default"/>
                <w:sz w:val="24"/>
                <w:highlight w:val="none"/>
              </w:rPr>
              <w:t>出现可选择性或可调整的报价（招标文件另有规定的除外）</w:t>
            </w:r>
            <w:r>
              <w:rPr>
                <w:rFonts w:hint="default"/>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5</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投标有效期</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6</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实质性格式</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kern w:val="0"/>
                <w:sz w:val="24"/>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7</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ascii="Segoe UI Symbol" w:hAnsi="Segoe UI Symbol" w:cs="Segoe UI Symbol"/>
                <w:color w:val="000000"/>
                <w:kern w:val="0"/>
                <w:sz w:val="24"/>
                <w:highlight w:val="none"/>
              </w:rPr>
              <w:t>★</w:t>
            </w:r>
            <w:r>
              <w:rPr>
                <w:rFonts w:hint="default"/>
                <w:color w:val="000000"/>
                <w:kern w:val="0"/>
                <w:sz w:val="24"/>
                <w:highlight w:val="none"/>
              </w:rPr>
              <w:t>号条款响应</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投标文件满足招标文件</w:t>
            </w:r>
            <w:r>
              <w:rPr>
                <w:rFonts w:hint="default"/>
                <w:sz w:val="24"/>
                <w:highlight w:val="none"/>
              </w:rPr>
              <w:t>第五章《采购需求》</w:t>
            </w:r>
            <w:r>
              <w:rPr>
                <w:rFonts w:hint="default"/>
                <w:color w:val="000000"/>
                <w:kern w:val="0"/>
                <w:sz w:val="24"/>
                <w:highlight w:val="none"/>
              </w:rPr>
              <w:t>中</w:t>
            </w:r>
            <w:r>
              <w:rPr>
                <w:rFonts w:hint="default" w:ascii="Segoe UI Symbol" w:hAnsi="Segoe UI Symbol" w:cs="Segoe UI Symbol"/>
                <w:color w:val="000000"/>
                <w:kern w:val="0"/>
                <w:sz w:val="24"/>
                <w:highlight w:val="none"/>
              </w:rPr>
              <w:t>★</w:t>
            </w:r>
            <w:r>
              <w:rPr>
                <w:rFonts w:hint="default"/>
                <w:color w:val="000000"/>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8</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sz w:val="24"/>
                <w:highlight w:val="none"/>
              </w:rPr>
              <w:t>拟分包情况说明（如有）</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sz w:val="24"/>
                <w:highlight w:val="none"/>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9</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分包其他要求（如有）</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sz w:val="24"/>
                <w:highlight w:val="none"/>
              </w:rPr>
            </w:pPr>
            <w:r>
              <w:rPr>
                <w:rFonts w:hint="default"/>
                <w:sz w:val="24"/>
                <w:highlight w:val="none"/>
              </w:rPr>
              <w:t>分包履行的内容、金额或者比例未超出《投标人须知资料表》中的规定；</w:t>
            </w:r>
          </w:p>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sz w:val="24"/>
                <w:highlight w:val="none"/>
              </w:rPr>
              <w:t>分包承担主体具备《投标人须知资料表》载明的资质条件</w:t>
            </w:r>
            <w:r>
              <w:rPr>
                <w:rFonts w:hint="eastAsia" w:ascii="宋体" w:hAnsi="宋体"/>
                <w:sz w:val="24"/>
                <w:highlight w:val="none"/>
              </w:rPr>
              <w:t>且</w:t>
            </w:r>
            <w:r>
              <w:rPr>
                <w:rFonts w:hint="default" w:ascii="宋体" w:hAnsi="宋体"/>
                <w:sz w:val="24"/>
                <w:highlight w:val="none"/>
              </w:rPr>
              <w:t>提供</w:t>
            </w:r>
            <w:r>
              <w:rPr>
                <w:rFonts w:hint="eastAsia" w:ascii="宋体" w:hAnsi="宋体"/>
                <w:sz w:val="24"/>
                <w:highlight w:val="none"/>
              </w:rPr>
              <w:t>了</w:t>
            </w:r>
            <w:r>
              <w:rPr>
                <w:rFonts w:hint="default" w:ascii="宋体" w:hAnsi="宋体"/>
                <w:sz w:val="24"/>
                <w:highlight w:val="none"/>
              </w:rPr>
              <w:t>资质证书</w:t>
            </w:r>
            <w:r>
              <w:rPr>
                <w:rFonts w:hint="eastAsia" w:ascii="宋体" w:hAnsi="宋体"/>
                <w:sz w:val="24"/>
                <w:highlight w:val="none"/>
              </w:rPr>
              <w:t>并加盖投标人公章</w:t>
            </w:r>
            <w:r>
              <w:rPr>
                <w:rFonts w:hint="default"/>
                <w:sz w:val="24"/>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10</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报价的修正（如有）</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11</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报价合理性</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报价合理，或</w:t>
            </w:r>
            <w:r>
              <w:rPr>
                <w:rFonts w:hint="default"/>
                <w:sz w:val="24"/>
                <w:highlight w:val="none"/>
              </w:rPr>
              <w:t>投标人的报价明显低于其他通过符合性审查投标人的报价，有可能影响产品质量或者不能诚信履约的，能够应评标委员会要求在规定时间内证明其报价合理性的</w:t>
            </w:r>
            <w:r>
              <w:rPr>
                <w:rFonts w:hint="default"/>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12</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进口产品</w:t>
            </w:r>
          </w:p>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（如有）</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sz w:val="24"/>
                <w:highlight w:val="none"/>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13</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国家有关部门对投标人的投标产品有强制性规定或要求的</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国家有关部门对投标人的投标产品有强制性规定或要求的（如相应技术、安全、节能和环保等），投标人的投标产品应符合相应规定或要求，</w:t>
            </w:r>
            <w:r>
              <w:rPr>
                <w:rFonts w:hint="eastAsia" w:ascii="宋体" w:hAnsi="宋体"/>
                <w:kern w:val="0"/>
                <w:sz w:val="24"/>
                <w:highlight w:val="none"/>
              </w:rPr>
              <w:t>并提供证明文件</w:t>
            </w:r>
            <w:r>
              <w:rPr>
                <w:rFonts w:hint="eastAsia" w:ascii="宋体" w:hAnsi="宋体"/>
                <w:sz w:val="24"/>
                <w:highlight w:val="none"/>
              </w:rPr>
              <w:t>并加盖投标人公章</w:t>
            </w:r>
            <w:r>
              <w:rPr>
                <w:rFonts w:hint="default"/>
                <w:color w:val="000000"/>
                <w:kern w:val="0"/>
                <w:sz w:val="24"/>
                <w:highlight w:val="none"/>
              </w:rPr>
              <w:t>：</w:t>
            </w:r>
          </w:p>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1）采购的产品若属于《节能产品政府采购品目清单》范围中政府强制采购产品，则投标人所报产品必须获得国家确定的认证机构出具的、处于有效期之内的节能产品认证证书；</w:t>
            </w:r>
          </w:p>
          <w:p>
            <w:pPr>
              <w:keepNext w:val="0"/>
              <w:keepLines w:val="0"/>
              <w:widowControl/>
              <w:suppressLineNumbers w:val="0"/>
              <w:spacing w:before="0" w:beforeAutospacing="0" w:after="0" w:afterAutospacing="0"/>
              <w:ind w:left="0" w:right="0"/>
              <w:jc w:val="left"/>
              <w:rPr>
                <w:rFonts w:hint="default"/>
                <w:sz w:val="24"/>
                <w:highlight w:val="none"/>
              </w:rPr>
            </w:pPr>
            <w:r>
              <w:rPr>
                <w:rFonts w:hint="default"/>
                <w:color w:val="000000"/>
                <w:kern w:val="0"/>
                <w:sz w:val="24"/>
                <w:highlight w:val="none"/>
              </w:rPr>
              <w:t>2）</w:t>
            </w:r>
            <w:r>
              <w:rPr>
                <w:rFonts w:hint="default"/>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hint="default"/>
                <w:color w:val="000000"/>
                <w:kern w:val="0"/>
                <w:sz w:val="24"/>
                <w:highlight w:val="none"/>
              </w:rPr>
              <w:t>公安部颁发的计算机信息系统安全专用产品销售许可证</w:t>
            </w:r>
            <w:r>
              <w:rPr>
                <w:rFonts w:hint="default"/>
                <w:sz w:val="24"/>
                <w:highlight w:val="none"/>
              </w:rPr>
              <w:t>，且在有效期内，亦视为符合要求）</w:t>
            </w:r>
          </w:p>
          <w:p>
            <w:pPr>
              <w:keepNext w:val="0"/>
              <w:keepLines w:val="0"/>
              <w:widowControl/>
              <w:suppressLineNumbers w:val="0"/>
              <w:spacing w:before="0" w:beforeAutospacing="0" w:after="0" w:afterAutospacing="0"/>
              <w:ind w:left="0" w:right="0"/>
              <w:jc w:val="left"/>
              <w:rPr>
                <w:rFonts w:hint="default"/>
                <w:sz w:val="24"/>
                <w:highlight w:val="none"/>
              </w:rPr>
            </w:pPr>
            <w:r>
              <w:rPr>
                <w:rFonts w:hint="default"/>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sz w:val="24"/>
                <w:highlight w:val="none"/>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14</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公平竞争</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15</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串通投标</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16</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附加条件</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keepNext w:val="0"/>
              <w:keepLines w:val="0"/>
              <w:widowControl/>
              <w:suppressLineNumbers w:val="0"/>
              <w:spacing w:before="0" w:beforeAutospacing="0" w:after="0" w:afterAutospacing="0"/>
              <w:ind w:left="0" w:right="0"/>
              <w:jc w:val="center"/>
              <w:rPr>
                <w:rFonts w:hint="default"/>
                <w:color w:val="000000"/>
                <w:kern w:val="0"/>
                <w:sz w:val="24"/>
                <w:highlight w:val="none"/>
              </w:rPr>
            </w:pPr>
            <w:r>
              <w:rPr>
                <w:rFonts w:hint="default"/>
                <w:color w:val="000000"/>
                <w:kern w:val="0"/>
                <w:sz w:val="24"/>
                <w:highlight w:val="none"/>
              </w:rPr>
              <w:t>17</w:t>
            </w:r>
          </w:p>
        </w:tc>
        <w:tc>
          <w:tcPr>
            <w:tcW w:w="976"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kern w:val="0"/>
                <w:sz w:val="24"/>
                <w:highlight w:val="none"/>
              </w:rPr>
              <w:t>其他无效情形</w:t>
            </w:r>
          </w:p>
        </w:tc>
        <w:tc>
          <w:tcPr>
            <w:tcW w:w="3620" w:type="pct"/>
            <w:shd w:val="clear" w:color="auto" w:fill="auto"/>
            <w:vAlign w:val="center"/>
          </w:tcPr>
          <w:p>
            <w:pPr>
              <w:keepNext w:val="0"/>
              <w:keepLines w:val="0"/>
              <w:widowControl/>
              <w:suppressLineNumbers w:val="0"/>
              <w:spacing w:before="0" w:beforeAutospacing="0" w:after="0" w:afterAutospacing="0"/>
              <w:ind w:left="0" w:right="0"/>
              <w:jc w:val="left"/>
              <w:rPr>
                <w:rFonts w:hint="default"/>
                <w:color w:val="000000"/>
                <w:kern w:val="0"/>
                <w:sz w:val="24"/>
                <w:highlight w:val="none"/>
              </w:rPr>
            </w:pPr>
            <w:r>
              <w:rPr>
                <w:rFonts w:hint="default"/>
                <w:color w:val="000000" w:themeColor="text1"/>
                <w:sz w:val="24"/>
                <w:highlight w:val="none"/>
                <w14:textFill>
                  <w14:solidFill>
                    <w14:schemeClr w14:val="tx1"/>
                  </w14:solidFill>
                </w14:textFill>
              </w:rPr>
              <w:t>投标人、投标文件不存在不符合法律、法规和招标文件规定的其他无效情形。</w:t>
            </w:r>
          </w:p>
        </w:tc>
      </w:tr>
    </w:tbl>
    <w:p>
      <w:pPr>
        <w:numPr>
          <w:ilvl w:val="0"/>
          <w:numId w:val="12"/>
        </w:numPr>
        <w:tabs>
          <w:tab w:val="left" w:pos="1080"/>
          <w:tab w:val="left" w:pos="1589"/>
        </w:tabs>
        <w:snapToGrid w:val="0"/>
        <w:spacing w:line="360" w:lineRule="auto"/>
        <w:rPr>
          <w:sz w:val="24"/>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1"/>
        </w:numPr>
        <w:tabs>
          <w:tab w:val="left" w:pos="360"/>
        </w:tabs>
        <w:snapToGrid w:val="0"/>
        <w:spacing w:line="360" w:lineRule="auto"/>
        <w:outlineLvl w:val="1"/>
        <w:rPr>
          <w:sz w:val="24"/>
          <w:highlight w:val="none"/>
        </w:rPr>
      </w:pPr>
      <w:r>
        <w:rPr>
          <w:sz w:val="24"/>
          <w:highlight w:val="none"/>
        </w:rPr>
        <w:t>投标文件有关事项的澄清或者说明</w:t>
      </w:r>
    </w:p>
    <w:p>
      <w:pPr>
        <w:numPr>
          <w:ilvl w:val="1"/>
          <w:numId w:val="11"/>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highlight w:val="none"/>
        </w:rPr>
        <w:t>（</w:t>
      </w:r>
      <w:bookmarkStart w:id="783" w:name="_Hlk144225607"/>
      <w:r>
        <w:rPr>
          <w:color w:val="000000"/>
          <w:sz w:val="24"/>
          <w:szCs w:val="20"/>
          <w:highlight w:val="none"/>
        </w:rPr>
        <w:t>若</w:t>
      </w:r>
      <w:r>
        <w:rPr>
          <w:rFonts w:hint="eastAsia"/>
          <w:color w:val="000000"/>
          <w:sz w:val="24"/>
          <w:szCs w:val="20"/>
          <w:highlight w:val="none"/>
        </w:rPr>
        <w:t>投标人</w:t>
      </w:r>
      <w:r>
        <w:rPr>
          <w:color w:val="000000"/>
          <w:sz w:val="24"/>
          <w:szCs w:val="20"/>
          <w:highlight w:val="none"/>
        </w:rPr>
        <w:t>为事业单位或其他组织或分支机构，可为单位负责人</w:t>
      </w:r>
      <w:bookmarkEnd w:id="783"/>
      <w:r>
        <w:rPr>
          <w:rFonts w:hint="eastAsia"/>
          <w:sz w:val="24"/>
          <w:highlight w:val="none"/>
        </w:rPr>
        <w:t>）</w:t>
      </w:r>
      <w:r>
        <w:rPr>
          <w:sz w:val="24"/>
          <w:highlight w:val="none"/>
        </w:rPr>
        <w:t>或其授权的代表签字。投标人的澄清、说明或者补正不得超出投标文件的范围或者改变投标文件的实质性内容。澄清文件将作为投标文件内容的一部分。</w:t>
      </w:r>
    </w:p>
    <w:p>
      <w:pPr>
        <w:numPr>
          <w:ilvl w:val="1"/>
          <w:numId w:val="11"/>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rFonts w:hint="eastAsia"/>
          <w:sz w:val="24"/>
          <w:highlight w:val="none"/>
          <w:lang w:eastAsia="zh-CN"/>
        </w:rPr>
        <w:t>□</w:t>
      </w:r>
      <w:r>
        <w:rPr>
          <w:sz w:val="24"/>
          <w:highlight w:val="none"/>
        </w:rPr>
        <w:t>有，具体规定为：_____</w:t>
      </w:r>
      <w:r>
        <w:rPr>
          <w:rFonts w:hint="eastAsia"/>
          <w:sz w:val="24"/>
          <w:highlight w:val="none"/>
          <w:lang w:val="en-US" w:eastAsia="zh-CN"/>
        </w:rPr>
        <w:t>/</w:t>
      </w:r>
      <w:r>
        <w:rPr>
          <w:sz w:val="24"/>
          <w:highlight w:val="none"/>
        </w:rPr>
        <w:t>_________</w:t>
      </w:r>
    </w:p>
    <w:p>
      <w:pPr>
        <w:tabs>
          <w:tab w:val="left" w:pos="1080"/>
          <w:tab w:val="left" w:pos="1589"/>
          <w:tab w:val="left" w:pos="2035"/>
          <w:tab w:val="left" w:pos="2114"/>
        </w:tabs>
        <w:snapToGrid w:val="0"/>
        <w:spacing w:line="360" w:lineRule="auto"/>
        <w:ind w:left="2035"/>
        <w:rPr>
          <w:sz w:val="24"/>
          <w:highlight w:val="none"/>
        </w:rPr>
      </w:pPr>
      <w:r>
        <w:rPr>
          <w:rFonts w:hint="eastAsia" w:ascii="宋体" w:hAnsi="宋体"/>
          <w:sz w:val="24"/>
          <w:highlight w:val="none"/>
        </w:rPr>
        <w:t>■</w:t>
      </w:r>
      <w:r>
        <w:rPr>
          <w:sz w:val="24"/>
          <w:highlight w:val="none"/>
        </w:rPr>
        <w:t>无，按下述2.4.2-2.4.7项规定修正。</w:t>
      </w:r>
    </w:p>
    <w:p>
      <w:pPr>
        <w:numPr>
          <w:ilvl w:val="2"/>
          <w:numId w:val="11"/>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pPr>
        <w:numPr>
          <w:ilvl w:val="2"/>
          <w:numId w:val="11"/>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pPr>
        <w:numPr>
          <w:ilvl w:val="2"/>
          <w:numId w:val="11"/>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pPr>
        <w:numPr>
          <w:ilvl w:val="2"/>
          <w:numId w:val="11"/>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w:t>
      </w:r>
      <w:r>
        <w:rPr>
          <w:rFonts w:hint="eastAsia"/>
          <w:sz w:val="24"/>
          <w:highlight w:val="none"/>
          <w:lang w:val="en-US" w:eastAsia="zh-CN"/>
        </w:rPr>
        <w:t xml:space="preserve"> </w:t>
      </w:r>
      <w:r>
        <w:rPr>
          <w:sz w:val="24"/>
          <w:highlight w:val="none"/>
        </w:rPr>
        <w:t>形的，可以享受中小企业扶持政策，用扣除后的价格参加评审；否则，评标时价格不予扣除。</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u w:val="single"/>
          <w:lang w:val="en-US" w:eastAsia="zh-CN"/>
        </w:rPr>
        <w:t>10</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lang w:val="en-US" w:eastAsia="zh-CN"/>
        </w:rPr>
        <w:t>4</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pPr>
        <w:numPr>
          <w:ilvl w:val="2"/>
          <w:numId w:val="11"/>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pPr>
        <w:numPr>
          <w:ilvl w:val="0"/>
          <w:numId w:val="11"/>
        </w:numPr>
        <w:tabs>
          <w:tab w:val="left" w:pos="360"/>
        </w:tabs>
        <w:snapToGrid w:val="0"/>
        <w:spacing w:line="360" w:lineRule="auto"/>
        <w:outlineLvl w:val="1"/>
        <w:rPr>
          <w:sz w:val="24"/>
          <w:highlight w:val="none"/>
        </w:rPr>
      </w:pPr>
      <w:r>
        <w:rPr>
          <w:sz w:val="24"/>
          <w:highlight w:val="none"/>
        </w:rPr>
        <w:t>投标文件的比较和评价</w:t>
      </w:r>
      <w:bookmarkEnd w:id="766"/>
      <w:bookmarkEnd w:id="767"/>
    </w:p>
    <w:p>
      <w:pPr>
        <w:numPr>
          <w:ilvl w:val="1"/>
          <w:numId w:val="11"/>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s>
        <w:snapToGrid w:val="0"/>
        <w:spacing w:line="360" w:lineRule="auto"/>
        <w:ind w:left="1077" w:hanging="720"/>
        <w:rPr>
          <w:sz w:val="24"/>
          <w:highlight w:val="none"/>
        </w:rPr>
      </w:pPr>
      <w:r>
        <w:rPr>
          <w:sz w:val="24"/>
          <w:highlight w:val="none"/>
        </w:rPr>
        <w:t>评标方法和评标标准</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pPr>
        <w:tabs>
          <w:tab w:val="left" w:pos="900"/>
          <w:tab w:val="left" w:pos="1589"/>
          <w:tab w:val="left" w:pos="1701"/>
        </w:tabs>
        <w:snapToGrid w:val="0"/>
        <w:spacing w:line="360" w:lineRule="auto"/>
        <w:ind w:left="1985"/>
        <w:rPr>
          <w:sz w:val="24"/>
          <w:highlight w:val="none"/>
        </w:rPr>
      </w:pPr>
      <w:r>
        <w:rPr>
          <w:rFonts w:hint="eastAsia" w:ascii="宋体" w:hAnsi="宋体"/>
          <w:sz w:val="24"/>
          <w:highlight w:val="none"/>
        </w:rPr>
        <w:t>■</w:t>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highlight w:val="none"/>
        </w:rPr>
      </w:pPr>
      <w:r>
        <w:rPr>
          <w:rFonts w:hint="eastAsia"/>
          <w:sz w:val="24"/>
          <w:highlight w:val="none"/>
          <w:lang w:eastAsia="zh-CN"/>
        </w:rPr>
        <w:t>□</w:t>
      </w:r>
      <w:r>
        <w:rPr>
          <w:sz w:val="24"/>
          <w:highlight w:val="none"/>
        </w:rPr>
        <w:t>最低评标价法，指投标文件满足招标文件全部实质性要求，且投标报价最低的投标人为中标候选人的评标方法。</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pPr>
        <w:tabs>
          <w:tab w:val="left" w:pos="1080"/>
          <w:tab w:val="left" w:pos="1589"/>
          <w:tab w:val="left" w:pos="2035"/>
        </w:tabs>
        <w:snapToGrid w:val="0"/>
        <w:spacing w:line="360" w:lineRule="auto"/>
        <w:ind w:left="2035"/>
        <w:rPr>
          <w:sz w:val="24"/>
          <w:highlight w:val="none"/>
        </w:rPr>
      </w:pPr>
      <w:r>
        <w:rPr>
          <w:rFonts w:hint="eastAsia"/>
          <w:sz w:val="24"/>
          <w:highlight w:val="none"/>
          <w:lang w:eastAsia="zh-CN"/>
        </w:rPr>
        <w:t>□</w:t>
      </w:r>
      <w:r>
        <w:rPr>
          <w:sz w:val="24"/>
          <w:highlight w:val="none"/>
        </w:rPr>
        <w:t>随机抽取</w:t>
      </w:r>
    </w:p>
    <w:p>
      <w:pPr>
        <w:tabs>
          <w:tab w:val="left" w:pos="1080"/>
          <w:tab w:val="left" w:pos="1589"/>
          <w:tab w:val="left" w:pos="2035"/>
        </w:tabs>
        <w:snapToGrid w:val="0"/>
        <w:spacing w:line="360" w:lineRule="auto"/>
        <w:ind w:left="2035"/>
        <w:rPr>
          <w:sz w:val="24"/>
          <w:highlight w:val="none"/>
          <w:u w:val="single"/>
        </w:rPr>
      </w:pPr>
      <w:r>
        <w:rPr>
          <w:rFonts w:hint="eastAsia"/>
          <w:sz w:val="24"/>
          <w:highlight w:val="none"/>
          <w:lang w:eastAsia="zh-CN"/>
        </w:rPr>
        <w:t>□</w:t>
      </w:r>
      <w:r>
        <w:rPr>
          <w:sz w:val="24"/>
          <w:highlight w:val="none"/>
        </w:rPr>
        <w:t>其他方式，具体要求：__</w:t>
      </w:r>
      <w:r>
        <w:rPr>
          <w:rFonts w:hint="eastAsia"/>
          <w:sz w:val="24"/>
          <w:highlight w:val="none"/>
          <w:lang w:val="en-US" w:eastAsia="zh-CN"/>
        </w:rPr>
        <w:t>/</w:t>
      </w:r>
      <w:r>
        <w:rPr>
          <w:sz w:val="24"/>
          <w:highlight w:val="none"/>
        </w:rPr>
        <w:t>___</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w:t>
      </w:r>
      <w:r>
        <w:rPr>
          <w:rFonts w:hint="eastAsia"/>
          <w:sz w:val="24"/>
          <w:highlight w:val="none"/>
          <w:lang w:val="en-US" w:eastAsia="zh-CN"/>
        </w:rPr>
        <w:t>/</w:t>
      </w:r>
      <w:r>
        <w:rPr>
          <w:sz w:val="24"/>
          <w:highlight w:val="none"/>
        </w:rPr>
        <w:t>__。</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关于无线局域网认证产品政府采购清单中的产品，优先采购的具体规定（如涉及）__</w:t>
      </w:r>
      <w:r>
        <w:rPr>
          <w:rFonts w:hint="eastAsia"/>
          <w:sz w:val="24"/>
          <w:highlight w:val="none"/>
          <w:lang w:val="en-US" w:eastAsia="zh-CN"/>
        </w:rPr>
        <w:t>/</w:t>
      </w:r>
      <w:r>
        <w:rPr>
          <w:sz w:val="24"/>
          <w:highlight w:val="none"/>
        </w:rPr>
        <w:t>___。</w:t>
      </w:r>
    </w:p>
    <w:p>
      <w:pPr>
        <w:numPr>
          <w:ilvl w:val="0"/>
          <w:numId w:val="11"/>
        </w:numPr>
        <w:tabs>
          <w:tab w:val="left" w:pos="360"/>
        </w:tabs>
        <w:snapToGrid w:val="0"/>
        <w:spacing w:line="360" w:lineRule="auto"/>
        <w:outlineLvl w:val="1"/>
        <w:rPr>
          <w:sz w:val="24"/>
          <w:highlight w:val="none"/>
        </w:rPr>
      </w:pPr>
      <w:r>
        <w:rPr>
          <w:sz w:val="24"/>
          <w:highlight w:val="none"/>
        </w:rPr>
        <w:t>确定</w:t>
      </w:r>
      <w:bookmarkStart w:id="784" w:name="_Toc226965819"/>
      <w:bookmarkStart w:id="785" w:name="_Toc164608815"/>
      <w:bookmarkStart w:id="786" w:name="_Toc151193860"/>
      <w:bookmarkStart w:id="787" w:name="_Toc164351640"/>
      <w:bookmarkStart w:id="788" w:name="_Toc151193788"/>
      <w:bookmarkStart w:id="789" w:name="_Toc151193934"/>
      <w:bookmarkStart w:id="790" w:name="_Toc226309790"/>
      <w:bookmarkStart w:id="791" w:name="_Toc150509297"/>
      <w:bookmarkStart w:id="792" w:name="_Toc151193644"/>
      <w:bookmarkStart w:id="793" w:name="_Toc142311048"/>
      <w:bookmarkStart w:id="794" w:name="_Toc164608660"/>
      <w:bookmarkStart w:id="795" w:name="_Toc150774751"/>
      <w:bookmarkStart w:id="796" w:name="_Toc265228384"/>
      <w:bookmarkStart w:id="797" w:name="_Ref467307010"/>
      <w:bookmarkStart w:id="798" w:name="_Toc226965736"/>
      <w:bookmarkStart w:id="799" w:name="_Toc127151546"/>
      <w:bookmarkStart w:id="800" w:name="_Toc127151747"/>
      <w:bookmarkStart w:id="801" w:name="_Toc150480784"/>
      <w:bookmarkStart w:id="802" w:name="_Toc151190173"/>
      <w:bookmarkStart w:id="803" w:name="_Toc164229241"/>
      <w:bookmarkStart w:id="804" w:name="_Toc195842911"/>
      <w:bookmarkStart w:id="805" w:name="_Toc149720839"/>
      <w:bookmarkStart w:id="806" w:name="_Toc150774646"/>
      <w:bookmarkStart w:id="807" w:name="_Toc226337242"/>
      <w:bookmarkStart w:id="808" w:name="_Toc264969236"/>
      <w:bookmarkStart w:id="809" w:name="_Toc305158814"/>
      <w:bookmarkStart w:id="810" w:name="_Toc305158888"/>
      <w:bookmarkStart w:id="811" w:name="_Toc127161460"/>
      <w:bookmarkStart w:id="812" w:name="_Toc520356170"/>
      <w:bookmarkStart w:id="813" w:name="_Toc151193716"/>
      <w:bookmarkStart w:id="814" w:name="_Toc164229387"/>
      <w:r>
        <w:rPr>
          <w:sz w:val="24"/>
          <w:highlight w:val="none"/>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pPr>
        <w:numPr>
          <w:ilvl w:val="1"/>
          <w:numId w:val="11"/>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eastAsia" w:ascii="Times New Roman" w:hAnsi="Times New Roman"/>
          <w:sz w:val="24"/>
          <w:szCs w:val="24"/>
          <w:highlight w:val="none"/>
          <w:lang w:eastAsia="zh-CN"/>
        </w:rPr>
        <w:t>□</w:t>
      </w:r>
      <w:r>
        <w:rPr>
          <w:rFonts w:hint="default" w:ascii="Times New Roman" w:hAnsi="Times New Roman"/>
          <w:sz w:val="24"/>
          <w:szCs w:val="24"/>
          <w:highlight w:val="none"/>
        </w:rPr>
        <w:t>随机抽取</w:t>
      </w:r>
    </w:p>
    <w:p>
      <w:pPr>
        <w:pStyle w:val="2"/>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Ansi="宋体"/>
          <w:sz w:val="24"/>
          <w:highlight w:val="none"/>
        </w:rPr>
        <w:t>■</w:t>
      </w:r>
      <w:r>
        <w:rPr>
          <w:rFonts w:hint="default" w:ascii="Times New Roman" w:hAnsi="Times New Roman"/>
          <w:sz w:val="24"/>
          <w:szCs w:val="24"/>
          <w:highlight w:val="none"/>
        </w:rPr>
        <w:t>其他方式，具体要求：</w:t>
      </w:r>
      <w:r>
        <w:rPr>
          <w:rFonts w:hAnsi="宋体"/>
          <w:sz w:val="24"/>
          <w:highlight w:val="none"/>
          <w:u w:val="single"/>
        </w:rPr>
        <w:t>评审得分相同的，价低者获推荐；价格仍相同的，由评标委员会按照少数服从多数原则推荐产生一个投标人获得中标人推荐资格，其他同品牌投标人不作为中标候选人</w:t>
      </w:r>
    </w:p>
    <w:p>
      <w:pPr>
        <w:numPr>
          <w:ilvl w:val="1"/>
          <w:numId w:val="11"/>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1"/>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1"/>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pPr>
        <w:numPr>
          <w:ilvl w:val="1"/>
          <w:numId w:val="11"/>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评标委员会将根据各投标人的评标排序，依次推荐本项目（各采购包）的中标候选人，起草并签署评标报告。本项目（各采购包）评标委员会共（各）推荐_</w:t>
      </w:r>
      <w:r>
        <w:rPr>
          <w:rFonts w:hint="eastAsia"/>
          <w:sz w:val="24"/>
          <w:highlight w:val="none"/>
          <w:u w:val="single"/>
          <w:lang w:val="en-US" w:eastAsia="zh-CN"/>
        </w:rPr>
        <w:t xml:space="preserve">  3</w:t>
      </w:r>
      <w:r>
        <w:rPr>
          <w:sz w:val="24"/>
          <w:highlight w:val="none"/>
        </w:rPr>
        <w:t>__名中标候选人。</w:t>
      </w:r>
    </w:p>
    <w:p>
      <w:pPr>
        <w:numPr>
          <w:ilvl w:val="0"/>
          <w:numId w:val="11"/>
        </w:numPr>
        <w:tabs>
          <w:tab w:val="left" w:pos="360"/>
        </w:tabs>
        <w:snapToGrid w:val="0"/>
        <w:spacing w:line="360" w:lineRule="auto"/>
        <w:outlineLvl w:val="1"/>
        <w:rPr>
          <w:sz w:val="24"/>
          <w:highlight w:val="none"/>
        </w:rPr>
      </w:pPr>
      <w:r>
        <w:rPr>
          <w:sz w:val="24"/>
          <w:highlight w:val="none"/>
        </w:rPr>
        <w:t>报告违法行为</w:t>
      </w:r>
    </w:p>
    <w:p>
      <w:pPr>
        <w:numPr>
          <w:ilvl w:val="1"/>
          <w:numId w:val="11"/>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pPr>
        <w:widowControl/>
        <w:jc w:val="left"/>
        <w:rPr>
          <w:b/>
          <w:sz w:val="24"/>
          <w:highlight w:val="none"/>
        </w:rPr>
      </w:pPr>
      <w:r>
        <w:rPr>
          <w:b/>
          <w:sz w:val="24"/>
          <w:highlight w:val="none"/>
        </w:rPr>
        <w:br w:type="page"/>
      </w:r>
    </w:p>
    <w:p>
      <w:pPr>
        <w:tabs>
          <w:tab w:val="left" w:pos="360"/>
          <w:tab w:val="left" w:pos="900"/>
        </w:tabs>
        <w:snapToGrid w:val="0"/>
        <w:spacing w:line="360" w:lineRule="auto"/>
        <w:jc w:val="center"/>
        <w:outlineLvl w:val="1"/>
        <w:rPr>
          <w:b/>
          <w:highlight w:val="none"/>
        </w:rPr>
      </w:pPr>
      <w:r>
        <w:rPr>
          <w:b/>
          <w:sz w:val="24"/>
          <w:highlight w:val="none"/>
        </w:rPr>
        <w:t>二、评标标准</w:t>
      </w:r>
    </w:p>
    <w:tbl>
      <w:tblPr>
        <w:tblStyle w:val="42"/>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658"/>
        <w:gridCol w:w="912"/>
        <w:gridCol w:w="5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序号</w:t>
            </w:r>
          </w:p>
        </w:tc>
        <w:tc>
          <w:tcPr>
            <w:tcW w:w="165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评分因素</w:t>
            </w:r>
          </w:p>
        </w:tc>
        <w:tc>
          <w:tcPr>
            <w:tcW w:w="912"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分值</w:t>
            </w:r>
          </w:p>
        </w:tc>
        <w:tc>
          <w:tcPr>
            <w:tcW w:w="5771"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b/>
                <w:bCs w:val="0"/>
                <w:kern w:val="2"/>
                <w:sz w:val="24"/>
                <w:szCs w:val="24"/>
                <w:highlight w:val="none"/>
              </w:rPr>
            </w:pPr>
            <w:r>
              <w:rPr>
                <w:rFonts w:hint="eastAsia" w:ascii="宋体" w:hAnsi="宋体" w:eastAsia="宋体" w:cs="宋体"/>
                <w:b/>
                <w:bCs w:val="0"/>
                <w:kern w:val="2"/>
                <w:sz w:val="24"/>
                <w:szCs w:val="24"/>
                <w:highlight w:val="none"/>
                <w:lang w:val="en-US" w:eastAsia="zh-CN"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leftChars="0" w:right="0" w:rightChars="0" w:firstLine="28" w:firstLineChars="0"/>
              <w:jc w:val="center"/>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
              </w:rPr>
              <w:t>1</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spacing w:before="100" w:beforeAutospacing="0" w:after="0" w:afterAutospacing="0" w:line="360" w:lineRule="auto"/>
              <w:ind w:left="0" w:leftChars="0" w:right="0" w:rightChars="0"/>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0"/>
                <w:sz w:val="24"/>
                <w:szCs w:val="24"/>
                <w:highlight w:val="none"/>
                <w:lang w:val="en-US" w:eastAsia="zh-CN" w:bidi="ar"/>
              </w:rPr>
              <w:t>同类项目业绩</w:t>
            </w:r>
          </w:p>
        </w:tc>
        <w:tc>
          <w:tcPr>
            <w:tcW w:w="912"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spacing w:before="168" w:beforeAutospacing="0" w:after="0" w:afterAutospacing="0" w:line="360" w:lineRule="auto"/>
              <w:ind w:left="211" w:leftChars="0" w:right="-10" w:rightChars="0"/>
              <w:jc w:val="center"/>
              <w:rPr>
                <w:rFonts w:hint="default" w:ascii="宋体" w:hAnsi="宋体" w:eastAsia="宋体" w:cs="宋体"/>
                <w:kern w:val="2"/>
                <w:sz w:val="24"/>
                <w:szCs w:val="24"/>
                <w:highlight w:val="none"/>
                <w:lang w:val="en-US" w:eastAsia="zh-CN" w:bidi="ar-SA"/>
              </w:rPr>
            </w:pPr>
            <w:r>
              <w:rPr>
                <w:rFonts w:hint="eastAsia" w:cs="宋体"/>
                <w:kern w:val="0"/>
                <w:sz w:val="24"/>
                <w:szCs w:val="24"/>
                <w:highlight w:val="none"/>
                <w:lang w:val="en-US" w:eastAsia="zh-CN" w:bidi="ar"/>
              </w:rPr>
              <w:t>9</w:t>
            </w:r>
          </w:p>
        </w:tc>
        <w:tc>
          <w:tcPr>
            <w:tcW w:w="5771" w:type="dxa"/>
            <w:tcBorders>
              <w:top w:val="single" w:color="auto" w:sz="4" w:space="0"/>
              <w:left w:val="single" w:color="auto" w:sz="4" w:space="0"/>
              <w:bottom w:val="single" w:color="auto" w:sz="4" w:space="0"/>
              <w:right w:val="single" w:color="auto" w:sz="4" w:space="0"/>
            </w:tcBorders>
            <w:noWrap w:val="0"/>
            <w:vAlign w:val="top"/>
          </w:tcPr>
          <w:p>
            <w:pPr>
              <w:pStyle w:val="37"/>
              <w:keepNext w:val="0"/>
              <w:keepLines w:val="0"/>
              <w:widowControl w:val="0"/>
              <w:suppressLineNumbers w:val="0"/>
              <w:spacing w:before="0" w:beforeAutospacing="1" w:after="0" w:afterAutospacing="0" w:line="360" w:lineRule="auto"/>
              <w:ind w:left="-1" w:leftChars="0" w:right="0" w:rightChars="0"/>
              <w:jc w:val="left"/>
              <w:rPr>
                <w:rFonts w:hint="default" w:ascii="宋体" w:hAnsi="宋体" w:eastAsia="宋体" w:cs="宋体"/>
                <w:kern w:val="2"/>
                <w:sz w:val="24"/>
                <w:szCs w:val="24"/>
                <w:highlight w:val="none"/>
                <w:lang w:val="en-US" w:eastAsia="zh-CN" w:bidi="ar-SA"/>
              </w:rPr>
            </w:pPr>
            <w:r>
              <w:rPr>
                <w:rFonts w:hint="eastAsia" w:ascii="宋体" w:hAnsi="宋体" w:eastAsia="宋体" w:cs="宋体"/>
                <w:kern w:val="0"/>
                <w:sz w:val="24"/>
                <w:szCs w:val="24"/>
                <w:highlight w:val="none"/>
                <w:lang w:val="en-US" w:eastAsia="zh-CN" w:bidi="ar"/>
              </w:rPr>
              <w:t>投标人</w:t>
            </w:r>
            <w:r>
              <w:rPr>
                <w:rFonts w:hint="eastAsia" w:cs="宋体"/>
                <w:kern w:val="0"/>
                <w:sz w:val="24"/>
                <w:szCs w:val="24"/>
                <w:highlight w:val="none"/>
                <w:lang w:val="en-US" w:eastAsia="zh-CN" w:bidi="ar"/>
              </w:rPr>
              <w:t>2020</w:t>
            </w:r>
            <w:r>
              <w:rPr>
                <w:rFonts w:hint="eastAsia" w:ascii="宋体" w:hAnsi="宋体" w:eastAsia="宋体" w:cs="宋体"/>
                <w:kern w:val="0"/>
                <w:sz w:val="24"/>
                <w:szCs w:val="24"/>
                <w:highlight w:val="none"/>
                <w:lang w:val="en-US" w:eastAsia="zh-CN" w:bidi="ar"/>
              </w:rPr>
              <w:t>年</w:t>
            </w:r>
            <w:r>
              <w:rPr>
                <w:rFonts w:hint="eastAsia" w:cs="宋体"/>
                <w:kern w:val="0"/>
                <w:sz w:val="24"/>
                <w:szCs w:val="24"/>
                <w:highlight w:val="none"/>
                <w:lang w:val="en-US" w:eastAsia="zh-CN" w:bidi="ar"/>
              </w:rPr>
              <w:t>12</w:t>
            </w:r>
            <w:r>
              <w:rPr>
                <w:rFonts w:hint="eastAsia" w:ascii="宋体" w:hAnsi="宋体" w:eastAsia="宋体" w:cs="宋体"/>
                <w:kern w:val="0"/>
                <w:sz w:val="24"/>
                <w:szCs w:val="24"/>
                <w:highlight w:val="none"/>
                <w:lang w:val="en-US" w:eastAsia="zh-CN" w:bidi="ar"/>
              </w:rPr>
              <w:t>月（含）以来至今同类项目业绩：（须提供合同的复印件，包括合同的甲乙双方，合同详细标的，双方签章及生效时间，并加盖投标人单位公章。）每提供一个符合要求的业绩得</w:t>
            </w:r>
            <w:r>
              <w:rPr>
                <w:rFonts w:hint="eastAsia" w:cs="宋体"/>
                <w:kern w:val="0"/>
                <w:sz w:val="24"/>
                <w:szCs w:val="24"/>
                <w:highlight w:val="none"/>
                <w:lang w:val="en-US" w:eastAsia="zh-CN" w:bidi="ar"/>
              </w:rPr>
              <w:t>3</w:t>
            </w:r>
            <w:r>
              <w:rPr>
                <w:rFonts w:hint="eastAsia" w:ascii="宋体" w:hAnsi="宋体" w:eastAsia="宋体" w:cs="宋体"/>
                <w:kern w:val="0"/>
                <w:sz w:val="24"/>
                <w:szCs w:val="24"/>
                <w:highlight w:val="none"/>
                <w:lang w:val="en-US" w:eastAsia="zh-CN" w:bidi="ar"/>
              </w:rPr>
              <w:t>分，最多得</w:t>
            </w:r>
            <w:r>
              <w:rPr>
                <w:rFonts w:hint="eastAsia" w:cs="宋体"/>
                <w:kern w:val="0"/>
                <w:sz w:val="24"/>
                <w:szCs w:val="24"/>
                <w:highlight w:val="none"/>
                <w:lang w:val="en-US" w:eastAsia="zh-CN" w:bidi="ar"/>
              </w:rPr>
              <w:t>9</w:t>
            </w:r>
            <w:r>
              <w:rPr>
                <w:rFonts w:hint="eastAsia" w:ascii="宋体" w:hAnsi="宋体" w:eastAsia="宋体" w:cs="宋体"/>
                <w:kern w:val="0"/>
                <w:sz w:val="24"/>
                <w:szCs w:val="24"/>
                <w:highlight w:val="none"/>
                <w:lang w:val="en-US" w:eastAsia="zh-CN" w:bidi="ar"/>
              </w:rPr>
              <w:t xml:space="preserve">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leftChars="0" w:right="0" w:rightChars="0" w:firstLine="28" w:firstLineChars="0"/>
              <w:jc w:val="center"/>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
              </w:rPr>
              <w:t>2</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节能环保情况</w:t>
            </w:r>
          </w:p>
          <w:p>
            <w:pPr>
              <w:keepNext w:val="0"/>
              <w:keepLines w:val="0"/>
              <w:widowControl w:val="0"/>
              <w:suppressLineNumbers w:val="0"/>
              <w:spacing w:before="0" w:beforeAutospacing="0" w:after="0" w:afterAutospacing="0" w:line="360" w:lineRule="auto"/>
              <w:ind w:left="0" w:leftChars="0" w:right="0" w:rightChars="0" w:firstLine="28" w:firstLineChars="0"/>
              <w:jc w:val="center"/>
              <w:rPr>
                <w:rFonts w:hint="eastAsia" w:ascii="宋体" w:hAnsi="宋体" w:eastAsia="宋体" w:cs="宋体"/>
                <w:kern w:val="2"/>
                <w:sz w:val="24"/>
                <w:szCs w:val="24"/>
                <w:highlight w:val="none"/>
                <w:lang w:val="en-US" w:eastAsia="zh-CN" w:bidi="ar-SA"/>
              </w:rPr>
            </w:pP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
              </w:rPr>
              <w:t>2</w:t>
            </w:r>
          </w:p>
        </w:tc>
        <w:tc>
          <w:tcPr>
            <w:tcW w:w="57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leftChars="0" w:right="0" w:rightChars="0"/>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综合审查投标人所投产品是否属于节能产品或环境标志产品，须附相应证明材料。属于节能产品得</w:t>
            </w:r>
            <w:r>
              <w:rPr>
                <w:rFonts w:hint="eastAsia" w:ascii="宋体" w:hAnsi="宋体" w:cs="宋体"/>
                <w:kern w:val="2"/>
                <w:sz w:val="24"/>
                <w:szCs w:val="24"/>
                <w:highlight w:val="none"/>
                <w:lang w:val="en-US" w:eastAsia="zh-CN" w:bidi="ar"/>
              </w:rPr>
              <w:t>1</w:t>
            </w:r>
            <w:r>
              <w:rPr>
                <w:rFonts w:hint="eastAsia" w:ascii="宋体" w:hAnsi="宋体" w:eastAsia="宋体" w:cs="宋体"/>
                <w:kern w:val="2"/>
                <w:sz w:val="24"/>
                <w:szCs w:val="24"/>
                <w:highlight w:val="none"/>
                <w:lang w:val="en-US" w:eastAsia="zh-CN" w:bidi="ar"/>
              </w:rPr>
              <w:t>分，属于环境标志产品得</w:t>
            </w:r>
            <w:r>
              <w:rPr>
                <w:rFonts w:hint="eastAsia" w:ascii="宋体" w:hAnsi="宋体" w:cs="宋体"/>
                <w:kern w:val="2"/>
                <w:sz w:val="24"/>
                <w:szCs w:val="24"/>
                <w:highlight w:val="none"/>
                <w:lang w:val="en-US" w:eastAsia="zh-CN" w:bidi="ar"/>
              </w:rPr>
              <w:t>1</w:t>
            </w:r>
            <w:r>
              <w:rPr>
                <w:rFonts w:hint="eastAsia" w:ascii="宋体" w:hAnsi="宋体" w:eastAsia="宋体" w:cs="宋体"/>
                <w:kern w:val="2"/>
                <w:sz w:val="24"/>
                <w:szCs w:val="24"/>
                <w:highlight w:val="none"/>
                <w:lang w:val="en-US" w:eastAsia="zh-CN" w:bidi="ar"/>
              </w:rPr>
              <w:t>分，否则0分。说明：1.证明材料须按照“财政部 发展改革委 生态环境部 市场监管总局 关于调整优化节能产品、环境标志产品政府采购执行机制的通知”的要求提供：国家确定的认证机构出具的、处于有效期之内的节能产品、环境标志产品认证证书；2.属于政府强制采购节能产品的不得分；3.未按照要求提供证明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3</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对项目的理解与分析</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
              </w:rPr>
              <w:t>16</w:t>
            </w:r>
          </w:p>
        </w:tc>
        <w:tc>
          <w:tcPr>
            <w:tcW w:w="5771"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360" w:lineRule="auto"/>
              <w:ind w:left="0" w:leftChars="0" w:right="0" w:rightChars="0"/>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投标人根据采购需求对①本项目的认识和理解②重点把握③难点分析④合理化建议等方面进行论述。每项内容进行了阐述且满足采购实际需求得</w:t>
            </w:r>
            <w:r>
              <w:rPr>
                <w:rFonts w:hint="eastAsia" w:ascii="宋体" w:hAnsi="宋体" w:cs="宋体"/>
                <w:kern w:val="2"/>
                <w:sz w:val="24"/>
                <w:szCs w:val="24"/>
                <w:highlight w:val="none"/>
                <w:lang w:val="en-US" w:eastAsia="zh-CN" w:bidi="ar"/>
              </w:rPr>
              <w:t>4</w:t>
            </w:r>
            <w:r>
              <w:rPr>
                <w:rFonts w:hint="eastAsia" w:ascii="宋体" w:hAnsi="宋体" w:eastAsia="宋体" w:cs="宋体"/>
                <w:kern w:val="2"/>
                <w:sz w:val="24"/>
                <w:szCs w:val="24"/>
                <w:highlight w:val="none"/>
                <w:lang w:val="en-US" w:eastAsia="zh-CN" w:bidi="ar"/>
              </w:rPr>
              <w:t>分；每项内容虽阐述但未贴合实际情况进行论述得</w:t>
            </w:r>
            <w:r>
              <w:rPr>
                <w:rFonts w:hint="eastAsia" w:ascii="宋体" w:hAnsi="宋体" w:cs="宋体"/>
                <w:kern w:val="2"/>
                <w:sz w:val="24"/>
                <w:szCs w:val="24"/>
                <w:highlight w:val="none"/>
                <w:lang w:val="en-US" w:eastAsia="zh-CN" w:bidi="ar"/>
              </w:rPr>
              <w:t>3</w:t>
            </w:r>
            <w:r>
              <w:rPr>
                <w:rFonts w:hint="eastAsia" w:ascii="宋体" w:hAnsi="宋体" w:eastAsia="宋体" w:cs="宋体"/>
                <w:kern w:val="2"/>
                <w:sz w:val="24"/>
                <w:szCs w:val="24"/>
                <w:highlight w:val="none"/>
                <w:lang w:val="en-US" w:eastAsia="zh-CN" w:bidi="ar"/>
              </w:rPr>
              <w:t>分，每项内容阐述不清或者不贴合本项目采购需求得1分。未提供得0分。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leftChars="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Lines="0" w:beforeAutospacing="0" w:after="0" w:afterLines="0" w:afterAutospacing="0"/>
              <w:ind w:left="0" w:leftChars="0" w:right="0" w:rightChars="0" w:firstLine="28" w:firstLineChars="0"/>
              <w:jc w:val="center"/>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服务</w:t>
            </w:r>
            <w:r>
              <w:rPr>
                <w:rFonts w:hint="eastAsia" w:ascii="宋体" w:hAnsi="宋体" w:cs="Times New Roman"/>
                <w:sz w:val="24"/>
                <w:szCs w:val="24"/>
                <w:highlight w:val="none"/>
              </w:rPr>
              <w:t>方案</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Lines="0" w:beforeAutospacing="0" w:after="0" w:afterLines="0" w:afterAutospacing="0"/>
              <w:ind w:left="0" w:leftChars="0" w:right="0" w:rightChars="0" w:firstLine="28" w:firstLineChars="0"/>
              <w:jc w:val="center"/>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35</w:t>
            </w:r>
          </w:p>
        </w:tc>
        <w:tc>
          <w:tcPr>
            <w:tcW w:w="57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根据本项目的特点和要求，制定服务方案，至少包括至少包括①宣传材料入户工作方案②巡检工作方案③维修人员入户服务方案 ④拟投入车辆、设备情况⑤质量保障方案⑥安全保障方案⑦工作保障方案</w:t>
            </w:r>
          </w:p>
          <w:p>
            <w:pPr>
              <w:keepNext w:val="0"/>
              <w:keepLines w:val="0"/>
              <w:suppressLineNumbers w:val="0"/>
              <w:spacing w:before="0" w:beforeAutospacing="0" w:after="0" w:afterAutospacing="0" w:line="360" w:lineRule="auto"/>
              <w:ind w:left="0" w:right="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每项内容进行了阐述且满足采购实际需求得</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分；每项内容虽阐述但未贴合实际情况进行论述，或内容未包括具体实施细节及措施得</w:t>
            </w:r>
            <w:r>
              <w:rPr>
                <w:rFonts w:hint="eastAsia" w:ascii="宋体" w:hAnsi="宋体"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分，每项内容阐述不清或者不贴合本项目采购需求得 1 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5</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firstLine="28"/>
              <w:jc w:val="center"/>
              <w:rPr>
                <w:rFonts w:hint="eastAsia" w:ascii="宋体" w:hAnsi="宋体" w:eastAsia="宋体" w:cs="Times New Roman"/>
                <w:kern w:val="2"/>
                <w:sz w:val="24"/>
                <w:szCs w:val="24"/>
                <w:highlight w:val="none"/>
              </w:rPr>
            </w:pPr>
            <w:r>
              <w:rPr>
                <w:rFonts w:hint="eastAsia" w:ascii="宋体" w:hAnsi="宋体" w:eastAsia="宋体" w:cs="宋体"/>
                <w:kern w:val="2"/>
                <w:sz w:val="24"/>
                <w:szCs w:val="24"/>
                <w:highlight w:val="none"/>
                <w:lang w:val="en-US" w:eastAsia="zh-CN" w:bidi="ar"/>
              </w:rPr>
              <w:t>团队人</w:t>
            </w:r>
          </w:p>
          <w:p>
            <w:pPr>
              <w:keepNext w:val="0"/>
              <w:keepLines w:val="0"/>
              <w:widowControl w:val="0"/>
              <w:suppressLineNumbers w:val="0"/>
              <w:spacing w:before="0" w:beforeAutospacing="0" w:after="0" w:afterAutospacing="0"/>
              <w:ind w:left="0" w:leftChars="0" w:right="0" w:rightChars="0" w:firstLine="28" w:firstLineChars="0"/>
              <w:jc w:val="center"/>
              <w:rPr>
                <w:rFonts w:hint="eastAsia" w:ascii="宋体" w:hAnsi="宋体" w:cs="Times New Roman"/>
                <w:sz w:val="24"/>
                <w:szCs w:val="24"/>
                <w:highlight w:val="none"/>
              </w:rPr>
            </w:pPr>
            <w:r>
              <w:rPr>
                <w:rFonts w:hint="eastAsia" w:ascii="宋体" w:hAnsi="宋体" w:eastAsia="宋体" w:cs="宋体"/>
                <w:kern w:val="2"/>
                <w:sz w:val="24"/>
                <w:szCs w:val="24"/>
                <w:highlight w:val="none"/>
                <w:lang w:val="en-US" w:eastAsia="zh-CN" w:bidi="ar"/>
              </w:rPr>
              <w:t>员配备</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leftChars="0" w:right="0" w:rightChars="0" w:firstLine="28" w:firstLineChars="0"/>
              <w:jc w:val="center"/>
              <w:rPr>
                <w:rFonts w:hint="default" w:ascii="宋体" w:hAnsi="宋体" w:cs="Times New Roman"/>
                <w:sz w:val="24"/>
                <w:szCs w:val="24"/>
                <w:highlight w:val="none"/>
                <w:lang w:val="en-US"/>
              </w:rPr>
            </w:pPr>
            <w:r>
              <w:rPr>
                <w:rFonts w:hint="eastAsia" w:ascii="宋体" w:hAnsi="宋体" w:cs="宋体"/>
                <w:kern w:val="2"/>
                <w:sz w:val="24"/>
                <w:szCs w:val="24"/>
                <w:highlight w:val="none"/>
                <w:lang w:val="en-US" w:eastAsia="zh-CN" w:bidi="ar"/>
              </w:rPr>
              <w:t>16</w:t>
            </w:r>
          </w:p>
        </w:tc>
        <w:tc>
          <w:tcPr>
            <w:tcW w:w="57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根据投标人拟投入项目人员（包括项目负责人）包括但不限于①组织架构②职能分工③</w:t>
            </w:r>
            <w:r>
              <w:rPr>
                <w:rFonts w:hint="eastAsia" w:ascii="宋体" w:hAnsi="宋体" w:cs="宋体"/>
                <w:kern w:val="2"/>
                <w:sz w:val="24"/>
                <w:szCs w:val="24"/>
                <w:highlight w:val="none"/>
                <w:lang w:val="en-US" w:eastAsia="zh-CN" w:bidi="ar-SA"/>
              </w:rPr>
              <w:t>岗前培训方案④人员管理方案</w:t>
            </w:r>
            <w:r>
              <w:rPr>
                <w:rFonts w:hint="eastAsia" w:ascii="宋体" w:hAnsi="宋体" w:eastAsia="宋体" w:cs="宋体"/>
                <w:kern w:val="2"/>
                <w:sz w:val="24"/>
                <w:szCs w:val="24"/>
                <w:highlight w:val="none"/>
                <w:lang w:val="en-US" w:eastAsia="zh-CN" w:bidi="ar-SA"/>
              </w:rPr>
              <w:t>等：</w:t>
            </w:r>
          </w:p>
          <w:p>
            <w:pPr>
              <w:keepNext w:val="0"/>
              <w:keepLines w:val="0"/>
              <w:suppressLineNumbers w:val="0"/>
              <w:spacing w:before="0" w:beforeAutospacing="0" w:after="0" w:afterAutospacing="0" w:line="360" w:lineRule="auto"/>
              <w:ind w:left="0" w:right="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每项内容进行了阐述且满足采购实际需求得</w:t>
            </w:r>
            <w:r>
              <w:rPr>
                <w:rFonts w:hint="eastAsia" w:ascii="宋体" w:hAnsi="宋体" w:cs="宋体"/>
                <w:kern w:val="2"/>
                <w:sz w:val="24"/>
                <w:szCs w:val="24"/>
                <w:highlight w:val="none"/>
                <w:lang w:val="en-US" w:eastAsia="zh-CN" w:bidi="ar-SA"/>
              </w:rPr>
              <w:t>4</w:t>
            </w:r>
            <w:r>
              <w:rPr>
                <w:rFonts w:hint="eastAsia" w:ascii="宋体" w:hAnsi="宋体" w:eastAsia="宋体" w:cs="宋体"/>
                <w:kern w:val="2"/>
                <w:sz w:val="24"/>
                <w:szCs w:val="24"/>
                <w:highlight w:val="none"/>
                <w:lang w:val="en-US" w:eastAsia="zh-CN" w:bidi="ar-SA"/>
              </w:rPr>
              <w:t>分；每项内容虽阐述但未贴合实际情况进行论述，或内容未包括具体实施细节及措施得2分，每项内容阐述不清或者不贴合本项目采购需求得1分。未提供不得分。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应急预案</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6</w:t>
            </w:r>
          </w:p>
        </w:tc>
        <w:tc>
          <w:tcPr>
            <w:tcW w:w="5771"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投标人根据本项目的特点能够预警本项目可能会出现的突发情况，并且针对突发情况能提供相应的应急方案：每提供一项具有针对性的突发情况及详细应急方案得 3分，提供的内容虽阐述但未贴合实际情况进行论述，或内容未包括具体实施细节及措施得 1 分，</w:t>
            </w:r>
            <w:r>
              <w:rPr>
                <w:rFonts w:hint="eastAsia" w:ascii="宋体" w:hAnsi="宋体" w:cs="宋体"/>
                <w:sz w:val="24"/>
                <w:szCs w:val="24"/>
                <w:highlight w:val="none"/>
                <w:lang w:val="en-US" w:eastAsia="zh-CN"/>
              </w:rPr>
              <w:t>未提供不得分。</w:t>
            </w:r>
            <w:r>
              <w:rPr>
                <w:rFonts w:hint="eastAsia" w:ascii="宋体" w:hAnsi="宋体" w:eastAsia="宋体" w:cs="宋体"/>
                <w:sz w:val="24"/>
                <w:szCs w:val="24"/>
                <w:highlight w:val="none"/>
                <w:lang w:val="en-US" w:eastAsia="zh-CN"/>
              </w:rPr>
              <w:t>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rPr>
            </w:pPr>
          </w:p>
          <w:p>
            <w:pPr>
              <w:keepNext w:val="0"/>
              <w:keepLines w:val="0"/>
              <w:suppressLineNumbers w:val="0"/>
              <w:spacing w:before="0" w:beforeAutospacing="0" w:after="0" w:afterAutospacing="0" w:line="360" w:lineRule="auto"/>
              <w:ind w:left="0" w:right="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服务保障与服务承诺</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6</w:t>
            </w:r>
          </w:p>
        </w:tc>
        <w:tc>
          <w:tcPr>
            <w:tcW w:w="5771"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投标人针对本项目能够提供服务保障与服务承诺：每提供一项详细的、切实可行的、针对性强的服务保障或服务承诺得 3分，提供的内容虽阐述但未贴合实际情况进行论述，或内容未包括具体实施细节及措施得 1 分，未提供不得分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16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投标报价</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5771"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满足招标文件要求且投标价格最低的投标报价为评标基准价，其价格分为满分。其他投标人的价格分统一按照下列公式计算：</w:t>
            </w:r>
          </w:p>
          <w:p>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投标报价得分＝（评标基准价/投标报价）×</w:t>
            </w:r>
            <w:r>
              <w:rPr>
                <w:rFonts w:hint="eastAsia" w:ascii="宋体" w:hAnsi="宋体" w:cs="宋体"/>
                <w:sz w:val="24"/>
                <w:szCs w:val="24"/>
                <w:highlight w:val="none"/>
                <w:lang w:val="en-US" w:eastAsia="zh-CN"/>
              </w:rPr>
              <w:t>10。</w:t>
            </w:r>
          </w:p>
          <w:p>
            <w:pPr>
              <w:keepNext w:val="0"/>
              <w:keepLines w:val="0"/>
              <w:suppressLineNumbers w:val="0"/>
              <w:spacing w:before="0" w:beforeAutospacing="0" w:after="0" w:afterAutospacing="0" w:line="360" w:lineRule="auto"/>
              <w:ind w:left="0" w:right="0"/>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备注：</w:t>
            </w:r>
          </w:p>
          <w:p>
            <w:pPr>
              <w:keepNext w:val="0"/>
              <w:keepLines w:val="0"/>
              <w:suppressLineNumbers w:val="0"/>
              <w:spacing w:before="0" w:beforeAutospacing="0" w:after="0" w:afterAutospacing="0" w:line="360" w:lineRule="auto"/>
              <w:ind w:left="0" w:right="0"/>
              <w:rPr>
                <w:rFonts w:hint="eastAsia"/>
                <w:highlight w:val="none"/>
                <w:lang w:val="en-US" w:eastAsia="zh-CN"/>
              </w:rPr>
            </w:pPr>
            <w:r>
              <w:rPr>
                <w:rFonts w:hint="eastAsia" w:ascii="宋体" w:hAnsi="宋体" w:eastAsia="宋体" w:cs="宋体"/>
                <w:sz w:val="24"/>
                <w:szCs w:val="24"/>
                <w:highlight w:val="none"/>
                <w:lang w:val="en-US" w:eastAsia="zh-CN"/>
              </w:rPr>
              <w:t>此处投标报价指经过报价修正，及因落实政府采购政策进行价格调整后的报价，详见第四章《评标程序、评标方法和评标标准》2.4及2.5。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3"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right="0" w:firstLine="28"/>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合计</w:t>
            </w:r>
          </w:p>
        </w:tc>
        <w:tc>
          <w:tcPr>
            <w:tcW w:w="9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right="0" w:firstLine="28"/>
              <w:jc w:val="center"/>
              <w:rPr>
                <w:rFonts w:hint="default" w:ascii="宋体" w:hAnsi="宋体" w:eastAsia="宋体" w:cs="宋体"/>
                <w:kern w:val="2"/>
                <w:sz w:val="24"/>
                <w:szCs w:val="24"/>
                <w:highlight w:val="none"/>
                <w:lang w:val="en-US"/>
              </w:rPr>
            </w:pPr>
            <w:r>
              <w:rPr>
                <w:rFonts w:hint="eastAsia" w:ascii="宋体" w:hAnsi="宋体" w:cs="宋体"/>
                <w:kern w:val="2"/>
                <w:sz w:val="24"/>
                <w:szCs w:val="24"/>
                <w:highlight w:val="none"/>
                <w:lang w:val="en-US" w:eastAsia="zh-CN" w:bidi="ar"/>
              </w:rPr>
              <w:t>100</w:t>
            </w:r>
          </w:p>
        </w:tc>
        <w:tc>
          <w:tcPr>
            <w:tcW w:w="57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rPr>
            </w:pPr>
          </w:p>
        </w:tc>
      </w:tr>
    </w:tbl>
    <w:p>
      <w:pPr>
        <w:tabs>
          <w:tab w:val="left" w:pos="360"/>
          <w:tab w:val="left" w:pos="900"/>
          <w:tab w:val="left" w:pos="1080"/>
          <w:tab w:val="left" w:pos="2014"/>
        </w:tabs>
        <w:snapToGrid w:val="0"/>
        <w:spacing w:line="360" w:lineRule="auto"/>
        <w:rPr>
          <w:sz w:val="24"/>
          <w:highlight w:val="none"/>
        </w:rPr>
      </w:pPr>
    </w:p>
    <w:p>
      <w:pPr>
        <w:tabs>
          <w:tab w:val="left" w:pos="360"/>
          <w:tab w:val="left" w:pos="1080"/>
        </w:tabs>
        <w:snapToGrid w:val="0"/>
        <w:spacing w:line="360" w:lineRule="auto"/>
        <w:ind w:left="1080"/>
        <w:rPr>
          <w:color w:val="000000"/>
          <w:sz w:val="24"/>
          <w:highlight w:val="none"/>
        </w:rPr>
      </w:pPr>
    </w:p>
    <w:p>
      <w:pPr>
        <w:spacing w:line="360" w:lineRule="auto"/>
        <w:jc w:val="center"/>
        <w:outlineLvl w:val="0"/>
        <w:rPr>
          <w:b/>
          <w:sz w:val="36"/>
          <w:szCs w:val="36"/>
          <w:highlight w:val="none"/>
        </w:rPr>
        <w:sectPr>
          <w:pgSz w:w="11907" w:h="16840"/>
          <w:pgMar w:top="1418" w:right="1134" w:bottom="1418" w:left="1701" w:header="851" w:footer="851" w:gutter="0"/>
          <w:cols w:space="720" w:num="1"/>
          <w:docGrid w:linePitch="462" w:charSpace="0"/>
        </w:sectPr>
      </w:pPr>
      <w:bookmarkStart w:id="815" w:name="_Toc99301424"/>
      <w:bookmarkStart w:id="909" w:name="_GoBack"/>
      <w:bookmarkEnd w:id="909"/>
    </w:p>
    <w:p>
      <w:pPr>
        <w:spacing w:line="360" w:lineRule="auto"/>
        <w:jc w:val="center"/>
        <w:outlineLvl w:val="0"/>
        <w:rPr>
          <w:b/>
          <w:sz w:val="36"/>
          <w:szCs w:val="36"/>
          <w:highlight w:val="none"/>
        </w:rPr>
      </w:pPr>
      <w:r>
        <w:rPr>
          <w:b/>
          <w:sz w:val="36"/>
          <w:szCs w:val="36"/>
          <w:highlight w:val="none"/>
        </w:rPr>
        <w:t>第五章   采购需求</w:t>
      </w:r>
      <w:bookmarkEnd w:id="815"/>
    </w:p>
    <w:p>
      <w:pPr>
        <w:spacing w:line="360" w:lineRule="auto"/>
        <w:contextualSpacing/>
        <w:rPr>
          <w:sz w:val="24"/>
          <w:highlight w:val="none"/>
        </w:rPr>
      </w:pPr>
      <w:r>
        <w:rPr>
          <w:sz w:val="24"/>
          <w:highlight w:val="none"/>
        </w:rPr>
        <w:t>说明：</w:t>
      </w:r>
    </w:p>
    <w:p>
      <w:pPr>
        <w:spacing w:line="360" w:lineRule="auto"/>
        <w:contextualSpacing/>
        <w:rPr>
          <w:sz w:val="24"/>
          <w:highlight w:val="none"/>
        </w:rPr>
      </w:pPr>
      <w:r>
        <w:rPr>
          <w:sz w:val="24"/>
          <w:highlight w:val="none"/>
        </w:rPr>
        <w:t>1. 当采购项目涉及数据中心相关设备、运维服务时，采购需求应当符合《绿色数据中心政府采购需求标准（试行）》（财库〔2023〕7号）的有关要求。</w:t>
      </w:r>
    </w:p>
    <w:p>
      <w:pPr>
        <w:spacing w:line="360" w:lineRule="auto"/>
        <w:contextualSpacing/>
        <w:rPr>
          <w:sz w:val="24"/>
          <w:highlight w:val="none"/>
        </w:rPr>
      </w:pPr>
      <w:r>
        <w:rPr>
          <w:sz w:val="24"/>
          <w:highlight w:val="none"/>
        </w:rPr>
        <w:t>2. 当采购项目涉及政务信息系统时，采购需求应当符合《政务信息系统政府采购管理暂行办法》（财库〔2017〕210号）的相关要求。</w:t>
      </w:r>
    </w:p>
    <w:p>
      <w:pPr>
        <w:spacing w:line="360" w:lineRule="auto"/>
        <w:contextualSpacing/>
        <w:rPr>
          <w:sz w:val="24"/>
          <w:highlight w:val="none"/>
        </w:rPr>
      </w:pPr>
    </w:p>
    <w:p>
      <w:pPr>
        <w:keepNext w:val="0"/>
        <w:keepLines w:val="0"/>
        <w:pageBreakBefore w:val="0"/>
        <w:kinsoku/>
        <w:wordWrap/>
        <w:overflowPunct/>
        <w:topLinePunct w:val="0"/>
        <w:autoSpaceDE/>
        <w:autoSpaceDN/>
        <w:bidi w:val="0"/>
        <w:adjustRightInd/>
        <w:snapToGrid/>
        <w:spacing w:line="360" w:lineRule="auto"/>
        <w:ind w:left="0" w:right="0" w:firstLine="474" w:firstLineChars="200"/>
        <w:textAlignment w:val="auto"/>
        <w:rPr>
          <w:rFonts w:hint="eastAsia" w:ascii="宋体" w:hAnsi="宋体" w:eastAsia="宋体" w:cs="宋体"/>
          <w:b/>
          <w:bCs/>
          <w:spacing w:val="-2"/>
          <w:sz w:val="24"/>
          <w:szCs w:val="24"/>
          <w:highlight w:val="none"/>
          <w:lang w:val="en-US" w:eastAsia="zh-CN"/>
        </w:rPr>
      </w:pPr>
      <w:r>
        <w:rPr>
          <w:rFonts w:hint="eastAsia" w:ascii="宋体" w:hAnsi="宋体" w:eastAsia="宋体" w:cs="宋体"/>
          <w:b/>
          <w:bCs/>
          <w:spacing w:val="-2"/>
          <w:sz w:val="24"/>
          <w:szCs w:val="24"/>
          <w:highlight w:val="none"/>
          <w:lang w:val="en-US" w:eastAsia="zh-CN"/>
        </w:rPr>
        <w:t>一、服务要求</w:t>
      </w:r>
    </w:p>
    <w:p>
      <w:pPr>
        <w:keepNext w:val="0"/>
        <w:keepLines w:val="0"/>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按照镇级工作</w:t>
      </w:r>
      <w:r>
        <w:rPr>
          <w:rFonts w:hint="eastAsia" w:ascii="宋体" w:hAnsi="宋体" w:eastAsia="宋体" w:cs="宋体"/>
          <w:spacing w:val="-4"/>
          <w:sz w:val="24"/>
          <w:szCs w:val="24"/>
          <w:highlight w:val="none"/>
        </w:rPr>
        <w:t>方</w:t>
      </w:r>
      <w:r>
        <w:rPr>
          <w:rFonts w:hint="eastAsia" w:ascii="宋体" w:hAnsi="宋体" w:eastAsia="宋体" w:cs="宋体"/>
          <w:spacing w:val="-3"/>
          <w:sz w:val="24"/>
          <w:szCs w:val="24"/>
          <w:highlight w:val="none"/>
        </w:rPr>
        <w:t>案， 对维修管理服务项目各阶段重点工作及相应内容进行明确。</w:t>
      </w:r>
    </w:p>
    <w:p>
      <w:pPr>
        <w:keepNext w:val="0"/>
        <w:keepLines w:val="0"/>
        <w:pageBreakBefore w:val="0"/>
        <w:kinsoku/>
        <w:wordWrap/>
        <w:overflowPunct/>
        <w:topLinePunct w:val="0"/>
        <w:autoSpaceDE/>
        <w:autoSpaceDN/>
        <w:bidi w:val="0"/>
        <w:adjustRightInd/>
        <w:snapToGrid/>
        <w:spacing w:line="360" w:lineRule="auto"/>
        <w:ind w:left="0" w:right="0" w:firstLine="496"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 办公场地设置。包含</w:t>
      </w:r>
      <w:r>
        <w:rPr>
          <w:rFonts w:hint="eastAsia" w:ascii="宋体" w:hAnsi="宋体" w:eastAsia="宋体" w:cs="宋体"/>
          <w:spacing w:val="3"/>
          <w:sz w:val="24"/>
          <w:szCs w:val="24"/>
          <w:highlight w:val="none"/>
        </w:rPr>
        <w:t>供</w:t>
      </w:r>
      <w:r>
        <w:rPr>
          <w:rFonts w:hint="eastAsia" w:ascii="宋体" w:hAnsi="宋体" w:eastAsia="宋体" w:cs="宋体"/>
          <w:spacing w:val="2"/>
          <w:sz w:val="24"/>
          <w:szCs w:val="24"/>
          <w:highlight w:val="none"/>
        </w:rPr>
        <w:t>暖中心报修电话设置(含报修座机及手机) ；标牌标识设</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置(大门口供暖</w:t>
      </w:r>
      <w:r>
        <w:rPr>
          <w:rFonts w:hint="eastAsia" w:ascii="宋体" w:hAnsi="宋体" w:eastAsia="宋体" w:cs="宋体"/>
          <w:spacing w:val="3"/>
          <w:sz w:val="24"/>
          <w:szCs w:val="24"/>
          <w:highlight w:val="none"/>
        </w:rPr>
        <w:t>中</w:t>
      </w:r>
      <w:r>
        <w:rPr>
          <w:rFonts w:hint="eastAsia" w:ascii="宋体" w:hAnsi="宋体" w:eastAsia="宋体" w:cs="宋体"/>
          <w:spacing w:val="2"/>
          <w:sz w:val="24"/>
          <w:szCs w:val="24"/>
          <w:highlight w:val="none"/>
        </w:rPr>
        <w:t>心、办公室、配件库房、维修室、接待室、生活区域等) ；制度上墙(报</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修流</w:t>
      </w:r>
      <w:r>
        <w:rPr>
          <w:rFonts w:hint="eastAsia" w:ascii="宋体" w:hAnsi="宋体" w:eastAsia="宋体" w:cs="宋体"/>
          <w:spacing w:val="-1"/>
          <w:sz w:val="24"/>
          <w:szCs w:val="24"/>
          <w:highlight w:val="none"/>
        </w:rPr>
        <w:t>程图、配件价格表、维修、接线员等岗位职责、职工守则、值班制度、维修工作流程、</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 xml:space="preserve">奖惩制度、车辆管理制度、空气源常见故障检测流程、工作纪律) ；维修材料配件储备 </w:t>
      </w:r>
      <w:r>
        <w:rPr>
          <w:rFonts w:hint="eastAsia" w:ascii="宋体" w:hAnsi="宋体" w:eastAsia="宋体" w:cs="宋体"/>
          <w:sz w:val="24"/>
          <w:szCs w:val="24"/>
          <w:highlight w:val="none"/>
        </w:rPr>
        <w:t xml:space="preserve">(按 </w:t>
      </w:r>
      <w:r>
        <w:rPr>
          <w:rFonts w:hint="eastAsia" w:ascii="宋体" w:hAnsi="宋体" w:eastAsia="宋体" w:cs="宋体"/>
          <w:spacing w:val="-6"/>
          <w:sz w:val="24"/>
          <w:szCs w:val="24"/>
          <w:highlight w:val="none"/>
        </w:rPr>
        <w:t>照实际原则上每种配件不少于 10 件，备用机 6 匹</w:t>
      </w:r>
      <w:r>
        <w:rPr>
          <w:rFonts w:hint="eastAsia" w:ascii="宋体" w:hAnsi="宋体" w:cs="宋体"/>
          <w:spacing w:val="-6"/>
          <w:sz w:val="24"/>
          <w:szCs w:val="24"/>
          <w:highlight w:val="none"/>
          <w:lang w:val="en-US" w:eastAsia="zh-CN"/>
        </w:rPr>
        <w:t>8</w:t>
      </w:r>
      <w:r>
        <w:rPr>
          <w:rFonts w:hint="eastAsia" w:ascii="宋体" w:hAnsi="宋体" w:eastAsia="宋体" w:cs="宋体"/>
          <w:spacing w:val="-6"/>
          <w:sz w:val="24"/>
          <w:szCs w:val="24"/>
          <w:highlight w:val="none"/>
        </w:rPr>
        <w:t xml:space="preserve"> 台)及管理情况</w:t>
      </w:r>
      <w:r>
        <w:rPr>
          <w:rFonts w:hint="eastAsia" w:ascii="宋体" w:hAnsi="宋体" w:eastAsia="宋体" w:cs="宋体"/>
          <w:spacing w:val="-3"/>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right="0" w:firstLine="484" w:firstLineChars="20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(二</w:t>
      </w:r>
      <w:r>
        <w:rPr>
          <w:rFonts w:hint="eastAsia" w:ascii="宋体" w:hAnsi="宋体" w:eastAsia="宋体" w:cs="宋体"/>
          <w:sz w:val="24"/>
          <w:szCs w:val="24"/>
          <w:highlight w:val="none"/>
        </w:rPr>
        <w:t xml:space="preserve">) 宣传材料入户工作。制作统一格式的宣传条幅、宣传牌、台历。巡检同时进行入 </w:t>
      </w:r>
      <w:r>
        <w:rPr>
          <w:rFonts w:hint="eastAsia" w:ascii="宋体" w:hAnsi="宋体" w:eastAsia="宋体" w:cs="宋体"/>
          <w:spacing w:val="-2"/>
          <w:sz w:val="24"/>
          <w:szCs w:val="24"/>
          <w:highlight w:val="none"/>
        </w:rPr>
        <w:t>户</w:t>
      </w:r>
      <w:r>
        <w:rPr>
          <w:rFonts w:hint="eastAsia" w:ascii="宋体" w:hAnsi="宋体" w:eastAsia="宋体" w:cs="宋体"/>
          <w:spacing w:val="-1"/>
          <w:sz w:val="24"/>
          <w:szCs w:val="24"/>
          <w:highlight w:val="none"/>
        </w:rPr>
        <w:t>发放并有签字记录。</w:t>
      </w:r>
    </w:p>
    <w:p>
      <w:pPr>
        <w:keepNext w:val="0"/>
        <w:keepLines w:val="0"/>
        <w:pageBreakBefore w:val="0"/>
        <w:kinsoku/>
        <w:wordWrap/>
        <w:overflowPunct/>
        <w:topLinePunct w:val="0"/>
        <w:autoSpaceDE/>
        <w:autoSpaceDN/>
        <w:bidi w:val="0"/>
        <w:adjustRightInd/>
        <w:snapToGrid/>
        <w:spacing w:line="360" w:lineRule="auto"/>
        <w:ind w:left="0" w:right="0" w:firstLine="496"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 巡检工作人员及车辆</w:t>
      </w:r>
      <w:r>
        <w:rPr>
          <w:rFonts w:hint="eastAsia" w:ascii="宋体" w:hAnsi="宋体" w:eastAsia="宋体" w:cs="宋体"/>
          <w:spacing w:val="3"/>
          <w:sz w:val="24"/>
          <w:szCs w:val="24"/>
          <w:highlight w:val="none"/>
        </w:rPr>
        <w:t>配</w:t>
      </w:r>
      <w:r>
        <w:rPr>
          <w:rFonts w:hint="eastAsia" w:ascii="宋体" w:hAnsi="宋体" w:eastAsia="宋体" w:cs="宋体"/>
          <w:spacing w:val="2"/>
          <w:sz w:val="24"/>
          <w:szCs w:val="24"/>
          <w:highlight w:val="none"/>
        </w:rPr>
        <w:t>置及到位情况(实际全天镇域内工作人员及服务用车辆到</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位数</w:t>
      </w:r>
      <w:r>
        <w:rPr>
          <w:rFonts w:hint="eastAsia" w:ascii="宋体" w:hAnsi="宋体" w:eastAsia="宋体" w:cs="宋体"/>
          <w:spacing w:val="-2"/>
          <w:sz w:val="24"/>
          <w:szCs w:val="24"/>
          <w:highlight w:val="none"/>
        </w:rPr>
        <w:t>量)</w:t>
      </w:r>
    </w:p>
    <w:p>
      <w:pPr>
        <w:keepNext w:val="0"/>
        <w:keepLines w:val="0"/>
        <w:pageBreakBefore w:val="0"/>
        <w:kinsoku/>
        <w:wordWrap/>
        <w:overflowPunct/>
        <w:topLinePunct w:val="0"/>
        <w:autoSpaceDE/>
        <w:autoSpaceDN/>
        <w:bidi w:val="0"/>
        <w:adjustRightInd/>
        <w:snapToGrid/>
        <w:spacing w:line="360" w:lineRule="auto"/>
        <w:ind w:left="0" w:right="0" w:firstLine="504"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(四) 服</w:t>
      </w:r>
      <w:r>
        <w:rPr>
          <w:rFonts w:hint="eastAsia" w:ascii="宋体" w:hAnsi="宋体" w:eastAsia="宋体" w:cs="宋体"/>
          <w:spacing w:val="4"/>
          <w:sz w:val="24"/>
          <w:szCs w:val="24"/>
          <w:highlight w:val="none"/>
        </w:rPr>
        <w:t>务</w:t>
      </w:r>
      <w:r>
        <w:rPr>
          <w:rFonts w:hint="eastAsia" w:ascii="宋体" w:hAnsi="宋体" w:eastAsia="宋体" w:cs="宋体"/>
          <w:spacing w:val="3"/>
          <w:sz w:val="24"/>
          <w:szCs w:val="24"/>
          <w:highlight w:val="none"/>
        </w:rPr>
        <w:t>态度、服务成效等镇级及以上投诉。</w:t>
      </w:r>
    </w:p>
    <w:p>
      <w:pPr>
        <w:keepNext w:val="0"/>
        <w:keepLines w:val="0"/>
        <w:pageBreakBefore w:val="0"/>
        <w:kinsoku/>
        <w:wordWrap/>
        <w:overflowPunct/>
        <w:topLinePunct w:val="0"/>
        <w:autoSpaceDE/>
        <w:autoSpaceDN/>
        <w:bidi w:val="0"/>
        <w:adjustRightInd/>
        <w:snapToGrid/>
        <w:spacing w:line="360" w:lineRule="auto"/>
        <w:ind w:left="0" w:right="0" w:firstLine="456"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(五) 维修人员入</w:t>
      </w:r>
      <w:r>
        <w:rPr>
          <w:rFonts w:hint="eastAsia" w:ascii="宋体" w:hAnsi="宋体" w:eastAsia="宋体" w:cs="宋体"/>
          <w:spacing w:val="-5"/>
          <w:sz w:val="24"/>
          <w:szCs w:val="24"/>
          <w:highlight w:val="none"/>
        </w:rPr>
        <w:t>户</w:t>
      </w:r>
      <w:r>
        <w:rPr>
          <w:rFonts w:hint="eastAsia" w:ascii="宋体" w:hAnsi="宋体" w:eastAsia="宋体" w:cs="宋体"/>
          <w:spacing w:val="-3"/>
          <w:sz w:val="24"/>
          <w:szCs w:val="24"/>
          <w:highlight w:val="none"/>
        </w:rPr>
        <w:t>须知。统一着装</w:t>
      </w:r>
      <w:r>
        <w:rPr>
          <w:rFonts w:hint="eastAsia" w:ascii="宋体" w:hAnsi="宋体" w:cs="宋体"/>
          <w:spacing w:val="-3"/>
          <w:sz w:val="24"/>
          <w:szCs w:val="24"/>
          <w:highlight w:val="none"/>
          <w:lang w:val="en-US" w:eastAsia="zh-CN"/>
        </w:rPr>
        <w:t>庞各庄镇</w:t>
      </w:r>
      <w:r>
        <w:rPr>
          <w:rFonts w:hint="eastAsia" w:ascii="宋体" w:hAnsi="宋体" w:eastAsia="宋体" w:cs="宋体"/>
          <w:spacing w:val="-3"/>
          <w:sz w:val="24"/>
          <w:szCs w:val="24"/>
          <w:highlight w:val="none"/>
        </w:rPr>
        <w:t>供暖服务中心工作服，衣着得体。入户过程中，</w:t>
      </w:r>
      <w:r>
        <w:rPr>
          <w:rFonts w:hint="eastAsia" w:ascii="宋体" w:hAnsi="宋体" w:eastAsia="宋体" w:cs="宋体"/>
          <w:sz w:val="24"/>
          <w:szCs w:val="24"/>
          <w:highlight w:val="none"/>
        </w:rPr>
        <w:t xml:space="preserve"> </w:t>
      </w:r>
      <w:r>
        <w:rPr>
          <w:rFonts w:hint="eastAsia" w:ascii="宋体" w:hAnsi="宋体" w:eastAsia="宋体" w:cs="宋体"/>
          <w:spacing w:val="-18"/>
          <w:sz w:val="24"/>
          <w:szCs w:val="24"/>
          <w:highlight w:val="none"/>
        </w:rPr>
        <w:t>未经户</w:t>
      </w:r>
      <w:r>
        <w:rPr>
          <w:rFonts w:hint="eastAsia" w:ascii="宋体" w:hAnsi="宋体" w:eastAsia="宋体" w:cs="宋体"/>
          <w:spacing w:val="-11"/>
          <w:sz w:val="24"/>
          <w:szCs w:val="24"/>
          <w:highlight w:val="none"/>
        </w:rPr>
        <w:t>主</w:t>
      </w:r>
      <w:r>
        <w:rPr>
          <w:rFonts w:hint="eastAsia" w:ascii="宋体" w:hAnsi="宋体" w:eastAsia="宋体" w:cs="宋体"/>
          <w:spacing w:val="-9"/>
          <w:sz w:val="24"/>
          <w:szCs w:val="24"/>
          <w:highlight w:val="none"/>
        </w:rPr>
        <w:t>同意， 不得擅自入内； 维修过程中禁止做出与维修工作不相符的行为； 维修工作完</w:t>
      </w:r>
      <w:r>
        <w:rPr>
          <w:rFonts w:hint="eastAsia" w:ascii="宋体" w:hAnsi="宋体" w:eastAsia="宋体" w:cs="宋体"/>
          <w:sz w:val="24"/>
          <w:szCs w:val="24"/>
          <w:highlight w:val="none"/>
        </w:rPr>
        <w:t xml:space="preserve"> </w:t>
      </w:r>
      <w:r>
        <w:rPr>
          <w:rFonts w:hint="eastAsia" w:ascii="宋体" w:hAnsi="宋体" w:eastAsia="宋体" w:cs="宋体"/>
          <w:spacing w:val="-18"/>
          <w:sz w:val="24"/>
          <w:szCs w:val="24"/>
          <w:highlight w:val="none"/>
        </w:rPr>
        <w:t>成后，</w:t>
      </w:r>
      <w:r>
        <w:rPr>
          <w:rFonts w:hint="eastAsia" w:ascii="宋体" w:hAnsi="宋体" w:eastAsia="宋体" w:cs="宋体"/>
          <w:spacing w:val="-12"/>
          <w:sz w:val="24"/>
          <w:szCs w:val="24"/>
          <w:highlight w:val="none"/>
        </w:rPr>
        <w:t xml:space="preserve"> </w:t>
      </w:r>
      <w:r>
        <w:rPr>
          <w:rFonts w:hint="eastAsia" w:ascii="宋体" w:hAnsi="宋体" w:eastAsia="宋体" w:cs="宋体"/>
          <w:spacing w:val="-9"/>
          <w:sz w:val="24"/>
          <w:szCs w:val="24"/>
          <w:highlight w:val="none"/>
        </w:rPr>
        <w:t>及时告知户主维修结果， 清扫维修现场， 保持户内卫生。待户主确认签字后方可撤出</w:t>
      </w:r>
      <w:r>
        <w:rPr>
          <w:rFonts w:hint="eastAsia" w:ascii="宋体" w:hAnsi="宋体" w:eastAsia="宋体" w:cs="宋体"/>
          <w:sz w:val="24"/>
          <w:szCs w:val="24"/>
          <w:highlight w:val="none"/>
        </w:rPr>
        <w:t xml:space="preserve"> </w:t>
      </w:r>
      <w:r>
        <w:rPr>
          <w:rFonts w:hint="eastAsia" w:ascii="宋体" w:hAnsi="宋体" w:eastAsia="宋体" w:cs="宋体"/>
          <w:spacing w:val="-12"/>
          <w:sz w:val="24"/>
          <w:szCs w:val="24"/>
          <w:highlight w:val="none"/>
        </w:rPr>
        <w:t>现</w:t>
      </w:r>
      <w:r>
        <w:rPr>
          <w:rFonts w:hint="eastAsia" w:ascii="宋体" w:hAnsi="宋体" w:eastAsia="宋体" w:cs="宋体"/>
          <w:spacing w:val="-9"/>
          <w:sz w:val="24"/>
          <w:szCs w:val="24"/>
          <w:highlight w:val="none"/>
        </w:rPr>
        <w:t>场， 禁止在户内多做停留。</w:t>
      </w:r>
    </w:p>
    <w:p>
      <w:pPr>
        <w:keepNext w:val="0"/>
        <w:keepLines w:val="0"/>
        <w:pageBreakBefore w:val="0"/>
        <w:kinsoku/>
        <w:wordWrap/>
        <w:overflowPunct/>
        <w:topLinePunct w:val="0"/>
        <w:autoSpaceDE/>
        <w:autoSpaceDN/>
        <w:bidi w:val="0"/>
        <w:adjustRightInd/>
        <w:snapToGrid/>
        <w:spacing w:line="360" w:lineRule="auto"/>
        <w:ind w:left="0" w:right="0" w:firstLine="470" w:firstLineChars="200"/>
        <w:textAlignment w:val="auto"/>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二</w:t>
      </w:r>
      <w:r>
        <w:rPr>
          <w:rFonts w:hint="eastAsia" w:ascii="宋体" w:hAnsi="宋体" w:eastAsia="宋体" w:cs="宋体"/>
          <w:b/>
          <w:bCs/>
          <w:spacing w:val="-2"/>
          <w:sz w:val="24"/>
          <w:szCs w:val="24"/>
          <w:highlight w:val="none"/>
        </w:rPr>
        <w:t>、冬季供暖期间</w:t>
      </w:r>
    </w:p>
    <w:p>
      <w:pPr>
        <w:keepNext w:val="0"/>
        <w:keepLines w:val="0"/>
        <w:pageBreakBefore w:val="0"/>
        <w:kinsoku/>
        <w:wordWrap/>
        <w:overflowPunct/>
        <w:topLinePunct w:val="0"/>
        <w:autoSpaceDE/>
        <w:autoSpaceDN/>
        <w:bidi w:val="0"/>
        <w:adjustRightInd/>
        <w:snapToGrid/>
        <w:spacing w:line="360" w:lineRule="auto"/>
        <w:ind w:left="0" w:right="0" w:firstLine="504"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w:t>
      </w:r>
      <w:r>
        <w:rPr>
          <w:rFonts w:hint="eastAsia" w:ascii="宋体" w:hAnsi="宋体" w:eastAsia="宋体" w:cs="宋体"/>
          <w:spacing w:val="5"/>
          <w:sz w:val="24"/>
          <w:szCs w:val="24"/>
          <w:highlight w:val="none"/>
        </w:rPr>
        <w:t>一) 质保期</w:t>
      </w:r>
      <w:r>
        <w:rPr>
          <w:rFonts w:hint="eastAsia" w:ascii="宋体" w:hAnsi="宋体" w:cs="宋体"/>
          <w:spacing w:val="5"/>
          <w:sz w:val="24"/>
          <w:szCs w:val="24"/>
          <w:highlight w:val="none"/>
          <w:lang w:eastAsia="zh-CN"/>
        </w:rPr>
        <w:t>外</w:t>
      </w:r>
      <w:r>
        <w:rPr>
          <w:rFonts w:hint="eastAsia" w:ascii="宋体" w:hAnsi="宋体" w:eastAsia="宋体" w:cs="宋体"/>
          <w:spacing w:val="5"/>
          <w:sz w:val="24"/>
          <w:szCs w:val="24"/>
          <w:highlight w:val="none"/>
        </w:rPr>
        <w:t>设备维修工作考核内容。</w:t>
      </w:r>
    </w:p>
    <w:p>
      <w:pPr>
        <w:keepNext w:val="0"/>
        <w:keepLines w:val="0"/>
        <w:pageBreakBefore w:val="0"/>
        <w:kinsoku/>
        <w:wordWrap/>
        <w:overflowPunct/>
        <w:topLinePunct w:val="0"/>
        <w:autoSpaceDE/>
        <w:autoSpaceDN/>
        <w:bidi w:val="0"/>
        <w:adjustRightInd/>
        <w:snapToGrid/>
        <w:spacing w:line="360" w:lineRule="auto"/>
        <w:ind w:left="0" w:right="0" w:firstLine="496"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1、维修人</w:t>
      </w:r>
      <w:r>
        <w:rPr>
          <w:rFonts w:hint="eastAsia" w:ascii="宋体" w:hAnsi="宋体" w:eastAsia="宋体" w:cs="宋体"/>
          <w:spacing w:val="3"/>
          <w:sz w:val="24"/>
          <w:szCs w:val="24"/>
          <w:highlight w:val="none"/>
        </w:rPr>
        <w:t>员</w:t>
      </w:r>
      <w:r>
        <w:rPr>
          <w:rFonts w:hint="eastAsia" w:ascii="宋体" w:hAnsi="宋体" w:eastAsia="宋体" w:cs="宋体"/>
          <w:spacing w:val="2"/>
          <w:sz w:val="24"/>
          <w:szCs w:val="24"/>
          <w:highlight w:val="none"/>
        </w:rPr>
        <w:t>车辆配置及实际到位情况(实际全天镇域内工作人员及服务用车辆到位数</w:t>
      </w:r>
      <w:r>
        <w:rPr>
          <w:rFonts w:hint="eastAsia" w:ascii="宋体" w:hAnsi="宋体" w:eastAsia="宋体" w:cs="宋体"/>
          <w:sz w:val="24"/>
          <w:szCs w:val="24"/>
          <w:highlight w:val="none"/>
        </w:rPr>
        <w:t xml:space="preserve"> </w:t>
      </w:r>
      <w:r>
        <w:rPr>
          <w:rFonts w:hint="eastAsia" w:ascii="宋体" w:hAnsi="宋体" w:eastAsia="宋体" w:cs="宋体"/>
          <w:spacing w:val="15"/>
          <w:sz w:val="24"/>
          <w:szCs w:val="24"/>
          <w:highlight w:val="none"/>
        </w:rPr>
        <w:t>量)</w:t>
      </w:r>
      <w:r>
        <w:rPr>
          <w:rFonts w:hint="eastAsia" w:ascii="宋体" w:hAnsi="宋体" w:eastAsia="宋体" w:cs="宋体"/>
          <w:spacing w:val="14"/>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right="0" w:firstLine="440" w:firstLineChars="20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2、</w:t>
      </w:r>
      <w:r>
        <w:rPr>
          <w:rFonts w:hint="eastAsia" w:ascii="宋体" w:hAnsi="宋体" w:eastAsia="宋体" w:cs="宋体"/>
          <w:spacing w:val="-5"/>
          <w:sz w:val="24"/>
          <w:szCs w:val="24"/>
          <w:highlight w:val="none"/>
        </w:rPr>
        <w:t>全天 24 小时报修电话的接听处理；</w:t>
      </w:r>
    </w:p>
    <w:p>
      <w:pPr>
        <w:keepNext w:val="0"/>
        <w:keepLines w:val="0"/>
        <w:pageBreakBefore w:val="0"/>
        <w:kinsoku/>
        <w:wordWrap/>
        <w:overflowPunct/>
        <w:topLinePunct w:val="0"/>
        <w:autoSpaceDE/>
        <w:autoSpaceDN/>
        <w:bidi w:val="0"/>
        <w:adjustRightInd/>
        <w:snapToGrid/>
        <w:spacing w:line="360" w:lineRule="auto"/>
        <w:ind w:left="0" w:right="0" w:firstLine="444" w:firstLineChars="200"/>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3、维修响应速度。故障报修 1 小时上门， 一般问题 2 小时解决问题。</w:t>
      </w:r>
    </w:p>
    <w:p>
      <w:pPr>
        <w:keepNext w:val="0"/>
        <w:keepLines w:val="0"/>
        <w:pageBreakBefore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4、物资储备情况，现场维修工具、配</w:t>
      </w:r>
      <w:r>
        <w:rPr>
          <w:rFonts w:hint="eastAsia" w:ascii="宋体" w:hAnsi="宋体" w:eastAsia="宋体" w:cs="宋体"/>
          <w:sz w:val="24"/>
          <w:szCs w:val="24"/>
          <w:highlight w:val="none"/>
        </w:rPr>
        <w:t>件库存情况。</w:t>
      </w:r>
    </w:p>
    <w:p>
      <w:pPr>
        <w:keepNext w:val="0"/>
        <w:keepLines w:val="0"/>
        <w:pageBreakBefore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w:t>
      </w:r>
      <w:r>
        <w:rPr>
          <w:rFonts w:hint="eastAsia" w:ascii="宋体" w:hAnsi="宋体" w:eastAsia="宋体" w:cs="宋体"/>
          <w:spacing w:val="-3"/>
          <w:sz w:val="24"/>
          <w:szCs w:val="24"/>
          <w:highlight w:val="none"/>
        </w:rPr>
        <w:t>维</w:t>
      </w:r>
      <w:r>
        <w:rPr>
          <w:rFonts w:hint="eastAsia" w:ascii="宋体" w:hAnsi="宋体" w:eastAsia="宋体" w:cs="宋体"/>
          <w:spacing w:val="-2"/>
          <w:sz w:val="24"/>
          <w:szCs w:val="24"/>
          <w:highlight w:val="none"/>
        </w:rPr>
        <w:t>修服务态度。</w:t>
      </w:r>
    </w:p>
    <w:p>
      <w:pPr>
        <w:keepNext w:val="0"/>
        <w:keepLines w:val="0"/>
        <w:pageBreakBefore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6</w:t>
      </w:r>
      <w:r>
        <w:rPr>
          <w:rFonts w:hint="eastAsia" w:ascii="宋体" w:hAnsi="宋体" w:eastAsia="宋体" w:cs="宋体"/>
          <w:spacing w:val="-3"/>
          <w:sz w:val="24"/>
          <w:szCs w:val="24"/>
          <w:highlight w:val="none"/>
        </w:rPr>
        <w:t>、</w:t>
      </w:r>
      <w:r>
        <w:rPr>
          <w:rFonts w:hint="eastAsia" w:ascii="宋体" w:hAnsi="宋体" w:eastAsia="宋体" w:cs="宋体"/>
          <w:spacing w:val="-2"/>
          <w:sz w:val="24"/>
          <w:szCs w:val="24"/>
          <w:highlight w:val="none"/>
        </w:rPr>
        <w:t>故障排除结果。</w:t>
      </w:r>
    </w:p>
    <w:p>
      <w:pPr>
        <w:keepNext w:val="0"/>
        <w:keepLines w:val="0"/>
        <w:pageBreakBefore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7、</w:t>
      </w:r>
      <w:r>
        <w:rPr>
          <w:rFonts w:hint="eastAsia" w:ascii="宋体" w:hAnsi="宋体" w:eastAsia="宋体" w:cs="宋体"/>
          <w:spacing w:val="-1"/>
          <w:sz w:val="24"/>
          <w:szCs w:val="24"/>
          <w:highlight w:val="none"/>
        </w:rPr>
        <w:t>维修满意度。</w:t>
      </w:r>
    </w:p>
    <w:p>
      <w:pPr>
        <w:keepNext w:val="0"/>
        <w:keepLines w:val="0"/>
        <w:pageBreakBefore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供暖期间考核内容按照回访反馈、镇级及以上投诉按项扣分 1 分/次</w:t>
      </w:r>
      <w:r>
        <w:rPr>
          <w:rFonts w:hint="eastAsia" w:ascii="宋体" w:hAnsi="宋体" w:eastAsia="宋体" w:cs="宋体"/>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明</w:t>
      </w:r>
      <w:r>
        <w:rPr>
          <w:rFonts w:hint="eastAsia" w:ascii="宋体" w:hAnsi="宋体" w:eastAsia="宋体" w:cs="宋体"/>
          <w:spacing w:val="-3"/>
          <w:sz w:val="24"/>
          <w:szCs w:val="24"/>
          <w:highlight w:val="none"/>
        </w:rPr>
        <w:t>确本供暖季更换配件保质期，并张贴标明更换配件时间的维修标签，告知户内供暖居</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民</w:t>
      </w:r>
      <w:r>
        <w:rPr>
          <w:rFonts w:hint="eastAsia" w:ascii="宋体" w:hAnsi="宋体" w:eastAsia="宋体" w:cs="宋体"/>
          <w:spacing w:val="-2"/>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right="0" w:firstLine="432" w:firstLineChars="200"/>
        <w:textAlignment w:val="auto"/>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供暖季结</w:t>
      </w:r>
      <w:r>
        <w:rPr>
          <w:rFonts w:hint="eastAsia" w:ascii="宋体" w:hAnsi="宋体" w:eastAsia="宋体" w:cs="宋体"/>
          <w:spacing w:val="-6"/>
          <w:sz w:val="24"/>
          <w:szCs w:val="24"/>
          <w:highlight w:val="none"/>
        </w:rPr>
        <w:t>束前， 针对本供暖季， 户内供暖居民实际花费≥700 元用户进行上门回访。</w:t>
      </w:r>
    </w:p>
    <w:p>
      <w:pPr>
        <w:keepNext w:val="0"/>
        <w:keepLines w:val="0"/>
        <w:pageBreakBefore w:val="0"/>
        <w:kinsoku/>
        <w:wordWrap/>
        <w:overflowPunct/>
        <w:topLinePunct w:val="0"/>
        <w:autoSpaceDE/>
        <w:autoSpaceDN/>
        <w:bidi w:val="0"/>
        <w:adjustRightInd/>
        <w:snapToGrid/>
        <w:spacing w:line="360" w:lineRule="auto"/>
        <w:ind w:left="0" w:right="0" w:firstLine="512" w:firstLineChars="200"/>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(二)</w:t>
      </w:r>
      <w:r>
        <w:rPr>
          <w:rFonts w:hint="eastAsia" w:ascii="宋体" w:hAnsi="宋体" w:eastAsia="宋体" w:cs="宋体"/>
          <w:spacing w:val="5"/>
          <w:sz w:val="24"/>
          <w:szCs w:val="24"/>
          <w:highlight w:val="none"/>
        </w:rPr>
        <w:t xml:space="preserve"> </w:t>
      </w:r>
      <w:r>
        <w:rPr>
          <w:rFonts w:hint="eastAsia" w:ascii="宋体" w:hAnsi="宋体" w:eastAsia="宋体" w:cs="宋体"/>
          <w:spacing w:val="4"/>
          <w:sz w:val="24"/>
          <w:szCs w:val="24"/>
          <w:highlight w:val="none"/>
        </w:rPr>
        <w:t>质保期内企业维修监管工作。</w:t>
      </w:r>
    </w:p>
    <w:p>
      <w:pPr>
        <w:keepNext w:val="0"/>
        <w:keepLines w:val="0"/>
        <w:pageBreakBefore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1、人员车辆配置。专人专责专车实际到位情</w:t>
      </w:r>
      <w:r>
        <w:rPr>
          <w:rFonts w:hint="eastAsia" w:ascii="宋体" w:hAnsi="宋体" w:eastAsia="宋体" w:cs="宋体"/>
          <w:sz w:val="24"/>
          <w:szCs w:val="24"/>
          <w:highlight w:val="none"/>
        </w:rPr>
        <w:t>况。</w:t>
      </w:r>
    </w:p>
    <w:p>
      <w:pPr>
        <w:keepNext w:val="0"/>
        <w:keepLines w:val="0"/>
        <w:pageBreakBefore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2、代表政府协调质保期内企对投诉问题的及时处理情况</w:t>
      </w:r>
      <w:r>
        <w:rPr>
          <w:rFonts w:hint="eastAsia" w:ascii="宋体" w:hAnsi="宋体" w:eastAsia="宋体" w:cs="宋体"/>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3、镇政府交办的其他</w:t>
      </w:r>
      <w:r>
        <w:rPr>
          <w:rFonts w:hint="eastAsia" w:ascii="宋体" w:hAnsi="宋体" w:eastAsia="宋体" w:cs="宋体"/>
          <w:sz w:val="24"/>
          <w:szCs w:val="24"/>
          <w:highlight w:val="none"/>
        </w:rPr>
        <w:t>事项。</w:t>
      </w:r>
    </w:p>
    <w:p>
      <w:pPr>
        <w:keepNext w:val="0"/>
        <w:keepLines w:val="0"/>
        <w:pageBreakBefore w:val="0"/>
        <w:kinsoku/>
        <w:wordWrap/>
        <w:overflowPunct/>
        <w:topLinePunct w:val="0"/>
        <w:autoSpaceDE/>
        <w:autoSpaceDN/>
        <w:bidi w:val="0"/>
        <w:adjustRightInd/>
        <w:snapToGrid/>
        <w:spacing w:line="360" w:lineRule="auto"/>
        <w:ind w:left="0" w:right="0" w:firstLine="470" w:firstLineChars="200"/>
        <w:textAlignment w:val="auto"/>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三</w:t>
      </w:r>
      <w:r>
        <w:rPr>
          <w:rFonts w:hint="eastAsia" w:ascii="宋体" w:hAnsi="宋体" w:eastAsia="宋体" w:cs="宋体"/>
          <w:b/>
          <w:bCs/>
          <w:spacing w:val="-2"/>
          <w:sz w:val="24"/>
          <w:szCs w:val="24"/>
          <w:highlight w:val="none"/>
        </w:rPr>
        <w:t>、冬季供暖期外</w:t>
      </w:r>
    </w:p>
    <w:p>
      <w:pPr>
        <w:keepNext w:val="0"/>
        <w:keepLines w:val="0"/>
        <w:pageBreakBefore w:val="0"/>
        <w:kinsoku/>
        <w:wordWrap/>
        <w:overflowPunct/>
        <w:topLinePunct w:val="0"/>
        <w:autoSpaceDE/>
        <w:autoSpaceDN/>
        <w:bidi w:val="0"/>
        <w:adjustRightInd/>
        <w:snapToGrid/>
        <w:spacing w:line="360" w:lineRule="auto"/>
        <w:ind w:left="0" w:right="0" w:firstLine="512" w:firstLineChars="200"/>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7"/>
          <w:sz w:val="24"/>
          <w:szCs w:val="24"/>
          <w:highlight w:val="none"/>
        </w:rPr>
        <w:t>一</w:t>
      </w:r>
      <w:r>
        <w:rPr>
          <w:rFonts w:hint="eastAsia" w:ascii="宋体" w:hAnsi="宋体" w:eastAsia="宋体" w:cs="宋体"/>
          <w:spacing w:val="4"/>
          <w:sz w:val="24"/>
          <w:szCs w:val="24"/>
          <w:highlight w:val="none"/>
        </w:rPr>
        <w:t>) 应急维修及极端恶劣天气对设备的巡检。</w:t>
      </w:r>
    </w:p>
    <w:p>
      <w:pPr>
        <w:keepNext w:val="0"/>
        <w:keepLines w:val="0"/>
        <w:pageBreakBefore w:val="0"/>
        <w:kinsoku/>
        <w:wordWrap/>
        <w:overflowPunct/>
        <w:topLinePunct w:val="0"/>
        <w:autoSpaceDE/>
        <w:autoSpaceDN/>
        <w:bidi w:val="0"/>
        <w:adjustRightInd/>
        <w:snapToGrid/>
        <w:spacing w:line="360" w:lineRule="auto"/>
        <w:ind w:left="0" w:right="0" w:firstLine="512" w:firstLineChars="200"/>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7"/>
          <w:sz w:val="24"/>
          <w:szCs w:val="24"/>
          <w:highlight w:val="none"/>
        </w:rPr>
        <w:t>二</w:t>
      </w:r>
      <w:r>
        <w:rPr>
          <w:rFonts w:hint="eastAsia" w:ascii="宋体" w:hAnsi="宋体" w:eastAsia="宋体" w:cs="宋体"/>
          <w:spacing w:val="4"/>
          <w:sz w:val="24"/>
          <w:szCs w:val="24"/>
          <w:highlight w:val="none"/>
        </w:rPr>
        <w:t>) 服务态度、服务成效等镇级及以上投诉。</w:t>
      </w:r>
    </w:p>
    <w:p>
      <w:pPr>
        <w:keepNext w:val="0"/>
        <w:keepLines w:val="0"/>
        <w:pageBreakBefore w:val="0"/>
        <w:kinsoku/>
        <w:wordWrap/>
        <w:overflowPunct/>
        <w:topLinePunct w:val="0"/>
        <w:autoSpaceDE/>
        <w:autoSpaceDN/>
        <w:bidi w:val="0"/>
        <w:adjustRightInd/>
        <w:snapToGrid/>
        <w:spacing w:line="360" w:lineRule="auto"/>
        <w:ind w:left="0" w:right="0" w:firstLine="398" w:firstLineChars="200"/>
        <w:textAlignment w:val="auto"/>
        <w:rPr>
          <w:rFonts w:hint="eastAsia" w:ascii="宋体" w:hAnsi="宋体" w:eastAsia="宋体" w:cs="宋体"/>
          <w:b/>
          <w:bCs/>
          <w:sz w:val="24"/>
          <w:szCs w:val="24"/>
          <w:highlight w:val="none"/>
        </w:rPr>
      </w:pPr>
      <w:r>
        <w:rPr>
          <w:rFonts w:hint="eastAsia" w:ascii="宋体" w:hAnsi="宋体" w:eastAsia="宋体" w:cs="宋体"/>
          <w:b/>
          <w:bCs/>
          <w:spacing w:val="-21"/>
          <w:sz w:val="24"/>
          <w:szCs w:val="24"/>
          <w:highlight w:val="none"/>
        </w:rPr>
        <w:t>四</w:t>
      </w:r>
      <w:r>
        <w:rPr>
          <w:rFonts w:hint="eastAsia" w:ascii="宋体" w:hAnsi="宋体" w:eastAsia="宋体" w:cs="宋体"/>
          <w:b/>
          <w:bCs/>
          <w:spacing w:val="-20"/>
          <w:sz w:val="24"/>
          <w:szCs w:val="24"/>
          <w:highlight w:val="none"/>
        </w:rPr>
        <w:t>、 服务期限</w:t>
      </w:r>
    </w:p>
    <w:p>
      <w:pPr>
        <w:keepNext w:val="0"/>
        <w:keepLines w:val="0"/>
        <w:pageBreakBefore w:val="0"/>
        <w:kinsoku/>
        <w:wordWrap/>
        <w:overflowPunct/>
        <w:topLinePunct w:val="0"/>
        <w:autoSpaceDE/>
        <w:autoSpaceDN/>
        <w:bidi w:val="0"/>
        <w:adjustRightInd/>
        <w:snapToGrid/>
        <w:spacing w:line="360" w:lineRule="auto"/>
        <w:ind w:right="0" w:firstLine="630" w:firstLineChars="300"/>
        <w:textAlignment w:val="auto"/>
        <w:rPr>
          <w:rFonts w:hint="eastAsia" w:ascii="宋体" w:hAnsi="宋体" w:eastAsia="宋体" w:cs="宋体"/>
          <w:spacing w:val="-11"/>
          <w:sz w:val="24"/>
          <w:szCs w:val="24"/>
          <w:highlight w:val="none"/>
        </w:rPr>
      </w:pPr>
      <w:r>
        <w:rPr>
          <w:rFonts w:hint="eastAsia" w:ascii="宋体" w:hAnsi="宋体" w:eastAsia="宋体" w:cs="宋体"/>
          <w:spacing w:val="-15"/>
          <w:sz w:val="24"/>
          <w:szCs w:val="24"/>
          <w:highlight w:val="none"/>
          <w:lang w:val="en-US" w:eastAsia="zh-CN"/>
        </w:rPr>
        <w:t>6.5个月</w:t>
      </w:r>
      <w:r>
        <w:rPr>
          <w:rFonts w:hint="eastAsia" w:ascii="宋体" w:hAnsi="宋体" w:eastAsia="宋体" w:cs="宋体"/>
          <w:spacing w:val="-11"/>
          <w:sz w:val="24"/>
          <w:szCs w:val="24"/>
          <w:highlight w:val="none"/>
        </w:rPr>
        <w:t>， 自签订合同之日起生效。</w:t>
      </w:r>
    </w:p>
    <w:p>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right="0" w:firstLine="241" w:firstLineChars="1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五、服务地点及户数明细</w:t>
      </w:r>
    </w:p>
    <w:tbl>
      <w:tblPr>
        <w:tblStyle w:val="4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14"/>
        <w:gridCol w:w="738"/>
        <w:gridCol w:w="1020"/>
        <w:gridCol w:w="1178"/>
        <w:gridCol w:w="1117"/>
        <w:gridCol w:w="968"/>
        <w:gridCol w:w="987"/>
        <w:gridCol w:w="7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60"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lang w:val="en-US" w:eastAsia="zh-CN"/>
              </w:rPr>
            </w:pPr>
            <w:r>
              <w:rPr>
                <w:rFonts w:hint="default"/>
                <w:bCs/>
                <w:szCs w:val="21"/>
                <w:highlight w:val="none"/>
              </w:rPr>
              <w:t>标的名称</w:t>
            </w:r>
          </w:p>
        </w:tc>
        <w:tc>
          <w:tcPr>
            <w:tcW w:w="43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序号</w:t>
            </w:r>
          </w:p>
        </w:tc>
        <w:tc>
          <w:tcPr>
            <w:tcW w:w="5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村名</w:t>
            </w:r>
          </w:p>
        </w:tc>
        <w:tc>
          <w:tcPr>
            <w:tcW w:w="1908" w:type="pct"/>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取暖设备质保期外户数</w:t>
            </w:r>
          </w:p>
        </w:tc>
        <w:tc>
          <w:tcPr>
            <w:tcW w:w="1002" w:type="pct"/>
            <w:gridSpan w:val="2"/>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取暖设备质保期内户数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60"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煤改电质保期外(空气源)户数</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煤改电质保期外(蓄能)户数</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煤改气质保期外户数</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煤改电质保期内户数</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bCs/>
                <w:szCs w:val="21"/>
                <w:highlight w:val="none"/>
                <w:lang w:val="en-US" w:eastAsia="zh-CN"/>
              </w:rPr>
            </w:pPr>
            <w:r>
              <w:rPr>
                <w:rFonts w:hint="eastAsia"/>
                <w:bCs/>
                <w:szCs w:val="21"/>
                <w:highlight w:val="none"/>
                <w:lang w:eastAsia="zh-CN"/>
              </w:rPr>
              <w:t>庞各庄镇2023-2024年农村地区“煤改清洁能源”长效管护项目</w:t>
            </w:r>
            <w:r>
              <w:rPr>
                <w:rFonts w:hint="eastAsia"/>
                <w:bCs/>
                <w:szCs w:val="21"/>
                <w:highlight w:val="none"/>
                <w:lang w:val="en-US" w:eastAsia="zh-CN"/>
              </w:rPr>
              <w:t>第一包</w:t>
            </w:r>
          </w:p>
          <w:p>
            <w:pPr>
              <w:pStyle w:val="2"/>
              <w:keepNext w:val="0"/>
              <w:keepLines w:val="0"/>
              <w:suppressLineNumbers w:val="0"/>
              <w:spacing w:before="0" w:beforeAutospacing="0" w:after="0" w:afterAutospacing="0"/>
              <w:ind w:left="0" w:right="0"/>
              <w:rPr>
                <w:rFonts w:hint="eastAsia"/>
                <w:highlight w:val="none"/>
              </w:rPr>
            </w:pPr>
            <w:r>
              <w:rPr>
                <w:rFonts w:hint="eastAsia"/>
                <w:bCs/>
                <w:szCs w:val="21"/>
                <w:highlight w:val="none"/>
                <w:lang w:val="en-US" w:eastAsia="zh-CN"/>
              </w:rPr>
              <w:t>（预算金额：139万元）</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北李渠</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106</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南李渠</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193</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孙场</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102</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加录垡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160</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东义堂</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326</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西义堂</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148</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南元子</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北顿垡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303</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323</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南顿垡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148</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王场</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67</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南义堂</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194</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东中堡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297</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234</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611</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东黑垡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576</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bCs/>
                <w:szCs w:val="21"/>
                <w:highlight w:val="none"/>
                <w:lang w:val="en-US" w:eastAsia="zh-CN"/>
              </w:rPr>
            </w:pPr>
            <w:r>
              <w:rPr>
                <w:rFonts w:hint="eastAsia"/>
                <w:bCs/>
                <w:szCs w:val="21"/>
                <w:highlight w:val="none"/>
                <w:lang w:eastAsia="zh-CN"/>
              </w:rPr>
              <w:t>庞各庄镇2023-2024年农村地区“煤改清洁能源”长效管护项目</w:t>
            </w:r>
            <w:r>
              <w:rPr>
                <w:rFonts w:hint="eastAsia"/>
                <w:bCs/>
                <w:szCs w:val="21"/>
                <w:highlight w:val="none"/>
                <w:lang w:val="en-US" w:eastAsia="zh-CN"/>
              </w:rPr>
              <w:t>第二包</w:t>
            </w:r>
          </w:p>
          <w:p>
            <w:pPr>
              <w:pStyle w:val="2"/>
              <w:keepNext w:val="0"/>
              <w:keepLines w:val="0"/>
              <w:suppressLineNumbers w:val="0"/>
              <w:spacing w:before="0" w:beforeAutospacing="0" w:after="0" w:afterAutospacing="0"/>
              <w:ind w:left="0" w:right="0"/>
              <w:rPr>
                <w:rFonts w:hint="eastAsia"/>
                <w:highlight w:val="none"/>
              </w:rPr>
            </w:pPr>
            <w:r>
              <w:rPr>
                <w:rFonts w:hint="eastAsia"/>
                <w:bCs/>
                <w:szCs w:val="21"/>
                <w:highlight w:val="none"/>
                <w:lang w:val="en-US" w:eastAsia="zh-CN"/>
              </w:rPr>
              <w:t>（预算金额：95.217万元）</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东梨园</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109</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西梨园</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58</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李家巷</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156</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钥匙头</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87</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107</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56</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宋各庄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139</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5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民生</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417</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梨花村</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309</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98</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韩家铺</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北章客</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53</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鲍家铺</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西黑垡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227</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97</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张公垡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44</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260</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留民庄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206</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东高各庄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212</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西高各庄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141</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bCs/>
                <w:szCs w:val="21"/>
                <w:highlight w:val="none"/>
                <w:lang w:val="en-US" w:eastAsia="zh-CN"/>
              </w:rPr>
            </w:pPr>
            <w:r>
              <w:rPr>
                <w:rFonts w:hint="eastAsia"/>
                <w:bCs/>
                <w:szCs w:val="21"/>
                <w:highlight w:val="none"/>
                <w:lang w:eastAsia="zh-CN"/>
              </w:rPr>
              <w:t>庞各庄镇2023-2024年农村地区“煤改清洁能源”长效管护项目</w:t>
            </w:r>
            <w:r>
              <w:rPr>
                <w:rFonts w:hint="eastAsia"/>
                <w:bCs/>
                <w:szCs w:val="21"/>
                <w:highlight w:val="none"/>
                <w:lang w:val="en-US" w:eastAsia="zh-CN"/>
              </w:rPr>
              <w:t>第三包</w:t>
            </w:r>
          </w:p>
          <w:p>
            <w:pPr>
              <w:pStyle w:val="2"/>
              <w:keepNext w:val="0"/>
              <w:keepLines w:val="0"/>
              <w:suppressLineNumbers w:val="0"/>
              <w:spacing w:before="0" w:beforeAutospacing="0" w:after="0" w:afterAutospacing="0"/>
              <w:ind w:left="0" w:right="0"/>
              <w:rPr>
                <w:rFonts w:hint="eastAsia"/>
                <w:highlight w:val="none"/>
              </w:rPr>
            </w:pPr>
            <w:r>
              <w:rPr>
                <w:rFonts w:hint="eastAsia"/>
                <w:bCs/>
                <w:szCs w:val="21"/>
                <w:highlight w:val="none"/>
                <w:lang w:val="en-US" w:eastAsia="zh-CN"/>
              </w:rPr>
              <w:t>（预算金额：192.2万元）</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福上</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133</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田窑</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丁村</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281</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定福庄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225</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403</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西中堡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156</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李窑</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51</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南地</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58</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南章客</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77</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保安庄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293</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薛营</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872</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赵村</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1057</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前曹各庄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275</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北曹各庄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403</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南小营</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487</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596"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张新庄</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207</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东南次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343</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西南次</w:t>
            </w:r>
          </w:p>
        </w:tc>
        <w:tc>
          <w:tcPr>
            <w:tcW w:w="6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144</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c>
          <w:tcPr>
            <w:tcW w:w="4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宋体" w:hAnsi="宋体" w:eastAsia="宋体" w:cs="宋体"/>
                <w:i w:val="0"/>
                <w:iCs w:val="0"/>
                <w:color w:val="000000"/>
                <w:sz w:val="22"/>
                <w:szCs w:val="22"/>
                <w:highlight w:val="none"/>
                <w:u w:val="none"/>
              </w:rPr>
            </w:pPr>
          </w:p>
        </w:tc>
      </w:tr>
    </w:tbl>
    <w:p>
      <w:pPr>
        <w:keepNext w:val="0"/>
        <w:keepLines w:val="0"/>
        <w:pageBreakBefore w:val="0"/>
        <w:kinsoku/>
        <w:wordWrap/>
        <w:overflowPunct/>
        <w:topLinePunct w:val="0"/>
        <w:autoSpaceDE/>
        <w:autoSpaceDN/>
        <w:bidi w:val="0"/>
        <w:adjustRightInd/>
        <w:snapToGrid/>
        <w:spacing w:line="360" w:lineRule="auto"/>
        <w:ind w:left="0" w:right="0" w:firstLine="480" w:firstLineChars="200"/>
        <w:textAlignment w:val="auto"/>
        <w:rPr>
          <w:rFonts w:ascii="宋体" w:hAnsi="宋体" w:eastAsia="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both"/>
        <w:textAlignment w:val="auto"/>
        <w:rPr>
          <w:rFonts w:hint="default" w:ascii="宋体" w:hAnsi="Courier New" w:eastAsia="宋体" w:cs="Times New Roman"/>
          <w:kern w:val="2"/>
          <w:sz w:val="21"/>
          <w:szCs w:val="20"/>
          <w:highlight w:val="none"/>
          <w:lang w:val="en-US" w:eastAsia="zh-CN" w:bidi="ar-SA"/>
        </w:rPr>
      </w:pPr>
    </w:p>
    <w:p>
      <w:pPr>
        <w:spacing w:line="360" w:lineRule="auto"/>
        <w:jc w:val="center"/>
        <w:outlineLvl w:val="0"/>
        <w:rPr>
          <w:b/>
          <w:sz w:val="36"/>
          <w:szCs w:val="36"/>
          <w:highlight w:val="none"/>
        </w:rPr>
      </w:pPr>
      <w:r>
        <w:rPr>
          <w:b/>
          <w:sz w:val="36"/>
          <w:szCs w:val="36"/>
          <w:highlight w:val="none"/>
        </w:rPr>
        <w:br w:type="page"/>
      </w:r>
      <w:bookmarkStart w:id="816" w:name="_Toc99301425"/>
      <w:r>
        <w:rPr>
          <w:b/>
          <w:sz w:val="36"/>
          <w:szCs w:val="36"/>
          <w:highlight w:val="none"/>
        </w:rPr>
        <w:t>第六章   拟签订的合同文本</w:t>
      </w:r>
      <w:bookmarkEnd w:id="816"/>
    </w:p>
    <w:p>
      <w:pPr>
        <w:tabs>
          <w:tab w:val="left" w:pos="900"/>
          <w:tab w:val="left" w:pos="1080"/>
        </w:tabs>
        <w:snapToGrid w:val="0"/>
        <w:spacing w:line="360" w:lineRule="auto"/>
        <w:rPr>
          <w:kern w:val="0"/>
          <w:sz w:val="18"/>
          <w:szCs w:val="18"/>
          <w:highlight w:val="none"/>
        </w:rPr>
      </w:pPr>
    </w:p>
    <w:p>
      <w:pPr>
        <w:tabs>
          <w:tab w:val="left" w:pos="900"/>
          <w:tab w:val="left" w:pos="1080"/>
        </w:tabs>
        <w:snapToGrid w:val="0"/>
        <w:spacing w:line="360" w:lineRule="auto"/>
        <w:ind w:firstLine="422" w:firstLineChars="200"/>
        <w:rPr>
          <w:rFonts w:ascii="宋体" w:hAnsi="宋体" w:eastAsia="宋体"/>
          <w:kern w:val="0"/>
          <w:sz w:val="18"/>
          <w:szCs w:val="18"/>
          <w:highlight w:val="none"/>
        </w:rPr>
      </w:pPr>
      <w:bookmarkStart w:id="817" w:name="_Toc99301426"/>
      <w:r>
        <w:rPr>
          <w:rFonts w:hint="eastAsia" w:ascii="仿宋" w:hAnsi="仿宋" w:eastAsia="仿宋" w:cs="微软雅黑"/>
          <w:b/>
          <w:kern w:val="0"/>
          <w:szCs w:val="21"/>
          <w:highlight w:val="none"/>
        </w:rPr>
        <w:t>(此合同仅供参考。以最终采购人与中标人签定的合同条款为准进行公示，最终签定合同的主要条款不能与招标文件有冲突）</w:t>
      </w:r>
    </w:p>
    <w:p>
      <w:pPr>
        <w:spacing w:before="68" w:line="221" w:lineRule="auto"/>
        <w:ind w:left="34"/>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9"/>
          <w:sz w:val="24"/>
          <w:szCs w:val="24"/>
          <w:highlight w:val="none"/>
        </w:rPr>
        <w:t>合</w:t>
      </w:r>
      <w:r>
        <w:rPr>
          <w:rFonts w:hint="eastAsia" w:asciiTheme="majorEastAsia" w:hAnsiTheme="majorEastAsia" w:eastAsiaTheme="majorEastAsia" w:cstheme="majorEastAsia"/>
          <w:spacing w:val="-8"/>
          <w:sz w:val="24"/>
          <w:szCs w:val="24"/>
          <w:highlight w:val="none"/>
        </w:rPr>
        <w:t>同编号：</w:t>
      </w:r>
    </w:p>
    <w:p>
      <w:pPr>
        <w:spacing w:line="248" w:lineRule="auto"/>
        <w:rPr>
          <w:rFonts w:hint="eastAsia" w:asciiTheme="majorEastAsia" w:hAnsiTheme="majorEastAsia" w:eastAsiaTheme="majorEastAsia" w:cstheme="majorEastAsia"/>
          <w:sz w:val="24"/>
          <w:szCs w:val="24"/>
          <w:highlight w:val="none"/>
        </w:rPr>
      </w:pPr>
    </w:p>
    <w:p>
      <w:pPr>
        <w:spacing w:line="248" w:lineRule="auto"/>
        <w:rPr>
          <w:rFonts w:hint="eastAsia" w:asciiTheme="majorEastAsia" w:hAnsiTheme="majorEastAsia" w:eastAsiaTheme="majorEastAsia" w:cstheme="majorEastAsia"/>
          <w:sz w:val="24"/>
          <w:szCs w:val="24"/>
          <w:highlight w:val="none"/>
        </w:rPr>
      </w:pPr>
    </w:p>
    <w:p>
      <w:pPr>
        <w:spacing w:before="68" w:line="217" w:lineRule="auto"/>
        <w:ind w:left="556"/>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4"/>
          <w:sz w:val="24"/>
          <w:szCs w:val="24"/>
          <w:highlight w:val="none"/>
          <w:lang w:eastAsia="zh-CN"/>
        </w:rPr>
        <w:t>庞各庄镇2023-2024年农村地区“煤改清洁能源”长效管护项目</w:t>
      </w:r>
    </w:p>
    <w:p>
      <w:pPr>
        <w:spacing w:line="252" w:lineRule="auto"/>
        <w:rPr>
          <w:rFonts w:hint="eastAsia" w:asciiTheme="majorEastAsia" w:hAnsiTheme="majorEastAsia" w:eastAsiaTheme="majorEastAsia" w:cstheme="majorEastAsia"/>
          <w:sz w:val="24"/>
          <w:szCs w:val="24"/>
          <w:highlight w:val="none"/>
        </w:rPr>
      </w:pPr>
    </w:p>
    <w:p>
      <w:pPr>
        <w:spacing w:line="252"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line="253" w:lineRule="auto"/>
        <w:rPr>
          <w:rFonts w:hint="eastAsia" w:asciiTheme="majorEastAsia" w:hAnsiTheme="majorEastAsia" w:eastAsiaTheme="majorEastAsia" w:cstheme="majorEastAsia"/>
          <w:sz w:val="24"/>
          <w:szCs w:val="24"/>
          <w:highlight w:val="none"/>
        </w:rPr>
      </w:pPr>
    </w:p>
    <w:p>
      <w:pPr>
        <w:spacing w:before="68" w:line="219" w:lineRule="auto"/>
        <w:ind w:left="3604"/>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6"/>
          <w:sz w:val="24"/>
          <w:szCs w:val="24"/>
          <w:highlight w:val="none"/>
        </w:rPr>
        <w:t>服</w:t>
      </w:r>
      <w:r>
        <w:rPr>
          <w:rFonts w:hint="eastAsia" w:asciiTheme="majorEastAsia" w:hAnsiTheme="majorEastAsia" w:eastAsiaTheme="majorEastAsia" w:cstheme="majorEastAsia"/>
          <w:spacing w:val="5"/>
          <w:sz w:val="24"/>
          <w:szCs w:val="24"/>
          <w:highlight w:val="none"/>
        </w:rPr>
        <w:t xml:space="preserve"> </w:t>
      </w:r>
      <w:r>
        <w:rPr>
          <w:rFonts w:hint="eastAsia" w:asciiTheme="majorEastAsia" w:hAnsiTheme="majorEastAsia" w:eastAsiaTheme="majorEastAsia" w:cstheme="majorEastAsia"/>
          <w:spacing w:val="3"/>
          <w:sz w:val="24"/>
          <w:szCs w:val="24"/>
          <w:highlight w:val="none"/>
        </w:rPr>
        <w:t>务 合 同</w:t>
      </w:r>
    </w:p>
    <w:p>
      <w:pPr>
        <w:spacing w:line="244" w:lineRule="auto"/>
        <w:rPr>
          <w:rFonts w:hint="eastAsia" w:asciiTheme="majorEastAsia" w:hAnsiTheme="majorEastAsia" w:eastAsiaTheme="majorEastAsia" w:cstheme="majorEastAsia"/>
          <w:sz w:val="24"/>
          <w:szCs w:val="24"/>
          <w:highlight w:val="none"/>
        </w:rPr>
      </w:pPr>
    </w:p>
    <w:p>
      <w:pPr>
        <w:spacing w:line="244" w:lineRule="auto"/>
        <w:rPr>
          <w:rFonts w:hint="eastAsia" w:asciiTheme="majorEastAsia" w:hAnsiTheme="majorEastAsia" w:eastAsiaTheme="majorEastAsia" w:cstheme="majorEastAsia"/>
          <w:sz w:val="24"/>
          <w:szCs w:val="24"/>
          <w:highlight w:val="none"/>
        </w:rPr>
      </w:pPr>
    </w:p>
    <w:p>
      <w:pPr>
        <w:spacing w:line="244" w:lineRule="auto"/>
        <w:rPr>
          <w:rFonts w:hint="eastAsia" w:asciiTheme="majorEastAsia" w:hAnsiTheme="majorEastAsia" w:eastAsiaTheme="majorEastAsia" w:cstheme="majorEastAsia"/>
          <w:sz w:val="24"/>
          <w:szCs w:val="24"/>
          <w:highlight w:val="none"/>
        </w:rPr>
      </w:pPr>
    </w:p>
    <w:p>
      <w:pPr>
        <w:spacing w:line="244" w:lineRule="auto"/>
        <w:rPr>
          <w:rFonts w:hint="eastAsia" w:asciiTheme="majorEastAsia" w:hAnsiTheme="majorEastAsia" w:eastAsiaTheme="majorEastAsia" w:cstheme="majorEastAsia"/>
          <w:sz w:val="24"/>
          <w:szCs w:val="24"/>
          <w:highlight w:val="none"/>
        </w:rPr>
      </w:pPr>
    </w:p>
    <w:p>
      <w:pPr>
        <w:spacing w:line="244" w:lineRule="auto"/>
        <w:rPr>
          <w:rFonts w:hint="eastAsia" w:asciiTheme="majorEastAsia" w:hAnsiTheme="majorEastAsia" w:eastAsiaTheme="majorEastAsia" w:cstheme="majorEastAsia"/>
          <w:sz w:val="24"/>
          <w:szCs w:val="24"/>
          <w:highlight w:val="none"/>
        </w:rPr>
      </w:pPr>
    </w:p>
    <w:p>
      <w:pPr>
        <w:spacing w:line="244" w:lineRule="auto"/>
        <w:rPr>
          <w:rFonts w:hint="eastAsia" w:asciiTheme="majorEastAsia" w:hAnsiTheme="majorEastAsia" w:eastAsiaTheme="majorEastAsia" w:cstheme="majorEastAsia"/>
          <w:sz w:val="24"/>
          <w:szCs w:val="24"/>
          <w:highlight w:val="none"/>
        </w:rPr>
      </w:pPr>
    </w:p>
    <w:p>
      <w:pPr>
        <w:spacing w:line="244" w:lineRule="auto"/>
        <w:rPr>
          <w:rFonts w:hint="eastAsia" w:asciiTheme="majorEastAsia" w:hAnsiTheme="majorEastAsia" w:eastAsiaTheme="majorEastAsia" w:cstheme="majorEastAsia"/>
          <w:sz w:val="24"/>
          <w:szCs w:val="24"/>
          <w:highlight w:val="none"/>
        </w:rPr>
      </w:pPr>
    </w:p>
    <w:p>
      <w:pPr>
        <w:spacing w:line="245" w:lineRule="auto"/>
        <w:rPr>
          <w:rFonts w:hint="eastAsia" w:asciiTheme="majorEastAsia" w:hAnsiTheme="majorEastAsia" w:eastAsiaTheme="majorEastAsia" w:cstheme="majorEastAsia"/>
          <w:sz w:val="24"/>
          <w:szCs w:val="24"/>
          <w:highlight w:val="none"/>
        </w:rPr>
      </w:pPr>
    </w:p>
    <w:p>
      <w:pPr>
        <w:spacing w:line="245" w:lineRule="auto"/>
        <w:rPr>
          <w:rFonts w:hint="eastAsia" w:asciiTheme="majorEastAsia" w:hAnsiTheme="majorEastAsia" w:eastAsiaTheme="majorEastAsia" w:cstheme="majorEastAsia"/>
          <w:sz w:val="24"/>
          <w:szCs w:val="24"/>
          <w:highlight w:val="none"/>
        </w:rPr>
      </w:pPr>
    </w:p>
    <w:p>
      <w:pPr>
        <w:spacing w:line="245" w:lineRule="auto"/>
        <w:rPr>
          <w:rFonts w:hint="eastAsia" w:asciiTheme="majorEastAsia" w:hAnsiTheme="majorEastAsia" w:eastAsiaTheme="majorEastAsia" w:cstheme="majorEastAsia"/>
          <w:sz w:val="24"/>
          <w:szCs w:val="24"/>
          <w:highlight w:val="none"/>
        </w:rPr>
      </w:pPr>
    </w:p>
    <w:p>
      <w:pPr>
        <w:spacing w:line="245" w:lineRule="auto"/>
        <w:rPr>
          <w:rFonts w:hint="eastAsia" w:asciiTheme="majorEastAsia" w:hAnsiTheme="majorEastAsia" w:eastAsiaTheme="majorEastAsia" w:cstheme="majorEastAsia"/>
          <w:sz w:val="24"/>
          <w:szCs w:val="24"/>
          <w:highlight w:val="none"/>
        </w:rPr>
      </w:pPr>
    </w:p>
    <w:p>
      <w:pPr>
        <w:spacing w:line="245" w:lineRule="auto"/>
        <w:rPr>
          <w:rFonts w:hint="eastAsia" w:asciiTheme="majorEastAsia" w:hAnsiTheme="majorEastAsia" w:eastAsiaTheme="majorEastAsia" w:cstheme="majorEastAsia"/>
          <w:sz w:val="24"/>
          <w:szCs w:val="24"/>
          <w:highlight w:val="none"/>
        </w:rPr>
      </w:pPr>
    </w:p>
    <w:p>
      <w:pPr>
        <w:spacing w:before="69" w:line="217" w:lineRule="auto"/>
        <w:ind w:left="29"/>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6"/>
          <w:sz w:val="24"/>
          <w:szCs w:val="24"/>
          <w:highlight w:val="none"/>
        </w:rPr>
        <w:t>项</w:t>
      </w:r>
      <w:r>
        <w:rPr>
          <w:rFonts w:hint="eastAsia" w:asciiTheme="majorEastAsia" w:hAnsiTheme="majorEastAsia" w:eastAsiaTheme="majorEastAsia" w:cstheme="majorEastAsia"/>
          <w:spacing w:val="-5"/>
          <w:sz w:val="24"/>
          <w:szCs w:val="24"/>
          <w:highlight w:val="none"/>
        </w:rPr>
        <w:t xml:space="preserve">目名称： </w:t>
      </w:r>
      <w:r>
        <w:rPr>
          <w:rFonts w:hint="eastAsia" w:asciiTheme="majorEastAsia" w:hAnsiTheme="majorEastAsia" w:eastAsiaTheme="majorEastAsia" w:cstheme="majorEastAsia"/>
          <w:spacing w:val="-5"/>
          <w:sz w:val="24"/>
          <w:szCs w:val="24"/>
          <w:highlight w:val="none"/>
          <w:u w:val="single" w:color="auto"/>
          <w:lang w:eastAsia="zh-CN"/>
        </w:rPr>
        <w:t>庞各庄镇2023-2024年农村地区“煤改清洁能源”长效管护项目</w:t>
      </w:r>
      <w:r>
        <w:rPr>
          <w:rFonts w:hint="eastAsia" w:asciiTheme="majorEastAsia" w:hAnsiTheme="majorEastAsia" w:eastAsiaTheme="majorEastAsia" w:cstheme="majorEastAsia"/>
          <w:sz w:val="24"/>
          <w:szCs w:val="24"/>
          <w:highlight w:val="none"/>
          <w:u w:val="single" w:color="auto"/>
        </w:rPr>
        <w:t xml:space="preserve"> </w:t>
      </w:r>
    </w:p>
    <w:p>
      <w:pPr>
        <w:spacing w:before="298" w:line="219" w:lineRule="auto"/>
        <w:ind w:left="36"/>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4"/>
          <w:sz w:val="24"/>
          <w:szCs w:val="24"/>
          <w:highlight w:val="none"/>
        </w:rPr>
        <w:t>委 托</w:t>
      </w:r>
      <w:r>
        <w:rPr>
          <w:rFonts w:hint="eastAsia" w:asciiTheme="majorEastAsia" w:hAnsiTheme="majorEastAsia" w:eastAsiaTheme="majorEastAsia" w:cstheme="majorEastAsia"/>
          <w:spacing w:val="-9"/>
          <w:sz w:val="24"/>
          <w:szCs w:val="24"/>
          <w:highlight w:val="none"/>
        </w:rPr>
        <w:t xml:space="preserve"> </w:t>
      </w:r>
      <w:r>
        <w:rPr>
          <w:rFonts w:hint="eastAsia" w:asciiTheme="majorEastAsia" w:hAnsiTheme="majorEastAsia" w:eastAsiaTheme="majorEastAsia" w:cstheme="majorEastAsia"/>
          <w:spacing w:val="-7"/>
          <w:sz w:val="24"/>
          <w:szCs w:val="24"/>
          <w:highlight w:val="none"/>
        </w:rPr>
        <w:t xml:space="preserve">方：  </w:t>
      </w:r>
      <w:r>
        <w:rPr>
          <w:rFonts w:hint="eastAsia" w:asciiTheme="majorEastAsia" w:hAnsiTheme="majorEastAsia" w:eastAsiaTheme="majorEastAsia" w:cstheme="majorEastAsia"/>
          <w:spacing w:val="-7"/>
          <w:sz w:val="24"/>
          <w:szCs w:val="24"/>
          <w:highlight w:val="none"/>
          <w:u w:val="single" w:color="auto"/>
        </w:rPr>
        <w:t xml:space="preserve"> 北京市大兴区庞各庄镇人民政府</w:t>
      </w:r>
      <w:r>
        <w:rPr>
          <w:rFonts w:hint="eastAsia" w:asciiTheme="majorEastAsia" w:hAnsiTheme="majorEastAsia" w:eastAsiaTheme="majorEastAsia" w:cstheme="majorEastAsia"/>
          <w:spacing w:val="-7"/>
          <w:sz w:val="24"/>
          <w:szCs w:val="24"/>
          <w:highlight w:val="none"/>
        </w:rPr>
        <w:t xml:space="preserve">  (甲 方)</w:t>
      </w:r>
    </w:p>
    <w:p>
      <w:pPr>
        <w:spacing w:before="295" w:line="221" w:lineRule="auto"/>
        <w:ind w:left="38"/>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4"/>
          <w:sz w:val="24"/>
          <w:szCs w:val="24"/>
          <w:highlight w:val="none"/>
        </w:rPr>
        <w:t>受</w:t>
      </w:r>
      <w:r>
        <w:rPr>
          <w:rFonts w:hint="eastAsia" w:asciiTheme="majorEastAsia" w:hAnsiTheme="majorEastAsia" w:eastAsiaTheme="majorEastAsia" w:cstheme="majorEastAsia"/>
          <w:spacing w:val="-3"/>
          <w:sz w:val="24"/>
          <w:szCs w:val="24"/>
          <w:highlight w:val="none"/>
        </w:rPr>
        <w:t xml:space="preserve"> 托 方：</w:t>
      </w:r>
      <w:r>
        <w:rPr>
          <w:rFonts w:hint="eastAsia" w:asciiTheme="majorEastAsia" w:hAnsiTheme="majorEastAsia" w:eastAsiaTheme="majorEastAsia" w:cstheme="majorEastAsia"/>
          <w:spacing w:val="-3"/>
          <w:sz w:val="24"/>
          <w:szCs w:val="24"/>
          <w:highlight w:val="none"/>
          <w:u w:val="single" w:color="auto"/>
        </w:rPr>
        <w:t xml:space="preserve">                                </w:t>
      </w:r>
      <w:r>
        <w:rPr>
          <w:rFonts w:hint="eastAsia" w:asciiTheme="majorEastAsia" w:hAnsiTheme="majorEastAsia" w:eastAsiaTheme="majorEastAsia" w:cstheme="majorEastAsia"/>
          <w:spacing w:val="-3"/>
          <w:sz w:val="24"/>
          <w:szCs w:val="24"/>
          <w:highlight w:val="none"/>
        </w:rPr>
        <w:t>(乙 方)</w:t>
      </w:r>
    </w:p>
    <w:p>
      <w:pPr>
        <w:spacing w:before="295" w:line="219" w:lineRule="auto"/>
        <w:ind w:left="33"/>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0"/>
          <w:sz w:val="24"/>
          <w:szCs w:val="24"/>
          <w:highlight w:val="none"/>
        </w:rPr>
        <w:t>签</w:t>
      </w:r>
      <w:r>
        <w:rPr>
          <w:rFonts w:hint="eastAsia" w:asciiTheme="majorEastAsia" w:hAnsiTheme="majorEastAsia" w:eastAsiaTheme="majorEastAsia" w:cstheme="majorEastAsia"/>
          <w:spacing w:val="-6"/>
          <w:sz w:val="24"/>
          <w:szCs w:val="24"/>
          <w:highlight w:val="none"/>
        </w:rPr>
        <w:t>订</w:t>
      </w:r>
      <w:r>
        <w:rPr>
          <w:rFonts w:hint="eastAsia" w:asciiTheme="majorEastAsia" w:hAnsiTheme="majorEastAsia" w:eastAsiaTheme="majorEastAsia" w:cstheme="majorEastAsia"/>
          <w:spacing w:val="-5"/>
          <w:sz w:val="24"/>
          <w:szCs w:val="24"/>
          <w:highlight w:val="none"/>
        </w:rPr>
        <w:t xml:space="preserve">时间：  </w:t>
      </w:r>
      <w:r>
        <w:rPr>
          <w:rFonts w:hint="eastAsia" w:asciiTheme="majorEastAsia" w:hAnsiTheme="majorEastAsia" w:eastAsiaTheme="majorEastAsia" w:cstheme="majorEastAsia"/>
          <w:spacing w:val="-5"/>
          <w:sz w:val="24"/>
          <w:szCs w:val="24"/>
          <w:highlight w:val="none"/>
          <w:lang w:val="en-US" w:eastAsia="zh-CN"/>
        </w:rPr>
        <w:t xml:space="preserve">    </w:t>
      </w:r>
      <w:r>
        <w:rPr>
          <w:rFonts w:hint="eastAsia" w:asciiTheme="majorEastAsia" w:hAnsiTheme="majorEastAsia" w:eastAsiaTheme="majorEastAsia" w:cstheme="majorEastAsia"/>
          <w:spacing w:val="-5"/>
          <w:sz w:val="24"/>
          <w:szCs w:val="24"/>
          <w:highlight w:val="none"/>
        </w:rPr>
        <w:t xml:space="preserve"> 年    月   日</w:t>
      </w:r>
    </w:p>
    <w:p>
      <w:pPr>
        <w:spacing w:before="295" w:line="220" w:lineRule="auto"/>
        <w:ind w:left="33"/>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13"/>
          <w:sz w:val="24"/>
          <w:szCs w:val="24"/>
          <w:highlight w:val="none"/>
        </w:rPr>
        <w:t>签</w:t>
      </w:r>
      <w:r>
        <w:rPr>
          <w:rFonts w:hint="eastAsia" w:asciiTheme="majorEastAsia" w:hAnsiTheme="majorEastAsia" w:eastAsiaTheme="majorEastAsia" w:cstheme="majorEastAsia"/>
          <w:spacing w:val="-9"/>
          <w:sz w:val="24"/>
          <w:szCs w:val="24"/>
          <w:highlight w:val="none"/>
        </w:rPr>
        <w:t>订地点：  庞各庄镇政府</w:t>
      </w:r>
    </w:p>
    <w:p>
      <w:pPr>
        <w:spacing w:before="295" w:line="219" w:lineRule="auto"/>
        <w:ind w:left="26"/>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pacing w:val="-8"/>
          <w:sz w:val="24"/>
          <w:szCs w:val="24"/>
          <w:highlight w:val="none"/>
        </w:rPr>
        <w:t>有效期</w:t>
      </w:r>
      <w:r>
        <w:rPr>
          <w:rFonts w:hint="eastAsia" w:asciiTheme="majorEastAsia" w:hAnsiTheme="majorEastAsia" w:eastAsiaTheme="majorEastAsia" w:cstheme="majorEastAsia"/>
          <w:spacing w:val="-7"/>
          <w:sz w:val="24"/>
          <w:szCs w:val="24"/>
          <w:highlight w:val="none"/>
        </w:rPr>
        <w:t>限</w:t>
      </w:r>
      <w:r>
        <w:rPr>
          <w:rFonts w:hint="eastAsia" w:asciiTheme="majorEastAsia" w:hAnsiTheme="majorEastAsia" w:eastAsiaTheme="majorEastAsia" w:cstheme="majorEastAsia"/>
          <w:spacing w:val="-4"/>
          <w:sz w:val="24"/>
          <w:szCs w:val="24"/>
          <w:highlight w:val="none"/>
        </w:rPr>
        <w:t xml:space="preserve">：  </w:t>
      </w:r>
      <w:r>
        <w:rPr>
          <w:rFonts w:hint="eastAsia" w:asciiTheme="majorEastAsia" w:hAnsiTheme="majorEastAsia" w:eastAsiaTheme="majorEastAsia" w:cstheme="majorEastAsia"/>
          <w:spacing w:val="-4"/>
          <w:sz w:val="24"/>
          <w:szCs w:val="24"/>
          <w:highlight w:val="none"/>
          <w:lang w:val="en-US" w:eastAsia="zh-CN"/>
        </w:rPr>
        <w:t xml:space="preserve">        </w:t>
      </w:r>
      <w:r>
        <w:rPr>
          <w:rFonts w:hint="eastAsia" w:asciiTheme="majorEastAsia" w:hAnsiTheme="majorEastAsia" w:eastAsiaTheme="majorEastAsia" w:cstheme="majorEastAsia"/>
          <w:spacing w:val="-4"/>
          <w:sz w:val="24"/>
          <w:szCs w:val="24"/>
          <w:highlight w:val="none"/>
        </w:rPr>
        <w:t>年   月   日-</w:t>
      </w:r>
      <w:r>
        <w:rPr>
          <w:rFonts w:hint="eastAsia" w:asciiTheme="majorEastAsia" w:hAnsiTheme="majorEastAsia" w:eastAsiaTheme="majorEastAsia" w:cstheme="majorEastAsia"/>
          <w:spacing w:val="-4"/>
          <w:sz w:val="24"/>
          <w:szCs w:val="24"/>
          <w:highlight w:val="none"/>
          <w:lang w:val="en-US" w:eastAsia="zh-CN"/>
        </w:rPr>
        <w:t xml:space="preserve">        </w:t>
      </w:r>
      <w:r>
        <w:rPr>
          <w:rFonts w:hint="eastAsia" w:asciiTheme="majorEastAsia" w:hAnsiTheme="majorEastAsia" w:eastAsiaTheme="majorEastAsia" w:cstheme="majorEastAsia"/>
          <w:spacing w:val="-4"/>
          <w:sz w:val="24"/>
          <w:szCs w:val="24"/>
          <w:highlight w:val="none"/>
        </w:rPr>
        <w:t xml:space="preserve"> 年   月    日</w:t>
      </w:r>
    </w:p>
    <w:p>
      <w:pPr>
        <w:rPr>
          <w:sz w:val="24"/>
          <w:szCs w:val="24"/>
          <w:highlight w:val="none"/>
        </w:rPr>
        <w:sectPr>
          <w:footerReference r:id="rId11" w:type="default"/>
          <w:pgSz w:w="11907" w:h="16839"/>
          <w:pgMar w:top="1309" w:right="1785" w:bottom="925" w:left="1785" w:header="0" w:footer="712" w:gutter="0"/>
          <w:pgNumType w:fmt="decimal"/>
          <w:cols w:space="720" w:num="1"/>
        </w:sectPr>
      </w:pPr>
    </w:p>
    <w:p>
      <w:pPr>
        <w:rPr>
          <w:rFonts w:ascii="Calibri" w:hAnsi="Calibri" w:eastAsia="宋体" w:cs="Times New Roman"/>
          <w:sz w:val="24"/>
          <w:szCs w:val="24"/>
          <w:highlight w:val="none"/>
        </w:rPr>
      </w:pPr>
      <w:r>
        <w:rPr>
          <w:rFonts w:hint="eastAsia" w:ascii="Calibri" w:hAnsi="Calibri" w:eastAsia="宋体" w:cs="Times New Roman"/>
          <w:sz w:val="24"/>
          <w:szCs w:val="24"/>
          <w:highlight w:val="none"/>
        </w:rPr>
        <w:t>甲方：</w:t>
      </w:r>
      <w:r>
        <w:rPr>
          <w:rFonts w:hint="eastAsia" w:ascii="宋体" w:hAnsi="宋体" w:eastAsia="宋体" w:cs="宋体"/>
          <w:sz w:val="24"/>
          <w:szCs w:val="24"/>
          <w:highlight w:val="none"/>
          <w:u w:val="single"/>
        </w:rPr>
        <w:t xml:space="preserve">北京市大兴区庞各庄镇人民政府  </w:t>
      </w:r>
      <w:r>
        <w:rPr>
          <w:rFonts w:hint="eastAsia" w:ascii="Calibri" w:hAnsi="Calibri" w:eastAsia="宋体" w:cs="Times New Roman"/>
          <w:sz w:val="24"/>
          <w:szCs w:val="24"/>
          <w:highlight w:val="none"/>
        </w:rPr>
        <w:t>（以下简称甲方）</w:t>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乙方：</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（以下简称乙方）</w:t>
      </w:r>
    </w:p>
    <w:p>
      <w:pPr>
        <w:spacing w:line="360" w:lineRule="auto"/>
        <w:ind w:firstLine="840" w:firstLineChars="350"/>
        <w:rPr>
          <w:rFonts w:ascii="宋体" w:hAnsi="宋体" w:eastAsia="宋体" w:cs="宋体"/>
          <w:b w:val="0"/>
          <w:bCs w:val="0"/>
          <w:sz w:val="24"/>
          <w:szCs w:val="24"/>
          <w:highlight w:val="none"/>
        </w:rPr>
      </w:pPr>
      <w:r>
        <w:rPr>
          <w:rFonts w:hint="eastAsia" w:ascii="宋体" w:hAnsi="宋体" w:eastAsia="宋体" w:cs="宋体"/>
          <w:sz w:val="24"/>
          <w:szCs w:val="20"/>
          <w:highlight w:val="none"/>
        </w:rPr>
        <w:t>甲、乙双方经过友好协商，乙方同意按以下条款及条件承接甲方</w:t>
      </w:r>
      <w:r>
        <w:rPr>
          <w:rFonts w:hint="eastAsia" w:ascii="宋体" w:hAnsi="宋体" w:cs="宋体"/>
          <w:b w:val="0"/>
          <w:bCs w:val="0"/>
          <w:spacing w:val="16"/>
          <w:sz w:val="24"/>
          <w:szCs w:val="24"/>
          <w:highlight w:val="none"/>
          <w:u w:val="single" w:color="auto"/>
          <w:lang w:eastAsia="zh-CN"/>
        </w:rPr>
        <w:t>庞各庄镇2023-2024年农村地区“煤改清洁能源”长效管护项目</w:t>
      </w:r>
      <w:r>
        <w:rPr>
          <w:rFonts w:hint="eastAsia" w:ascii="宋体" w:hAnsi="宋体" w:eastAsia="宋体" w:cs="宋体"/>
          <w:b w:val="0"/>
          <w:bCs w:val="0"/>
          <w:sz w:val="24"/>
          <w:szCs w:val="24"/>
          <w:highlight w:val="none"/>
        </w:rPr>
        <w:t>。</w:t>
      </w:r>
    </w:p>
    <w:p>
      <w:pPr>
        <w:numPr>
          <w:ilvl w:val="0"/>
          <w:numId w:val="13"/>
        </w:numPr>
        <w:spacing w:line="360" w:lineRule="auto"/>
        <w:ind w:hanging="570"/>
        <w:rPr>
          <w:rFonts w:ascii="宋体" w:hAnsi="宋体" w:eastAsia="宋体" w:cs="宋体"/>
          <w:b/>
          <w:sz w:val="28"/>
          <w:szCs w:val="28"/>
          <w:highlight w:val="none"/>
        </w:rPr>
      </w:pPr>
      <w:r>
        <w:rPr>
          <w:rFonts w:hint="eastAsia" w:ascii="宋体" w:hAnsi="宋体" w:eastAsia="宋体" w:cs="宋体"/>
          <w:b/>
          <w:sz w:val="28"/>
          <w:szCs w:val="28"/>
          <w:highlight w:val="none"/>
        </w:rPr>
        <w:t>项目概况</w:t>
      </w:r>
    </w:p>
    <w:p>
      <w:pPr>
        <w:spacing w:line="360" w:lineRule="auto"/>
        <w:ind w:left="0"/>
        <w:rPr>
          <w:rFonts w:ascii="宋体" w:hAnsi="宋体" w:eastAsia="宋体" w:cs="宋体"/>
          <w:sz w:val="24"/>
          <w:szCs w:val="20"/>
          <w:highlight w:val="none"/>
        </w:rPr>
      </w:pPr>
      <w:r>
        <w:rPr>
          <w:rFonts w:hint="eastAsia" w:ascii="宋体" w:hAnsi="宋体" w:eastAsia="宋体" w:cs="宋体"/>
          <w:b/>
          <w:bCs/>
          <w:sz w:val="24"/>
          <w:szCs w:val="20"/>
          <w:highlight w:val="none"/>
        </w:rPr>
        <w:t>一、项目名称：</w:t>
      </w:r>
      <w:r>
        <w:rPr>
          <w:rFonts w:hint="eastAsia" w:ascii="宋体" w:hAnsi="宋体" w:eastAsia="宋体" w:cs="宋体"/>
          <w:b w:val="0"/>
          <w:bCs w:val="0"/>
          <w:sz w:val="24"/>
          <w:szCs w:val="20"/>
          <w:highlight w:val="none"/>
          <w:u w:val="single"/>
        </w:rPr>
        <w:t xml:space="preserve"> </w:t>
      </w:r>
      <w:r>
        <w:rPr>
          <w:rFonts w:hint="eastAsia" w:ascii="宋体" w:hAnsi="宋体" w:cs="宋体"/>
          <w:b w:val="0"/>
          <w:bCs w:val="0"/>
          <w:sz w:val="24"/>
          <w:szCs w:val="20"/>
          <w:highlight w:val="none"/>
          <w:u w:val="single"/>
          <w:lang w:eastAsia="zh-CN"/>
        </w:rPr>
        <w:t>庞各庄镇2023-2024年农村地区“煤改清洁能源”长效管护项目</w:t>
      </w:r>
      <w:r>
        <w:rPr>
          <w:rFonts w:hint="eastAsia" w:ascii="宋体" w:hAnsi="宋体" w:eastAsia="宋体" w:cs="宋体"/>
          <w:b w:val="0"/>
          <w:bCs w:val="0"/>
          <w:sz w:val="24"/>
          <w:szCs w:val="20"/>
          <w:highlight w:val="none"/>
          <w:u w:val="single"/>
        </w:rPr>
        <w:t>。</w:t>
      </w:r>
    </w:p>
    <w:p>
      <w:pPr>
        <w:spacing w:line="360" w:lineRule="auto"/>
        <w:ind w:left="0"/>
        <w:rPr>
          <w:rFonts w:ascii="宋体" w:hAnsi="宋体" w:eastAsia="宋体" w:cs="宋体"/>
          <w:sz w:val="24"/>
          <w:szCs w:val="20"/>
          <w:highlight w:val="none"/>
          <w:u w:val="single"/>
        </w:rPr>
      </w:pPr>
      <w:r>
        <w:rPr>
          <w:rFonts w:hint="eastAsia" w:ascii="宋体" w:hAnsi="宋体" w:eastAsia="宋体" w:cs="宋体"/>
          <w:b/>
          <w:bCs/>
          <w:sz w:val="24"/>
          <w:szCs w:val="20"/>
          <w:highlight w:val="none"/>
        </w:rPr>
        <w:t>二、项目地点</w:t>
      </w:r>
      <w:r>
        <w:rPr>
          <w:rFonts w:hint="eastAsia" w:ascii="宋体" w:hAnsi="宋体" w:eastAsia="宋体" w:cs="宋体"/>
          <w:sz w:val="24"/>
          <w:szCs w:val="20"/>
          <w:highlight w:val="none"/>
        </w:rPr>
        <w:t>：</w:t>
      </w:r>
      <w:r>
        <w:rPr>
          <w:rFonts w:hint="eastAsia" w:ascii="宋体" w:hAnsi="宋体" w:eastAsia="宋体" w:cs="宋体"/>
          <w:sz w:val="24"/>
          <w:szCs w:val="20"/>
          <w:highlight w:val="none"/>
          <w:u w:val="single"/>
        </w:rPr>
        <w:t>庞各庄镇。</w:t>
      </w:r>
    </w:p>
    <w:p>
      <w:pPr>
        <w:spacing w:line="360" w:lineRule="auto"/>
        <w:ind w:firstLine="0" w:firstLineChars="0"/>
        <w:rPr>
          <w:rFonts w:ascii="宋体" w:hAnsi="宋体" w:eastAsia="宋体" w:cs="宋体"/>
          <w:sz w:val="24"/>
          <w:szCs w:val="20"/>
          <w:highlight w:val="none"/>
          <w:u w:val="single"/>
        </w:rPr>
      </w:pPr>
      <w:r>
        <w:rPr>
          <w:rFonts w:hint="eastAsia" w:ascii="宋体" w:hAnsi="宋体" w:eastAsia="宋体" w:cs="宋体"/>
          <w:b/>
          <w:bCs/>
          <w:sz w:val="24"/>
          <w:szCs w:val="20"/>
          <w:highlight w:val="none"/>
        </w:rPr>
        <w:t>三、服务内容：</w:t>
      </w:r>
      <w:r>
        <w:rPr>
          <w:rFonts w:hint="eastAsia" w:ascii="宋体" w:hAnsi="宋体" w:eastAsia="宋体" w:cs="宋体"/>
          <w:sz w:val="24"/>
          <w:szCs w:val="20"/>
          <w:highlight w:val="none"/>
        </w:rPr>
        <w:t>以专业的服务技术为依托，对</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lang w:val="en-US" w:eastAsia="zh-CN"/>
        </w:rPr>
        <w:t>庞各庄镇（  ）个村</w:t>
      </w:r>
      <w:r>
        <w:rPr>
          <w:rFonts w:hint="eastAsia" w:ascii="宋体" w:hAnsi="宋体" w:eastAsia="宋体" w:cs="宋体"/>
          <w:sz w:val="24"/>
          <w:szCs w:val="20"/>
          <w:highlight w:val="none"/>
          <w:u w:val="single"/>
          <w:lang w:eastAsia="zh-CN"/>
        </w:rPr>
        <w:t>（</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lang w:eastAsia="zh-CN"/>
        </w:rPr>
        <w:t>）</w:t>
      </w:r>
      <w:r>
        <w:rPr>
          <w:rFonts w:hint="eastAsia" w:ascii="宋体" w:hAnsi="宋体" w:eastAsia="宋体" w:cs="宋体"/>
          <w:sz w:val="24"/>
          <w:szCs w:val="20"/>
          <w:highlight w:val="none"/>
          <w:u w:val="single"/>
        </w:rPr>
        <w:t>户</w:t>
      </w:r>
      <w:r>
        <w:rPr>
          <w:rFonts w:hint="eastAsia" w:ascii="宋体" w:hAnsi="宋体" w:eastAsia="宋体" w:cs="宋体"/>
          <w:sz w:val="24"/>
          <w:szCs w:val="20"/>
          <w:highlight w:val="none"/>
          <w:u w:val="single"/>
          <w:lang w:val="en-US" w:eastAsia="zh-CN"/>
        </w:rPr>
        <w:t>使用过保</w:t>
      </w:r>
      <w:r>
        <w:rPr>
          <w:rFonts w:hint="eastAsia" w:ascii="宋体" w:hAnsi="宋体" w:eastAsia="宋体" w:cs="宋体"/>
          <w:sz w:val="24"/>
          <w:szCs w:val="20"/>
          <w:highlight w:val="none"/>
          <w:u w:val="single"/>
          <w:lang w:eastAsia="zh-CN"/>
        </w:rPr>
        <w:t>“</w:t>
      </w:r>
      <w:r>
        <w:rPr>
          <w:rFonts w:hint="eastAsia" w:ascii="宋体" w:hAnsi="宋体" w:eastAsia="宋体" w:cs="宋体"/>
          <w:sz w:val="24"/>
          <w:szCs w:val="20"/>
          <w:highlight w:val="none"/>
          <w:u w:val="single"/>
          <w:lang w:val="en-US" w:eastAsia="zh-CN"/>
        </w:rPr>
        <w:t>煤改电”设备供暖居民，（   ）户使用过保“煤改气”设备供暖居民提供供暖设施</w:t>
      </w:r>
      <w:r>
        <w:rPr>
          <w:rFonts w:hint="eastAsia" w:ascii="宋体" w:hAnsi="宋体" w:eastAsia="宋体" w:cs="宋体"/>
          <w:sz w:val="24"/>
          <w:szCs w:val="20"/>
          <w:highlight w:val="none"/>
          <w:u w:val="single"/>
        </w:rPr>
        <w:t>巡查维修</w:t>
      </w:r>
      <w:r>
        <w:rPr>
          <w:rFonts w:hint="eastAsia" w:ascii="宋体" w:hAnsi="宋体" w:eastAsia="宋体" w:cs="宋体"/>
          <w:sz w:val="24"/>
          <w:szCs w:val="20"/>
          <w:highlight w:val="none"/>
          <w:u w:val="single"/>
          <w:lang w:val="en-US" w:eastAsia="zh-CN"/>
        </w:rPr>
        <w:t>服务</w:t>
      </w:r>
      <w:r>
        <w:rPr>
          <w:rFonts w:hint="eastAsia" w:ascii="宋体" w:hAnsi="宋体" w:eastAsia="宋体" w:cs="宋体"/>
          <w:sz w:val="24"/>
          <w:szCs w:val="20"/>
          <w:highlight w:val="none"/>
          <w:u w:val="single"/>
        </w:rPr>
        <w:t>，</w:t>
      </w:r>
      <w:r>
        <w:rPr>
          <w:rFonts w:hint="eastAsia" w:ascii="宋体" w:hAnsi="宋体" w:eastAsia="宋体" w:cs="宋体"/>
          <w:sz w:val="24"/>
          <w:szCs w:val="20"/>
          <w:highlight w:val="none"/>
          <w:u w:val="single"/>
          <w:lang w:val="en-US" w:eastAsia="zh-CN"/>
        </w:rPr>
        <w:t>对（   ）户使用保</w:t>
      </w:r>
      <w:r>
        <w:rPr>
          <w:rFonts w:hint="eastAsia" w:ascii="宋体" w:hAnsi="宋体" w:eastAsia="宋体" w:cs="宋体"/>
          <w:sz w:val="24"/>
          <w:szCs w:val="20"/>
          <w:highlight w:val="none"/>
          <w:u w:val="single"/>
        </w:rPr>
        <w:t>内“</w:t>
      </w:r>
      <w:r>
        <w:rPr>
          <w:rFonts w:hint="eastAsia" w:ascii="宋体" w:hAnsi="宋体" w:eastAsia="宋体" w:cs="宋体"/>
          <w:sz w:val="24"/>
          <w:szCs w:val="20"/>
          <w:highlight w:val="none"/>
          <w:u w:val="single"/>
          <w:lang w:val="en-US" w:eastAsia="zh-CN"/>
        </w:rPr>
        <w:t>煤改电</w:t>
      </w:r>
      <w:r>
        <w:rPr>
          <w:rFonts w:hint="eastAsia" w:ascii="宋体" w:hAnsi="宋体" w:eastAsia="宋体" w:cs="宋体"/>
          <w:sz w:val="24"/>
          <w:szCs w:val="20"/>
          <w:highlight w:val="none"/>
          <w:u w:val="single"/>
        </w:rPr>
        <w:t>”设备</w:t>
      </w:r>
      <w:r>
        <w:rPr>
          <w:rFonts w:hint="eastAsia" w:ascii="宋体" w:hAnsi="宋体" w:eastAsia="宋体" w:cs="宋体"/>
          <w:sz w:val="24"/>
          <w:szCs w:val="20"/>
          <w:highlight w:val="none"/>
          <w:u w:val="single"/>
          <w:lang w:val="en-US" w:eastAsia="zh-CN"/>
        </w:rPr>
        <w:t>过保户提供</w:t>
      </w:r>
      <w:r>
        <w:rPr>
          <w:rFonts w:hint="eastAsia" w:ascii="宋体" w:hAnsi="宋体" w:eastAsia="宋体" w:cs="宋体"/>
          <w:sz w:val="24"/>
          <w:szCs w:val="20"/>
          <w:highlight w:val="none"/>
          <w:u w:val="single"/>
        </w:rPr>
        <w:t>企业售后维修响应力度及维修情况监管</w:t>
      </w:r>
      <w:r>
        <w:rPr>
          <w:rFonts w:hint="eastAsia" w:ascii="宋体" w:hAnsi="宋体" w:eastAsia="宋体" w:cs="宋体"/>
          <w:sz w:val="24"/>
          <w:szCs w:val="20"/>
          <w:highlight w:val="none"/>
          <w:u w:val="single"/>
          <w:lang w:val="en-US" w:eastAsia="zh-CN"/>
        </w:rPr>
        <w:t>服务</w:t>
      </w:r>
      <w:r>
        <w:rPr>
          <w:rFonts w:hint="eastAsia" w:ascii="宋体" w:hAnsi="宋体" w:eastAsia="宋体" w:cs="宋体"/>
          <w:sz w:val="24"/>
          <w:szCs w:val="20"/>
          <w:highlight w:val="none"/>
          <w:u w:val="single"/>
        </w:rPr>
        <w:t>。</w:t>
      </w:r>
    </w:p>
    <w:p>
      <w:pPr>
        <w:spacing w:line="360" w:lineRule="auto"/>
        <w:ind w:firstLine="480" w:firstLineChars="200"/>
        <w:rPr>
          <w:rFonts w:hint="eastAsia" w:ascii="宋体" w:hAnsi="宋体" w:eastAsia="宋体" w:cs="宋体"/>
          <w:sz w:val="24"/>
          <w:szCs w:val="20"/>
          <w:highlight w:val="none"/>
        </w:rPr>
      </w:pPr>
      <w:r>
        <w:rPr>
          <w:rFonts w:hint="eastAsia" w:ascii="宋体" w:hAnsi="宋体" w:eastAsia="宋体" w:cs="宋体"/>
          <w:sz w:val="24"/>
          <w:szCs w:val="20"/>
          <w:highlight w:val="none"/>
          <w:u w:val="none"/>
        </w:rPr>
        <w:t>监管内容：</w:t>
      </w:r>
      <w:r>
        <w:rPr>
          <w:rFonts w:hint="eastAsia" w:ascii="宋体" w:hAnsi="宋体" w:eastAsia="宋体" w:cs="宋体"/>
          <w:sz w:val="24"/>
          <w:szCs w:val="20"/>
          <w:highlight w:val="none"/>
        </w:rPr>
        <w:t>自2016年（不包含2016年）以后安装的冬季未过保</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rPr>
        <w:t>供暖设施依照未过保厂家入户张贴维修贴覆盖率、处理投诉即办单的响应速度及户内满意度进行监管。</w:t>
      </w:r>
    </w:p>
    <w:p>
      <w:pPr>
        <w:spacing w:line="360" w:lineRule="auto"/>
        <w:ind w:firstLine="480" w:firstLineChars="200"/>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监管方式：</w:t>
      </w:r>
    </w:p>
    <w:p>
      <w:pPr>
        <w:numPr>
          <w:ilvl w:val="0"/>
          <w:numId w:val="14"/>
        </w:numPr>
        <w:spacing w:line="360" w:lineRule="auto"/>
        <w:ind w:firstLine="480" w:firstLineChars="200"/>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监管未过保厂家入户张贴维修贴覆盖率办法：</w:t>
      </w:r>
    </w:p>
    <w:p>
      <w:pPr>
        <w:numPr>
          <w:ilvl w:val="0"/>
          <w:numId w:val="0"/>
        </w:numPr>
        <w:spacing w:line="360" w:lineRule="auto"/>
        <w:ind w:firstLine="480" w:firstLineChars="0"/>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以各村，各厂家安装的未过保</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供暖设备总数为基数，采取抽样检查的办法在各村抽取基数的15%-20%为检查对象，设备贴覆盖率未达100%的，乙方及时向甲方汇报巡查结果。</w:t>
      </w:r>
    </w:p>
    <w:p>
      <w:pPr>
        <w:numPr>
          <w:ilvl w:val="0"/>
          <w:numId w:val="14"/>
        </w:numPr>
        <w:spacing w:line="360" w:lineRule="auto"/>
        <w:ind w:firstLine="480" w:firstLineChars="200"/>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监管未过保厂家处理投诉即办响应速度及户内满意度办法：</w:t>
      </w:r>
    </w:p>
    <w:p>
      <w:pPr>
        <w:numPr>
          <w:ilvl w:val="0"/>
          <w:numId w:val="0"/>
        </w:numPr>
        <w:spacing w:line="360" w:lineRule="auto"/>
        <w:ind w:firstLine="0" w:firstLineChars="0"/>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针对投诉即办及户内满意度工作监管，乙方须及时对投诉户进行电话回访，了解户内投诉原因，跟进户内维修进度，及时向甲方汇报实时情况。针对户内对维修结果不满意情况，乙方应及时响应甲方要求，入户检查未过保厂家维修结果，并对户内提出的不满意处，向甲方提供相应的解决办法，由甲方勒令未过保厂家入户进行整改或由乙方进行应急维修。</w:t>
      </w:r>
    </w:p>
    <w:p>
      <w:pPr>
        <w:spacing w:line="360" w:lineRule="auto"/>
        <w:ind w:firstLine="600" w:firstLineChars="250"/>
        <w:rPr>
          <w:rFonts w:ascii="宋体" w:hAnsi="宋体" w:eastAsia="宋体" w:cs="宋体"/>
          <w:b/>
          <w:bCs/>
          <w:sz w:val="24"/>
          <w:szCs w:val="20"/>
          <w:highlight w:val="none"/>
        </w:rPr>
      </w:pPr>
      <w:r>
        <w:rPr>
          <w:rFonts w:hint="eastAsia" w:ascii="宋体" w:hAnsi="宋体" w:eastAsia="宋体" w:cs="宋体"/>
          <w:sz w:val="24"/>
          <w:szCs w:val="20"/>
          <w:highlight w:val="none"/>
        </w:rPr>
        <w:t>做到发现及解决问题、排除隐患、提升管理水平，为政府行业监管部门提供工作建议和意见及相关数据。主要实施以下几方面内容：</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1、设施巡检工作</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（1）合同期内完成对</w:t>
      </w:r>
      <w:r>
        <w:rPr>
          <w:rFonts w:hint="eastAsia" w:ascii="宋体" w:hAnsi="宋体" w:eastAsia="宋体" w:cs="宋体"/>
          <w:sz w:val="24"/>
          <w:szCs w:val="20"/>
          <w:highlight w:val="none"/>
          <w:lang w:val="en-US" w:eastAsia="zh-CN"/>
        </w:rPr>
        <w:t>（   ）</w:t>
      </w:r>
      <w:r>
        <w:rPr>
          <w:rFonts w:hint="eastAsia" w:ascii="宋体" w:hAnsi="宋体" w:eastAsia="宋体" w:cs="宋体"/>
          <w:sz w:val="24"/>
          <w:szCs w:val="20"/>
          <w:highlight w:val="none"/>
        </w:rPr>
        <w:t>个村</w:t>
      </w:r>
      <w:r>
        <w:rPr>
          <w:rFonts w:hint="eastAsia" w:ascii="宋体" w:hAnsi="宋体" w:eastAsia="宋体" w:cs="宋体"/>
          <w:sz w:val="24"/>
          <w:szCs w:val="20"/>
          <w:highlight w:val="none"/>
          <w:lang w:val="en-US" w:eastAsia="zh-CN"/>
        </w:rPr>
        <w:t>（   ）</w:t>
      </w:r>
      <w:r>
        <w:rPr>
          <w:rFonts w:hint="eastAsia" w:ascii="宋体" w:hAnsi="宋体" w:eastAsia="宋体" w:cs="宋体"/>
          <w:sz w:val="24"/>
          <w:szCs w:val="20"/>
          <w:highlight w:val="none"/>
        </w:rPr>
        <w:t>户</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rPr>
        <w:t>煤改</w:t>
      </w:r>
      <w:r>
        <w:rPr>
          <w:rFonts w:hint="eastAsia" w:ascii="宋体" w:hAnsi="宋体" w:eastAsia="宋体" w:cs="宋体"/>
          <w:sz w:val="24"/>
          <w:szCs w:val="20"/>
          <w:highlight w:val="none"/>
          <w:lang w:val="en-US" w:eastAsia="zh-CN"/>
        </w:rPr>
        <w:t>清洁能源”</w:t>
      </w:r>
      <w:r>
        <w:rPr>
          <w:rFonts w:hint="eastAsia" w:ascii="宋体" w:hAnsi="宋体" w:eastAsia="宋体" w:cs="宋体"/>
          <w:sz w:val="24"/>
          <w:szCs w:val="20"/>
          <w:highlight w:val="none"/>
        </w:rPr>
        <w:t>设备</w:t>
      </w:r>
      <w:r>
        <w:rPr>
          <w:rFonts w:hint="eastAsia" w:ascii="宋体" w:hAnsi="宋体" w:eastAsia="宋体" w:cs="宋体"/>
          <w:sz w:val="24"/>
          <w:szCs w:val="20"/>
          <w:highlight w:val="none"/>
          <w:lang w:val="en-US" w:eastAsia="zh-CN"/>
        </w:rPr>
        <w:t>至少1</w:t>
      </w:r>
      <w:r>
        <w:rPr>
          <w:rFonts w:hint="eastAsia" w:ascii="宋体" w:hAnsi="宋体" w:eastAsia="宋体" w:cs="宋体"/>
          <w:sz w:val="24"/>
          <w:szCs w:val="20"/>
          <w:highlight w:val="none"/>
        </w:rPr>
        <w:t>次巡</w:t>
      </w:r>
      <w:r>
        <w:rPr>
          <w:rFonts w:hint="eastAsia" w:ascii="宋体" w:hAnsi="宋体" w:eastAsia="宋体" w:cs="宋体"/>
          <w:sz w:val="24"/>
          <w:szCs w:val="20"/>
          <w:highlight w:val="none"/>
          <w:lang w:val="en-US" w:eastAsia="zh-CN"/>
        </w:rPr>
        <w:t>检</w:t>
      </w:r>
      <w:r>
        <w:rPr>
          <w:rFonts w:hint="eastAsia" w:ascii="宋体" w:hAnsi="宋体" w:eastAsia="宋体" w:cs="宋体"/>
          <w:sz w:val="24"/>
          <w:szCs w:val="20"/>
          <w:highlight w:val="none"/>
        </w:rPr>
        <w:t>，并做好记录；</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（2）每月生成一次巡检报告，指出存在问题，协助政府联系工程施工单位及时解决；</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（3）巡查服务期间开展安全宣传工作，发放宣传资料。</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（4）每月底前书面向甲方提供上述三项工作成果。</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2、技术咨询工作</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（1）为</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用户提供日常技术咨询及维修服务；</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（2）管理诊断咨询。</w:t>
      </w:r>
    </w:p>
    <w:p>
      <w:pPr>
        <w:tabs>
          <w:tab w:val="left" w:pos="210"/>
        </w:tabs>
        <w:spacing w:line="360" w:lineRule="auto"/>
        <w:ind w:left="540"/>
        <w:rPr>
          <w:rFonts w:ascii="宋体" w:hAnsi="宋体" w:eastAsia="宋体" w:cs="宋体"/>
          <w:b/>
          <w:bCs/>
          <w:sz w:val="24"/>
          <w:szCs w:val="20"/>
          <w:highlight w:val="none"/>
        </w:rPr>
      </w:pPr>
      <w:r>
        <w:rPr>
          <w:rFonts w:hint="eastAsia" w:ascii="宋体" w:hAnsi="宋体" w:eastAsia="宋体" w:cs="宋体"/>
          <w:b/>
          <w:bCs/>
          <w:sz w:val="24"/>
          <w:szCs w:val="20"/>
          <w:highlight w:val="none"/>
        </w:rPr>
        <w:t>四、服务目标</w:t>
      </w:r>
    </w:p>
    <w:p>
      <w:pPr>
        <w:spacing w:line="360" w:lineRule="auto"/>
        <w:ind w:firstLine="480" w:firstLineChars="200"/>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（1）对</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用户设备使用情况</w:t>
      </w:r>
      <w:r>
        <w:rPr>
          <w:rFonts w:hint="eastAsia" w:ascii="宋体" w:hAnsi="宋体" w:eastAsia="宋体" w:cs="宋体"/>
          <w:sz w:val="24"/>
          <w:szCs w:val="20"/>
          <w:highlight w:val="none"/>
          <w:lang w:val="zh-CN"/>
        </w:rPr>
        <w:t>进行跟踪巡查，提出合理化改进建议。</w:t>
      </w:r>
    </w:p>
    <w:p>
      <w:pPr>
        <w:spacing w:line="360" w:lineRule="auto"/>
        <w:ind w:firstLine="480" w:firstLineChars="200"/>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（2）负责技术培训，提高操作技能和操作水平，促使村民能掌握正确操作和使用</w:t>
      </w:r>
      <w:r>
        <w:rPr>
          <w:rFonts w:hint="eastAsia" w:ascii="宋体" w:hAnsi="宋体" w:eastAsia="宋体" w:cs="宋体"/>
          <w:sz w:val="24"/>
          <w:szCs w:val="20"/>
          <w:highlight w:val="none"/>
        </w:rPr>
        <w:t>供暖</w:t>
      </w:r>
      <w:r>
        <w:rPr>
          <w:rFonts w:hint="eastAsia" w:ascii="宋体" w:hAnsi="宋体" w:eastAsia="宋体" w:cs="宋体"/>
          <w:sz w:val="24"/>
          <w:szCs w:val="20"/>
          <w:highlight w:val="none"/>
          <w:lang w:val="zh-CN"/>
        </w:rPr>
        <w:t>设施设备。</w:t>
      </w:r>
    </w:p>
    <w:p>
      <w:pPr>
        <w:spacing w:line="360" w:lineRule="auto"/>
        <w:ind w:firstLine="480" w:firstLineChars="200"/>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（3）强化安全意识，宣传安全知识，正确使用和保养各类设施。</w:t>
      </w:r>
    </w:p>
    <w:p>
      <w:pPr>
        <w:spacing w:line="360" w:lineRule="auto"/>
        <w:ind w:firstLine="480" w:firstLineChars="200"/>
        <w:rPr>
          <w:rFonts w:ascii="宋体" w:hAnsi="宋体" w:eastAsia="宋体" w:cs="宋体"/>
          <w:sz w:val="24"/>
          <w:szCs w:val="20"/>
          <w:highlight w:val="none"/>
          <w:lang w:val="zh-CN"/>
        </w:rPr>
      </w:pPr>
      <w:r>
        <w:rPr>
          <w:rFonts w:hint="eastAsia" w:ascii="宋体" w:hAnsi="宋体" w:eastAsia="宋体" w:cs="宋体"/>
          <w:sz w:val="24"/>
          <w:szCs w:val="20"/>
          <w:highlight w:val="none"/>
          <w:lang w:val="zh-CN"/>
        </w:rPr>
        <w:t>（</w:t>
      </w:r>
      <w:r>
        <w:rPr>
          <w:rFonts w:hint="eastAsia" w:ascii="宋体" w:hAnsi="宋体" w:eastAsia="宋体" w:cs="宋体"/>
          <w:sz w:val="24"/>
          <w:szCs w:val="20"/>
          <w:highlight w:val="none"/>
        </w:rPr>
        <w:t>4</w:t>
      </w:r>
      <w:r>
        <w:rPr>
          <w:rFonts w:hint="eastAsia" w:ascii="宋体" w:hAnsi="宋体" w:eastAsia="宋体" w:cs="宋体"/>
          <w:sz w:val="24"/>
          <w:szCs w:val="20"/>
          <w:highlight w:val="none"/>
          <w:lang w:val="zh-CN"/>
        </w:rPr>
        <w:t>）对设备运转、设施使用进行技术跟踪监控，发现问题及时上报主管部门协调相关单位及时维修处理，保障设备、设施正常运转和使用。</w:t>
      </w:r>
    </w:p>
    <w:p>
      <w:pPr>
        <w:rPr>
          <w:rFonts w:ascii="宋体" w:hAnsi="宋体" w:eastAsia="宋体" w:cs="宋体"/>
          <w:b/>
          <w:bCs/>
          <w:sz w:val="28"/>
          <w:szCs w:val="28"/>
          <w:highlight w:val="none"/>
        </w:rPr>
      </w:pPr>
      <w:r>
        <w:rPr>
          <w:rFonts w:hint="eastAsia" w:ascii="宋体" w:hAnsi="宋体" w:eastAsia="宋体" w:cs="宋体"/>
          <w:b/>
          <w:bCs/>
          <w:sz w:val="28"/>
          <w:szCs w:val="28"/>
          <w:highlight w:val="none"/>
        </w:rPr>
        <w:t>第二条：乙方应按下列要求完成技术服务工作：</w:t>
      </w:r>
    </w:p>
    <w:p>
      <w:pPr>
        <w:ind w:firstLine="720" w:firstLineChars="300"/>
        <w:rPr>
          <w:rFonts w:ascii="宋体" w:hAnsi="宋体" w:eastAsia="宋体" w:cs="宋体"/>
          <w:sz w:val="24"/>
          <w:szCs w:val="20"/>
          <w:highlight w:val="none"/>
        </w:rPr>
      </w:pPr>
      <w:r>
        <w:rPr>
          <w:rFonts w:hint="eastAsia" w:ascii="宋体" w:hAnsi="宋体" w:eastAsia="宋体" w:cs="宋体"/>
          <w:sz w:val="24"/>
          <w:szCs w:val="20"/>
          <w:highlight w:val="none"/>
        </w:rPr>
        <w:t>1、技术服务地点：</w:t>
      </w:r>
      <w:r>
        <w:rPr>
          <w:rFonts w:hint="eastAsia" w:ascii="宋体" w:hAnsi="宋体" w:eastAsia="宋体" w:cs="宋体"/>
          <w:sz w:val="24"/>
          <w:szCs w:val="20"/>
          <w:highlight w:val="none"/>
          <w:u w:val="single"/>
          <w:lang w:val="en-US" w:eastAsia="zh-CN"/>
        </w:rPr>
        <w:t>北京市大兴区</w:t>
      </w:r>
      <w:r>
        <w:rPr>
          <w:rFonts w:hint="eastAsia" w:ascii="宋体" w:hAnsi="宋体" w:eastAsia="宋体" w:cs="宋体"/>
          <w:sz w:val="24"/>
          <w:szCs w:val="20"/>
          <w:highlight w:val="none"/>
          <w:u w:val="single"/>
        </w:rPr>
        <w:t xml:space="preserve">庞各庄镇 </w:t>
      </w:r>
      <w:r>
        <w:rPr>
          <w:rFonts w:hint="eastAsia" w:ascii="宋体" w:hAnsi="宋体" w:eastAsia="宋体" w:cs="宋体"/>
          <w:sz w:val="24"/>
          <w:szCs w:val="20"/>
          <w:highlight w:val="none"/>
        </w:rPr>
        <w:t xml:space="preserve">               </w:t>
      </w:r>
    </w:p>
    <w:p>
      <w:pPr>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2．维修管理服务期限： 202</w:t>
      </w:r>
      <w:r>
        <w:rPr>
          <w:rFonts w:hint="eastAsia" w:ascii="宋体" w:hAnsi="宋体" w:eastAsia="宋体" w:cs="宋体"/>
          <w:sz w:val="24"/>
          <w:szCs w:val="20"/>
          <w:highlight w:val="none"/>
          <w:lang w:val="en-US" w:eastAsia="zh-CN"/>
        </w:rPr>
        <w:t xml:space="preserve">  </w:t>
      </w:r>
      <w:r>
        <w:rPr>
          <w:rFonts w:hint="eastAsia" w:ascii="宋体" w:hAnsi="宋体" w:eastAsia="宋体" w:cs="宋体"/>
          <w:sz w:val="24"/>
          <w:szCs w:val="20"/>
          <w:highlight w:val="none"/>
        </w:rPr>
        <w:t>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月</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rPr>
        <w:t>日-202</w:t>
      </w:r>
      <w:r>
        <w:rPr>
          <w:rFonts w:hint="eastAsia" w:ascii="宋体" w:hAnsi="宋体" w:eastAsia="宋体" w:cs="宋体"/>
          <w:sz w:val="24"/>
          <w:szCs w:val="20"/>
          <w:highlight w:val="none"/>
          <w:lang w:val="en-US" w:eastAsia="zh-CN"/>
        </w:rPr>
        <w:t xml:space="preserve">  </w:t>
      </w:r>
      <w:r>
        <w:rPr>
          <w:rFonts w:hint="eastAsia" w:ascii="宋体" w:hAnsi="宋体" w:eastAsia="宋体" w:cs="宋体"/>
          <w:sz w:val="24"/>
          <w:szCs w:val="20"/>
          <w:highlight w:val="none"/>
        </w:rPr>
        <w:t>年</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rPr>
        <w:t>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            </w:t>
      </w:r>
    </w:p>
    <w:p>
      <w:pPr>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3、提交报告时间：合同期内供暖季每月2</w:t>
      </w:r>
      <w:r>
        <w:rPr>
          <w:rFonts w:hint="eastAsia" w:ascii="宋体" w:hAnsi="宋体" w:eastAsia="宋体" w:cs="宋体"/>
          <w:sz w:val="24"/>
          <w:szCs w:val="20"/>
          <w:highlight w:val="none"/>
          <w:lang w:val="en-US" w:eastAsia="zh-CN"/>
        </w:rPr>
        <w:t>5</w:t>
      </w:r>
      <w:r>
        <w:rPr>
          <w:rFonts w:hint="eastAsia" w:ascii="宋体" w:hAnsi="宋体" w:eastAsia="宋体" w:cs="宋体"/>
          <w:sz w:val="24"/>
          <w:szCs w:val="20"/>
          <w:highlight w:val="none"/>
        </w:rPr>
        <w:t>日-</w:t>
      </w:r>
      <w:r>
        <w:rPr>
          <w:rFonts w:hint="eastAsia" w:ascii="宋体" w:hAnsi="宋体" w:eastAsia="宋体" w:cs="宋体"/>
          <w:sz w:val="24"/>
          <w:szCs w:val="20"/>
          <w:highlight w:val="none"/>
          <w:lang w:val="en-US" w:eastAsia="zh-CN"/>
        </w:rPr>
        <w:t>30</w:t>
      </w:r>
      <w:r>
        <w:rPr>
          <w:rFonts w:hint="eastAsia" w:ascii="宋体" w:hAnsi="宋体" w:eastAsia="宋体" w:cs="宋体"/>
          <w:sz w:val="24"/>
          <w:szCs w:val="20"/>
          <w:highlight w:val="none"/>
        </w:rPr>
        <w:t>日。</w:t>
      </w:r>
      <w:r>
        <w:rPr>
          <w:rFonts w:hint="eastAsia" w:ascii="宋体" w:hAnsi="宋体" w:eastAsia="宋体" w:cs="宋体"/>
          <w:sz w:val="24"/>
          <w:szCs w:val="20"/>
          <w:highlight w:val="none"/>
          <w:lang w:val="en-US" w:eastAsia="zh-CN"/>
        </w:rPr>
        <w:t>提交报告纸质版1份。</w:t>
      </w:r>
    </w:p>
    <w:p>
      <w:pPr>
        <w:spacing w:line="360" w:lineRule="auto"/>
        <w:ind w:firstLine="480" w:firstLineChars="200"/>
        <w:rPr>
          <w:rFonts w:ascii="宋体" w:hAnsi="宋体" w:eastAsia="宋体" w:cs="宋体"/>
          <w:sz w:val="24"/>
          <w:szCs w:val="20"/>
          <w:highlight w:val="none"/>
          <w:lang w:val="zh-CN"/>
        </w:rPr>
      </w:pPr>
      <w:r>
        <w:rPr>
          <w:rFonts w:hint="eastAsia" w:ascii="宋体" w:hAnsi="宋体" w:eastAsia="宋体" w:cs="宋体"/>
          <w:sz w:val="24"/>
          <w:szCs w:val="20"/>
          <w:highlight w:val="none"/>
        </w:rPr>
        <w:t xml:space="preserve">  4．服务质量要求：</w:t>
      </w:r>
      <w:r>
        <w:rPr>
          <w:rFonts w:hint="eastAsia" w:ascii="宋体" w:hAnsi="宋体" w:eastAsia="宋体" w:cs="宋体"/>
          <w:sz w:val="24"/>
          <w:szCs w:val="20"/>
          <w:highlight w:val="none"/>
          <w:lang w:val="zh-CN"/>
        </w:rPr>
        <w:t>严格按照服务合同内容执行；在接到</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w:t>
      </w:r>
      <w:r>
        <w:rPr>
          <w:rFonts w:hint="eastAsia" w:ascii="宋体" w:hAnsi="宋体" w:eastAsia="宋体" w:cs="宋体"/>
          <w:sz w:val="24"/>
          <w:szCs w:val="20"/>
          <w:highlight w:val="none"/>
          <w:lang w:val="zh-CN"/>
        </w:rPr>
        <w:t>电话后1小时内响应，</w:t>
      </w:r>
      <w:r>
        <w:rPr>
          <w:rFonts w:hint="eastAsia" w:ascii="宋体" w:hAnsi="宋体" w:eastAsia="宋体" w:cs="宋体"/>
          <w:sz w:val="24"/>
          <w:szCs w:val="20"/>
          <w:highlight w:val="none"/>
        </w:rPr>
        <w:t>1小时内到达现场</w:t>
      </w:r>
      <w:r>
        <w:rPr>
          <w:rFonts w:hint="eastAsia" w:ascii="宋体" w:hAnsi="宋体" w:eastAsia="宋体" w:cs="宋体"/>
          <w:sz w:val="24"/>
          <w:szCs w:val="20"/>
          <w:highlight w:val="none"/>
          <w:lang w:val="zh-CN"/>
        </w:rPr>
        <w:t>，</w:t>
      </w:r>
      <w:r>
        <w:rPr>
          <w:rFonts w:hint="eastAsia" w:ascii="宋体" w:hAnsi="宋体" w:eastAsia="宋体" w:cs="宋体"/>
          <w:sz w:val="24"/>
          <w:szCs w:val="20"/>
          <w:highlight w:val="none"/>
        </w:rPr>
        <w:t>了解具体情况</w:t>
      </w:r>
      <w:r>
        <w:rPr>
          <w:rFonts w:hint="eastAsia" w:ascii="宋体" w:hAnsi="宋体" w:eastAsia="宋体" w:cs="宋体"/>
          <w:sz w:val="24"/>
          <w:szCs w:val="20"/>
          <w:highlight w:val="none"/>
          <w:lang w:val="zh-CN"/>
        </w:rPr>
        <w:t>，一般问题</w:t>
      </w:r>
      <w:r>
        <w:rPr>
          <w:rFonts w:hint="eastAsia" w:ascii="宋体" w:hAnsi="宋体" w:eastAsia="宋体" w:cs="宋体"/>
          <w:sz w:val="24"/>
          <w:szCs w:val="20"/>
          <w:highlight w:val="none"/>
        </w:rPr>
        <w:t>2</w:t>
      </w:r>
      <w:r>
        <w:rPr>
          <w:rFonts w:hint="eastAsia" w:ascii="宋体" w:hAnsi="宋体" w:eastAsia="宋体" w:cs="宋体"/>
          <w:sz w:val="24"/>
          <w:szCs w:val="20"/>
          <w:highlight w:val="none"/>
          <w:lang w:val="zh-CN"/>
        </w:rPr>
        <w:t>小时内排除，对特殊问题上报至镇主管部门联合设备厂家处理；做到客户对工作不满意，服务不停止；故障不排除，人员不撤离；巡检服务人员定期回访设备运行情况。若服务质量未达标，则甲方有权中止合同。</w:t>
      </w:r>
    </w:p>
    <w:p>
      <w:pPr>
        <w:numPr>
          <w:ilvl w:val="0"/>
          <w:numId w:val="15"/>
        </w:numPr>
        <w:spacing w:line="360" w:lineRule="auto"/>
        <w:ind w:left="-73" w:leftChars="0" w:firstLine="703" w:firstLineChars="0"/>
        <w:rPr>
          <w:rFonts w:ascii="宋体" w:hAnsi="宋体" w:eastAsia="宋体" w:cs="宋体"/>
          <w:b/>
          <w:bCs/>
          <w:sz w:val="28"/>
          <w:szCs w:val="28"/>
          <w:highlight w:val="none"/>
        </w:rPr>
      </w:pPr>
      <w:r>
        <w:rPr>
          <w:rFonts w:hint="eastAsia" w:ascii="宋体" w:hAnsi="宋体" w:eastAsia="宋体" w:cs="宋体"/>
          <w:b/>
          <w:bCs/>
          <w:sz w:val="28"/>
          <w:szCs w:val="28"/>
          <w:highlight w:val="none"/>
        </w:rPr>
        <w:t>：职责划分</w:t>
      </w:r>
    </w:p>
    <w:p>
      <w:pPr>
        <w:spacing w:line="360" w:lineRule="auto"/>
        <w:rPr>
          <w:rFonts w:ascii="宋体" w:hAnsi="宋体" w:eastAsia="宋体" w:cs="宋体"/>
          <w:sz w:val="24"/>
          <w:szCs w:val="20"/>
          <w:highlight w:val="none"/>
        </w:rPr>
      </w:pPr>
      <w:r>
        <w:rPr>
          <w:rFonts w:hint="eastAsia" w:ascii="宋体" w:hAnsi="宋体" w:eastAsia="宋体" w:cs="宋体"/>
          <w:sz w:val="28"/>
          <w:szCs w:val="28"/>
          <w:highlight w:val="none"/>
        </w:rPr>
        <w:t xml:space="preserve">   </w:t>
      </w:r>
      <w:r>
        <w:rPr>
          <w:rFonts w:hint="eastAsia" w:ascii="宋体" w:hAnsi="宋体" w:eastAsia="宋体" w:cs="宋体"/>
          <w:b/>
          <w:bCs/>
          <w:sz w:val="24"/>
          <w:szCs w:val="20"/>
          <w:highlight w:val="none"/>
        </w:rPr>
        <w:t>一、甲方权利与义务</w:t>
      </w:r>
    </w:p>
    <w:p>
      <w:pPr>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1、甲方权利</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1.1对乙方的巡查管理服务活动实行监督；</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1.2对</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rPr>
        <w:t>设备不定期检查，提出相关改进要求。</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1.3甲方有权对乙方从事的</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用户巡查管理服务及相关设施巡查的进度，根据实际情况，进行相应调整。</w:t>
      </w:r>
    </w:p>
    <w:p>
      <w:pPr>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2甲方的义务</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2.1协调和解决</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用户设备在使用和维修过程中出现的问题及隐患。</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2.2不干涉乙方正常合法的巡查管理服务工作。</w:t>
      </w:r>
    </w:p>
    <w:p>
      <w:pPr>
        <w:spacing w:line="360" w:lineRule="auto"/>
        <w:ind w:firstLine="360" w:firstLineChars="150"/>
        <w:rPr>
          <w:rFonts w:hint="eastAsia" w:ascii="宋体" w:hAnsi="宋体" w:eastAsia="宋体" w:cs="宋体"/>
          <w:sz w:val="24"/>
          <w:szCs w:val="20"/>
          <w:highlight w:val="none"/>
        </w:rPr>
      </w:pPr>
      <w:r>
        <w:rPr>
          <w:rFonts w:hint="eastAsia" w:ascii="宋体" w:hAnsi="宋体" w:eastAsia="宋体" w:cs="宋体"/>
          <w:sz w:val="24"/>
          <w:szCs w:val="20"/>
          <w:highlight w:val="none"/>
        </w:rPr>
        <w:t>2.3按合同约定付给乙方从事</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用户巡查维修服务费</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2.4维修过程中产生的材料费用，按照甲方补贴政策，以甲、乙双方参考市场价拟定的入户价格为依据，乙方向户内收取除去甲方补贴外的差价，材料补贴</w:t>
      </w:r>
      <w:r>
        <w:rPr>
          <w:rFonts w:hint="eastAsia" w:ascii="宋体" w:hAnsi="宋体" w:eastAsia="宋体" w:cs="宋体"/>
          <w:sz w:val="24"/>
          <w:szCs w:val="20"/>
          <w:highlight w:val="none"/>
          <w:lang w:val="en-US" w:eastAsia="zh-CN"/>
        </w:rPr>
        <w:t>款包含在本合同款内</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rPr>
        <w:t>至合同期限结束后</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乙方向甲方提交本项目发生的入户维修确认单，配合甲方审计。</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2.5若发生质保期内供暖设施需要维修，经与甲方确认同意乙方负责维修的，乙方应提供维修服务，不得拒绝，维修费用由甲方负责协调设施厂家支付。</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2.6甲方制定的补贴机制：</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对质保期外的设备维修更换配件费用政府予以补贴。</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（1）一档补贴原则：对设备维修更换配件费用，政府补贴配件费用比例按照3000（含3000）为基数，户内产生的更换配件费用低于基数情况：政府补贴50%；</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（2）二档补贴原则：户内产生的更换配件费用高于一档补贴原则但不超过6000（含6000）情况，政府执行一档补贴原则后，费用超出一档原则部分，政府予以补贴70%；</w:t>
      </w:r>
    </w:p>
    <w:p>
      <w:pPr>
        <w:numPr>
          <w:ilvl w:val="0"/>
          <w:numId w:val="16"/>
        </w:num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三档补贴原则：户内产生的更换配件费用超出二档补贴情况，费用超出部分政府予以补贴90%；</w:t>
      </w:r>
    </w:p>
    <w:p>
      <w:pPr>
        <w:numPr>
          <w:ilvl w:val="0"/>
          <w:numId w:val="16"/>
        </w:numPr>
        <w:spacing w:line="360" w:lineRule="auto"/>
        <w:ind w:firstLine="360" w:firstLineChars="150"/>
        <w:rPr>
          <w:rFonts w:ascii="宋体" w:hAnsi="宋体" w:eastAsia="宋体" w:cs="宋体"/>
          <w:sz w:val="24"/>
          <w:szCs w:val="20"/>
          <w:highlight w:val="none"/>
        </w:rPr>
      </w:pPr>
      <w:r>
        <w:rPr>
          <w:rFonts w:ascii="宋体" w:hAnsi="宋体" w:eastAsia="宋体" w:cs="宋体"/>
          <w:sz w:val="24"/>
          <w:szCs w:val="20"/>
          <w:highlight w:val="none"/>
        </w:rPr>
        <w:t>服务过程中产生的移机费，</w:t>
      </w:r>
      <w:r>
        <w:rPr>
          <w:rFonts w:hint="eastAsia" w:ascii="宋体" w:hAnsi="宋体" w:eastAsia="宋体" w:cs="宋体"/>
          <w:sz w:val="24"/>
          <w:szCs w:val="20"/>
          <w:highlight w:val="none"/>
        </w:rPr>
        <w:t>空气能移机原价格1500元/户（包含移机服务过程中产生的材料费）；蓄能电暖器移机原价格1000元/户（包含移机服务过程中产生的材料费），其中，3.2KW移机原价格400元/台，2.8KW移机原价格300元/台。政府予以执行一档补贴。</w:t>
      </w:r>
    </w:p>
    <w:p>
      <w:pPr>
        <w:numPr>
          <w:ilvl w:val="0"/>
          <w:numId w:val="16"/>
        </w:numPr>
        <w:spacing w:line="360" w:lineRule="auto"/>
        <w:ind w:firstLine="360" w:firstLineChars="150"/>
        <w:rPr>
          <w:rFonts w:ascii="宋体" w:hAnsi="宋体" w:eastAsia="宋体" w:cs="宋体"/>
          <w:sz w:val="24"/>
          <w:szCs w:val="20"/>
          <w:highlight w:val="none"/>
        </w:rPr>
      </w:pPr>
      <w:r>
        <w:rPr>
          <w:rFonts w:ascii="宋体" w:hAnsi="宋体" w:eastAsia="宋体" w:cs="宋体"/>
          <w:sz w:val="24"/>
          <w:szCs w:val="20"/>
          <w:highlight w:val="none"/>
        </w:rPr>
        <w:t>每户补贴上限</w:t>
      </w:r>
      <w:r>
        <w:rPr>
          <w:rFonts w:hint="eastAsia" w:ascii="宋体" w:hAnsi="宋体" w:cs="宋体"/>
          <w:sz w:val="24"/>
          <w:szCs w:val="20"/>
          <w:highlight w:val="none"/>
          <w:lang w:val="en-US" w:eastAsia="zh-CN"/>
        </w:rPr>
        <w:t>6000</w:t>
      </w:r>
      <w:r>
        <w:rPr>
          <w:rFonts w:ascii="宋体" w:hAnsi="宋体" w:eastAsia="宋体" w:cs="宋体"/>
          <w:sz w:val="24"/>
          <w:szCs w:val="20"/>
          <w:highlight w:val="none"/>
        </w:rPr>
        <w:t>元。剩余更换配件费用由用户承担。</w:t>
      </w:r>
    </w:p>
    <w:p>
      <w:pPr>
        <w:spacing w:line="360" w:lineRule="auto"/>
        <w:ind w:firstLine="361" w:firstLineChars="150"/>
        <w:rPr>
          <w:rFonts w:ascii="宋体" w:hAnsi="宋体" w:eastAsia="宋体" w:cs="宋体"/>
          <w:b/>
          <w:bCs/>
          <w:sz w:val="24"/>
          <w:szCs w:val="20"/>
          <w:highlight w:val="none"/>
        </w:rPr>
      </w:pPr>
      <w:r>
        <w:rPr>
          <w:rFonts w:hint="eastAsia" w:ascii="宋体" w:hAnsi="宋体" w:eastAsia="宋体" w:cs="宋体"/>
          <w:b/>
          <w:bCs/>
          <w:sz w:val="24"/>
          <w:szCs w:val="20"/>
          <w:highlight w:val="none"/>
        </w:rPr>
        <w:t>二、乙方权利与义务</w:t>
      </w:r>
    </w:p>
    <w:p>
      <w:pPr>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1、乙方的权利</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1.1拥有对</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用户设备及配套设施诊断检修、整改建议权，在此权限下从事相关巡查运行管理服务、诊断问题、解决问题、排除隐患。</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1.2按合同收取甲方</w:t>
      </w:r>
      <w:r>
        <w:rPr>
          <w:rFonts w:hint="eastAsia" w:ascii="宋体" w:hAnsi="宋体" w:eastAsia="宋体" w:cs="宋体"/>
          <w:sz w:val="24"/>
          <w:szCs w:val="20"/>
          <w:highlight w:val="none"/>
          <w:lang w:val="en-US" w:eastAsia="zh-CN"/>
        </w:rPr>
        <w:t>支</w:t>
      </w:r>
      <w:r>
        <w:rPr>
          <w:rFonts w:hint="eastAsia" w:ascii="宋体" w:hAnsi="宋体" w:eastAsia="宋体" w:cs="宋体"/>
          <w:sz w:val="24"/>
          <w:szCs w:val="20"/>
          <w:highlight w:val="none"/>
        </w:rPr>
        <w:t>付给乙方从事</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设备巡查维修的</w:t>
      </w:r>
      <w:r>
        <w:rPr>
          <w:rFonts w:hint="eastAsia" w:ascii="宋体" w:hAnsi="宋体" w:eastAsia="宋体" w:cs="宋体"/>
          <w:sz w:val="24"/>
          <w:szCs w:val="20"/>
          <w:highlight w:val="none"/>
        </w:rPr>
        <w:t>服务费。</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1.3按</w:t>
      </w:r>
      <w:r>
        <w:rPr>
          <w:rFonts w:hint="eastAsia" w:ascii="宋体" w:hAnsi="宋体" w:eastAsia="宋体" w:cs="宋体"/>
          <w:sz w:val="24"/>
          <w:szCs w:val="20"/>
          <w:highlight w:val="none"/>
          <w:shd w:val="clear" w:color="auto" w:fill="auto"/>
        </w:rPr>
        <w:t>甲方</w:t>
      </w:r>
      <w:r>
        <w:rPr>
          <w:rFonts w:hint="eastAsia" w:ascii="宋体" w:hAnsi="宋体" w:eastAsia="宋体" w:cs="宋体"/>
          <w:sz w:val="24"/>
          <w:szCs w:val="20"/>
          <w:highlight w:val="none"/>
        </w:rPr>
        <w:t>相关部门制定设备维修材料费统一取费标准收取</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设备使用</w:t>
      </w:r>
      <w:r>
        <w:rPr>
          <w:rFonts w:hint="eastAsia" w:ascii="宋体" w:hAnsi="宋体" w:eastAsia="宋体" w:cs="宋体"/>
          <w:sz w:val="24"/>
          <w:szCs w:val="20"/>
          <w:highlight w:val="none"/>
        </w:rPr>
        <w:t>户维修材料费，设备维修免收人工费。</w:t>
      </w:r>
    </w:p>
    <w:p>
      <w:pPr>
        <w:spacing w:line="360" w:lineRule="auto"/>
        <w:ind w:firstLine="360" w:firstLineChars="150"/>
        <w:outlineLvl w:val="0"/>
        <w:rPr>
          <w:rFonts w:ascii="宋体" w:hAnsi="宋体" w:eastAsia="宋体" w:cs="宋体"/>
          <w:sz w:val="24"/>
          <w:szCs w:val="20"/>
          <w:highlight w:val="none"/>
        </w:rPr>
      </w:pPr>
      <w:r>
        <w:rPr>
          <w:rFonts w:hint="eastAsia" w:ascii="宋体" w:hAnsi="宋体" w:eastAsia="宋体" w:cs="宋体"/>
          <w:sz w:val="24"/>
          <w:szCs w:val="20"/>
          <w:highlight w:val="none"/>
        </w:rPr>
        <w:t>2、乙方的义务</w:t>
      </w:r>
    </w:p>
    <w:p>
      <w:pPr>
        <w:widowControl w:val="0"/>
        <w:spacing w:line="360" w:lineRule="auto"/>
        <w:ind w:firstLine="360" w:firstLineChars="150"/>
        <w:jc w:val="left"/>
        <w:rPr>
          <w:rFonts w:ascii="宋体" w:hAnsi="宋体" w:eastAsia="宋体" w:cs="宋体"/>
          <w:kern w:val="2"/>
          <w:sz w:val="24"/>
          <w:highlight w:val="none"/>
          <w:lang w:val="en-US" w:eastAsia="zh-CN" w:bidi="ar-SA"/>
        </w:rPr>
      </w:pPr>
      <w:r>
        <w:rPr>
          <w:rFonts w:hint="eastAsia" w:ascii="宋体" w:hAnsi="宋体" w:eastAsia="宋体" w:cs="宋体"/>
          <w:kern w:val="2"/>
          <w:sz w:val="24"/>
          <w:highlight w:val="none"/>
          <w:lang w:val="en-US" w:eastAsia="zh-CN" w:bidi="ar-SA"/>
        </w:rPr>
        <w:t>2.1乙方必须认真执行合同中相关的巡查维修服务工作</w:t>
      </w:r>
      <w:r>
        <w:rPr>
          <w:rFonts w:hint="eastAsia" w:ascii="宋体" w:hAnsi="宋体" w:eastAsia="宋体" w:cs="宋体"/>
          <w:kern w:val="2"/>
          <w:sz w:val="24"/>
          <w:szCs w:val="24"/>
          <w:highlight w:val="none"/>
          <w:lang w:val="en-US" w:eastAsia="zh-CN" w:bidi="ar-SA"/>
        </w:rPr>
        <w:t>且规定时间内提交服务方案，经甲方书面认可后执行，此项标准纳入为考核标准范围</w:t>
      </w:r>
      <w:r>
        <w:rPr>
          <w:rFonts w:hint="eastAsia" w:ascii="宋体" w:hAnsi="宋体" w:eastAsia="宋体" w:cs="宋体"/>
          <w:kern w:val="2"/>
          <w:sz w:val="24"/>
          <w:highlight w:val="none"/>
          <w:lang w:val="en-US" w:eastAsia="zh-CN" w:bidi="ar-SA"/>
        </w:rPr>
        <w:t>。</w:t>
      </w:r>
    </w:p>
    <w:p>
      <w:pPr>
        <w:spacing w:line="360" w:lineRule="auto"/>
        <w:ind w:firstLine="360" w:firstLineChars="150"/>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2.2乙方必须从</w:t>
      </w:r>
      <w:r>
        <w:rPr>
          <w:rFonts w:hint="eastAsia" w:ascii="宋体" w:hAnsi="宋体" w:eastAsia="宋体" w:cs="宋体"/>
          <w:sz w:val="24"/>
          <w:szCs w:val="20"/>
          <w:highlight w:val="none"/>
          <w:lang w:val="en-US" w:eastAsia="zh-CN"/>
        </w:rPr>
        <w:t>使用“煤改清洁能源”设备</w:t>
      </w:r>
      <w:r>
        <w:rPr>
          <w:rFonts w:hint="eastAsia" w:ascii="宋体" w:hAnsi="宋体" w:eastAsia="宋体" w:cs="宋体"/>
          <w:sz w:val="24"/>
          <w:szCs w:val="20"/>
          <w:highlight w:val="none"/>
        </w:rPr>
        <w:t>正常运行角度出发，</w:t>
      </w:r>
      <w:r>
        <w:rPr>
          <w:rFonts w:hint="eastAsia" w:ascii="宋体" w:hAnsi="宋体" w:eastAsia="宋体" w:cs="宋体"/>
          <w:sz w:val="24"/>
          <w:szCs w:val="20"/>
          <w:highlight w:val="none"/>
          <w:lang w:val="en-US" w:eastAsia="zh-CN"/>
        </w:rPr>
        <w:t>对“煤改清洁能源”设备</w:t>
      </w:r>
      <w:r>
        <w:rPr>
          <w:rFonts w:hint="eastAsia" w:ascii="宋体" w:hAnsi="宋体" w:eastAsia="宋体" w:cs="宋体"/>
          <w:sz w:val="24"/>
          <w:szCs w:val="20"/>
          <w:highlight w:val="none"/>
        </w:rPr>
        <w:t>进行“查找、诊断、解决”</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rPr>
        <w:t>确保设备能安全使用</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保障户内正常供暖。</w:t>
      </w:r>
    </w:p>
    <w:p>
      <w:pPr>
        <w:spacing w:line="360" w:lineRule="auto"/>
        <w:ind w:firstLine="360" w:firstLineChars="150"/>
        <w:rPr>
          <w:rFonts w:ascii="宋体" w:hAnsi="宋体" w:eastAsia="宋体" w:cs="宋体"/>
          <w:sz w:val="24"/>
          <w:szCs w:val="20"/>
          <w:highlight w:val="none"/>
        </w:rPr>
      </w:pPr>
      <w:r>
        <w:rPr>
          <w:rFonts w:hint="eastAsia" w:ascii="宋体" w:hAnsi="宋体" w:eastAsia="宋体" w:cs="宋体"/>
          <w:sz w:val="24"/>
          <w:szCs w:val="20"/>
          <w:highlight w:val="none"/>
        </w:rPr>
        <w:t>2.3乙方必须确保合同期内对能源设施巡查服务，特别在节假日对</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用户巡查服务加大人力、物力投入力度，确保村民供暖设施能正常使用。</w:t>
      </w:r>
    </w:p>
    <w:p>
      <w:pPr>
        <w:spacing w:line="360" w:lineRule="auto"/>
        <w:ind w:firstLine="403" w:firstLineChars="168"/>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2.4乙方不承担非自身原因造成的</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用户设备的安全事故责任；因设备质量问题及</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煤改清洁能源</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设备</w:t>
      </w:r>
      <w:r>
        <w:rPr>
          <w:rFonts w:hint="eastAsia" w:ascii="宋体" w:hAnsi="宋体" w:eastAsia="宋体" w:cs="宋体"/>
          <w:sz w:val="24"/>
          <w:szCs w:val="20"/>
          <w:highlight w:val="none"/>
        </w:rPr>
        <w:t>用户不按设备要求进行操作、管护的，所造成的财产损失及人员伤亡，乙方不承担任何经济及法律责任。</w:t>
      </w:r>
      <w:r>
        <w:rPr>
          <w:rFonts w:hint="eastAsia" w:ascii="宋体" w:hAnsi="宋体" w:eastAsia="宋体" w:cs="宋体"/>
          <w:sz w:val="24"/>
          <w:szCs w:val="20"/>
          <w:highlight w:val="none"/>
          <w:lang w:val="en-US" w:eastAsia="zh-CN"/>
        </w:rPr>
        <w:t>因乙方原因和工作失误造成的任何一方的人身、财产损失由乙方承担。</w:t>
      </w:r>
    </w:p>
    <w:p>
      <w:pPr>
        <w:spacing w:line="360" w:lineRule="auto"/>
        <w:ind w:firstLine="480" w:firstLineChars="200"/>
        <w:rPr>
          <w:rFonts w:ascii="Calibri" w:hAnsi="Calibri" w:eastAsia="宋体" w:cs="宋体"/>
          <w:sz w:val="24"/>
          <w:szCs w:val="24"/>
          <w:highlight w:val="none"/>
          <w:shd w:val="clear" w:color="auto" w:fill="FFFFFF"/>
        </w:rPr>
      </w:pPr>
      <w:r>
        <w:rPr>
          <w:rFonts w:hint="eastAsia" w:ascii="宋体" w:hAnsi="宋体" w:eastAsia="宋体" w:cs="宋体"/>
          <w:sz w:val="24"/>
          <w:szCs w:val="20"/>
          <w:highlight w:val="none"/>
        </w:rPr>
        <w:t>2.5供暖季结束后，乙方应安排</w:t>
      </w:r>
      <w:r>
        <w:rPr>
          <w:rFonts w:hint="eastAsia" w:ascii="Calibri" w:hAnsi="Calibri" w:eastAsia="宋体" w:cs="宋体"/>
          <w:sz w:val="24"/>
          <w:szCs w:val="24"/>
          <w:highlight w:val="none"/>
          <w:shd w:val="clear" w:color="auto" w:fill="FFFFFF"/>
        </w:rPr>
        <w:t>2名维修技术人员、车辆1部持续提供全年维修保障服务。</w:t>
      </w:r>
      <w:r>
        <w:rPr>
          <w:rFonts w:hint="eastAsia" w:ascii="Calibri" w:hAnsi="Calibri" w:eastAsia="宋体" w:cs="宋体"/>
          <w:sz w:val="24"/>
          <w:szCs w:val="24"/>
          <w:highlight w:val="none"/>
          <w:shd w:val="clear" w:color="auto" w:fill="FFFFFF"/>
          <w:lang w:val="en-US" w:eastAsia="zh-CN"/>
        </w:rPr>
        <w:t>服务费用包含在总合同金额内。</w:t>
      </w:r>
    </w:p>
    <w:p>
      <w:pPr>
        <w:spacing w:line="360" w:lineRule="auto"/>
        <w:ind w:firstLine="480" w:firstLineChars="200"/>
        <w:rPr>
          <w:rFonts w:ascii="Calibri" w:hAnsi="Calibri" w:eastAsia="宋体" w:cs="宋体"/>
          <w:sz w:val="24"/>
          <w:szCs w:val="24"/>
          <w:highlight w:val="none"/>
          <w:shd w:val="clear" w:color="auto" w:fill="FFFFFF"/>
        </w:rPr>
      </w:pPr>
      <w:r>
        <w:rPr>
          <w:rFonts w:hint="eastAsia" w:ascii="Calibri" w:hAnsi="Calibri" w:eastAsia="宋体" w:cs="宋体"/>
          <w:sz w:val="24"/>
          <w:szCs w:val="24"/>
          <w:highlight w:val="none"/>
          <w:shd w:val="clear" w:color="auto" w:fill="FFFFFF"/>
        </w:rPr>
        <w:t>2.5.1服务内容如下：</w:t>
      </w:r>
    </w:p>
    <w:p>
      <w:pPr>
        <w:spacing w:line="360" w:lineRule="auto"/>
        <w:ind w:firstLine="960" w:firstLineChars="400"/>
        <w:rPr>
          <w:rFonts w:ascii="Calibri" w:hAnsi="Calibri" w:eastAsia="宋体" w:cs="宋体"/>
          <w:sz w:val="24"/>
          <w:szCs w:val="24"/>
          <w:highlight w:val="none"/>
          <w:shd w:val="clear" w:color="auto" w:fill="FFFFFF"/>
        </w:rPr>
      </w:pPr>
      <w:r>
        <w:rPr>
          <w:rFonts w:hint="eastAsia" w:ascii="Calibri" w:hAnsi="Calibri" w:eastAsia="宋体" w:cs="宋体"/>
          <w:sz w:val="24"/>
          <w:szCs w:val="24"/>
          <w:highlight w:val="none"/>
          <w:shd w:val="clear" w:color="auto" w:fill="FFFFFF"/>
        </w:rPr>
        <w:t>1. 24小时无障碍提供技术咨询及报修服务。</w:t>
      </w:r>
    </w:p>
    <w:p>
      <w:pPr>
        <w:spacing w:line="360" w:lineRule="auto"/>
        <w:ind w:firstLine="960" w:firstLineChars="400"/>
        <w:rPr>
          <w:rFonts w:ascii="Calibri" w:hAnsi="Calibri" w:eastAsia="宋体" w:cs="宋体"/>
          <w:sz w:val="24"/>
          <w:szCs w:val="24"/>
          <w:highlight w:val="none"/>
          <w:shd w:val="clear" w:color="auto" w:fill="FFFFFF"/>
        </w:rPr>
      </w:pPr>
      <w:r>
        <w:rPr>
          <w:rFonts w:hint="eastAsia" w:ascii="Calibri" w:hAnsi="Calibri" w:eastAsia="宋体" w:cs="宋体"/>
          <w:sz w:val="24"/>
          <w:szCs w:val="24"/>
          <w:highlight w:val="none"/>
          <w:shd w:val="clear" w:color="auto" w:fill="FFFFFF"/>
        </w:rPr>
        <w:t>2. 户内日常检修服务。</w:t>
      </w:r>
    </w:p>
    <w:p>
      <w:pPr>
        <w:spacing w:line="360" w:lineRule="auto"/>
        <w:ind w:firstLine="960" w:firstLineChars="400"/>
        <w:rPr>
          <w:rFonts w:ascii="Calibri" w:hAnsi="Calibri" w:eastAsia="宋体" w:cs="宋体"/>
          <w:sz w:val="24"/>
          <w:szCs w:val="24"/>
          <w:highlight w:val="none"/>
          <w:shd w:val="clear" w:color="auto" w:fill="FFFFFF"/>
        </w:rPr>
      </w:pPr>
      <w:r>
        <w:rPr>
          <w:rFonts w:hint="eastAsia" w:ascii="Calibri" w:hAnsi="Calibri" w:eastAsia="宋体" w:cs="宋体"/>
          <w:sz w:val="24"/>
          <w:szCs w:val="24"/>
          <w:highlight w:val="none"/>
          <w:shd w:val="clear" w:color="auto" w:fill="FFFFFF"/>
        </w:rPr>
        <w:t>3 户内移机服务。</w:t>
      </w:r>
    </w:p>
    <w:p>
      <w:pPr>
        <w:spacing w:line="360" w:lineRule="auto"/>
        <w:ind w:firstLine="480" w:firstLineChars="200"/>
        <w:rPr>
          <w:rFonts w:ascii="Calibri" w:hAnsi="Calibri" w:eastAsia="宋体" w:cs="宋体"/>
          <w:sz w:val="24"/>
          <w:szCs w:val="24"/>
          <w:highlight w:val="none"/>
          <w:shd w:val="clear" w:color="auto" w:fill="FFFFFF"/>
        </w:rPr>
      </w:pPr>
      <w:r>
        <w:rPr>
          <w:rFonts w:hint="eastAsia" w:ascii="Calibri" w:hAnsi="Calibri" w:eastAsia="宋体" w:cs="宋体"/>
          <w:sz w:val="24"/>
          <w:szCs w:val="24"/>
          <w:highlight w:val="none"/>
          <w:shd w:val="clear" w:color="auto" w:fill="FFFFFF"/>
        </w:rPr>
        <w:t>2.5.2考核标准及处罚办法</w:t>
      </w:r>
    </w:p>
    <w:p>
      <w:pPr>
        <w:spacing w:line="360" w:lineRule="auto"/>
        <w:ind w:firstLine="480" w:firstLineChars="200"/>
        <w:jc w:val="left"/>
        <w:outlineLvl w:val="0"/>
        <w:rPr>
          <w:rFonts w:ascii="Calibri" w:hAnsi="Calibri" w:eastAsia="宋体" w:cs="宋体"/>
          <w:sz w:val="24"/>
          <w:szCs w:val="24"/>
          <w:highlight w:val="none"/>
          <w:shd w:val="clear" w:color="auto" w:fill="FFFFFF"/>
        </w:rPr>
      </w:pPr>
      <w:r>
        <w:rPr>
          <w:rFonts w:hint="eastAsia" w:ascii="宋体" w:hAnsi="宋体" w:eastAsia="宋体" w:cs="宋体"/>
          <w:sz w:val="24"/>
          <w:szCs w:val="24"/>
          <w:highlight w:val="none"/>
        </w:rPr>
        <w:t>甲方对乙方实行打分考核机制，供暖期间按月对日常工作开展情况进行考评打分，满分100分。另设扣分项和加分项，对工作中存在工作过失，同一问题重复投诉一次扣减1分，对写表扬信、送锦旗、12345反映提出表扬、市区领导批示或新闻媒体刊登的经核实确认一次增加1分。考核成绩与服务经费直接挂钩，当月考核分值在100分（不含）以上给于服务经费3%奖励，当月考核分值95分（不含）-100分服务经费全额支付，当月考核分值在90（不含）-95分给于服务经费90%支付，当月考核分值在80（不含）-90分给于服务经费70%支付，当月考核分值在70（不含）-80分给于当月服务经费30%支付，当月考核分值在70分以下或存在重大过失造成重大损失的当月服务经费不予支付，当月支付剩余金额服务费直接扣除。</w:t>
      </w:r>
    </w:p>
    <w:p>
      <w:pPr>
        <w:spacing w:line="360" w:lineRule="auto"/>
        <w:ind w:firstLine="480" w:firstLineChars="200"/>
        <w:rPr>
          <w:rFonts w:hint="eastAsia" w:ascii="Calibri" w:hAnsi="Calibri" w:eastAsia="宋体" w:cs="宋体"/>
          <w:sz w:val="24"/>
          <w:szCs w:val="24"/>
          <w:highlight w:val="none"/>
          <w:shd w:val="clear" w:color="auto" w:fill="FFFFFF"/>
        </w:rPr>
      </w:pPr>
      <w:r>
        <w:rPr>
          <w:rFonts w:hint="eastAsia" w:ascii="Calibri" w:hAnsi="Calibri" w:eastAsia="宋体" w:cs="宋体"/>
          <w:sz w:val="24"/>
          <w:szCs w:val="24"/>
          <w:highlight w:val="none"/>
          <w:shd w:val="clear" w:color="auto" w:fill="FFFFFF"/>
        </w:rPr>
        <w:t>2.6 因乙方原因导致用户无法正常使用设备或出现安全事故的，由乙方承担全部法律责任，并赔偿由此给甲方造成的全部损失。</w:t>
      </w:r>
    </w:p>
    <w:p>
      <w:pPr>
        <w:widowControl w:val="0"/>
        <w:jc w:val="both"/>
        <w:rPr>
          <w:rFonts w:hint="default" w:ascii="宋体" w:hAnsi="Courier New" w:eastAsia="宋体" w:cs="Times New Roman"/>
          <w:kern w:val="2"/>
          <w:sz w:val="21"/>
          <w:highlight w:val="none"/>
          <w:lang w:val="en-US" w:eastAsia="zh-CN" w:bidi="ar-SA"/>
        </w:rPr>
      </w:pPr>
      <w:r>
        <w:rPr>
          <w:rFonts w:hint="eastAsia" w:ascii="宋体" w:hAnsi="Courier New" w:eastAsia="宋体" w:cs="宋体"/>
          <w:kern w:val="2"/>
          <w:sz w:val="24"/>
          <w:szCs w:val="24"/>
          <w:highlight w:val="none"/>
          <w:shd w:val="clear" w:color="auto" w:fill="FFFFFF"/>
          <w:lang w:val="en-US" w:eastAsia="zh-CN" w:bidi="ar-SA"/>
        </w:rPr>
        <w:t>2.7未经甲方同意，乙方不得擅自转让合同项下全部或部分权利义务给第三方。</w:t>
      </w:r>
    </w:p>
    <w:p>
      <w:pPr>
        <w:spacing w:line="360" w:lineRule="auto"/>
        <w:ind w:firstLine="562" w:firstLineChars="200"/>
        <w:rPr>
          <w:rFonts w:ascii="宋体" w:hAnsi="宋体" w:eastAsia="宋体" w:cs="宋体"/>
          <w:b/>
          <w:bCs/>
          <w:sz w:val="28"/>
          <w:szCs w:val="28"/>
          <w:highlight w:val="none"/>
        </w:rPr>
      </w:pPr>
      <w:r>
        <w:rPr>
          <w:rFonts w:hint="eastAsia" w:ascii="宋体" w:hAnsi="宋体" w:eastAsia="宋体" w:cs="宋体"/>
          <w:b/>
          <w:bCs/>
          <w:sz w:val="28"/>
          <w:szCs w:val="28"/>
          <w:highlight w:val="none"/>
        </w:rPr>
        <w:t>第四条：甲方向乙方支付合同服务费方式为：</w:t>
      </w:r>
    </w:p>
    <w:p>
      <w:pPr>
        <w:spacing w:line="360" w:lineRule="auto"/>
        <w:ind w:firstLine="480" w:firstLineChars="200"/>
        <w:rPr>
          <w:rFonts w:hint="default" w:ascii="宋体" w:hAnsi="宋体" w:eastAsia="宋体" w:cs="宋体"/>
          <w:sz w:val="24"/>
          <w:szCs w:val="20"/>
          <w:highlight w:val="none"/>
          <w:u w:val="single"/>
          <w:lang w:val="en-US" w:eastAsia="zh-CN"/>
        </w:rPr>
      </w:pPr>
      <w:r>
        <w:rPr>
          <w:rFonts w:hint="eastAsia" w:ascii="宋体" w:hAnsi="宋体" w:eastAsia="宋体" w:cs="宋体"/>
          <w:sz w:val="24"/>
          <w:szCs w:val="20"/>
          <w:highlight w:val="none"/>
        </w:rPr>
        <w:t>1.</w:t>
      </w:r>
      <w:r>
        <w:rPr>
          <w:rFonts w:hint="eastAsia" w:ascii="宋体" w:hAnsi="宋体" w:eastAsia="宋体" w:cs="宋体"/>
          <w:b/>
          <w:bCs/>
          <w:sz w:val="28"/>
          <w:szCs w:val="28"/>
          <w:highlight w:val="none"/>
        </w:rPr>
        <w:t xml:space="preserve"> </w:t>
      </w:r>
      <w:r>
        <w:rPr>
          <w:rFonts w:hint="eastAsia" w:ascii="宋体" w:hAnsi="宋体" w:eastAsia="宋体" w:cs="宋体"/>
          <w:sz w:val="24"/>
          <w:szCs w:val="21"/>
          <w:highlight w:val="none"/>
        </w:rPr>
        <w:t>巡查维修服务费及维修材料费</w:t>
      </w:r>
      <w:r>
        <w:rPr>
          <w:rFonts w:hint="eastAsia" w:ascii="宋体" w:hAnsi="宋体" w:eastAsia="宋体" w:cs="宋体"/>
          <w:sz w:val="24"/>
          <w:szCs w:val="20"/>
          <w:highlight w:val="none"/>
        </w:rPr>
        <w:t>总额为：人民币大写：</w:t>
      </w:r>
      <w:r>
        <w:rPr>
          <w:rFonts w:hint="eastAsia" w:ascii="宋体" w:hAnsi="宋体" w:eastAsia="宋体" w:cs="宋体"/>
          <w:sz w:val="24"/>
          <w:szCs w:val="24"/>
          <w:highlight w:val="none"/>
          <w:u w:val="single"/>
        </w:rPr>
        <w:t xml:space="preserve"> </w:t>
      </w:r>
      <w:r>
        <w:rPr>
          <w:rFonts w:hint="eastAsia" w:ascii="Calibri" w:hAnsi="Calibri" w:eastAsia="宋体" w:cs="Times New Roman"/>
          <w:sz w:val="24"/>
          <w:szCs w:val="24"/>
          <w:highlight w:val="none"/>
          <w:u w:val="single"/>
          <w:lang w:val="en-US" w:eastAsia="zh-CN"/>
        </w:rPr>
        <w:t xml:space="preserve">                 </w:t>
      </w:r>
      <w:r>
        <w:rPr>
          <w:rFonts w:hint="eastAsia" w:ascii="宋体" w:hAnsi="宋体" w:eastAsia="宋体" w:cs="宋体"/>
          <w:sz w:val="24"/>
          <w:szCs w:val="20"/>
          <w:highlight w:val="none"/>
          <w:u w:val="none"/>
        </w:rPr>
        <w:t>。小写（人民币)</w:t>
      </w:r>
      <w:r>
        <w:rPr>
          <w:rFonts w:hint="eastAsia" w:ascii="宋体" w:hAnsi="宋体" w:eastAsia="宋体" w:cs="宋体"/>
          <w:sz w:val="24"/>
          <w:szCs w:val="20"/>
          <w:highlight w:val="none"/>
          <w:u w:val="none"/>
          <w:lang w:eastAsia="zh-CN"/>
        </w:rPr>
        <w:t>：</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rPr>
        <w:t>元</w:t>
      </w:r>
      <w:r>
        <w:rPr>
          <w:rFonts w:hint="eastAsia" w:ascii="宋体" w:hAnsi="宋体" w:eastAsia="宋体" w:cs="宋体"/>
          <w:sz w:val="24"/>
          <w:szCs w:val="20"/>
          <w:highlight w:val="none"/>
          <w:u w:val="single"/>
          <w:lang w:val="en-US" w:eastAsia="zh-CN"/>
        </w:rPr>
        <w:t>。</w:t>
      </w:r>
    </w:p>
    <w:p>
      <w:pPr>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2．</w:t>
      </w:r>
      <w:r>
        <w:rPr>
          <w:rFonts w:hint="eastAsia" w:ascii="宋体" w:hAnsi="宋体" w:eastAsia="宋体" w:cs="宋体"/>
          <w:sz w:val="24"/>
          <w:szCs w:val="20"/>
          <w:highlight w:val="none"/>
          <w:lang w:val="en-US" w:eastAsia="zh-CN"/>
        </w:rPr>
        <w:t>合同服务费</w:t>
      </w:r>
      <w:r>
        <w:rPr>
          <w:rFonts w:hint="eastAsia" w:ascii="宋体" w:hAnsi="宋体" w:eastAsia="宋体" w:cs="宋体"/>
          <w:sz w:val="24"/>
          <w:szCs w:val="20"/>
          <w:highlight w:val="none"/>
        </w:rPr>
        <w:t>分</w:t>
      </w:r>
      <w:r>
        <w:rPr>
          <w:rFonts w:hint="eastAsia" w:ascii="宋体" w:hAnsi="宋体" w:eastAsia="宋体" w:cs="宋体"/>
          <w:sz w:val="24"/>
          <w:szCs w:val="20"/>
          <w:highlight w:val="none"/>
          <w:lang w:val="en-US" w:eastAsia="zh-CN"/>
        </w:rPr>
        <w:t>四</w:t>
      </w:r>
      <w:r>
        <w:rPr>
          <w:rFonts w:hint="eastAsia" w:ascii="宋体" w:hAnsi="宋体" w:eastAsia="宋体" w:cs="宋体"/>
          <w:sz w:val="24"/>
          <w:szCs w:val="20"/>
          <w:highlight w:val="none"/>
        </w:rPr>
        <w:t>次由甲方支付给乙方，预付款按合同总额</w:t>
      </w: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%支付，剩余服务费分四次平均支付，支付比例为：</w:t>
      </w: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%。具体支付方式和时间如下：</w:t>
      </w:r>
    </w:p>
    <w:tbl>
      <w:tblPr>
        <w:tblStyle w:val="42"/>
        <w:tblW w:w="8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4"/>
        <w:gridCol w:w="2773"/>
        <w:gridCol w:w="2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32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rPr>
              <w:t>拨付时间</w:t>
            </w:r>
          </w:p>
        </w:tc>
        <w:tc>
          <w:tcPr>
            <w:tcW w:w="277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rPr>
              <w:t>占合同承包总价百分比%</w:t>
            </w:r>
          </w:p>
        </w:tc>
        <w:tc>
          <w:tcPr>
            <w:tcW w:w="21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rPr>
              <w:t>金额RMB（元）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32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rPr>
              <w:t>合同签定后1周内</w:t>
            </w:r>
          </w:p>
        </w:tc>
        <w:tc>
          <w:tcPr>
            <w:tcW w:w="277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w:t>
            </w:r>
          </w:p>
        </w:tc>
        <w:tc>
          <w:tcPr>
            <w:tcW w:w="21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32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rPr>
              <w:t>二次拨款</w:t>
            </w:r>
          </w:p>
        </w:tc>
        <w:tc>
          <w:tcPr>
            <w:tcW w:w="277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w:t>
            </w:r>
          </w:p>
        </w:tc>
        <w:tc>
          <w:tcPr>
            <w:tcW w:w="21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2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rPr>
              <w:t>三次拨款</w:t>
            </w:r>
          </w:p>
        </w:tc>
        <w:tc>
          <w:tcPr>
            <w:tcW w:w="277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w:t>
            </w:r>
          </w:p>
        </w:tc>
        <w:tc>
          <w:tcPr>
            <w:tcW w:w="21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2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四</w:t>
            </w:r>
            <w:r>
              <w:rPr>
                <w:rFonts w:hint="eastAsia" w:ascii="宋体" w:hAnsi="宋体" w:eastAsia="宋体" w:cs="宋体"/>
                <w:sz w:val="24"/>
                <w:szCs w:val="20"/>
                <w:highlight w:val="none"/>
              </w:rPr>
              <w:t>次拨款</w:t>
            </w:r>
          </w:p>
        </w:tc>
        <w:tc>
          <w:tcPr>
            <w:tcW w:w="277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w:t>
            </w:r>
          </w:p>
        </w:tc>
        <w:tc>
          <w:tcPr>
            <w:tcW w:w="21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0"/>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32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lang w:val="en-US" w:eastAsia="zh-CN"/>
              </w:rPr>
              <w:t>五</w:t>
            </w:r>
            <w:r>
              <w:rPr>
                <w:rFonts w:hint="eastAsia" w:ascii="宋体" w:hAnsi="宋体" w:eastAsia="宋体" w:cs="宋体"/>
                <w:sz w:val="24"/>
                <w:szCs w:val="20"/>
                <w:highlight w:val="none"/>
              </w:rPr>
              <w:t>次拨款：合同期满,经甲方验收服务合格后1</w:t>
            </w:r>
            <w:r>
              <w:rPr>
                <w:rFonts w:hint="eastAsia" w:ascii="宋体" w:hAnsi="宋体" w:cs="宋体"/>
                <w:sz w:val="24"/>
                <w:szCs w:val="20"/>
                <w:highlight w:val="none"/>
                <w:lang w:eastAsia="zh-CN"/>
              </w:rPr>
              <w:t>月</w:t>
            </w:r>
            <w:r>
              <w:rPr>
                <w:rFonts w:hint="eastAsia" w:ascii="宋体" w:hAnsi="宋体" w:eastAsia="宋体" w:cs="宋体"/>
                <w:sz w:val="24"/>
                <w:szCs w:val="20"/>
                <w:highlight w:val="none"/>
              </w:rPr>
              <w:t>内</w:t>
            </w:r>
          </w:p>
        </w:tc>
        <w:tc>
          <w:tcPr>
            <w:tcW w:w="277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rPr>
            </w:pP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w:t>
            </w:r>
          </w:p>
        </w:tc>
        <w:tc>
          <w:tcPr>
            <w:tcW w:w="210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sz w:val="24"/>
                <w:szCs w:val="20"/>
                <w:highlight w:val="none"/>
                <w:lang w:val="en-US"/>
              </w:rPr>
            </w:pPr>
          </w:p>
        </w:tc>
      </w:tr>
    </w:tbl>
    <w:p>
      <w:pPr>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   实际结算金额按照甲方考核结果支付。</w:t>
      </w:r>
      <w:r>
        <w:rPr>
          <w:rFonts w:hint="eastAsia" w:ascii="宋体" w:hAnsi="宋体" w:eastAsia="宋体" w:cs="宋体"/>
          <w:sz w:val="24"/>
          <w:szCs w:val="20"/>
          <w:highlight w:val="none"/>
          <w:lang w:eastAsia="zh-CN"/>
        </w:rPr>
        <w:t>（</w:t>
      </w:r>
      <w:r>
        <w:rPr>
          <w:rFonts w:hint="eastAsia" w:ascii="宋体" w:hAnsi="宋体" w:eastAsia="宋体" w:cs="宋体"/>
          <w:sz w:val="24"/>
          <w:szCs w:val="20"/>
          <w:highlight w:val="none"/>
          <w:lang w:val="en-US" w:eastAsia="zh-CN"/>
        </w:rPr>
        <w:t>甲方支付前，乙方应先行提供合法等额的发票。否则甲方有权延迟支付且不承担违约责任</w:t>
      </w:r>
      <w:r>
        <w:rPr>
          <w:rFonts w:hint="eastAsia" w:ascii="宋体" w:hAnsi="宋体" w:eastAsia="宋体" w:cs="宋体"/>
          <w:sz w:val="24"/>
          <w:szCs w:val="20"/>
          <w:highlight w:val="none"/>
          <w:lang w:eastAsia="zh-CN"/>
        </w:rPr>
        <w:t>）</w:t>
      </w:r>
    </w:p>
    <w:p>
      <w:pPr>
        <w:spacing w:line="360" w:lineRule="auto"/>
        <w:ind w:firstLine="52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第五条：双方确定因履行本合同应遵守的保密义务如下：</w:t>
      </w:r>
    </w:p>
    <w:p>
      <w:pPr>
        <w:topLinePunct/>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1、在合同履行期间，乙方所获得的一切原始资料乙方负有保密义务，不得以任何方式泄露。保密信息包括但不限于图纸、图表、数据等。但下列信息不属于保密信息：</w:t>
      </w:r>
    </w:p>
    <w:p>
      <w:pPr>
        <w:topLinePunct/>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A、已进入公共领域的信息；</w:t>
      </w:r>
    </w:p>
    <w:p>
      <w:pPr>
        <w:topLinePunct/>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B、从任何对信息不承担保密义务的第三方合法获得的信息；</w:t>
      </w:r>
    </w:p>
    <w:p>
      <w:pPr>
        <w:topLinePunct/>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2、对于属于乙方所有的新技术和新方法，甲方负有保密义务，未经乙方书面同意，不得以任何方式泄露。</w:t>
      </w:r>
    </w:p>
    <w:p>
      <w:pPr>
        <w:keepNext/>
        <w:keepLines/>
        <w:widowControl w:val="0"/>
        <w:spacing w:before="260" w:after="260" w:line="360" w:lineRule="auto"/>
        <w:ind w:firstLine="482" w:firstLineChars="200"/>
        <w:jc w:val="both"/>
        <w:outlineLvl w:val="1"/>
        <w:rPr>
          <w:rFonts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3、本保密条款在本合同终止后</w:t>
      </w:r>
      <w:r>
        <w:rPr>
          <w:rFonts w:hint="eastAsia" w:ascii="宋体" w:hAnsi="宋体" w:eastAsia="宋体" w:cs="宋体"/>
          <w:b w:val="0"/>
          <w:kern w:val="2"/>
          <w:sz w:val="24"/>
          <w:szCs w:val="24"/>
          <w:highlight w:val="none"/>
          <w:lang w:val="en-US" w:eastAsia="zh-CN" w:bidi="ar-SA"/>
        </w:rPr>
        <w:t xml:space="preserve"> 2</w:t>
      </w:r>
      <w:r>
        <w:rPr>
          <w:rFonts w:hint="eastAsia" w:ascii="宋体" w:hAnsi="宋体" w:eastAsia="宋体" w:cs="宋体"/>
          <w:b/>
          <w:kern w:val="2"/>
          <w:sz w:val="24"/>
          <w:szCs w:val="24"/>
          <w:highlight w:val="none"/>
          <w:lang w:val="en-US" w:eastAsia="zh-CN" w:bidi="ar-SA"/>
        </w:rPr>
        <w:t>年内，仍具有法律约束力</w:t>
      </w:r>
    </w:p>
    <w:p>
      <w:pPr>
        <w:spacing w:line="360" w:lineRule="auto"/>
        <w:ind w:firstLine="562" w:firstLineChars="200"/>
        <w:jc w:val="left"/>
        <w:rPr>
          <w:rFonts w:ascii="宋体" w:hAnsi="宋体" w:eastAsia="宋体" w:cs="宋体"/>
          <w:sz w:val="24"/>
          <w:szCs w:val="20"/>
          <w:highlight w:val="none"/>
        </w:rPr>
      </w:pPr>
      <w:r>
        <w:rPr>
          <w:rFonts w:hint="eastAsia" w:ascii="宋体" w:hAnsi="宋体" w:eastAsia="宋体" w:cs="宋体"/>
          <w:b/>
          <w:bCs/>
          <w:sz w:val="28"/>
          <w:szCs w:val="28"/>
          <w:highlight w:val="none"/>
        </w:rPr>
        <w:t>第六条：本合同的变更必须由双方协商一致，并以书面形式确定。</w:t>
      </w:r>
      <w:r>
        <w:rPr>
          <w:rFonts w:hint="eastAsia" w:ascii="宋体" w:hAnsi="宋体" w:eastAsia="宋体" w:cs="宋体"/>
          <w:sz w:val="24"/>
          <w:szCs w:val="20"/>
          <w:highlight w:val="none"/>
        </w:rPr>
        <w:t xml:space="preserve"> </w:t>
      </w:r>
    </w:p>
    <w:p>
      <w:pPr>
        <w:spacing w:line="360" w:lineRule="auto"/>
        <w:jc w:val="left"/>
        <w:rPr>
          <w:rFonts w:ascii="宋体" w:hAnsi="宋体" w:eastAsia="宋体" w:cs="宋体"/>
          <w:sz w:val="24"/>
          <w:szCs w:val="20"/>
          <w:highlight w:val="none"/>
        </w:rPr>
      </w:pPr>
      <w:r>
        <w:rPr>
          <w:rFonts w:hint="eastAsia" w:ascii="宋体" w:hAnsi="宋体" w:eastAsia="宋体" w:cs="宋体"/>
          <w:sz w:val="24"/>
          <w:szCs w:val="20"/>
          <w:highlight w:val="none"/>
        </w:rPr>
        <w:t xml:space="preserve">    </w:t>
      </w:r>
      <w:r>
        <w:rPr>
          <w:rFonts w:hint="eastAsia" w:ascii="宋体" w:hAnsi="宋体" w:eastAsia="宋体" w:cs="宋体"/>
          <w:b/>
          <w:bCs/>
          <w:sz w:val="28"/>
          <w:szCs w:val="28"/>
          <w:highlight w:val="none"/>
        </w:rPr>
        <w:t>第七条：双方确定，按以下约定承担各自的违约责任：</w:t>
      </w:r>
    </w:p>
    <w:p>
      <w:pPr>
        <w:topLinePunct/>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1、甲方违约责任：</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（1）甲方应视服务工作进展状况，及时上报拨款计划，积极协调有关部门按期支付合同款项。</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 xml:space="preserve">（2）甲方违反保密条款的，应当赔偿由此给乙方造成的直接损失；  </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2、乙方违约责任</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（1）乙方不能完成服务项目或经甲方要求整改没有达到服务标准的，应当承担合同金额20%的违约金。同时甲方有权单独解除合同，并要求乙方赔偿损失；</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（2）乙方逾期交付工作报告不得超过两次，每次逾期交付应提前告知甲方，并不得超过7个工作日，甲方可视违规程度对乙方进行书面警告，情节恶劣的予以扣除当月拨付金额的3%-5%。</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（3）乙方未按服务标准完成工作，或未按期提交工作成果，甲方可视情况扣减相应的服务费用。</w:t>
      </w:r>
    </w:p>
    <w:p>
      <w:pPr>
        <w:topLinePunct/>
        <w:spacing w:line="360" w:lineRule="auto"/>
        <w:ind w:firstLine="460" w:firstLineChars="192"/>
        <w:rPr>
          <w:rFonts w:ascii="宋体" w:hAnsi="宋体" w:eastAsia="宋体" w:cs="宋体"/>
          <w:sz w:val="24"/>
          <w:szCs w:val="20"/>
          <w:highlight w:val="none"/>
        </w:rPr>
      </w:pPr>
      <w:r>
        <w:rPr>
          <w:rFonts w:hint="eastAsia" w:ascii="宋体" w:hAnsi="宋体" w:eastAsia="宋体" w:cs="宋体"/>
          <w:sz w:val="24"/>
          <w:szCs w:val="20"/>
          <w:highlight w:val="none"/>
        </w:rPr>
        <w:t xml:space="preserve">（4）乙方违反保密条款的，应当赔偿由此给甲方造成的直接损失。    </w:t>
      </w:r>
    </w:p>
    <w:p>
      <w:pPr>
        <w:spacing w:line="360" w:lineRule="auto"/>
        <w:ind w:left="420" w:leftChars="200" w:firstLine="1"/>
        <w:rPr>
          <w:rFonts w:ascii="宋体" w:hAnsi="宋体" w:eastAsia="宋体" w:cs="宋体"/>
          <w:b/>
          <w:bCs/>
          <w:sz w:val="28"/>
          <w:szCs w:val="28"/>
          <w:highlight w:val="none"/>
        </w:rPr>
      </w:pPr>
      <w:r>
        <w:rPr>
          <w:rFonts w:hint="eastAsia" w:ascii="宋体" w:hAnsi="宋体" w:eastAsia="宋体" w:cs="宋体"/>
          <w:b/>
          <w:bCs/>
          <w:sz w:val="28"/>
          <w:szCs w:val="28"/>
          <w:highlight w:val="none"/>
        </w:rPr>
        <w:t>第八条：双方确定，出现下列情形，致使本合同的履行成为不必要或不可能的，可以解除本合同：</w:t>
      </w:r>
    </w:p>
    <w:p>
      <w:pPr>
        <w:topLinePunct/>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    1、乙方发生破产；</w:t>
      </w:r>
    </w:p>
    <w:p>
      <w:pPr>
        <w:topLinePunct/>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2、不可抗力事件，致使不能实现合同目的；</w:t>
      </w:r>
    </w:p>
    <w:p>
      <w:pPr>
        <w:topLinePunct/>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3、未能履行本合同项下的保密义务；</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4、未能履行本合同项下义务，且在违约后</w:t>
      </w:r>
      <w:r>
        <w:rPr>
          <w:rFonts w:hint="eastAsia" w:ascii="宋体" w:hAnsi="宋体" w:eastAsia="宋体" w:cs="宋体"/>
          <w:b/>
          <w:sz w:val="24"/>
          <w:szCs w:val="20"/>
          <w:highlight w:val="none"/>
        </w:rPr>
        <w:t>10</w:t>
      </w:r>
      <w:r>
        <w:rPr>
          <w:rFonts w:hint="eastAsia" w:ascii="宋体" w:hAnsi="宋体" w:eastAsia="宋体" w:cs="宋体"/>
          <w:sz w:val="24"/>
          <w:szCs w:val="20"/>
          <w:highlight w:val="none"/>
        </w:rPr>
        <w:t>日或双方商定的补救期限内对违约行为仍未能完成补救；</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5、双方经协商认可；</w:t>
      </w:r>
    </w:p>
    <w:p>
      <w:p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6、符合本合同约定的其他解除合同的情形。</w:t>
      </w:r>
    </w:p>
    <w:p>
      <w:pPr>
        <w:spacing w:line="360" w:lineRule="auto"/>
        <w:ind w:firstLine="570"/>
        <w:rPr>
          <w:rFonts w:ascii="宋体" w:hAnsi="宋体" w:eastAsia="宋体" w:cs="宋体"/>
          <w:b/>
          <w:bCs/>
          <w:sz w:val="28"/>
          <w:szCs w:val="28"/>
          <w:highlight w:val="none"/>
        </w:rPr>
      </w:pPr>
      <w:r>
        <w:rPr>
          <w:rFonts w:hint="eastAsia" w:ascii="宋体" w:hAnsi="宋体" w:eastAsia="宋体" w:cs="宋体"/>
          <w:b/>
          <w:bCs/>
          <w:sz w:val="28"/>
          <w:szCs w:val="28"/>
          <w:highlight w:val="none"/>
        </w:rPr>
        <w:t>第九条：双方因履行本合同而发生的争议，应协商、调解解决。 协商不成的，任一方均可向北京市</w:t>
      </w:r>
      <w:r>
        <w:rPr>
          <w:rFonts w:hint="eastAsia" w:ascii="宋体" w:hAnsi="宋体" w:eastAsia="宋体" w:cs="宋体"/>
          <w:b/>
          <w:bCs/>
          <w:sz w:val="28"/>
          <w:szCs w:val="28"/>
          <w:highlight w:val="none"/>
          <w:lang w:val="en-US" w:eastAsia="zh-CN"/>
        </w:rPr>
        <w:t>大兴</w:t>
      </w:r>
      <w:r>
        <w:rPr>
          <w:rFonts w:hint="eastAsia" w:ascii="宋体" w:hAnsi="宋体" w:eastAsia="宋体" w:cs="宋体"/>
          <w:b/>
          <w:bCs/>
          <w:sz w:val="28"/>
          <w:szCs w:val="28"/>
          <w:highlight w:val="none"/>
        </w:rPr>
        <w:t xml:space="preserve">区人民法院起诉。 </w:t>
      </w:r>
    </w:p>
    <w:p>
      <w:pPr>
        <w:spacing w:line="360" w:lineRule="auto"/>
        <w:ind w:firstLine="570"/>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第十条：甲乙双方主动配合结果查究。 </w:t>
      </w:r>
    </w:p>
    <w:p>
      <w:pPr>
        <w:spacing w:line="360" w:lineRule="auto"/>
        <w:ind w:left="540"/>
        <w:rPr>
          <w:rFonts w:ascii="宋体" w:hAnsi="宋体" w:eastAsia="宋体" w:cs="宋体"/>
          <w:b/>
          <w:sz w:val="24"/>
          <w:szCs w:val="20"/>
          <w:highlight w:val="none"/>
        </w:rPr>
      </w:pPr>
      <w:r>
        <w:rPr>
          <w:rFonts w:hint="eastAsia" w:ascii="宋体" w:hAnsi="宋体" w:eastAsia="宋体" w:cs="宋体"/>
          <w:b/>
          <w:bCs/>
          <w:sz w:val="28"/>
          <w:szCs w:val="28"/>
          <w:highlight w:val="none"/>
        </w:rPr>
        <w:t>第十一条：合同生效及附则</w:t>
      </w:r>
    </w:p>
    <w:p>
      <w:pPr>
        <w:numPr>
          <w:ilvl w:val="0"/>
          <w:numId w:val="17"/>
        </w:numPr>
        <w:tabs>
          <w:tab w:val="left" w:pos="210"/>
          <w:tab w:val="left" w:pos="360"/>
        </w:tabs>
        <w:spacing w:line="360" w:lineRule="auto"/>
        <w:ind w:firstLine="330"/>
        <w:rPr>
          <w:rFonts w:ascii="宋体" w:hAnsi="宋体" w:eastAsia="宋体" w:cs="宋体"/>
          <w:sz w:val="24"/>
          <w:szCs w:val="20"/>
          <w:highlight w:val="none"/>
        </w:rPr>
      </w:pPr>
      <w:r>
        <w:rPr>
          <w:rFonts w:hint="eastAsia" w:ascii="宋体" w:hAnsi="宋体" w:eastAsia="宋体" w:cs="宋体"/>
          <w:sz w:val="24"/>
          <w:szCs w:val="20"/>
          <w:highlight w:val="none"/>
        </w:rPr>
        <w:t>本合同一式四份，双方各执二份；合同于双方签字盖章之日起生效。</w:t>
      </w:r>
    </w:p>
    <w:p>
      <w:pPr>
        <w:numPr>
          <w:ilvl w:val="0"/>
          <w:numId w:val="17"/>
        </w:numPr>
        <w:tabs>
          <w:tab w:val="left" w:pos="210"/>
          <w:tab w:val="left" w:pos="360"/>
        </w:tabs>
        <w:spacing w:line="360" w:lineRule="auto"/>
        <w:ind w:firstLine="330"/>
        <w:rPr>
          <w:rFonts w:ascii="宋体" w:hAnsi="宋体" w:eastAsia="宋体" w:cs="宋体"/>
          <w:sz w:val="24"/>
          <w:szCs w:val="20"/>
          <w:highlight w:val="none"/>
        </w:rPr>
      </w:pPr>
      <w:r>
        <w:rPr>
          <w:rFonts w:hint="eastAsia" w:ascii="宋体" w:hAnsi="宋体" w:eastAsia="宋体" w:cs="宋体"/>
          <w:sz w:val="24"/>
          <w:szCs w:val="20"/>
          <w:highlight w:val="none"/>
        </w:rPr>
        <w:t>本合同所有附件均为合同不可分割的组成部分，与本合同具有同等法律效力。</w:t>
      </w:r>
    </w:p>
    <w:p>
      <w:pPr>
        <w:numPr>
          <w:ilvl w:val="0"/>
          <w:numId w:val="17"/>
        </w:numPr>
        <w:tabs>
          <w:tab w:val="left" w:pos="0"/>
          <w:tab w:val="left" w:pos="210"/>
          <w:tab w:val="left" w:pos="360"/>
        </w:tabs>
        <w:spacing w:line="360" w:lineRule="auto"/>
        <w:ind w:left="0" w:firstLine="540"/>
        <w:rPr>
          <w:rFonts w:ascii="宋体" w:hAnsi="宋体" w:eastAsia="宋体" w:cs="宋体"/>
          <w:sz w:val="24"/>
          <w:szCs w:val="20"/>
          <w:highlight w:val="none"/>
        </w:rPr>
      </w:pPr>
      <w:r>
        <w:rPr>
          <w:rFonts w:hint="eastAsia" w:ascii="宋体" w:hAnsi="宋体" w:eastAsia="宋体" w:cs="宋体"/>
          <w:sz w:val="24"/>
          <w:szCs w:val="20"/>
          <w:highlight w:val="none"/>
        </w:rPr>
        <w:t>本合同条款需进行修改时，双方应修改协议，经签订书面双方签字盖章后生效。双方权利、义务以变更后的协议规定为准。</w:t>
      </w:r>
    </w:p>
    <w:p>
      <w:pPr>
        <w:numPr>
          <w:ilvl w:val="0"/>
          <w:numId w:val="17"/>
        </w:numPr>
        <w:tabs>
          <w:tab w:val="left" w:pos="0"/>
          <w:tab w:val="left" w:pos="210"/>
          <w:tab w:val="left" w:pos="360"/>
        </w:tabs>
        <w:spacing w:line="360" w:lineRule="auto"/>
        <w:ind w:left="0" w:firstLine="540"/>
        <w:rPr>
          <w:rFonts w:ascii="宋体" w:hAnsi="宋体" w:eastAsia="宋体" w:cs="宋体"/>
          <w:sz w:val="24"/>
          <w:szCs w:val="20"/>
          <w:highlight w:val="none"/>
        </w:rPr>
      </w:pPr>
      <w:r>
        <w:rPr>
          <w:rFonts w:hint="eastAsia" w:ascii="宋体" w:hAnsi="宋体" w:eastAsia="宋体" w:cs="宋体"/>
          <w:sz w:val="24"/>
          <w:szCs w:val="20"/>
          <w:highlight w:val="none"/>
        </w:rPr>
        <w:t>本合同未尽事宜，双方可以采取补充协议形式进行增补，经双方签字盖章后生效。该补充协议作为本合同的附件，供双方共同遵守。</w:t>
      </w:r>
    </w:p>
    <w:p>
      <w:pPr>
        <w:numPr>
          <w:ilvl w:val="0"/>
          <w:numId w:val="18"/>
        </w:num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服务协议到期后，若需要履行其他服务，可根据服务相关内容另签协议。</w:t>
      </w:r>
    </w:p>
    <w:p>
      <w:pPr>
        <w:numPr>
          <w:ilvl w:val="0"/>
          <w:numId w:val="18"/>
        </w:numPr>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甲乙双方主动配合接受结果查究。</w:t>
      </w:r>
    </w:p>
    <w:p>
      <w:pPr>
        <w:spacing w:line="360" w:lineRule="auto"/>
        <w:ind w:firstLine="480" w:firstLineChars="200"/>
        <w:rPr>
          <w:rFonts w:ascii="宋体" w:hAnsi="宋体" w:eastAsia="宋体" w:cs="宋体"/>
          <w:sz w:val="24"/>
          <w:szCs w:val="20"/>
          <w:highlight w:val="none"/>
        </w:rPr>
      </w:pPr>
    </w:p>
    <w:p>
      <w:pPr>
        <w:spacing w:line="360" w:lineRule="auto"/>
        <w:ind w:firstLine="720" w:firstLineChars="300"/>
        <w:rPr>
          <w:rFonts w:hint="default" w:ascii="宋体" w:hAnsi="宋体" w:eastAsia="宋体" w:cs="宋体"/>
          <w:sz w:val="24"/>
          <w:szCs w:val="20"/>
          <w:highlight w:val="none"/>
          <w:u w:val="single"/>
          <w:lang w:val="en-US" w:eastAsia="zh-CN"/>
        </w:rPr>
      </w:pPr>
      <w:r>
        <w:rPr>
          <w:rFonts w:hint="eastAsia" w:ascii="宋体" w:hAnsi="宋体" w:eastAsia="宋体" w:cs="宋体"/>
          <w:sz w:val="24"/>
          <w:szCs w:val="20"/>
          <w:highlight w:val="none"/>
          <w:u w:val="single"/>
        </w:rPr>
        <w:t>本合同于202</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rPr>
        <w:t>年</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rPr>
        <w:t>月</w:t>
      </w:r>
      <w:r>
        <w:rPr>
          <w:rFonts w:hint="eastAsia" w:ascii="宋体" w:hAnsi="宋体" w:eastAsia="宋体" w:cs="宋体"/>
          <w:sz w:val="24"/>
          <w:szCs w:val="20"/>
          <w:highlight w:val="none"/>
          <w:u w:val="single"/>
          <w:lang w:val="en-US" w:eastAsia="zh-CN"/>
        </w:rPr>
        <w:t xml:space="preserve">     </w:t>
      </w:r>
      <w:r>
        <w:rPr>
          <w:rFonts w:hint="eastAsia" w:ascii="宋体" w:hAnsi="宋体" w:eastAsia="宋体" w:cs="宋体"/>
          <w:sz w:val="24"/>
          <w:szCs w:val="20"/>
          <w:highlight w:val="none"/>
          <w:u w:val="single"/>
        </w:rPr>
        <w:t>日       签订地点：北京市</w:t>
      </w:r>
      <w:r>
        <w:rPr>
          <w:rFonts w:hint="eastAsia" w:ascii="宋体" w:hAnsi="宋体" w:eastAsia="宋体" w:cs="宋体"/>
          <w:sz w:val="24"/>
          <w:szCs w:val="20"/>
          <w:highlight w:val="none"/>
          <w:u w:val="single"/>
          <w:lang w:val="en-US" w:eastAsia="zh-CN"/>
        </w:rPr>
        <w:t>大兴区庞各庄镇</w:t>
      </w:r>
    </w:p>
    <w:p>
      <w:pPr>
        <w:spacing w:line="360" w:lineRule="auto"/>
        <w:rPr>
          <w:rFonts w:ascii="宋体" w:hAnsi="宋体" w:eastAsia="宋体" w:cs="宋体"/>
          <w:b/>
          <w:bCs/>
          <w:sz w:val="24"/>
          <w:szCs w:val="20"/>
          <w:highlight w:val="none"/>
        </w:rPr>
      </w:pPr>
    </w:p>
    <w:p>
      <w:pPr>
        <w:spacing w:line="360" w:lineRule="auto"/>
        <w:ind w:left="4802" w:hanging="4802" w:hangingChars="1993"/>
        <w:rPr>
          <w:rFonts w:ascii="宋体" w:hAnsi="宋体" w:eastAsia="宋体" w:cs="宋体"/>
          <w:b/>
          <w:bCs/>
          <w:sz w:val="24"/>
          <w:szCs w:val="20"/>
          <w:highlight w:val="none"/>
        </w:rPr>
      </w:pPr>
      <w:r>
        <w:rPr>
          <w:rFonts w:hint="eastAsia" w:ascii="宋体" w:hAnsi="宋体" w:eastAsia="宋体" w:cs="宋体"/>
          <w:b/>
          <w:bCs/>
          <w:sz w:val="24"/>
          <w:szCs w:val="20"/>
          <w:highlight w:val="none"/>
        </w:rPr>
        <w:t>甲方：</w:t>
      </w:r>
      <w:r>
        <w:rPr>
          <w:rFonts w:hint="eastAsia" w:ascii="宋体" w:hAnsi="宋体" w:eastAsia="宋体" w:cs="宋体"/>
          <w:sz w:val="24"/>
          <w:szCs w:val="20"/>
          <w:highlight w:val="none"/>
        </w:rPr>
        <w:t xml:space="preserve">（盖章）               </w:t>
      </w:r>
      <w:r>
        <w:rPr>
          <w:rFonts w:hint="eastAsia" w:ascii="宋体" w:hAnsi="宋体" w:eastAsia="宋体" w:cs="宋体"/>
          <w:b/>
          <w:bCs/>
          <w:sz w:val="24"/>
          <w:szCs w:val="20"/>
          <w:highlight w:val="none"/>
        </w:rPr>
        <w:t xml:space="preserve">       乙方：</w:t>
      </w:r>
      <w:r>
        <w:rPr>
          <w:rFonts w:hint="eastAsia" w:ascii="宋体" w:hAnsi="宋体" w:eastAsia="宋体" w:cs="宋体"/>
          <w:sz w:val="24"/>
          <w:szCs w:val="20"/>
          <w:highlight w:val="none"/>
        </w:rPr>
        <w:t>（盖章）</w:t>
      </w:r>
    </w:p>
    <w:p>
      <w:pPr>
        <w:tabs>
          <w:tab w:val="left" w:pos="4851"/>
        </w:tabs>
        <w:spacing w:line="360" w:lineRule="auto"/>
        <w:ind w:left="5280" w:hanging="5280" w:hangingChars="2200"/>
        <w:rPr>
          <w:rFonts w:ascii="宋体" w:hAnsi="宋体" w:eastAsia="宋体" w:cs="宋体"/>
          <w:sz w:val="24"/>
          <w:szCs w:val="20"/>
          <w:highlight w:val="none"/>
        </w:rPr>
      </w:pP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             </w:t>
      </w:r>
    </w:p>
    <w:p>
      <w:pPr>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法定代表人（签字或盖章）：           法定代表人（签字或盖章）：</w:t>
      </w:r>
    </w:p>
    <w:p>
      <w:pPr>
        <w:spacing w:line="360" w:lineRule="auto"/>
        <w:jc w:val="center"/>
        <w:outlineLvl w:val="0"/>
        <w:rPr>
          <w:b/>
          <w:sz w:val="36"/>
          <w:szCs w:val="36"/>
          <w:highlight w:val="none"/>
        </w:rPr>
        <w:sectPr>
          <w:footerReference r:id="rId12" w:type="default"/>
          <w:pgSz w:w="11907" w:h="16840"/>
          <w:pgMar w:top="1418" w:right="1134" w:bottom="1418" w:left="1701" w:header="851" w:footer="851" w:gutter="0"/>
          <w:cols w:space="720" w:num="1"/>
          <w:docGrid w:linePitch="462" w:charSpace="0"/>
        </w:sectPr>
      </w:pPr>
    </w:p>
    <w:p>
      <w:pPr>
        <w:spacing w:line="360" w:lineRule="auto"/>
        <w:jc w:val="center"/>
        <w:outlineLvl w:val="0"/>
        <w:rPr>
          <w:b/>
          <w:sz w:val="36"/>
          <w:szCs w:val="36"/>
          <w:highlight w:val="none"/>
        </w:rPr>
      </w:pPr>
      <w:r>
        <w:rPr>
          <w:b/>
          <w:sz w:val="36"/>
          <w:szCs w:val="36"/>
          <w:highlight w:val="none"/>
        </w:rPr>
        <w:t>第七章   投标文件格式</w:t>
      </w:r>
      <w:bookmarkEnd w:id="817"/>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sz w:val="24"/>
          <w:highlight w:val="none"/>
        </w:rPr>
      </w:pPr>
      <w:r>
        <w:rPr>
          <w:b/>
          <w:sz w:val="24"/>
          <w:highlight w:val="none"/>
        </w:rPr>
        <w:t>投标人编制文件须知</w:t>
      </w:r>
    </w:p>
    <w:p>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widowControl/>
        <w:jc w:val="left"/>
        <w:rPr>
          <w:sz w:val="24"/>
          <w:highlight w:val="none"/>
        </w:rPr>
      </w:pPr>
      <w:r>
        <w:rPr>
          <w:sz w:val="24"/>
          <w:highlight w:val="none"/>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Pr>
        <w:keepNext/>
        <w:keepLines/>
        <w:autoSpaceDE w:val="0"/>
        <w:autoSpaceDN w:val="0"/>
        <w:adjustRightInd w:val="0"/>
        <w:spacing w:before="120" w:line="300" w:lineRule="auto"/>
        <w:jc w:val="left"/>
        <w:outlineLvl w:val="1"/>
        <w:rPr>
          <w:b/>
          <w:kern w:val="0"/>
          <w:sz w:val="30"/>
          <w:szCs w:val="20"/>
          <w:highlight w:val="none"/>
        </w:rPr>
      </w:pPr>
    </w:p>
    <w:p>
      <w:pPr>
        <w:rPr>
          <w:b/>
          <w:spacing w:val="20"/>
          <w:szCs w:val="21"/>
          <w:highlight w:val="none"/>
        </w:rPr>
      </w:pPr>
    </w:p>
    <w:p>
      <w:pPr>
        <w:rPr>
          <w:b/>
          <w:sz w:val="24"/>
          <w:highlight w:val="none"/>
        </w:rPr>
      </w:pPr>
      <w:r>
        <w:rPr>
          <w:b/>
          <w:spacing w:val="20"/>
          <w:sz w:val="24"/>
          <w:highlight w:val="none"/>
        </w:rPr>
        <w:t>投标文件</w:t>
      </w:r>
      <w:r>
        <w:rPr>
          <w:b/>
          <w:sz w:val="24"/>
          <w:highlight w:val="none"/>
        </w:rPr>
        <w:t>封面（非实质性格式）</w:t>
      </w:r>
    </w:p>
    <w:p>
      <w:pPr>
        <w:jc w:val="center"/>
        <w:rPr>
          <w:szCs w:val="21"/>
          <w:highlight w:val="none"/>
        </w:rPr>
      </w:pPr>
    </w:p>
    <w:p>
      <w:pPr>
        <w:jc w:val="center"/>
        <w:rPr>
          <w:b/>
          <w:spacing w:val="60"/>
          <w:sz w:val="84"/>
          <w:szCs w:val="84"/>
          <w:highlight w:val="none"/>
        </w:rPr>
      </w:pPr>
    </w:p>
    <w:p>
      <w:pPr>
        <w:jc w:val="center"/>
        <w:rPr>
          <w:b/>
          <w:spacing w:val="60"/>
          <w:sz w:val="84"/>
          <w:szCs w:val="84"/>
          <w:highlight w:val="none"/>
        </w:rPr>
      </w:pPr>
    </w:p>
    <w:p>
      <w:pPr>
        <w:jc w:val="center"/>
        <w:rPr>
          <w:b/>
          <w:spacing w:val="60"/>
          <w:sz w:val="84"/>
          <w:szCs w:val="84"/>
          <w:highlight w:val="none"/>
        </w:rPr>
      </w:pPr>
      <w:r>
        <w:rPr>
          <w:b/>
          <w:spacing w:val="60"/>
          <w:sz w:val="84"/>
          <w:szCs w:val="84"/>
          <w:highlight w:val="none"/>
        </w:rPr>
        <w:t>投 标 文 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spacing w:line="480" w:lineRule="auto"/>
        <w:ind w:firstLine="542" w:firstLineChars="150"/>
        <w:rPr>
          <w:b/>
          <w:spacing w:val="20"/>
          <w:sz w:val="32"/>
          <w:szCs w:val="32"/>
          <w:highlight w:val="none"/>
        </w:rPr>
      </w:pPr>
      <w:r>
        <w:rPr>
          <w:b/>
          <w:spacing w:val="20"/>
          <w:sz w:val="32"/>
          <w:szCs w:val="32"/>
          <w:highlight w:val="none"/>
        </w:rPr>
        <w:t>项目名称:</w:t>
      </w:r>
    </w:p>
    <w:p>
      <w:pPr>
        <w:spacing w:line="480" w:lineRule="auto"/>
        <w:ind w:firstLine="542" w:firstLineChars="150"/>
        <w:rPr>
          <w:b/>
          <w:spacing w:val="20"/>
          <w:sz w:val="32"/>
          <w:szCs w:val="32"/>
          <w:highlight w:val="none"/>
        </w:rPr>
      </w:pPr>
      <w:r>
        <w:rPr>
          <w:b/>
          <w:spacing w:val="20"/>
          <w:sz w:val="32"/>
          <w:szCs w:val="32"/>
          <w:highlight w:val="none"/>
        </w:rPr>
        <w:t>项目编号/包号：</w:t>
      </w:r>
    </w:p>
    <w:p>
      <w:pPr>
        <w:spacing w:line="480" w:lineRule="auto"/>
        <w:ind w:firstLine="542" w:firstLineChars="150"/>
        <w:rPr>
          <w:b/>
          <w:spacing w:val="20"/>
          <w:sz w:val="32"/>
          <w:szCs w:val="32"/>
          <w:highlight w:val="none"/>
        </w:rPr>
      </w:pPr>
      <w:r>
        <w:rPr>
          <w:b/>
          <w:spacing w:val="20"/>
          <w:sz w:val="32"/>
          <w:szCs w:val="32"/>
          <w:highlight w:val="none"/>
        </w:rPr>
        <w:t>投标人名称：</w:t>
      </w:r>
    </w:p>
    <w:p>
      <w:pPr>
        <w:jc w:val="center"/>
        <w:rPr>
          <w:b/>
          <w:sz w:val="32"/>
          <w:szCs w:val="32"/>
          <w:highlight w:val="none"/>
        </w:rPr>
      </w:pPr>
    </w:p>
    <w:p>
      <w:pPr>
        <w:rPr>
          <w:b/>
          <w:highlight w:val="none"/>
        </w:rPr>
      </w:pPr>
      <w:r>
        <w:rPr>
          <w:b/>
          <w:spacing w:val="20"/>
          <w:sz w:val="32"/>
          <w:szCs w:val="32"/>
          <w:highlight w:val="none"/>
        </w:rPr>
        <w:br w:type="page"/>
      </w:r>
    </w:p>
    <w:p>
      <w:pPr>
        <w:numPr>
          <w:ilvl w:val="0"/>
          <w:numId w:val="0"/>
        </w:numPr>
        <w:tabs>
          <w:tab w:val="left" w:pos="360"/>
        </w:tabs>
        <w:snapToGrid w:val="0"/>
        <w:spacing w:line="360" w:lineRule="auto"/>
        <w:ind w:leftChars="0"/>
        <w:outlineLvl w:val="1"/>
        <w:rPr>
          <w:color w:val="000000"/>
          <w:sz w:val="24"/>
          <w:szCs w:val="20"/>
          <w:highlight w:val="none"/>
        </w:rPr>
      </w:pPr>
      <w:r>
        <w:rPr>
          <w:b/>
          <w:spacing w:val="20"/>
          <w:sz w:val="24"/>
          <w:highlight w:val="none"/>
        </w:rPr>
        <w:t>一、资格证明文件格式</w:t>
      </w:r>
    </w:p>
    <w:p>
      <w:pPr>
        <w:numPr>
          <w:ilvl w:val="0"/>
          <w:numId w:val="19"/>
        </w:numPr>
        <w:tabs>
          <w:tab w:val="left" w:pos="360"/>
        </w:tabs>
        <w:snapToGrid w:val="0"/>
        <w:spacing w:line="360" w:lineRule="auto"/>
        <w:outlineLvl w:val="1"/>
        <w:rPr>
          <w:color w:val="000000"/>
          <w:sz w:val="24"/>
          <w:szCs w:val="20"/>
          <w:highlight w:val="none"/>
        </w:rPr>
      </w:pPr>
      <w:r>
        <w:rPr>
          <w:sz w:val="24"/>
          <w:highlight w:val="none"/>
        </w:rPr>
        <w:t>满足《中华人民共和国政府采购法》第二十二条规定</w:t>
      </w:r>
    </w:p>
    <w:p>
      <w:pPr>
        <w:spacing w:line="360" w:lineRule="auto"/>
        <w:outlineLvl w:val="2"/>
        <w:rPr>
          <w:color w:val="000000"/>
          <w:sz w:val="24"/>
          <w:szCs w:val="20"/>
          <w:highlight w:val="none"/>
        </w:rPr>
      </w:pPr>
      <w:r>
        <w:rPr>
          <w:color w:val="000000"/>
          <w:sz w:val="24"/>
          <w:szCs w:val="20"/>
          <w:highlight w:val="none"/>
        </w:rPr>
        <w:t>1-1 营业执照等证明文件</w:t>
      </w:r>
    </w:p>
    <w:p>
      <w:pPr>
        <w:tabs>
          <w:tab w:val="left" w:pos="1080"/>
        </w:tabs>
        <w:snapToGrid w:val="0"/>
        <w:rPr>
          <w:sz w:val="24"/>
          <w:highlight w:val="none"/>
        </w:rPr>
      </w:pPr>
    </w:p>
    <w:p>
      <w:pPr>
        <w:widowControl/>
        <w:jc w:val="left"/>
        <w:rPr>
          <w:color w:val="000000"/>
          <w:sz w:val="24"/>
          <w:szCs w:val="20"/>
          <w:highlight w:val="none"/>
        </w:rPr>
      </w:pPr>
      <w:r>
        <w:rPr>
          <w:color w:val="000000"/>
          <w:sz w:val="24"/>
          <w:highlight w:val="none"/>
        </w:rPr>
        <w:br w:type="page"/>
      </w:r>
    </w:p>
    <w:p>
      <w:pPr>
        <w:pStyle w:val="6"/>
        <w:rPr>
          <w:rFonts w:ascii="Times New Roman"/>
          <w:b w:val="0"/>
          <w:bCs/>
          <w:color w:val="000000"/>
          <w:highlight w:val="none"/>
          <w:u w:val="none"/>
        </w:rPr>
      </w:pPr>
      <w:r>
        <w:rPr>
          <w:rFonts w:ascii="Times New Roman"/>
          <w:b w:val="0"/>
          <w:color w:val="000000"/>
          <w:highlight w:val="none"/>
          <w:u w:val="none"/>
        </w:rPr>
        <w:t>1-2 投标人资格声明书</w:t>
      </w:r>
    </w:p>
    <w:p>
      <w:pPr>
        <w:jc w:val="center"/>
        <w:rPr>
          <w:b/>
          <w:color w:val="000000"/>
          <w:sz w:val="36"/>
          <w:szCs w:val="36"/>
          <w:highlight w:val="none"/>
        </w:rPr>
      </w:pPr>
      <w:r>
        <w:rPr>
          <w:b/>
          <w:color w:val="000000"/>
          <w:sz w:val="36"/>
          <w:szCs w:val="36"/>
          <w:highlight w:val="none"/>
        </w:rPr>
        <w:t>投标人资格声明书</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在参与本次项目投标中，我单位承诺：</w:t>
      </w:r>
    </w:p>
    <w:p>
      <w:pPr>
        <w:numPr>
          <w:ilvl w:val="0"/>
          <w:numId w:val="20"/>
        </w:numPr>
        <w:spacing w:line="360" w:lineRule="auto"/>
        <w:ind w:left="1134"/>
        <w:rPr>
          <w:sz w:val="24"/>
          <w:szCs w:val="22"/>
          <w:highlight w:val="none"/>
        </w:rPr>
      </w:pPr>
      <w:r>
        <w:rPr>
          <w:sz w:val="24"/>
          <w:szCs w:val="22"/>
          <w:highlight w:val="none"/>
        </w:rPr>
        <w:t>具有良好的商业信誉和健全的财务会计制度；</w:t>
      </w:r>
    </w:p>
    <w:p>
      <w:pPr>
        <w:numPr>
          <w:ilvl w:val="0"/>
          <w:numId w:val="20"/>
        </w:numPr>
        <w:spacing w:line="360" w:lineRule="auto"/>
        <w:ind w:left="1134"/>
        <w:rPr>
          <w:sz w:val="24"/>
          <w:szCs w:val="22"/>
          <w:highlight w:val="none"/>
        </w:rPr>
      </w:pPr>
      <w:r>
        <w:rPr>
          <w:sz w:val="24"/>
          <w:szCs w:val="22"/>
          <w:highlight w:val="none"/>
        </w:rPr>
        <w:t>具有履行合同所必需的设备和专业技术能力；</w:t>
      </w:r>
    </w:p>
    <w:p>
      <w:pPr>
        <w:numPr>
          <w:ilvl w:val="0"/>
          <w:numId w:val="20"/>
        </w:numPr>
        <w:spacing w:line="360" w:lineRule="auto"/>
        <w:ind w:left="1134"/>
        <w:rPr>
          <w:sz w:val="24"/>
          <w:szCs w:val="22"/>
          <w:highlight w:val="none"/>
        </w:rPr>
      </w:pPr>
      <w:r>
        <w:rPr>
          <w:sz w:val="24"/>
          <w:szCs w:val="22"/>
          <w:highlight w:val="none"/>
        </w:rPr>
        <w:t>有依法缴纳税收和社会保障资金的良好记录；</w:t>
      </w:r>
    </w:p>
    <w:p>
      <w:pPr>
        <w:numPr>
          <w:ilvl w:val="0"/>
          <w:numId w:val="20"/>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20"/>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20"/>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序号</w:t>
            </w:r>
          </w:p>
        </w:tc>
        <w:tc>
          <w:tcPr>
            <w:tcW w:w="4574"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单位名称</w:t>
            </w:r>
          </w:p>
        </w:tc>
        <w:tc>
          <w:tcPr>
            <w:tcW w:w="2976"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1</w:t>
            </w:r>
          </w:p>
        </w:tc>
        <w:tc>
          <w:tcPr>
            <w:tcW w:w="4574" w:type="dxa"/>
            <w:vAlign w:val="center"/>
          </w:tcPr>
          <w:p>
            <w:pPr>
              <w:keepNext w:val="0"/>
              <w:keepLines w:val="0"/>
              <w:suppressLineNumbers w:val="0"/>
              <w:spacing w:before="0" w:beforeAutospacing="0" w:after="0" w:afterAutospacing="0"/>
              <w:ind w:left="0" w:right="0"/>
              <w:jc w:val="center"/>
              <w:rPr>
                <w:rFonts w:hint="default"/>
                <w:sz w:val="24"/>
                <w:highlight w:val="none"/>
              </w:rPr>
            </w:pPr>
          </w:p>
        </w:tc>
        <w:tc>
          <w:tcPr>
            <w:tcW w:w="2976" w:type="dxa"/>
            <w:vAlign w:val="center"/>
          </w:tcPr>
          <w:p>
            <w:pPr>
              <w:keepNext w:val="0"/>
              <w:keepLines w:val="0"/>
              <w:suppressLineNumbers w:val="0"/>
              <w:spacing w:before="0" w:beforeAutospacing="0" w:after="0" w:afterAutospacing="0"/>
              <w:ind w:left="0" w:right="0"/>
              <w:jc w:val="center"/>
              <w:rPr>
                <w:rFonts w:hint="default"/>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2</w:t>
            </w:r>
          </w:p>
        </w:tc>
        <w:tc>
          <w:tcPr>
            <w:tcW w:w="4574" w:type="dxa"/>
            <w:vAlign w:val="center"/>
          </w:tcPr>
          <w:p>
            <w:pPr>
              <w:keepNext w:val="0"/>
              <w:keepLines w:val="0"/>
              <w:suppressLineNumbers w:val="0"/>
              <w:spacing w:before="0" w:beforeAutospacing="0" w:after="0" w:afterAutospacing="0"/>
              <w:ind w:left="0" w:right="0"/>
              <w:jc w:val="center"/>
              <w:rPr>
                <w:rFonts w:hint="default"/>
                <w:sz w:val="24"/>
                <w:highlight w:val="none"/>
              </w:rPr>
            </w:pPr>
          </w:p>
        </w:tc>
        <w:tc>
          <w:tcPr>
            <w:tcW w:w="2976" w:type="dxa"/>
            <w:vAlign w:val="center"/>
          </w:tcPr>
          <w:p>
            <w:pPr>
              <w:keepNext w:val="0"/>
              <w:keepLines w:val="0"/>
              <w:suppressLineNumbers w:val="0"/>
              <w:spacing w:before="0" w:beforeAutospacing="0" w:after="0" w:afterAutospacing="0"/>
              <w:ind w:left="0" w:right="0"/>
              <w:jc w:val="center"/>
              <w:rPr>
                <w:rFonts w:hint="default"/>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default"/>
                <w:sz w:val="24"/>
                <w:highlight w:val="none"/>
              </w:rPr>
            </w:pPr>
            <w:r>
              <w:rPr>
                <w:rFonts w:hint="default"/>
                <w:sz w:val="24"/>
                <w:highlight w:val="none"/>
              </w:rPr>
              <w:t>…</w:t>
            </w:r>
          </w:p>
        </w:tc>
        <w:tc>
          <w:tcPr>
            <w:tcW w:w="4574" w:type="dxa"/>
            <w:vAlign w:val="center"/>
          </w:tcPr>
          <w:p>
            <w:pPr>
              <w:keepNext w:val="0"/>
              <w:keepLines w:val="0"/>
              <w:suppressLineNumbers w:val="0"/>
              <w:spacing w:before="0" w:beforeAutospacing="0" w:after="0" w:afterAutospacing="0"/>
              <w:ind w:left="0" w:right="0"/>
              <w:jc w:val="center"/>
              <w:rPr>
                <w:rFonts w:hint="default"/>
                <w:sz w:val="24"/>
                <w:highlight w:val="none"/>
              </w:rPr>
            </w:pPr>
          </w:p>
        </w:tc>
        <w:tc>
          <w:tcPr>
            <w:tcW w:w="2976" w:type="dxa"/>
            <w:vAlign w:val="center"/>
          </w:tcPr>
          <w:p>
            <w:pPr>
              <w:keepNext w:val="0"/>
              <w:keepLines w:val="0"/>
              <w:suppressLineNumbers w:val="0"/>
              <w:spacing w:before="0" w:beforeAutospacing="0" w:after="0" w:afterAutospacing="0"/>
              <w:ind w:left="0" w:right="0"/>
              <w:jc w:val="center"/>
              <w:rPr>
                <w:rFonts w:hint="default"/>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spacing w:line="360" w:lineRule="auto"/>
        <w:ind w:right="360" w:firstLine="480"/>
        <w:jc w:val="right"/>
        <w:rPr>
          <w:sz w:val="24"/>
          <w:highlight w:val="none"/>
        </w:rPr>
      </w:pPr>
      <w:r>
        <w:rPr>
          <w:color w:val="000000"/>
          <w:sz w:val="24"/>
          <w:szCs w:val="20"/>
          <w:highlight w:val="none"/>
        </w:rPr>
        <w:t xml:space="preserve">日期：_____年______月______日   </w:t>
      </w:r>
    </w:p>
    <w:p>
      <w:pPr>
        <w:spacing w:line="360" w:lineRule="auto"/>
        <w:rPr>
          <w:sz w:val="24"/>
          <w:highlight w:val="none"/>
        </w:rPr>
      </w:pPr>
      <w:r>
        <w:rPr>
          <w:sz w:val="24"/>
          <w:highlight w:val="none"/>
        </w:rPr>
        <w:t>说明：供应商承诺不实的，依据《政府采购法》第七十七条“提供虚假材料谋取中标、成交的”有关规定予以处理。</w:t>
      </w:r>
    </w:p>
    <w:p>
      <w:pPr>
        <w:tabs>
          <w:tab w:val="left" w:pos="5580"/>
        </w:tabs>
        <w:spacing w:line="360" w:lineRule="auto"/>
        <w:rPr>
          <w:sz w:val="24"/>
          <w:highlight w:val="none"/>
        </w:rPr>
        <w:sectPr>
          <w:pgSz w:w="11907" w:h="16840"/>
          <w:pgMar w:top="1418" w:right="1134" w:bottom="1418" w:left="1701" w:header="851" w:footer="851" w:gutter="0"/>
          <w:cols w:space="720" w:num="1"/>
          <w:docGrid w:linePitch="462" w:charSpace="0"/>
        </w:sectPr>
      </w:pPr>
    </w:p>
    <w:p>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t>落实政府采购政策需满足的资格要求（如有）</w:t>
      </w:r>
    </w:p>
    <w:p>
      <w:pPr>
        <w:spacing w:line="360" w:lineRule="auto"/>
        <w:outlineLvl w:val="2"/>
        <w:rPr>
          <w:color w:val="000000"/>
          <w:sz w:val="24"/>
          <w:szCs w:val="20"/>
          <w:highlight w:val="none"/>
        </w:rPr>
      </w:pPr>
      <w:r>
        <w:rPr>
          <w:color w:val="000000"/>
          <w:sz w:val="24"/>
          <w:szCs w:val="20"/>
          <w:highlight w:val="none"/>
        </w:rPr>
        <w:t>2-1 中小企业证明文件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highlight w:val="none"/>
        </w:rPr>
      </w:pPr>
      <w:r>
        <w:rPr>
          <w:sz w:val="24"/>
          <w:highlight w:val="none"/>
        </w:rPr>
        <w:t>（5）中小企业声明函填写注意事项</w:t>
      </w:r>
    </w:p>
    <w:p>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br w:type="page"/>
      </w:r>
    </w:p>
    <w:p>
      <w:pPr>
        <w:pStyle w:val="7"/>
        <w:rPr>
          <w:highlight w:val="none"/>
        </w:rPr>
      </w:pPr>
      <w:r>
        <w:rPr>
          <w:highlight w:val="none"/>
        </w:rPr>
        <w:t>2-1-1 中小企业声明函及残疾人福利性单位声明函格式</w:t>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default"/>
                <w:color w:val="000000"/>
                <w:szCs w:val="21"/>
                <w:highlight w:val="none"/>
              </w:rPr>
            </w:pPr>
            <w:r>
              <w:rPr>
                <w:rFonts w:hint="default"/>
                <w:color w:val="000000"/>
                <w:szCs w:val="21"/>
                <w:highlight w:val="none"/>
                <w:vertAlign w:val="superscript"/>
              </w:rPr>
              <w:t>1</w:t>
            </w:r>
            <w:r>
              <w:rPr>
                <w:rFonts w:hint="default"/>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adjustRightInd w:val="0"/>
        <w:snapToGrid w:val="0"/>
        <w:jc w:val="left"/>
        <w:rPr>
          <w:color w:val="000000"/>
          <w:sz w:val="24"/>
          <w:szCs w:val="21"/>
          <w:highlight w:val="none"/>
        </w:rPr>
      </w:pPr>
    </w:p>
    <w:p>
      <w:pPr>
        <w:adjustRightInd w:val="0"/>
        <w:snapToGrid w:val="0"/>
        <w:jc w:val="left"/>
        <w:rPr>
          <w:color w:val="000000"/>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default"/>
                <w:color w:val="000000"/>
                <w:szCs w:val="21"/>
                <w:highlight w:val="none"/>
              </w:rPr>
            </w:pPr>
            <w:r>
              <w:rPr>
                <w:rFonts w:hint="default"/>
                <w:color w:val="000000"/>
                <w:szCs w:val="21"/>
                <w:highlight w:val="none"/>
                <w:vertAlign w:val="superscript"/>
              </w:rPr>
              <w:t>1</w:t>
            </w:r>
            <w:r>
              <w:rPr>
                <w:rFonts w:hint="default"/>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widowControl/>
        <w:jc w:val="left"/>
        <w:rPr>
          <w:color w:val="000000"/>
          <w:sz w:val="24"/>
          <w:szCs w:val="20"/>
          <w:highlight w:val="none"/>
        </w:rPr>
      </w:pPr>
      <w:r>
        <w:rPr>
          <w:color w:val="000000"/>
          <w:sz w:val="24"/>
          <w:szCs w:val="20"/>
          <w:highlight w:val="none"/>
        </w:rPr>
        <w:br w:type="page"/>
      </w:r>
    </w:p>
    <w:p>
      <w:pPr>
        <w:pStyle w:val="7"/>
        <w:rPr>
          <w:highlight w:val="none"/>
        </w:rPr>
      </w:pPr>
      <w:r>
        <w:rPr>
          <w:highlight w:val="none"/>
        </w:rPr>
        <w:t>2-1-2 拟分包情况说明及分包意向协议</w:t>
      </w:r>
    </w:p>
    <w:p>
      <w:pPr>
        <w:autoSpaceDE w:val="0"/>
        <w:autoSpaceDN w:val="0"/>
        <w:adjustRightInd w:val="0"/>
        <w:jc w:val="center"/>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19"/>
        <w:gridCol w:w="1581"/>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19"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81"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61"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w:t>
            </w:r>
          </w:p>
          <w:p>
            <w:pPr>
              <w:pStyle w:val="247"/>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19" w:type="dxa"/>
            <w:vAlign w:val="center"/>
          </w:tcPr>
          <w:p>
            <w:pPr>
              <w:pStyle w:val="247"/>
              <w:jc w:val="center"/>
              <w:rPr>
                <w:rFonts w:ascii="Times New Roman" w:hAnsi="Times New Roman" w:cs="Times New Roman" w:eastAsiaTheme="minorEastAsia"/>
                <w:sz w:val="30"/>
                <w:highlight w:val="none"/>
              </w:rPr>
            </w:pPr>
          </w:p>
        </w:tc>
        <w:tc>
          <w:tcPr>
            <w:tcW w:w="1581" w:type="dxa"/>
            <w:vAlign w:val="center"/>
          </w:tcPr>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□中型企业</w:t>
            </w:r>
          </w:p>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□小微企业</w:t>
            </w:r>
          </w:p>
          <w:p>
            <w:pPr>
              <w:pStyle w:val="247"/>
              <w:tabs>
                <w:tab w:val="left" w:pos="235"/>
              </w:tabs>
              <w:ind w:left="0" w:leftChars="0" w:firstLine="218" w:firstLineChars="91"/>
              <w:jc w:val="left"/>
              <w:rPr>
                <w:rFonts w:cs="Times New Roman"/>
                <w:sz w:val="24"/>
                <w:highlight w:val="none"/>
                <w:lang w:eastAsia="zh-CN"/>
              </w:rPr>
            </w:pPr>
            <w:r>
              <w:rPr>
                <w:rFonts w:hint="eastAsia" w:cs="Times New Roman"/>
                <w:sz w:val="24"/>
                <w:highlight w:val="none"/>
                <w:lang w:eastAsia="zh-CN"/>
              </w:rPr>
              <w:t>□其他</w:t>
            </w:r>
          </w:p>
        </w:tc>
        <w:tc>
          <w:tcPr>
            <w:tcW w:w="1125" w:type="dxa"/>
            <w:vAlign w:val="center"/>
          </w:tcPr>
          <w:p>
            <w:pPr>
              <w:pStyle w:val="247"/>
              <w:jc w:val="center"/>
              <w:rPr>
                <w:rFonts w:ascii="Times New Roman" w:hAnsi="Times New Roman" w:cs="Times New Roman" w:eastAsiaTheme="minorEastAsia"/>
                <w:sz w:val="30"/>
                <w:highlight w:val="none"/>
                <w:lang w:eastAsia="zh-CN"/>
              </w:rPr>
            </w:pPr>
          </w:p>
        </w:tc>
        <w:tc>
          <w:tcPr>
            <w:tcW w:w="1561" w:type="dxa"/>
            <w:vAlign w:val="center"/>
          </w:tcPr>
          <w:p>
            <w:pPr>
              <w:pStyle w:val="247"/>
              <w:jc w:val="center"/>
              <w:rPr>
                <w:rFonts w:ascii="Times New Roman" w:hAnsi="Times New Roman" w:cs="Times New Roman" w:eastAsiaTheme="minorEastAsia"/>
                <w:sz w:val="30"/>
                <w:highlight w:val="none"/>
                <w:lang w:eastAsia="zh-CN"/>
              </w:rPr>
            </w:pPr>
          </w:p>
        </w:tc>
        <w:tc>
          <w:tcPr>
            <w:tcW w:w="1498" w:type="dxa"/>
            <w:vAlign w:val="center"/>
          </w:tcPr>
          <w:p>
            <w:pPr>
              <w:pStyle w:val="247"/>
              <w:jc w:val="center"/>
              <w:rPr>
                <w:rFonts w:ascii="Times New Roman" w:hAnsi="Times New Roman" w:cs="Times New Roman" w:eastAsiaTheme="minorEastAsia"/>
                <w:sz w:val="30"/>
                <w:highlight w:val="none"/>
                <w:lang w:eastAsia="zh-CN"/>
              </w:rPr>
            </w:pPr>
          </w:p>
        </w:tc>
        <w:tc>
          <w:tcPr>
            <w:tcW w:w="1564" w:type="dxa"/>
            <w:vAlign w:val="center"/>
          </w:tcPr>
          <w:p>
            <w:pPr>
              <w:pStyle w:val="247"/>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19" w:type="dxa"/>
            <w:vAlign w:val="center"/>
          </w:tcPr>
          <w:p>
            <w:pPr>
              <w:pStyle w:val="247"/>
              <w:jc w:val="center"/>
              <w:rPr>
                <w:rFonts w:ascii="Times New Roman" w:hAnsi="Times New Roman" w:cs="Times New Roman" w:eastAsiaTheme="minorEastAsia"/>
                <w:sz w:val="30"/>
                <w:highlight w:val="none"/>
              </w:rPr>
            </w:pPr>
          </w:p>
        </w:tc>
        <w:tc>
          <w:tcPr>
            <w:tcW w:w="1581" w:type="dxa"/>
            <w:vAlign w:val="center"/>
          </w:tcPr>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□中型企业</w:t>
            </w:r>
          </w:p>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□小微企业</w:t>
            </w:r>
          </w:p>
          <w:p>
            <w:pPr>
              <w:pStyle w:val="247"/>
              <w:tabs>
                <w:tab w:val="left" w:pos="235"/>
              </w:tabs>
              <w:ind w:left="0" w:leftChars="0" w:firstLine="218" w:firstLineChars="91"/>
              <w:jc w:val="left"/>
              <w:rPr>
                <w:rFonts w:cs="Times New Roman"/>
                <w:sz w:val="24"/>
                <w:highlight w:val="none"/>
                <w:lang w:eastAsia="zh-CN"/>
              </w:rPr>
            </w:pPr>
            <w:r>
              <w:rPr>
                <w:rFonts w:hint="eastAsia" w:cs="Times New Roman"/>
                <w:sz w:val="24"/>
                <w:highlight w:val="none"/>
                <w:lang w:eastAsia="zh-CN"/>
              </w:rPr>
              <w:t>□其他</w:t>
            </w:r>
          </w:p>
        </w:tc>
        <w:tc>
          <w:tcPr>
            <w:tcW w:w="1125" w:type="dxa"/>
            <w:vAlign w:val="center"/>
          </w:tcPr>
          <w:p>
            <w:pPr>
              <w:pStyle w:val="247"/>
              <w:jc w:val="center"/>
              <w:rPr>
                <w:rFonts w:ascii="Times New Roman" w:hAnsi="Times New Roman" w:cs="Times New Roman" w:eastAsiaTheme="minorEastAsia"/>
                <w:sz w:val="30"/>
                <w:highlight w:val="none"/>
                <w:lang w:eastAsia="zh-CN"/>
              </w:rPr>
            </w:pPr>
          </w:p>
        </w:tc>
        <w:tc>
          <w:tcPr>
            <w:tcW w:w="1561" w:type="dxa"/>
            <w:vAlign w:val="center"/>
          </w:tcPr>
          <w:p>
            <w:pPr>
              <w:pStyle w:val="247"/>
              <w:jc w:val="center"/>
              <w:rPr>
                <w:rFonts w:ascii="Times New Roman" w:hAnsi="Times New Roman" w:cs="Times New Roman" w:eastAsiaTheme="minorEastAsia"/>
                <w:sz w:val="30"/>
                <w:highlight w:val="none"/>
                <w:lang w:eastAsia="zh-CN"/>
              </w:rPr>
            </w:pPr>
          </w:p>
        </w:tc>
        <w:tc>
          <w:tcPr>
            <w:tcW w:w="1498" w:type="dxa"/>
            <w:vAlign w:val="center"/>
          </w:tcPr>
          <w:p>
            <w:pPr>
              <w:pStyle w:val="247"/>
              <w:jc w:val="center"/>
              <w:rPr>
                <w:rFonts w:ascii="Times New Roman" w:hAnsi="Times New Roman" w:cs="Times New Roman" w:eastAsiaTheme="minorEastAsia"/>
                <w:sz w:val="30"/>
                <w:highlight w:val="none"/>
                <w:lang w:eastAsia="zh-CN"/>
              </w:rPr>
            </w:pPr>
          </w:p>
        </w:tc>
        <w:tc>
          <w:tcPr>
            <w:tcW w:w="1564" w:type="dxa"/>
            <w:vAlign w:val="center"/>
          </w:tcPr>
          <w:p>
            <w:pPr>
              <w:pStyle w:val="247"/>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19" w:type="dxa"/>
            <w:vAlign w:val="center"/>
          </w:tcPr>
          <w:p>
            <w:pPr>
              <w:pStyle w:val="247"/>
              <w:jc w:val="center"/>
              <w:rPr>
                <w:rFonts w:ascii="Times New Roman" w:hAnsi="Times New Roman" w:cs="Times New Roman" w:eastAsiaTheme="minorEastAsia"/>
                <w:sz w:val="30"/>
                <w:highlight w:val="none"/>
              </w:rPr>
            </w:pPr>
          </w:p>
        </w:tc>
        <w:tc>
          <w:tcPr>
            <w:tcW w:w="1581" w:type="dxa"/>
            <w:vAlign w:val="center"/>
          </w:tcPr>
          <w:p>
            <w:pPr>
              <w:pStyle w:val="247"/>
              <w:tabs>
                <w:tab w:val="left" w:pos="235"/>
              </w:tabs>
              <w:jc w:val="center"/>
              <w:rPr>
                <w:rFonts w:ascii="Times New Roman" w:hAnsi="Times New Roman" w:cs="Times New Roman" w:eastAsiaTheme="minorEastAsia"/>
                <w:sz w:val="24"/>
                <w:highlight w:val="none"/>
              </w:rPr>
            </w:pPr>
          </w:p>
        </w:tc>
        <w:tc>
          <w:tcPr>
            <w:tcW w:w="1125" w:type="dxa"/>
            <w:vAlign w:val="center"/>
          </w:tcPr>
          <w:p>
            <w:pPr>
              <w:pStyle w:val="247"/>
              <w:jc w:val="center"/>
              <w:rPr>
                <w:rFonts w:ascii="Times New Roman" w:hAnsi="Times New Roman" w:cs="Times New Roman" w:eastAsiaTheme="minorEastAsia"/>
                <w:sz w:val="30"/>
                <w:highlight w:val="none"/>
              </w:rPr>
            </w:pPr>
          </w:p>
        </w:tc>
        <w:tc>
          <w:tcPr>
            <w:tcW w:w="1561" w:type="dxa"/>
            <w:vAlign w:val="center"/>
          </w:tcPr>
          <w:p>
            <w:pPr>
              <w:pStyle w:val="247"/>
              <w:jc w:val="center"/>
              <w:rPr>
                <w:rFonts w:ascii="Times New Roman" w:hAnsi="Times New Roman" w:cs="Times New Roman" w:eastAsiaTheme="minorEastAsia"/>
                <w:sz w:val="30"/>
                <w:highlight w:val="none"/>
              </w:rPr>
            </w:pPr>
          </w:p>
        </w:tc>
        <w:tc>
          <w:tcPr>
            <w:tcW w:w="1498" w:type="dxa"/>
            <w:vAlign w:val="center"/>
          </w:tcPr>
          <w:p>
            <w:pPr>
              <w:pStyle w:val="247"/>
              <w:jc w:val="center"/>
              <w:rPr>
                <w:rFonts w:ascii="Times New Roman" w:hAnsi="Times New Roman" w:cs="Times New Roman" w:eastAsiaTheme="minorEastAsia"/>
                <w:sz w:val="30"/>
                <w:highlight w:val="none"/>
              </w:rPr>
            </w:pPr>
          </w:p>
        </w:tc>
        <w:tc>
          <w:tcPr>
            <w:tcW w:w="1564" w:type="dxa"/>
            <w:vAlign w:val="center"/>
          </w:tcPr>
          <w:p>
            <w:pPr>
              <w:pStyle w:val="247"/>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7"/>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7"/>
              <w:jc w:val="center"/>
              <w:rPr>
                <w:rFonts w:ascii="Times New Roman" w:hAnsi="Times New Roman" w:cs="Times New Roman" w:eastAsiaTheme="minorEastAsia"/>
                <w:sz w:val="30"/>
                <w:highlight w:val="none"/>
              </w:rPr>
            </w:pPr>
          </w:p>
        </w:tc>
        <w:tc>
          <w:tcPr>
            <w:tcW w:w="1564" w:type="dxa"/>
            <w:vAlign w:val="center"/>
          </w:tcPr>
          <w:p>
            <w:pPr>
              <w:pStyle w:val="247"/>
              <w:jc w:val="center"/>
              <w:rPr>
                <w:rFonts w:ascii="Times New Roman" w:hAnsi="Times New Roman" w:cs="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spacing w:line="360" w:lineRule="auto"/>
        <w:ind w:right="-57" w:firstLine="480"/>
        <w:jc w:val="right"/>
        <w:rPr>
          <w:color w:val="000000"/>
          <w:sz w:val="24"/>
          <w:highlight w:val="none"/>
        </w:rPr>
      </w:pPr>
      <w:r>
        <w:rPr>
          <w:color w:val="000000"/>
          <w:sz w:val="24"/>
          <w:szCs w:val="20"/>
          <w:highlight w:val="none"/>
        </w:rPr>
        <w:t>日期：_____年______月______日</w:t>
      </w:r>
    </w:p>
    <w:p>
      <w:pPr>
        <w:adjustRightInd w:val="0"/>
        <w:snapToGrid w:val="0"/>
        <w:spacing w:line="360" w:lineRule="auto"/>
        <w:jc w:val="left"/>
        <w:rPr>
          <w:sz w:val="24"/>
          <w:highlight w:val="none"/>
        </w:rPr>
      </w:pPr>
      <w:r>
        <w:rPr>
          <w:sz w:val="24"/>
          <w:highlight w:val="none"/>
        </w:rPr>
        <w:t>注：</w:t>
      </w:r>
    </w:p>
    <w:p>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w:t>
      </w:r>
      <w:r>
        <w:rPr>
          <w:rFonts w:hint="eastAsia" w:ascii="宋体" w:hAnsi="宋体"/>
          <w:sz w:val="24"/>
          <w:highlight w:val="none"/>
        </w:rPr>
        <w:t>并加盖投标人公章</w:t>
      </w:r>
      <w:r>
        <w:rPr>
          <w:sz w:val="24"/>
          <w:highlight w:val="none"/>
        </w:rPr>
        <w:t>，否则</w:t>
      </w:r>
      <w:r>
        <w:rPr>
          <w:b/>
          <w:sz w:val="24"/>
          <w:highlight w:val="none"/>
        </w:rPr>
        <w:t>投标无效</w:t>
      </w:r>
      <w:r>
        <w:rPr>
          <w:sz w:val="24"/>
          <w:highlight w:val="none"/>
        </w:rPr>
        <w:t>。</w:t>
      </w:r>
    </w:p>
    <w:p>
      <w:pPr>
        <w:adjustRightInd w:val="0"/>
        <w:snapToGrid w:val="0"/>
        <w:spacing w:line="360" w:lineRule="auto"/>
        <w:jc w:val="left"/>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分包意向协议（实质性格式）</w:t>
      </w:r>
    </w:p>
    <w:p>
      <w:pPr>
        <w:adjustRightInd w:val="0"/>
        <w:snapToGrid w:val="0"/>
        <w:spacing w:line="360" w:lineRule="auto"/>
        <w:ind w:firstLine="480" w:firstLineChars="200"/>
        <w:jc w:val="left"/>
        <w:rPr>
          <w:sz w:val="24"/>
          <w:highlight w:val="none"/>
        </w:rPr>
      </w:pPr>
      <w:r>
        <w:rPr>
          <w:sz w:val="24"/>
          <w:highlight w:val="none"/>
        </w:rPr>
        <w:t>甲方（投标人）：________</w:t>
      </w:r>
    </w:p>
    <w:p>
      <w:pPr>
        <w:adjustRightInd w:val="0"/>
        <w:snapToGrid w:val="0"/>
        <w:spacing w:line="360" w:lineRule="auto"/>
        <w:ind w:firstLine="480" w:firstLineChars="200"/>
        <w:jc w:val="left"/>
        <w:rPr>
          <w:sz w:val="24"/>
          <w:highlight w:val="none"/>
        </w:rPr>
      </w:pPr>
      <w:r>
        <w:rPr>
          <w:sz w:val="24"/>
          <w:highlight w:val="none"/>
        </w:rPr>
        <w:t>乙方（拟分包单位）：________</w:t>
      </w:r>
    </w:p>
    <w:p>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highlight w:val="none"/>
        </w:rPr>
      </w:pPr>
      <w:r>
        <w:rPr>
          <w:sz w:val="24"/>
          <w:highlight w:val="none"/>
        </w:rPr>
        <w:t>1.分包内容：_____。</w:t>
      </w:r>
    </w:p>
    <w:p>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pPr>
        <w:spacing w:line="360" w:lineRule="auto"/>
        <w:ind w:firstLine="471"/>
        <w:rPr>
          <w:b/>
          <w:color w:val="000000"/>
          <w:sz w:val="24"/>
          <w:highlight w:val="none"/>
        </w:rPr>
      </w:pPr>
    </w:p>
    <w:p>
      <w:pPr>
        <w:spacing w:line="360" w:lineRule="auto"/>
        <w:ind w:firstLine="471"/>
        <w:rPr>
          <w:b/>
          <w:color w:val="000000"/>
          <w:sz w:val="24"/>
          <w:highlight w:val="none"/>
        </w:rPr>
      </w:pPr>
      <w:r>
        <w:rPr>
          <w:color w:val="000000"/>
          <w:sz w:val="24"/>
          <w:highlight w:val="none"/>
        </w:rPr>
        <w:t>甲方（盖章）：_________                 乙方（盖章）：_________</w:t>
      </w:r>
    </w:p>
    <w:p>
      <w:pPr>
        <w:spacing w:line="360" w:lineRule="auto"/>
        <w:ind w:left="480"/>
        <w:jc w:val="right"/>
        <w:rPr>
          <w:color w:val="000000"/>
          <w:sz w:val="24"/>
          <w:highlight w:val="none"/>
        </w:rPr>
      </w:pPr>
    </w:p>
    <w:p>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pPr>
        <w:tabs>
          <w:tab w:val="left" w:pos="8280"/>
        </w:tabs>
        <w:spacing w:line="360" w:lineRule="auto"/>
        <w:ind w:firstLine="480"/>
        <w:rPr>
          <w:color w:val="000000"/>
          <w:sz w:val="24"/>
          <w:highlight w:val="none"/>
        </w:rPr>
      </w:pPr>
    </w:p>
    <w:p>
      <w:pPr>
        <w:tabs>
          <w:tab w:val="left" w:pos="8280"/>
        </w:tabs>
        <w:spacing w:line="360" w:lineRule="auto"/>
        <w:rPr>
          <w:color w:val="000000"/>
          <w:sz w:val="24"/>
          <w:highlight w:val="none"/>
        </w:rPr>
      </w:pPr>
      <w:r>
        <w:rPr>
          <w:color w:val="000000"/>
          <w:sz w:val="24"/>
          <w:highlight w:val="none"/>
        </w:rPr>
        <w:t>注：</w:t>
      </w:r>
    </w:p>
    <w:p>
      <w:pPr>
        <w:tabs>
          <w:tab w:val="left" w:pos="8280"/>
        </w:tabs>
        <w:spacing w:line="360" w:lineRule="auto"/>
        <w:rPr>
          <w:color w:val="000000"/>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w:t>
      </w:r>
      <w:r>
        <w:rPr>
          <w:color w:val="000000"/>
          <w:sz w:val="24"/>
          <w:highlight w:val="none"/>
        </w:rPr>
        <w:t>且投标人须与所有拟分包单位分别签订《分包意向协议》，每单位签订一份，并在投标文件中</w:t>
      </w:r>
      <w:r>
        <w:rPr>
          <w:rFonts w:ascii="宋体" w:hAnsi="宋体"/>
          <w:sz w:val="24"/>
          <w:highlight w:val="none"/>
        </w:rPr>
        <w:t>提交全部协议证明文件</w:t>
      </w:r>
      <w:r>
        <w:rPr>
          <w:rFonts w:hint="eastAsia" w:ascii="宋体" w:hAnsi="宋体"/>
          <w:sz w:val="24"/>
          <w:highlight w:val="none"/>
        </w:rPr>
        <w:t>并加盖投标人公章</w:t>
      </w:r>
      <w:r>
        <w:rPr>
          <w:color w:val="000000"/>
          <w:sz w:val="24"/>
          <w:highlight w:val="none"/>
        </w:rPr>
        <w:t>，否则</w:t>
      </w:r>
      <w:r>
        <w:rPr>
          <w:b/>
          <w:color w:val="000000"/>
          <w:sz w:val="24"/>
          <w:highlight w:val="none"/>
        </w:rPr>
        <w:t>投标无效</w:t>
      </w:r>
      <w:r>
        <w:rPr>
          <w:color w:val="000000"/>
          <w:sz w:val="24"/>
          <w:highlight w:val="none"/>
        </w:rPr>
        <w:t>。</w:t>
      </w:r>
    </w:p>
    <w:p>
      <w:pPr>
        <w:widowControl/>
        <w:jc w:val="left"/>
        <w:rPr>
          <w:color w:val="000000"/>
          <w:sz w:val="24"/>
          <w:szCs w:val="20"/>
          <w:highlight w:val="none"/>
        </w:rPr>
      </w:pPr>
      <w:r>
        <w:rPr>
          <w:color w:val="000000"/>
          <w:sz w:val="24"/>
          <w:szCs w:val="20"/>
          <w:highlight w:val="none"/>
        </w:rPr>
        <w:br w:type="page"/>
      </w:r>
    </w:p>
    <w:p>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numPr>
          <w:ilvl w:val="0"/>
          <w:numId w:val="19"/>
        </w:numPr>
        <w:tabs>
          <w:tab w:val="left" w:pos="360"/>
        </w:tabs>
        <w:snapToGrid w:val="0"/>
        <w:spacing w:line="360" w:lineRule="auto"/>
        <w:outlineLvl w:val="1"/>
        <w:rPr>
          <w:sz w:val="24"/>
          <w:highlight w:val="none"/>
        </w:rPr>
      </w:pPr>
      <w:r>
        <w:rPr>
          <w:sz w:val="24"/>
          <w:highlight w:val="none"/>
        </w:rPr>
        <w:t>本项目的特定资格要求</w:t>
      </w:r>
      <w:r>
        <w:rPr>
          <w:color w:val="000000"/>
          <w:sz w:val="24"/>
          <w:szCs w:val="20"/>
          <w:highlight w:val="none"/>
        </w:rPr>
        <w:t>（如有）</w:t>
      </w:r>
    </w:p>
    <w:p>
      <w:pPr>
        <w:spacing w:line="360" w:lineRule="auto"/>
        <w:outlineLvl w:val="2"/>
        <w:rPr>
          <w:color w:val="000000"/>
          <w:sz w:val="24"/>
          <w:szCs w:val="20"/>
          <w:highlight w:val="none"/>
        </w:rPr>
      </w:pPr>
      <w:r>
        <w:rPr>
          <w:color w:val="000000"/>
          <w:sz w:val="24"/>
          <w:szCs w:val="20"/>
          <w:highlight w:val="none"/>
        </w:rPr>
        <w:t>3-1 联合协议（如有）</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pPr>
        <w:numPr>
          <w:ilvl w:val="0"/>
          <w:numId w:val="21"/>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pPr>
        <w:numPr>
          <w:ilvl w:val="0"/>
          <w:numId w:val="21"/>
        </w:numPr>
        <w:spacing w:line="360" w:lineRule="auto"/>
        <w:rPr>
          <w:bCs/>
          <w:color w:val="000000"/>
          <w:sz w:val="24"/>
          <w:highlight w:val="none"/>
        </w:rPr>
      </w:pPr>
      <w:r>
        <w:rPr>
          <w:bCs/>
          <w:color w:val="000000"/>
          <w:sz w:val="24"/>
          <w:highlight w:val="none"/>
        </w:rPr>
        <w:t>联合体中标后，联合体各方共同与采购人签订合同，就采购合同约定的事项对采购人承担连带责任。</w:t>
      </w:r>
    </w:p>
    <w:p>
      <w:pPr>
        <w:numPr>
          <w:ilvl w:val="0"/>
          <w:numId w:val="21"/>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pPr>
        <w:numPr>
          <w:ilvl w:val="0"/>
          <w:numId w:val="21"/>
        </w:numPr>
        <w:spacing w:line="360" w:lineRule="auto"/>
        <w:rPr>
          <w:bCs/>
          <w:color w:val="000000"/>
          <w:sz w:val="24"/>
          <w:highlight w:val="none"/>
        </w:rPr>
      </w:pPr>
      <w:r>
        <w:rPr>
          <w:bCs/>
          <w:color w:val="000000"/>
          <w:sz w:val="24"/>
          <w:highlight w:val="none"/>
        </w:rPr>
        <w:t>牵头人为项目的总负责单位；组织各参加方进行项目实施工作。</w:t>
      </w:r>
    </w:p>
    <w:p>
      <w:pPr>
        <w:numPr>
          <w:ilvl w:val="0"/>
          <w:numId w:val="21"/>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21"/>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21"/>
        </w:numPr>
        <w:spacing w:line="360" w:lineRule="auto"/>
        <w:rPr>
          <w:bCs/>
          <w:color w:val="000000"/>
          <w:sz w:val="24"/>
          <w:highlight w:val="none"/>
        </w:rPr>
      </w:pPr>
      <w:r>
        <w:rPr>
          <w:bCs/>
          <w:color w:val="000000"/>
          <w:sz w:val="24"/>
          <w:highlight w:val="none"/>
        </w:rPr>
        <w:t>______负责_____（如有），具体工作范围、内容以投标文件及合同为准。</w:t>
      </w:r>
    </w:p>
    <w:p>
      <w:pPr>
        <w:numPr>
          <w:ilvl w:val="0"/>
          <w:numId w:val="21"/>
        </w:numPr>
        <w:spacing w:line="360" w:lineRule="auto"/>
        <w:rPr>
          <w:sz w:val="24"/>
          <w:highlight w:val="none"/>
        </w:rPr>
      </w:pPr>
      <w:r>
        <w:rPr>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w:t>
      </w:r>
      <w:r>
        <w:rPr>
          <w:rFonts w:hint="eastAsia"/>
          <w:color w:val="000000"/>
          <w:sz w:val="24"/>
          <w:szCs w:val="20"/>
          <w:highlight w:val="none"/>
          <w:lang w:eastAsia="zh-CN"/>
        </w:rPr>
        <w:t>□</w:t>
      </w:r>
      <w:r>
        <w:rPr>
          <w:color w:val="000000"/>
          <w:sz w:val="24"/>
          <w:szCs w:val="20"/>
          <w:highlight w:val="none"/>
        </w:rPr>
        <w:t>大型企业</w:t>
      </w:r>
      <w:r>
        <w:rPr>
          <w:rFonts w:hint="eastAsia"/>
          <w:color w:val="000000"/>
          <w:sz w:val="24"/>
          <w:szCs w:val="20"/>
          <w:highlight w:val="none"/>
          <w:lang w:eastAsia="zh-CN"/>
        </w:rPr>
        <w:t>□</w:t>
      </w:r>
      <w:r>
        <w:rPr>
          <w:color w:val="000000"/>
          <w:sz w:val="24"/>
          <w:szCs w:val="20"/>
          <w:highlight w:val="none"/>
        </w:rPr>
        <w:t>中型企业、</w:t>
      </w:r>
      <w:r>
        <w:rPr>
          <w:rFonts w:hint="eastAsia"/>
          <w:color w:val="000000"/>
          <w:sz w:val="24"/>
          <w:szCs w:val="20"/>
          <w:highlight w:val="none"/>
          <w:lang w:eastAsia="zh-CN"/>
        </w:rPr>
        <w:t>□</w:t>
      </w:r>
      <w:r>
        <w:rPr>
          <w:color w:val="000000"/>
          <w:sz w:val="24"/>
          <w:szCs w:val="20"/>
          <w:highlight w:val="none"/>
        </w:rPr>
        <w:t>小微企业（包含监狱企业、残疾人福利性单位）、</w:t>
      </w:r>
      <w:r>
        <w:rPr>
          <w:rFonts w:hint="eastAsia"/>
          <w:color w:val="000000"/>
          <w:sz w:val="24"/>
          <w:szCs w:val="20"/>
          <w:highlight w:val="none"/>
          <w:lang w:eastAsia="zh-CN"/>
        </w:rPr>
        <w:t>□</w:t>
      </w:r>
      <w:r>
        <w:rPr>
          <w:color w:val="000000"/>
          <w:sz w:val="24"/>
          <w:szCs w:val="20"/>
          <w:highlight w:val="none"/>
        </w:rPr>
        <w:t>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w:t>
      </w:r>
      <w:r>
        <w:rPr>
          <w:rFonts w:hint="eastAsia"/>
          <w:color w:val="000000"/>
          <w:sz w:val="24"/>
          <w:szCs w:val="20"/>
          <w:highlight w:val="none"/>
          <w:lang w:eastAsia="zh-CN"/>
        </w:rPr>
        <w:t>□</w:t>
      </w:r>
      <w:r>
        <w:rPr>
          <w:color w:val="000000"/>
          <w:sz w:val="24"/>
          <w:szCs w:val="20"/>
          <w:highlight w:val="none"/>
        </w:rPr>
        <w:t>大型企业</w:t>
      </w:r>
      <w:r>
        <w:rPr>
          <w:rFonts w:hint="eastAsia"/>
          <w:color w:val="000000"/>
          <w:sz w:val="24"/>
          <w:szCs w:val="20"/>
          <w:highlight w:val="none"/>
          <w:lang w:eastAsia="zh-CN"/>
        </w:rPr>
        <w:t>□</w:t>
      </w:r>
      <w:r>
        <w:rPr>
          <w:color w:val="000000"/>
          <w:sz w:val="24"/>
          <w:szCs w:val="20"/>
          <w:highlight w:val="none"/>
        </w:rPr>
        <w:t>中型企业、</w:t>
      </w:r>
      <w:r>
        <w:rPr>
          <w:rFonts w:hint="eastAsia"/>
          <w:color w:val="000000"/>
          <w:sz w:val="24"/>
          <w:szCs w:val="20"/>
          <w:highlight w:val="none"/>
          <w:lang w:eastAsia="zh-CN"/>
        </w:rPr>
        <w:t>□</w:t>
      </w:r>
      <w:r>
        <w:rPr>
          <w:color w:val="000000"/>
          <w:sz w:val="24"/>
          <w:szCs w:val="20"/>
          <w:highlight w:val="none"/>
        </w:rPr>
        <w:t>小微企业（包含监狱企业、残疾人福利性单位）、</w:t>
      </w:r>
      <w:r>
        <w:rPr>
          <w:rFonts w:hint="eastAsia"/>
          <w:color w:val="000000"/>
          <w:sz w:val="24"/>
          <w:szCs w:val="20"/>
          <w:highlight w:val="none"/>
          <w:lang w:eastAsia="zh-CN"/>
        </w:rPr>
        <w:t>□</w:t>
      </w:r>
      <w:r>
        <w:rPr>
          <w:color w:val="000000"/>
          <w:sz w:val="24"/>
          <w:szCs w:val="20"/>
          <w:highlight w:val="none"/>
        </w:rPr>
        <w:t>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w:t>
      </w:r>
      <w:r>
        <w:rPr>
          <w:rFonts w:hint="eastAsia"/>
          <w:color w:val="000000"/>
          <w:sz w:val="24"/>
          <w:szCs w:val="20"/>
          <w:highlight w:val="none"/>
          <w:lang w:eastAsia="zh-CN"/>
        </w:rPr>
        <w:t>□</w:t>
      </w:r>
      <w:r>
        <w:rPr>
          <w:color w:val="000000"/>
          <w:sz w:val="24"/>
          <w:szCs w:val="20"/>
          <w:highlight w:val="none"/>
        </w:rPr>
        <w:t>大型企业</w:t>
      </w:r>
      <w:r>
        <w:rPr>
          <w:rFonts w:hint="eastAsia"/>
          <w:color w:val="000000"/>
          <w:sz w:val="24"/>
          <w:szCs w:val="20"/>
          <w:highlight w:val="none"/>
          <w:lang w:eastAsia="zh-CN"/>
        </w:rPr>
        <w:t>□</w:t>
      </w:r>
      <w:r>
        <w:rPr>
          <w:color w:val="000000"/>
          <w:sz w:val="24"/>
          <w:szCs w:val="20"/>
          <w:highlight w:val="none"/>
        </w:rPr>
        <w:t>中型企业、</w:t>
      </w:r>
      <w:r>
        <w:rPr>
          <w:rFonts w:hint="eastAsia"/>
          <w:color w:val="000000"/>
          <w:sz w:val="24"/>
          <w:szCs w:val="20"/>
          <w:highlight w:val="none"/>
          <w:lang w:eastAsia="zh-CN"/>
        </w:rPr>
        <w:t>□</w:t>
      </w:r>
      <w:r>
        <w:rPr>
          <w:color w:val="000000"/>
          <w:sz w:val="24"/>
          <w:szCs w:val="20"/>
          <w:highlight w:val="none"/>
        </w:rPr>
        <w:t>小微企业（包含监狱企业、残疾人福利性单位）、</w:t>
      </w:r>
      <w:r>
        <w:rPr>
          <w:rFonts w:hint="eastAsia"/>
          <w:color w:val="000000"/>
          <w:sz w:val="24"/>
          <w:szCs w:val="20"/>
          <w:highlight w:val="none"/>
          <w:lang w:eastAsia="zh-CN"/>
        </w:rPr>
        <w:t>□</w:t>
      </w:r>
      <w:r>
        <w:rPr>
          <w:color w:val="000000"/>
          <w:sz w:val="24"/>
          <w:szCs w:val="20"/>
          <w:highlight w:val="none"/>
        </w:rPr>
        <w:t>其他，合同金额为_____元。</w:t>
      </w:r>
    </w:p>
    <w:p>
      <w:pPr>
        <w:numPr>
          <w:ilvl w:val="0"/>
          <w:numId w:val="21"/>
        </w:numPr>
        <w:tabs>
          <w:tab w:val="left" w:pos="993"/>
        </w:tabs>
        <w:spacing w:line="360" w:lineRule="auto"/>
        <w:rPr>
          <w:bCs/>
          <w:color w:val="000000"/>
          <w:sz w:val="24"/>
          <w:highlight w:val="none"/>
        </w:rPr>
      </w:pPr>
      <w:r>
        <w:rPr>
          <w:bCs/>
          <w:color w:val="000000"/>
          <w:sz w:val="24"/>
          <w:highlight w:val="none"/>
        </w:rPr>
        <w:t>以联合体形式参加政府采购活动的，联合体各方不得再单独参加或者与其他供应商另外组成联合体参加同一合同项下的政府采购活动。</w:t>
      </w:r>
    </w:p>
    <w:p>
      <w:pPr>
        <w:numPr>
          <w:ilvl w:val="0"/>
          <w:numId w:val="21"/>
        </w:numPr>
        <w:spacing w:line="360" w:lineRule="auto"/>
        <w:rPr>
          <w:bCs/>
          <w:color w:val="000000"/>
          <w:sz w:val="24"/>
          <w:highlight w:val="none"/>
        </w:rPr>
      </w:pPr>
      <w:r>
        <w:rPr>
          <w:bCs/>
          <w:color w:val="000000"/>
          <w:sz w:val="24"/>
          <w:highlight w:val="none"/>
        </w:rPr>
        <w:t>其他约定（如有）：_______。</w:t>
      </w:r>
    </w:p>
    <w:p>
      <w:pPr>
        <w:tabs>
          <w:tab w:val="left" w:pos="780"/>
        </w:tabs>
        <w:spacing w:line="360" w:lineRule="auto"/>
        <w:ind w:firstLine="480" w:firstLineChars="200"/>
        <w:rPr>
          <w:color w:val="000000"/>
          <w:sz w:val="24"/>
          <w:highlight w:val="none"/>
        </w:rPr>
      </w:pPr>
      <w:r>
        <w:rPr>
          <w:bCs/>
          <w:color w:val="000000"/>
          <w:sz w:val="24"/>
          <w:highlight w:val="none"/>
        </w:rPr>
        <w:t>本协议自各方盖章后生效，采购合同履行完毕后自动失效。如未中标，本协议自动终止。</w:t>
      </w:r>
      <w:r>
        <w:rPr>
          <w:color w:val="000000"/>
          <w:sz w:val="24"/>
          <w:highlight w:val="none"/>
        </w:rPr>
        <w:br w:type="page"/>
      </w:r>
    </w:p>
    <w:p>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left="480"/>
        <w:jc w:val="right"/>
        <w:rPr>
          <w:color w:val="000000"/>
          <w:sz w:val="24"/>
          <w:highlight w:val="none"/>
        </w:rPr>
      </w:pPr>
    </w:p>
    <w:p>
      <w:pPr>
        <w:spacing w:line="360" w:lineRule="auto"/>
        <w:ind w:left="480"/>
        <w:jc w:val="right"/>
        <w:rPr>
          <w:color w:val="000000"/>
          <w:sz w:val="24"/>
          <w:highlight w:val="none"/>
        </w:rPr>
      </w:pPr>
      <w:r>
        <w:rPr>
          <w:color w:val="000000"/>
          <w:sz w:val="24"/>
          <w:szCs w:val="20"/>
          <w:highlight w:val="none"/>
        </w:rPr>
        <w:t>日期：_____年______月______日</w:t>
      </w:r>
    </w:p>
    <w:p>
      <w:pPr>
        <w:spacing w:line="360" w:lineRule="auto"/>
        <w:ind w:left="480"/>
        <w:jc w:val="right"/>
        <w:rPr>
          <w:b/>
          <w:color w:val="000000"/>
          <w:sz w:val="24"/>
          <w:highlight w:val="none"/>
        </w:rPr>
      </w:pPr>
    </w:p>
    <w:p>
      <w:pPr>
        <w:tabs>
          <w:tab w:val="left" w:pos="8280"/>
        </w:tabs>
        <w:spacing w:line="360" w:lineRule="auto"/>
        <w:ind w:firstLine="480"/>
        <w:rPr>
          <w:color w:val="000000"/>
          <w:sz w:val="24"/>
          <w:highlight w:val="none"/>
        </w:rPr>
      </w:pPr>
    </w:p>
    <w:p>
      <w:pPr>
        <w:tabs>
          <w:tab w:val="left" w:pos="8280"/>
        </w:tabs>
        <w:spacing w:line="360" w:lineRule="auto"/>
        <w:ind w:firstLine="480"/>
        <w:rPr>
          <w:color w:val="000000"/>
          <w:sz w:val="24"/>
          <w:highlight w:val="none"/>
        </w:rPr>
      </w:pPr>
    </w:p>
    <w:p>
      <w:pPr>
        <w:spacing w:line="360" w:lineRule="auto"/>
        <w:ind w:left="719" w:leftChars="228" w:hanging="240" w:hangingChars="100"/>
        <w:rPr>
          <w:color w:val="000000"/>
          <w:sz w:val="24"/>
          <w:highlight w:val="none"/>
        </w:rPr>
      </w:pPr>
      <w:r>
        <w:rPr>
          <w:color w:val="000000"/>
          <w:sz w:val="24"/>
          <w:highlight w:val="none"/>
        </w:rPr>
        <w:t>注：</w:t>
      </w:r>
    </w:p>
    <w:p>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投标无效</w:t>
      </w:r>
      <w:r>
        <w:rPr>
          <w:color w:val="000000"/>
          <w:sz w:val="24"/>
          <w:highlight w:val="none"/>
        </w:rPr>
        <w:t>。</w:t>
      </w:r>
    </w:p>
    <w:p>
      <w:pPr>
        <w:spacing w:line="360" w:lineRule="auto"/>
        <w:ind w:left="719" w:leftChars="228" w:hanging="240" w:hangingChars="100"/>
        <w:rPr>
          <w:sz w:val="24"/>
          <w:highlight w:val="none"/>
        </w:rPr>
      </w:pPr>
      <w:r>
        <w:rPr>
          <w:color w:val="000000"/>
          <w:sz w:val="24"/>
          <w:highlight w:val="none"/>
        </w:rPr>
        <w:t>2. 联合体各方成员需在本协议上共同盖章。</w:t>
      </w:r>
    </w:p>
    <w:p>
      <w:pPr>
        <w:spacing w:line="360" w:lineRule="auto"/>
        <w:ind w:left="719" w:leftChars="228" w:hanging="240" w:hangingChars="100"/>
        <w:rPr>
          <w:sz w:val="24"/>
          <w:highlight w:val="none"/>
        </w:rPr>
      </w:pPr>
      <w:r>
        <w:rPr>
          <w:sz w:val="24"/>
          <w:highlight w:val="none"/>
        </w:rPr>
        <w:br w:type="page"/>
      </w:r>
    </w:p>
    <w:p>
      <w:pPr>
        <w:spacing w:line="360" w:lineRule="auto"/>
        <w:outlineLvl w:val="2"/>
        <w:rPr>
          <w:sz w:val="24"/>
          <w:szCs w:val="20"/>
          <w:highlight w:val="none"/>
        </w:rPr>
      </w:pPr>
      <w:r>
        <w:rPr>
          <w:color w:val="000000"/>
          <w:sz w:val="24"/>
          <w:szCs w:val="20"/>
          <w:highlight w:val="none"/>
        </w:rPr>
        <w:t>3-2 其他</w:t>
      </w:r>
      <w:r>
        <w:rPr>
          <w:sz w:val="24"/>
          <w:szCs w:val="20"/>
          <w:highlight w:val="none"/>
        </w:rPr>
        <w:t>特定资格要求</w:t>
      </w:r>
    </w:p>
    <w:p>
      <w:pPr>
        <w:widowControl/>
        <w:jc w:val="left"/>
        <w:rPr>
          <w:sz w:val="24"/>
          <w:szCs w:val="20"/>
          <w:highlight w:val="none"/>
        </w:rPr>
      </w:pPr>
      <w:r>
        <w:rPr>
          <w:sz w:val="24"/>
          <w:szCs w:val="20"/>
          <w:highlight w:val="none"/>
        </w:rPr>
        <w:br w:type="page"/>
      </w:r>
    </w:p>
    <w:p>
      <w:pPr>
        <w:numPr>
          <w:ilvl w:val="0"/>
          <w:numId w:val="19"/>
        </w:numPr>
        <w:tabs>
          <w:tab w:val="left" w:pos="360"/>
        </w:tabs>
        <w:snapToGrid w:val="0"/>
        <w:spacing w:line="360" w:lineRule="auto"/>
        <w:outlineLvl w:val="1"/>
        <w:rPr>
          <w:sz w:val="24"/>
          <w:szCs w:val="20"/>
          <w:highlight w:val="none"/>
        </w:rPr>
      </w:pPr>
      <w:r>
        <w:rPr>
          <w:color w:val="000000"/>
          <w:sz w:val="24"/>
          <w:szCs w:val="20"/>
          <w:highlight w:val="none"/>
        </w:rPr>
        <w:t>投标保证金凭证/交款单据</w:t>
      </w:r>
      <w:r>
        <w:rPr>
          <w:rFonts w:hint="eastAsia" w:ascii="宋体" w:hAnsi="宋体"/>
          <w:sz w:val="24"/>
          <w:highlight w:val="none"/>
        </w:rPr>
        <w:t>并加盖投标人公章</w:t>
      </w:r>
    </w:p>
    <w:p>
      <w:pPr>
        <w:spacing w:line="360" w:lineRule="auto"/>
        <w:rPr>
          <w:sz w:val="24"/>
          <w:szCs w:val="20"/>
          <w:highlight w:val="none"/>
        </w:rPr>
      </w:pPr>
    </w:p>
    <w:p>
      <w:pPr>
        <w:spacing w:line="360" w:lineRule="auto"/>
        <w:rPr>
          <w:sz w:val="24"/>
          <w:szCs w:val="20"/>
          <w:highlight w:val="none"/>
        </w:rPr>
      </w:pPr>
    </w:p>
    <w:p>
      <w:pPr>
        <w:widowControl/>
        <w:jc w:val="left"/>
        <w:rPr>
          <w:kern w:val="0"/>
          <w:sz w:val="24"/>
          <w:szCs w:val="20"/>
          <w:highlight w:val="none"/>
        </w:rPr>
      </w:pPr>
      <w:r>
        <w:rPr>
          <w:sz w:val="24"/>
          <w:szCs w:val="20"/>
          <w:highlight w:val="none"/>
        </w:rPr>
        <w:br w:type="page"/>
      </w:r>
    </w:p>
    <w:p>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pPr>
        <w:rPr>
          <w:b/>
          <w:spacing w:val="20"/>
          <w:szCs w:val="21"/>
          <w:highlight w:val="none"/>
        </w:rPr>
      </w:pPr>
    </w:p>
    <w:p>
      <w:pPr>
        <w:numPr>
          <w:ilvl w:val="0"/>
          <w:numId w:val="22"/>
        </w:numPr>
        <w:tabs>
          <w:tab w:val="left" w:pos="360"/>
        </w:tabs>
        <w:snapToGrid w:val="0"/>
        <w:spacing w:line="360" w:lineRule="auto"/>
        <w:outlineLvl w:val="1"/>
        <w:rPr>
          <w:color w:val="000000"/>
          <w:sz w:val="24"/>
          <w:szCs w:val="20"/>
          <w:highlight w:val="none"/>
        </w:rPr>
      </w:pPr>
      <w:bookmarkStart w:id="818" w:name="_Hlt520350918"/>
      <w:bookmarkEnd w:id="818"/>
      <w:bookmarkStart w:id="819" w:name="_Hlt520271212"/>
      <w:bookmarkEnd w:id="819"/>
      <w:bookmarkStart w:id="820" w:name="_Hlt520274393"/>
      <w:bookmarkEnd w:id="820"/>
      <w:bookmarkStart w:id="821" w:name="_Hlt520273711"/>
      <w:bookmarkEnd w:id="821"/>
      <w:bookmarkStart w:id="822" w:name="_Hlt520343392"/>
      <w:bookmarkEnd w:id="822"/>
      <w:bookmarkStart w:id="823" w:name="_Hlt520274065"/>
      <w:bookmarkEnd w:id="823"/>
      <w:bookmarkStart w:id="824" w:name="_Hlt520274407"/>
      <w:bookmarkEnd w:id="824"/>
      <w:bookmarkStart w:id="825" w:name="_Hlt520274121"/>
      <w:bookmarkEnd w:id="825"/>
      <w:bookmarkStart w:id="826" w:name="_Hlt520343000"/>
      <w:bookmarkEnd w:id="826"/>
      <w:bookmarkStart w:id="827" w:name="_Hlt520355504"/>
      <w:bookmarkEnd w:id="827"/>
      <w:bookmarkStart w:id="828" w:name="_Toc480942349"/>
      <w:bookmarkStart w:id="829" w:name="_Ref467988698"/>
      <w:bookmarkStart w:id="830" w:name="_Toc150480794"/>
      <w:bookmarkStart w:id="831" w:name="_Toc150774761"/>
      <w:bookmarkStart w:id="832" w:name="_Toc127151556"/>
      <w:bookmarkStart w:id="833" w:name="_Toc195842921"/>
      <w:bookmarkStart w:id="834" w:name="_Toc226965746"/>
      <w:bookmarkStart w:id="835" w:name="_Toc226337252"/>
      <w:bookmarkStart w:id="836" w:name="_Toc520356217"/>
      <w:bookmarkStart w:id="837" w:name="_Toc226309800"/>
      <w:bookmarkStart w:id="838" w:name="_Toc226965829"/>
      <w:bookmarkStart w:id="839" w:name="_Toc142311058"/>
      <w:r>
        <w:rPr>
          <w:color w:val="000000"/>
          <w:sz w:val="24"/>
          <w:highlight w:val="none"/>
        </w:rPr>
        <w:t>投标</w:t>
      </w:r>
      <w:bookmarkEnd w:id="828"/>
      <w:bookmarkEnd w:id="829"/>
      <w:r>
        <w:rPr>
          <w:color w:val="000000"/>
          <w:sz w:val="24"/>
          <w:highlight w:val="none"/>
        </w:rPr>
        <w:t>书</w:t>
      </w:r>
      <w:bookmarkEnd w:id="830"/>
      <w:bookmarkEnd w:id="831"/>
      <w:bookmarkEnd w:id="832"/>
      <w:bookmarkEnd w:id="833"/>
      <w:bookmarkEnd w:id="834"/>
      <w:bookmarkEnd w:id="835"/>
      <w:bookmarkEnd w:id="836"/>
      <w:bookmarkEnd w:id="837"/>
      <w:bookmarkEnd w:id="838"/>
      <w:bookmarkEnd w:id="839"/>
      <w:r>
        <w:rPr>
          <w:color w:val="000000"/>
          <w:sz w:val="24"/>
          <w:szCs w:val="20"/>
          <w:highlight w:val="none"/>
        </w:rPr>
        <w:t>（实质性格式）</w:t>
      </w:r>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b/>
          <w:color w:val="000000"/>
          <w:sz w:val="36"/>
          <w:szCs w:val="36"/>
          <w:highlight w:val="none"/>
        </w:rPr>
        <w:t>投标书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pPr>
        <w:spacing w:line="360" w:lineRule="auto"/>
        <w:ind w:firstLine="480" w:firstLineChars="200"/>
        <w:rPr>
          <w:color w:val="000000"/>
          <w:sz w:val="24"/>
          <w:highlight w:val="none"/>
        </w:rPr>
      </w:pPr>
      <w:r>
        <w:rPr>
          <w:color w:val="000000"/>
          <w:sz w:val="24"/>
          <w:highlight w:val="none"/>
        </w:rPr>
        <w:t>与本投标有关的一切正式往来信函请寄：</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pPr>
        <w:tabs>
          <w:tab w:val="left" w:pos="5580"/>
        </w:tabs>
        <w:spacing w:line="360" w:lineRule="auto"/>
        <w:ind w:left="420"/>
        <w:rPr>
          <w:color w:val="000000"/>
          <w:sz w:val="24"/>
          <w:szCs w:val="20"/>
          <w:highlight w:val="none"/>
          <w:u w:val="single"/>
        </w:rPr>
      </w:pPr>
    </w:p>
    <w:p>
      <w:pPr>
        <w:widowControl/>
        <w:jc w:val="left"/>
        <w:rPr>
          <w:color w:val="000000"/>
          <w:sz w:val="24"/>
          <w:highlight w:val="none"/>
        </w:rPr>
      </w:pPr>
      <w:bookmarkStart w:id="840" w:name="_Hlt520356243"/>
      <w:bookmarkEnd w:id="840"/>
      <w:bookmarkStart w:id="841" w:name="_Hlt520355938"/>
      <w:bookmarkEnd w:id="841"/>
      <w:bookmarkStart w:id="842" w:name="_Toc127151557"/>
      <w:bookmarkStart w:id="843" w:name="_Toc142311059"/>
      <w:bookmarkStart w:id="844" w:name="_Toc195842922"/>
      <w:bookmarkStart w:id="845" w:name="_Toc150480795"/>
      <w:bookmarkStart w:id="846" w:name="_Toc226965747"/>
      <w:bookmarkStart w:id="847" w:name="_Toc226965830"/>
      <w:bookmarkStart w:id="848" w:name="_Toc226309801"/>
      <w:bookmarkStart w:id="849" w:name="_Toc305158899"/>
      <w:bookmarkStart w:id="850" w:name="_Ref467988705"/>
      <w:bookmarkStart w:id="851" w:name="_Toc264969247"/>
      <w:bookmarkStart w:id="852" w:name="_Toc305158825"/>
      <w:bookmarkStart w:id="853" w:name="_Toc480942350"/>
      <w:bookmarkStart w:id="854" w:name="_Toc150774762"/>
      <w:bookmarkStart w:id="855" w:name="_Toc520356218"/>
      <w:bookmarkStart w:id="856" w:name="_Toc265228395"/>
      <w:bookmarkStart w:id="857" w:name="_Toc226337253"/>
      <w:r>
        <w:rPr>
          <w:color w:val="000000"/>
          <w:sz w:val="24"/>
          <w:highlight w:val="none"/>
        </w:rPr>
        <w:br w:type="page"/>
      </w:r>
    </w:p>
    <w:p>
      <w:pPr>
        <w:numPr>
          <w:ilvl w:val="0"/>
          <w:numId w:val="22"/>
        </w:numPr>
        <w:tabs>
          <w:tab w:val="left" w:pos="360"/>
        </w:tabs>
        <w:snapToGrid w:val="0"/>
        <w:spacing w:line="360" w:lineRule="auto"/>
        <w:outlineLvl w:val="1"/>
        <w:rPr>
          <w:color w:val="000000"/>
          <w:sz w:val="24"/>
          <w:highlight w:val="none"/>
        </w:rPr>
      </w:pPr>
      <w:r>
        <w:rPr>
          <w:color w:val="000000"/>
          <w:sz w:val="24"/>
          <w:highlight w:val="none"/>
        </w:rPr>
        <w:t>授权委托书（实质性格式）</w:t>
      </w:r>
    </w:p>
    <w:p>
      <w:pPr>
        <w:spacing w:line="360" w:lineRule="exact"/>
        <w:jc w:val="center"/>
        <w:rPr>
          <w:b/>
          <w:color w:val="000000"/>
          <w:sz w:val="36"/>
          <w:szCs w:val="36"/>
          <w:highlight w:val="none"/>
        </w:rPr>
      </w:pPr>
      <w:r>
        <w:rPr>
          <w:b/>
          <w:color w:val="000000"/>
          <w:sz w:val="36"/>
          <w:szCs w:val="36"/>
          <w:highlight w:val="none"/>
        </w:rPr>
        <w:t>授权委托书</w:t>
      </w:r>
    </w:p>
    <w:p>
      <w:pPr>
        <w:spacing w:line="360" w:lineRule="auto"/>
        <w:ind w:firstLine="420"/>
        <w:rPr>
          <w:color w:val="000000"/>
          <w:sz w:val="24"/>
          <w:szCs w:val="20"/>
          <w:highlight w:val="none"/>
        </w:rPr>
      </w:pPr>
    </w:p>
    <w:p>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spacing w:line="360" w:lineRule="auto"/>
        <w:rPr>
          <w:color w:val="000000"/>
          <w:sz w:val="24"/>
          <w:szCs w:val="20"/>
          <w:highlight w:val="none"/>
        </w:rPr>
      </w:pPr>
      <w:r>
        <w:rPr>
          <w:color w:val="000000"/>
          <w:sz w:val="24"/>
          <w:szCs w:val="20"/>
          <w:highlight w:val="none"/>
        </w:rPr>
        <w:t>法定代表人（单位负责人）（签字或</w:t>
      </w:r>
      <w:r>
        <w:rPr>
          <w:rFonts w:hint="eastAsia"/>
          <w:color w:val="000000"/>
          <w:sz w:val="24"/>
          <w:szCs w:val="20"/>
          <w:highlight w:val="none"/>
          <w:lang w:val="en-US" w:eastAsia="zh-CN"/>
        </w:rPr>
        <w:t>盖章</w:t>
      </w:r>
      <w:r>
        <w:rPr>
          <w:color w:val="000000"/>
          <w:sz w:val="24"/>
          <w:szCs w:val="20"/>
          <w:highlight w:val="none"/>
        </w:rPr>
        <w:t>）：</w:t>
      </w:r>
      <w:r>
        <w:rPr>
          <w:color w:val="000000"/>
          <w:sz w:val="24"/>
          <w:highlight w:val="none"/>
          <w:lang w:val="zh-CN"/>
        </w:rPr>
        <w:t>________________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委托代理人（</w:t>
      </w:r>
      <w:r>
        <w:rPr>
          <w:rFonts w:hint="eastAsia"/>
          <w:color w:val="000000"/>
          <w:sz w:val="24"/>
          <w:highlight w:val="none"/>
        </w:rPr>
        <w:t>签字或盖章</w:t>
      </w:r>
      <w:r>
        <w:rPr>
          <w:color w:val="000000"/>
          <w:sz w:val="24"/>
          <w:highlight w:val="none"/>
        </w:rPr>
        <w:t>）：</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tabs>
          <w:tab w:val="left" w:pos="5580"/>
        </w:tabs>
        <w:spacing w:line="360" w:lineRule="auto"/>
        <w:ind w:firstLine="480" w:firstLineChars="200"/>
        <w:rPr>
          <w:color w:val="000000"/>
          <w:sz w:val="24"/>
          <w:szCs w:val="20"/>
          <w:highlight w:val="none"/>
        </w:rPr>
      </w:pPr>
    </w:p>
    <w:p>
      <w:pPr>
        <w:tabs>
          <w:tab w:val="left" w:pos="5580"/>
        </w:tabs>
        <w:spacing w:line="360" w:lineRule="auto"/>
        <w:rPr>
          <w:color w:val="000000"/>
          <w:sz w:val="24"/>
          <w:szCs w:val="20"/>
          <w:highlight w:val="none"/>
        </w:rPr>
      </w:pPr>
      <w:r>
        <w:rPr>
          <w:rFonts w:hint="eastAsia"/>
          <w:color w:val="000000"/>
          <w:sz w:val="24"/>
          <w:szCs w:val="20"/>
          <w:highlight w:val="none"/>
        </w:rPr>
        <w:t>附：</w:t>
      </w:r>
      <w:r>
        <w:rPr>
          <w:color w:val="000000"/>
          <w:sz w:val="24"/>
          <w:szCs w:val="20"/>
          <w:highlight w:val="none"/>
        </w:rPr>
        <w:t>法定代表人及委托代理人身份证明文件</w:t>
      </w:r>
      <w:r>
        <w:rPr>
          <w:rFonts w:hint="eastAsia" w:ascii="宋体" w:hAnsi="宋体"/>
          <w:sz w:val="24"/>
          <w:highlight w:val="none"/>
        </w:rPr>
        <w:t>并加盖投标人公章</w:t>
      </w:r>
      <w:r>
        <w:rPr>
          <w:color w:val="000000"/>
          <w:sz w:val="24"/>
          <w:szCs w:val="20"/>
          <w:highlight w:val="none"/>
        </w:rPr>
        <w:t>：</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pPr>
              <w:keepNext w:val="0"/>
              <w:keepLines w:val="0"/>
              <w:suppressLineNumbers w:val="0"/>
              <w:tabs>
                <w:tab w:val="left" w:pos="5580"/>
              </w:tabs>
              <w:spacing w:before="0" w:beforeAutospacing="0" w:after="0" w:afterAutospacing="0" w:line="360" w:lineRule="auto"/>
              <w:ind w:left="0" w:right="0"/>
              <w:rPr>
                <w:rFonts w:hint="default"/>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4.供应商应随本《授权委托书》同时提供法定代表人（单位负责人）及委托代理人的有效的身份证、护照等身份证明文件</w:t>
      </w:r>
      <w:r>
        <w:rPr>
          <w:rFonts w:hint="eastAsia" w:ascii="宋体" w:hAnsi="宋体"/>
          <w:sz w:val="24"/>
          <w:highlight w:val="none"/>
        </w:rPr>
        <w:t>并加盖投标人公章</w:t>
      </w:r>
      <w:r>
        <w:rPr>
          <w:color w:val="000000"/>
          <w:sz w:val="24"/>
          <w:szCs w:val="20"/>
          <w:highlight w:val="none"/>
        </w:rPr>
        <w:t>。提供身份证的，应同时提供身份证</w:t>
      </w:r>
      <w:r>
        <w:rPr>
          <w:rFonts w:ascii="宋体" w:hAnsi="宋体"/>
          <w:b/>
          <w:sz w:val="24"/>
          <w:szCs w:val="20"/>
          <w:highlight w:val="none"/>
        </w:rPr>
        <w:t>正反面</w:t>
      </w:r>
      <w:r>
        <w:rPr>
          <w:color w:val="000000"/>
          <w:sz w:val="24"/>
          <w:szCs w:val="20"/>
          <w:highlight w:val="none"/>
        </w:rPr>
        <w:t>。</w:t>
      </w:r>
      <w:r>
        <w:rPr>
          <w:color w:val="000000"/>
          <w:sz w:val="30"/>
          <w:szCs w:val="30"/>
          <w:highlight w:val="none"/>
        </w:rPr>
        <w:br w:type="page"/>
      </w:r>
    </w:p>
    <w:p>
      <w:pPr>
        <w:spacing w:line="360" w:lineRule="exact"/>
        <w:jc w:val="center"/>
        <w:rPr>
          <w:b/>
          <w:color w:val="000000"/>
          <w:sz w:val="36"/>
          <w:szCs w:val="36"/>
          <w:highlight w:val="none"/>
        </w:rPr>
      </w:pPr>
      <w:r>
        <w:rPr>
          <w:b/>
          <w:color w:val="000000"/>
          <w:sz w:val="36"/>
          <w:szCs w:val="36"/>
          <w:highlight w:val="none"/>
        </w:rPr>
        <w:t>法定代表人（单位负责人）身份证明</w:t>
      </w:r>
    </w:p>
    <w:p>
      <w:pPr>
        <w:kinsoku w:val="0"/>
        <w:overflowPunct w:val="0"/>
        <w:spacing w:line="200" w:lineRule="exact"/>
        <w:rPr>
          <w:sz w:val="20"/>
          <w:szCs w:val="20"/>
          <w:highlight w:val="none"/>
        </w:rPr>
      </w:pP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kinsoku w:val="0"/>
        <w:overflowPunct w:val="0"/>
        <w:spacing w:line="583" w:lineRule="auto"/>
        <w:ind w:right="-46"/>
        <w:rPr>
          <w:color w:val="000000"/>
          <w:szCs w:val="20"/>
          <w:highlight w:val="none"/>
        </w:rPr>
      </w:pPr>
      <w:r>
        <w:rPr>
          <w:rFonts w:hint="eastAsia"/>
          <w:color w:val="000000"/>
          <w:szCs w:val="20"/>
          <w:highlight w:val="none"/>
        </w:rPr>
        <w:t>附：</w:t>
      </w:r>
      <w:r>
        <w:rPr>
          <w:color w:val="000000"/>
          <w:szCs w:val="20"/>
          <w:highlight w:val="none"/>
        </w:rPr>
        <w:t>法定代表人</w:t>
      </w:r>
      <w:r>
        <w:rPr>
          <w:rFonts w:hint="eastAsia"/>
          <w:color w:val="000000"/>
          <w:szCs w:val="20"/>
          <w:highlight w:val="none"/>
        </w:rPr>
        <w:t>（单位负责人）</w:t>
      </w:r>
      <w:r>
        <w:rPr>
          <w:color w:val="000000"/>
          <w:szCs w:val="20"/>
          <w:highlight w:val="none"/>
        </w:rPr>
        <w:t>身份证、护照等身份证明文件</w:t>
      </w:r>
      <w:r>
        <w:rPr>
          <w:rFonts w:hint="eastAsia" w:ascii="宋体" w:hAnsi="宋体"/>
          <w:sz w:val="24"/>
          <w:highlight w:val="none"/>
        </w:rPr>
        <w:t>并加盖投标人公章</w:t>
      </w:r>
      <w:r>
        <w:rPr>
          <w:color w:val="000000"/>
          <w:szCs w:val="20"/>
          <w:highlight w:val="none"/>
        </w:rPr>
        <w:t>：</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8"/>
              <w:keepNext w:val="0"/>
              <w:keepLines w:val="0"/>
              <w:suppressLineNumbers w:val="0"/>
              <w:kinsoku w:val="0"/>
              <w:overflowPunct w:val="0"/>
              <w:spacing w:beforeAutospacing="0" w:after="0" w:afterAutospacing="0" w:line="583" w:lineRule="auto"/>
              <w:ind w:left="0" w:right="-46"/>
              <w:rPr>
                <w:rFonts w:hint="default"/>
                <w:color w:val="000000"/>
                <w:szCs w:val="20"/>
                <w:highlight w:val="none"/>
              </w:rPr>
            </w:pPr>
          </w:p>
        </w:tc>
      </w:tr>
    </w:tbl>
    <w:p>
      <w:pPr>
        <w:pStyle w:val="18"/>
        <w:kinsoku w:val="0"/>
        <w:overflowPunct w:val="0"/>
        <w:spacing w:line="583" w:lineRule="auto"/>
        <w:ind w:right="4305"/>
        <w:rPr>
          <w:rFonts w:ascii="Times New Roman" w:hAnsi="Times New Roman"/>
          <w:spacing w:val="-3"/>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pStyle w:val="18"/>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w:t>
      </w:r>
      <w:r>
        <w:rPr>
          <w:rFonts w:hint="eastAsia" w:ascii="Times New Roman" w:hAnsi="Times New Roman"/>
          <w:spacing w:val="-3"/>
          <w:highlight w:val="none"/>
        </w:rPr>
        <w:t>签字或盖章</w:t>
      </w:r>
      <w:r>
        <w:rPr>
          <w:rFonts w:ascii="Times New Roman" w:hAnsi="Times New Roman"/>
          <w:spacing w:val="-3"/>
          <w:highlight w:val="none"/>
        </w:rPr>
        <w:t>）：_______</w:t>
      </w:r>
    </w:p>
    <w:p>
      <w:pPr>
        <w:autoSpaceDE w:val="0"/>
        <w:autoSpaceDN w:val="0"/>
        <w:adjustRightInd w:val="0"/>
        <w:snapToGrid w:val="0"/>
        <w:spacing w:line="360" w:lineRule="auto"/>
        <w:rPr>
          <w:color w:val="000000"/>
          <w:sz w:val="24"/>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widowControl/>
        <w:jc w:val="left"/>
        <w:rPr>
          <w:i/>
          <w:color w:val="000000"/>
          <w:sz w:val="24"/>
          <w:szCs w:val="20"/>
          <w:highlight w:val="none"/>
          <w:u w:val="single"/>
        </w:rPr>
      </w:pPr>
    </w:p>
    <w:p>
      <w:pPr>
        <w:widowControl/>
        <w:jc w:val="left"/>
        <w:rPr>
          <w:color w:val="000000"/>
          <w:sz w:val="24"/>
          <w:szCs w:val="20"/>
          <w:highlight w:val="none"/>
        </w:rPr>
      </w:pPr>
      <w:r>
        <w:rPr>
          <w:color w:val="000000"/>
          <w:sz w:val="24"/>
          <w:szCs w:val="20"/>
          <w:highlight w:val="none"/>
        </w:rPr>
        <w:br w:type="page"/>
      </w:r>
    </w:p>
    <w:p>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t>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color w:val="000000"/>
          <w:sz w:val="24"/>
          <w:szCs w:val="20"/>
          <w:highlight w:val="none"/>
        </w:rPr>
        <w:t>（实质性格式）</w:t>
      </w:r>
    </w:p>
    <w:p>
      <w:pPr>
        <w:spacing w:line="360" w:lineRule="exact"/>
        <w:jc w:val="center"/>
        <w:rPr>
          <w:b/>
          <w:color w:val="000000"/>
          <w:sz w:val="36"/>
          <w:szCs w:val="36"/>
          <w:highlight w:val="none"/>
        </w:rPr>
      </w:pPr>
      <w:bookmarkStart w:id="858" w:name="_Toc195842923"/>
      <w:bookmarkStart w:id="859" w:name="_Toc264969248"/>
      <w:bookmarkStart w:id="860" w:name="_Toc265228396"/>
      <w:bookmarkStart w:id="861" w:name="_Toc226965831"/>
      <w:bookmarkStart w:id="862" w:name="_Toc164608672"/>
      <w:bookmarkStart w:id="863" w:name="_Toc164608827"/>
      <w:bookmarkStart w:id="864" w:name="_Toc226337254"/>
      <w:bookmarkStart w:id="865" w:name="_Toc305158826"/>
      <w:bookmarkStart w:id="866" w:name="_Toc305158900"/>
      <w:bookmarkStart w:id="867" w:name="_Toc226309802"/>
      <w:bookmarkStart w:id="868" w:name="_Toc226965748"/>
      <w:r>
        <w:rPr>
          <w:b/>
          <w:color w:val="000000"/>
          <w:sz w:val="36"/>
          <w:szCs w:val="36"/>
          <w:highlight w:val="none"/>
        </w:rPr>
        <w:t>开标一览表</w:t>
      </w:r>
      <w:bookmarkEnd w:id="858"/>
      <w:bookmarkEnd w:id="859"/>
      <w:bookmarkEnd w:id="860"/>
      <w:bookmarkEnd w:id="861"/>
      <w:bookmarkEnd w:id="862"/>
      <w:bookmarkEnd w:id="863"/>
      <w:bookmarkEnd w:id="864"/>
      <w:bookmarkEnd w:id="865"/>
      <w:bookmarkEnd w:id="866"/>
      <w:bookmarkEnd w:id="867"/>
      <w:bookmarkEnd w:id="868"/>
    </w:p>
    <w:p>
      <w:pPr>
        <w:tabs>
          <w:tab w:val="left" w:pos="1800"/>
          <w:tab w:val="left" w:pos="5580"/>
        </w:tabs>
        <w:spacing w:line="360" w:lineRule="auto"/>
        <w:ind w:firstLine="240" w:firstLineChars="100"/>
        <w:jc w:val="left"/>
        <w:rPr>
          <w:color w:val="000000"/>
          <w:sz w:val="24"/>
          <w:highlight w:val="none"/>
        </w:rPr>
      </w:pPr>
    </w:p>
    <w:p>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pPr>
              <w:keepNext w:val="0"/>
              <w:keepLines w:val="0"/>
              <w:suppressLineNumbers w:val="0"/>
              <w:tabs>
                <w:tab w:val="left" w:pos="5580"/>
              </w:tabs>
              <w:spacing w:before="0" w:beforeAutospacing="0" w:after="0" w:afterAutospacing="0"/>
              <w:ind w:left="0" w:right="0"/>
              <w:jc w:val="center"/>
              <w:rPr>
                <w:rFonts w:hint="default"/>
                <w:b/>
                <w:sz w:val="24"/>
                <w:highlight w:val="none"/>
              </w:rPr>
            </w:pPr>
            <w:r>
              <w:rPr>
                <w:rFonts w:hint="default"/>
                <w:b/>
                <w:sz w:val="24"/>
                <w:highlight w:val="none"/>
              </w:rPr>
              <w:t>包号</w:t>
            </w:r>
          </w:p>
        </w:tc>
        <w:tc>
          <w:tcPr>
            <w:tcW w:w="2215" w:type="pct"/>
            <w:vMerge w:val="restart"/>
            <w:vAlign w:val="center"/>
          </w:tcPr>
          <w:p>
            <w:pPr>
              <w:keepNext w:val="0"/>
              <w:keepLines w:val="0"/>
              <w:suppressLineNumbers w:val="0"/>
              <w:tabs>
                <w:tab w:val="left" w:pos="5580"/>
              </w:tabs>
              <w:spacing w:before="0" w:beforeAutospacing="0" w:after="0" w:afterAutospacing="0"/>
              <w:ind w:left="0" w:right="0"/>
              <w:jc w:val="center"/>
              <w:rPr>
                <w:rFonts w:hint="default"/>
                <w:b/>
                <w:sz w:val="24"/>
                <w:highlight w:val="none"/>
              </w:rPr>
            </w:pPr>
            <w:r>
              <w:rPr>
                <w:rFonts w:hint="default"/>
                <w:b/>
                <w:sz w:val="24"/>
                <w:highlight w:val="none"/>
              </w:rPr>
              <w:t>投标人名称</w:t>
            </w:r>
          </w:p>
        </w:tc>
        <w:tc>
          <w:tcPr>
            <w:tcW w:w="2373" w:type="pct"/>
            <w:gridSpan w:val="2"/>
            <w:vAlign w:val="center"/>
          </w:tcPr>
          <w:p>
            <w:pPr>
              <w:keepNext w:val="0"/>
              <w:keepLines w:val="0"/>
              <w:suppressLineNumbers w:val="0"/>
              <w:tabs>
                <w:tab w:val="left" w:pos="5580"/>
              </w:tabs>
              <w:spacing w:before="0" w:beforeAutospacing="0" w:after="0" w:afterAutospacing="0"/>
              <w:ind w:left="0" w:right="0"/>
              <w:jc w:val="center"/>
              <w:rPr>
                <w:rFonts w:hint="default"/>
                <w:b/>
                <w:sz w:val="24"/>
                <w:highlight w:val="none"/>
              </w:rPr>
            </w:pPr>
            <w:r>
              <w:rPr>
                <w:rFonts w:hint="default"/>
                <w:b/>
                <w:sz w:val="24"/>
                <w:highlight w:val="none"/>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pPr>
              <w:keepNext w:val="0"/>
              <w:keepLines w:val="0"/>
              <w:suppressLineNumbers w:val="0"/>
              <w:tabs>
                <w:tab w:val="left" w:pos="5580"/>
              </w:tabs>
              <w:spacing w:before="0" w:beforeAutospacing="0" w:after="0" w:afterAutospacing="0"/>
              <w:ind w:left="0" w:right="0"/>
              <w:jc w:val="center"/>
              <w:rPr>
                <w:rFonts w:hint="default"/>
                <w:sz w:val="24"/>
                <w:highlight w:val="none"/>
              </w:rPr>
            </w:pPr>
          </w:p>
        </w:tc>
        <w:tc>
          <w:tcPr>
            <w:tcW w:w="2215" w:type="pct"/>
            <w:vMerge w:val="continue"/>
            <w:vAlign w:val="center"/>
          </w:tcPr>
          <w:p>
            <w:pPr>
              <w:keepNext w:val="0"/>
              <w:keepLines w:val="0"/>
              <w:suppressLineNumbers w:val="0"/>
              <w:tabs>
                <w:tab w:val="left" w:pos="5580"/>
              </w:tabs>
              <w:spacing w:before="0" w:beforeAutospacing="0" w:after="0" w:afterAutospacing="0"/>
              <w:ind w:left="0" w:right="0"/>
              <w:jc w:val="center"/>
              <w:rPr>
                <w:rFonts w:hint="default"/>
                <w:sz w:val="24"/>
                <w:highlight w:val="none"/>
              </w:rPr>
            </w:pPr>
          </w:p>
        </w:tc>
        <w:tc>
          <w:tcPr>
            <w:tcW w:w="1188" w:type="pct"/>
            <w:vAlign w:val="center"/>
          </w:tcPr>
          <w:p>
            <w:pPr>
              <w:keepNext w:val="0"/>
              <w:keepLines w:val="0"/>
              <w:suppressLineNumbers w:val="0"/>
              <w:tabs>
                <w:tab w:val="left" w:pos="5580"/>
              </w:tabs>
              <w:spacing w:before="0" w:beforeAutospacing="0" w:after="0" w:afterAutospacing="0"/>
              <w:ind w:left="0" w:right="0"/>
              <w:jc w:val="center"/>
              <w:rPr>
                <w:rFonts w:hint="default"/>
                <w:b/>
                <w:sz w:val="24"/>
                <w:highlight w:val="none"/>
              </w:rPr>
            </w:pPr>
            <w:r>
              <w:rPr>
                <w:rFonts w:hint="default"/>
                <w:b/>
                <w:sz w:val="24"/>
                <w:highlight w:val="none"/>
              </w:rPr>
              <w:t>大写</w:t>
            </w:r>
          </w:p>
        </w:tc>
        <w:tc>
          <w:tcPr>
            <w:tcW w:w="1182" w:type="pct"/>
            <w:vAlign w:val="center"/>
          </w:tcPr>
          <w:p>
            <w:pPr>
              <w:keepNext w:val="0"/>
              <w:keepLines w:val="0"/>
              <w:suppressLineNumbers w:val="0"/>
              <w:tabs>
                <w:tab w:val="left" w:pos="5580"/>
              </w:tabs>
              <w:spacing w:before="0" w:beforeAutospacing="0" w:after="0" w:afterAutospacing="0"/>
              <w:ind w:left="0" w:right="0"/>
              <w:jc w:val="center"/>
              <w:rPr>
                <w:rFonts w:hint="default"/>
                <w:b/>
                <w:sz w:val="24"/>
                <w:highlight w:val="none"/>
              </w:rPr>
            </w:pPr>
            <w:r>
              <w:rPr>
                <w:rFonts w:hint="default"/>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pPr>
              <w:keepNext w:val="0"/>
              <w:keepLines w:val="0"/>
              <w:suppressLineNumbers w:val="0"/>
              <w:tabs>
                <w:tab w:val="left" w:pos="5580"/>
              </w:tabs>
              <w:spacing w:before="0" w:beforeAutospacing="0" w:after="0" w:afterAutospacing="0"/>
              <w:ind w:left="0" w:right="0"/>
              <w:jc w:val="center"/>
              <w:rPr>
                <w:rFonts w:hint="default"/>
                <w:sz w:val="24"/>
                <w:highlight w:val="none"/>
              </w:rPr>
            </w:pPr>
          </w:p>
        </w:tc>
        <w:tc>
          <w:tcPr>
            <w:tcW w:w="2215" w:type="pct"/>
            <w:vAlign w:val="center"/>
          </w:tcPr>
          <w:p>
            <w:pPr>
              <w:keepNext w:val="0"/>
              <w:keepLines w:val="0"/>
              <w:suppressLineNumbers w:val="0"/>
              <w:tabs>
                <w:tab w:val="left" w:pos="5580"/>
              </w:tabs>
              <w:spacing w:before="0" w:beforeAutospacing="0" w:after="0" w:afterAutospacing="0"/>
              <w:ind w:left="0" w:right="0"/>
              <w:jc w:val="center"/>
              <w:rPr>
                <w:rFonts w:hint="default"/>
                <w:sz w:val="24"/>
                <w:highlight w:val="none"/>
              </w:rPr>
            </w:pPr>
          </w:p>
        </w:tc>
        <w:tc>
          <w:tcPr>
            <w:tcW w:w="1188" w:type="pct"/>
            <w:vAlign w:val="center"/>
          </w:tcPr>
          <w:p>
            <w:pPr>
              <w:keepNext w:val="0"/>
              <w:keepLines w:val="0"/>
              <w:suppressLineNumbers w:val="0"/>
              <w:tabs>
                <w:tab w:val="left" w:pos="5580"/>
              </w:tabs>
              <w:spacing w:before="0" w:beforeAutospacing="0" w:after="0" w:afterAutospacing="0"/>
              <w:ind w:left="0" w:right="0"/>
              <w:jc w:val="center"/>
              <w:rPr>
                <w:rFonts w:hint="default"/>
                <w:sz w:val="24"/>
                <w:highlight w:val="none"/>
              </w:rPr>
            </w:pPr>
          </w:p>
        </w:tc>
        <w:tc>
          <w:tcPr>
            <w:tcW w:w="1182" w:type="pct"/>
            <w:vAlign w:val="center"/>
          </w:tcPr>
          <w:p>
            <w:pPr>
              <w:keepNext w:val="0"/>
              <w:keepLines w:val="0"/>
              <w:suppressLineNumbers w:val="0"/>
              <w:tabs>
                <w:tab w:val="left" w:pos="5580"/>
              </w:tabs>
              <w:spacing w:before="0" w:beforeAutospacing="0" w:after="0" w:afterAutospacing="0"/>
              <w:ind w:left="0" w:right="0"/>
              <w:jc w:val="center"/>
              <w:rPr>
                <w:rFonts w:hint="default"/>
                <w:sz w:val="24"/>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widowControl/>
        <w:jc w:val="left"/>
        <w:rPr>
          <w:color w:val="000000"/>
          <w:sz w:val="24"/>
          <w:szCs w:val="20"/>
          <w:highlight w:val="none"/>
        </w:rPr>
      </w:pPr>
      <w:bookmarkStart w:id="869" w:name="_Toc226309803"/>
      <w:bookmarkStart w:id="870" w:name="_Toc226965832"/>
      <w:bookmarkStart w:id="871" w:name="_Toc142311060"/>
      <w:bookmarkStart w:id="872" w:name="_Toc226337255"/>
      <w:bookmarkStart w:id="873" w:name="_Toc226965749"/>
      <w:bookmarkStart w:id="874" w:name="_Toc305158901"/>
      <w:bookmarkStart w:id="875" w:name="_Toc265228397"/>
      <w:bookmarkStart w:id="876" w:name="_Toc150774763"/>
      <w:bookmarkStart w:id="877" w:name="_Toc127151558"/>
      <w:bookmarkStart w:id="878" w:name="_Toc150480796"/>
      <w:bookmarkStart w:id="879" w:name="_Toc305158827"/>
      <w:bookmarkStart w:id="880" w:name="_Toc264969249"/>
      <w:bookmarkStart w:id="881" w:name="_Toc195842924"/>
    </w:p>
    <w:p>
      <w:pPr>
        <w:widowControl/>
        <w:jc w:val="left"/>
        <w:rPr>
          <w:color w:val="000000"/>
          <w:sz w:val="24"/>
          <w:szCs w:val="20"/>
          <w:highlight w:val="none"/>
        </w:rPr>
      </w:pPr>
    </w:p>
    <w:p>
      <w:pPr>
        <w:numPr>
          <w:ilvl w:val="0"/>
          <w:numId w:val="22"/>
        </w:numPr>
        <w:tabs>
          <w:tab w:val="left" w:pos="360"/>
        </w:tabs>
        <w:snapToGrid w:val="0"/>
        <w:spacing w:line="360" w:lineRule="auto"/>
        <w:outlineLvl w:val="1"/>
        <w:rPr>
          <w:color w:val="000000"/>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t>投标分项报价表</w:t>
      </w:r>
      <w:bookmarkEnd w:id="869"/>
      <w:bookmarkEnd w:id="870"/>
      <w:bookmarkEnd w:id="871"/>
      <w:bookmarkEnd w:id="872"/>
      <w:bookmarkEnd w:id="873"/>
      <w:bookmarkEnd w:id="874"/>
      <w:bookmarkEnd w:id="875"/>
      <w:bookmarkEnd w:id="876"/>
      <w:bookmarkEnd w:id="877"/>
      <w:bookmarkEnd w:id="878"/>
      <w:bookmarkEnd w:id="879"/>
      <w:bookmarkEnd w:id="880"/>
      <w:bookmarkEnd w:id="881"/>
      <w:r>
        <w:rPr>
          <w:color w:val="000000"/>
          <w:sz w:val="24"/>
          <w:szCs w:val="20"/>
          <w:highlight w:val="none"/>
        </w:rPr>
        <w:t>（实质性格式）</w:t>
      </w:r>
    </w:p>
    <w:p>
      <w:pPr>
        <w:tabs>
          <w:tab w:val="left" w:pos="1800"/>
          <w:tab w:val="left" w:pos="5580"/>
        </w:tabs>
        <w:rPr>
          <w:color w:val="000000"/>
          <w:sz w:val="24"/>
          <w:highlight w:val="none"/>
        </w:rPr>
      </w:pPr>
      <w:r>
        <w:rPr>
          <w:color w:val="000000"/>
          <w:sz w:val="24"/>
          <w:highlight w:val="none"/>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000000"/>
                <w:sz w:val="24"/>
                <w:highlight w:val="none"/>
              </w:rPr>
            </w:pPr>
            <w:r>
              <w:rPr>
                <w:rFonts w:hint="default"/>
                <w:b/>
                <w:color w:val="000000"/>
                <w:sz w:val="24"/>
                <w:highlight w:val="none"/>
              </w:rPr>
              <w:t>序号</w:t>
            </w:r>
          </w:p>
        </w:tc>
        <w:tc>
          <w:tcPr>
            <w:tcW w:w="1605"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000000"/>
                <w:sz w:val="24"/>
                <w:highlight w:val="none"/>
              </w:rPr>
            </w:pPr>
            <w:r>
              <w:rPr>
                <w:rFonts w:hint="default"/>
                <w:b/>
                <w:color w:val="000000"/>
                <w:sz w:val="24"/>
                <w:highlight w:val="none"/>
              </w:rPr>
              <w:t>分项名称</w:t>
            </w:r>
          </w:p>
        </w:tc>
        <w:tc>
          <w:tcPr>
            <w:tcW w:w="736"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000000"/>
                <w:sz w:val="24"/>
                <w:highlight w:val="none"/>
              </w:rPr>
            </w:pPr>
            <w:r>
              <w:rPr>
                <w:rFonts w:hint="default"/>
                <w:b/>
                <w:color w:val="000000"/>
                <w:sz w:val="24"/>
                <w:highlight w:val="none"/>
              </w:rPr>
              <w:t>单价（元）</w:t>
            </w:r>
          </w:p>
        </w:tc>
        <w:tc>
          <w:tcPr>
            <w:tcW w:w="659" w:type="pct"/>
            <w:vAlign w:val="center"/>
          </w:tcPr>
          <w:p>
            <w:pPr>
              <w:keepNext w:val="0"/>
              <w:keepLines w:val="0"/>
              <w:suppressLineNumbers w:val="0"/>
              <w:adjustRightInd w:val="0"/>
              <w:snapToGrid w:val="0"/>
              <w:spacing w:before="0" w:beforeAutospacing="0" w:after="0" w:afterAutospacing="0"/>
              <w:ind w:left="0" w:right="0"/>
              <w:jc w:val="center"/>
              <w:rPr>
                <w:rFonts w:hint="default"/>
                <w:b/>
                <w:color w:val="000000"/>
                <w:sz w:val="24"/>
                <w:highlight w:val="none"/>
              </w:rPr>
            </w:pPr>
            <w:r>
              <w:rPr>
                <w:rFonts w:hint="default"/>
                <w:b/>
                <w:color w:val="000000"/>
                <w:sz w:val="24"/>
                <w:highlight w:val="none"/>
              </w:rPr>
              <w:t>数量</w:t>
            </w:r>
          </w:p>
        </w:tc>
        <w:tc>
          <w:tcPr>
            <w:tcW w:w="735"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000000"/>
                <w:sz w:val="24"/>
                <w:highlight w:val="none"/>
              </w:rPr>
            </w:pPr>
            <w:r>
              <w:rPr>
                <w:rFonts w:hint="default"/>
                <w:b/>
                <w:color w:val="000000"/>
                <w:sz w:val="24"/>
                <w:highlight w:val="none"/>
              </w:rPr>
              <w:t>合价（元）</w:t>
            </w:r>
          </w:p>
        </w:tc>
        <w:tc>
          <w:tcPr>
            <w:tcW w:w="933" w:type="pct"/>
            <w:vAlign w:val="center"/>
          </w:tcPr>
          <w:p>
            <w:pPr>
              <w:keepNext w:val="0"/>
              <w:keepLines w:val="0"/>
              <w:suppressLineNumbers w:val="0"/>
              <w:adjustRightInd w:val="0"/>
              <w:snapToGrid w:val="0"/>
              <w:spacing w:before="0" w:beforeAutospacing="0" w:after="0" w:afterAutospacing="0"/>
              <w:ind w:left="0" w:right="0"/>
              <w:jc w:val="left"/>
              <w:rPr>
                <w:rFonts w:hint="default"/>
                <w:b/>
                <w:color w:val="000000"/>
                <w:sz w:val="24"/>
                <w:highlight w:val="none"/>
              </w:rPr>
            </w:pPr>
            <w:r>
              <w:rPr>
                <w:rFonts w:hint="default"/>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1</w:t>
            </w:r>
          </w:p>
        </w:tc>
        <w:tc>
          <w:tcPr>
            <w:tcW w:w="160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736"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659"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73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933"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2</w:t>
            </w:r>
          </w:p>
        </w:tc>
        <w:tc>
          <w:tcPr>
            <w:tcW w:w="160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736"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659"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73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933"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3</w:t>
            </w:r>
          </w:p>
        </w:tc>
        <w:tc>
          <w:tcPr>
            <w:tcW w:w="160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r>
              <w:rPr>
                <w:rFonts w:hint="default"/>
                <w:color w:val="000000"/>
                <w:sz w:val="24"/>
                <w:highlight w:val="none"/>
              </w:rPr>
              <w:t>…</w:t>
            </w:r>
          </w:p>
        </w:tc>
        <w:tc>
          <w:tcPr>
            <w:tcW w:w="736"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659" w:type="pct"/>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73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933"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pPr>
              <w:keepNext w:val="0"/>
              <w:keepLines w:val="0"/>
              <w:suppressLineNumbers w:val="0"/>
              <w:adjustRightInd w:val="0"/>
              <w:snapToGrid w:val="0"/>
              <w:spacing w:before="0" w:beforeAutospacing="0" w:after="0" w:afterAutospacing="0"/>
              <w:ind w:left="0" w:right="0"/>
              <w:jc w:val="right"/>
              <w:rPr>
                <w:rFonts w:hint="default"/>
                <w:color w:val="000000"/>
                <w:sz w:val="24"/>
                <w:highlight w:val="none"/>
              </w:rPr>
            </w:pPr>
            <w:r>
              <w:rPr>
                <w:rFonts w:hint="default"/>
                <w:b/>
                <w:color w:val="000000"/>
                <w:sz w:val="24"/>
                <w:highlight w:val="none"/>
              </w:rPr>
              <w:t>总价（元）</w:t>
            </w:r>
          </w:p>
        </w:tc>
        <w:tc>
          <w:tcPr>
            <w:tcW w:w="735"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c>
          <w:tcPr>
            <w:tcW w:w="933" w:type="pct"/>
            <w:vAlign w:val="center"/>
          </w:tcPr>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2"/>
        </w:numPr>
        <w:tabs>
          <w:tab w:val="left" w:pos="360"/>
        </w:tabs>
        <w:snapToGrid w:val="0"/>
        <w:spacing w:line="360" w:lineRule="auto"/>
        <w:outlineLvl w:val="1"/>
        <w:rPr>
          <w:color w:val="000000"/>
          <w:sz w:val="24"/>
          <w:szCs w:val="20"/>
          <w:highlight w:val="none"/>
        </w:rPr>
      </w:pPr>
      <w:bookmarkStart w:id="882" w:name="_Toc305158904"/>
      <w:bookmarkStart w:id="883" w:name="_Toc195842927"/>
      <w:bookmarkStart w:id="884" w:name="_Toc264969252"/>
      <w:bookmarkStart w:id="885" w:name="_Toc226965752"/>
      <w:bookmarkStart w:id="886" w:name="_Toc127151562"/>
      <w:bookmarkStart w:id="887" w:name="_Toc142311062"/>
      <w:bookmarkStart w:id="888" w:name="_Toc265228400"/>
      <w:bookmarkStart w:id="889" w:name="_Toc150480798"/>
      <w:bookmarkStart w:id="890" w:name="_Toc226309806"/>
      <w:bookmarkStart w:id="891" w:name="_Toc305158830"/>
      <w:bookmarkStart w:id="892" w:name="_Toc150774765"/>
      <w:bookmarkStart w:id="893" w:name="_Toc226337258"/>
      <w:bookmarkStart w:id="894" w:name="_Toc226965835"/>
      <w:bookmarkStart w:id="895" w:name="_Toc150480797"/>
      <w:bookmarkStart w:id="896" w:name="_Toc195842926"/>
      <w:bookmarkStart w:id="897" w:name="_Toc142311061"/>
      <w:bookmarkStart w:id="898" w:name="_Toc265228399"/>
      <w:bookmarkStart w:id="899" w:name="_Toc226965834"/>
      <w:bookmarkStart w:id="900" w:name="_Toc226965751"/>
      <w:bookmarkStart w:id="901" w:name="_Toc226337257"/>
      <w:bookmarkStart w:id="902" w:name="_Toc264969251"/>
      <w:bookmarkStart w:id="903" w:name="_Toc127151561"/>
      <w:bookmarkStart w:id="904" w:name="_Toc305158903"/>
      <w:bookmarkStart w:id="905" w:name="_Toc150774764"/>
      <w:bookmarkStart w:id="906" w:name="_Toc305158829"/>
      <w:bookmarkStart w:id="907" w:name="_Toc226309805"/>
      <w:r>
        <w:rPr>
          <w:color w:val="000000"/>
          <w:sz w:val="24"/>
          <w:szCs w:val="20"/>
          <w:highlight w:val="none"/>
        </w:rPr>
        <w:br w:type="page"/>
      </w:r>
      <w:r>
        <w:rPr>
          <w:color w:val="000000"/>
          <w:sz w:val="24"/>
          <w:szCs w:val="20"/>
          <w:highlight w:val="none"/>
        </w:rPr>
        <w:t>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Pr>
          <w:color w:val="000000"/>
          <w:sz w:val="24"/>
          <w:szCs w:val="20"/>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center"/>
        <w:rPr>
          <w:b/>
          <w:color w:val="000000"/>
          <w:sz w:val="36"/>
          <w:szCs w:val="36"/>
          <w:highlight w:val="none"/>
        </w:rPr>
      </w:pPr>
      <w:r>
        <w:rPr>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6"/>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bookmarkStart w:id="908" w:name="_Hlk144279231"/>
            <w:r>
              <w:rPr>
                <w:rFonts w:hint="default"/>
                <w:color w:val="000000"/>
                <w:sz w:val="24"/>
                <w:highlight w:val="none"/>
              </w:rPr>
              <w:t>序号</w:t>
            </w:r>
          </w:p>
        </w:tc>
        <w:tc>
          <w:tcPr>
            <w:tcW w:w="164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szCs w:val="21"/>
                <w:highlight w:val="none"/>
              </w:rPr>
              <w:t>招标文件</w:t>
            </w:r>
            <w:r>
              <w:rPr>
                <w:rFonts w:hint="default"/>
                <w:color w:val="000000"/>
                <w:sz w:val="24"/>
                <w:highlight w:val="none"/>
              </w:rPr>
              <w:t>条目号（页码）</w:t>
            </w: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szCs w:val="21"/>
                <w:highlight w:val="none"/>
              </w:rPr>
              <w:t>招标文件</w:t>
            </w:r>
            <w:r>
              <w:rPr>
                <w:rFonts w:hint="default"/>
                <w:color w:val="000000"/>
                <w:sz w:val="24"/>
                <w:highlight w:val="none"/>
              </w:rPr>
              <w:t>要求</w:t>
            </w: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投标文件内容</w:t>
            </w:r>
          </w:p>
        </w:tc>
        <w:tc>
          <w:tcPr>
            <w:tcW w:w="192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偏离情况</w:t>
            </w:r>
          </w:p>
        </w:tc>
        <w:tc>
          <w:tcPr>
            <w:tcW w:w="104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keepNext w:val="0"/>
              <w:keepLines w:val="0"/>
              <w:suppressLineNumbers w:val="0"/>
              <w:adjustRightInd w:val="0"/>
              <w:snapToGrid w:val="0"/>
              <w:spacing w:before="0" w:beforeAutospacing="0" w:after="0" w:afterAutospacing="0"/>
              <w:ind w:left="0" w:right="0"/>
              <w:jc w:val="left"/>
              <w:rPr>
                <w:rFonts w:hint="default"/>
                <w:bCs/>
                <w:color w:val="000000"/>
                <w:sz w:val="24"/>
                <w:highlight w:val="none"/>
              </w:rPr>
            </w:pPr>
            <w:r>
              <w:rPr>
                <w:rFonts w:hint="default"/>
                <w:b/>
                <w:color w:val="000000"/>
                <w:sz w:val="24"/>
                <w:highlight w:val="none"/>
              </w:rPr>
              <w:t>对本项目合同条款的偏离情况</w:t>
            </w:r>
            <w:r>
              <w:rPr>
                <w:rFonts w:hint="default"/>
                <w:bCs/>
                <w:color w:val="000000"/>
                <w:sz w:val="24"/>
                <w:highlight w:val="none"/>
              </w:rPr>
              <w:t>（</w:t>
            </w:r>
            <w:r>
              <w:rPr>
                <w:rFonts w:hint="eastAsia"/>
                <w:bCs/>
                <w:color w:val="000000"/>
                <w:sz w:val="24"/>
                <w:highlight w:val="none"/>
              </w:rPr>
              <w:t>应</w:t>
            </w:r>
            <w:r>
              <w:rPr>
                <w:rFonts w:hint="default"/>
                <w:bCs/>
                <w:color w:val="000000"/>
                <w:sz w:val="24"/>
                <w:highlight w:val="none"/>
              </w:rPr>
              <w:t>进行选择</w:t>
            </w:r>
            <w:r>
              <w:rPr>
                <w:rFonts w:hint="eastAsia"/>
                <w:bCs/>
                <w:color w:val="000000"/>
                <w:sz w:val="24"/>
                <w:highlight w:val="none"/>
              </w:rPr>
              <w:t>，未选择</w:t>
            </w:r>
            <w:r>
              <w:rPr>
                <w:rFonts w:hint="eastAsia"/>
                <w:b/>
                <w:color w:val="000000"/>
                <w:sz w:val="24"/>
                <w:highlight w:val="none"/>
              </w:rPr>
              <w:t>投标无效</w:t>
            </w:r>
            <w:r>
              <w:rPr>
                <w:rFonts w:hint="default"/>
                <w:bCs/>
                <w:color w:val="000000"/>
                <w:sz w:val="24"/>
                <w:highlight w:val="none"/>
              </w:rPr>
              <w:t>）：</w:t>
            </w:r>
          </w:p>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r>
              <w:rPr>
                <w:rFonts w:hint="eastAsia"/>
                <w:b/>
                <w:color w:val="000000"/>
                <w:sz w:val="24"/>
                <w:highlight w:val="none"/>
                <w:lang w:eastAsia="zh-CN"/>
              </w:rPr>
              <w:t>□</w:t>
            </w:r>
            <w:r>
              <w:rPr>
                <w:rFonts w:hint="default"/>
                <w:b/>
                <w:color w:val="000000"/>
                <w:sz w:val="24"/>
                <w:highlight w:val="none"/>
              </w:rPr>
              <w:t>无偏离</w:t>
            </w:r>
            <w:r>
              <w:rPr>
                <w:rFonts w:hint="default"/>
                <w:color w:val="000000"/>
                <w:sz w:val="24"/>
                <w:highlight w:val="none"/>
              </w:rPr>
              <w:t>（</w:t>
            </w:r>
            <w:r>
              <w:rPr>
                <w:rFonts w:hint="default"/>
                <w:color w:val="000000"/>
                <w:sz w:val="24"/>
                <w:szCs w:val="21"/>
                <w:highlight w:val="none"/>
              </w:rPr>
              <w:t>如无偏离，仅选择无偏离即可</w:t>
            </w:r>
            <w:r>
              <w:rPr>
                <w:rFonts w:hint="eastAsia"/>
                <w:color w:val="000000"/>
                <w:sz w:val="24"/>
                <w:szCs w:val="21"/>
                <w:highlight w:val="none"/>
              </w:rPr>
              <w:t>；</w:t>
            </w:r>
            <w:r>
              <w:rPr>
                <w:rFonts w:hint="eastAsia"/>
                <w:bCs/>
                <w:color w:val="000000"/>
                <w:sz w:val="24"/>
                <w:highlight w:val="none"/>
              </w:rPr>
              <w:t>无偏离即为</w:t>
            </w:r>
            <w:r>
              <w:rPr>
                <w:rFonts w:hint="default"/>
                <w:sz w:val="24"/>
                <w:highlight w:val="none"/>
              </w:rPr>
              <w:t>对合同条款中的所有要求</w:t>
            </w:r>
            <w:r>
              <w:rPr>
                <w:rFonts w:hint="eastAsia"/>
                <w:sz w:val="24"/>
                <w:highlight w:val="none"/>
              </w:rPr>
              <w:t>，</w:t>
            </w:r>
            <w:r>
              <w:rPr>
                <w:rFonts w:hint="default"/>
                <w:sz w:val="24"/>
                <w:highlight w:val="none"/>
              </w:rPr>
              <w:t>均视作供应商已对之理解和响应。</w:t>
            </w:r>
            <w:r>
              <w:rPr>
                <w:rFonts w:hint="default"/>
                <w:color w:val="000000"/>
                <w:sz w:val="24"/>
                <w:highlight w:val="none"/>
              </w:rPr>
              <w:t>）</w:t>
            </w:r>
          </w:p>
          <w:p>
            <w:pPr>
              <w:keepNext w:val="0"/>
              <w:keepLines w:val="0"/>
              <w:suppressLineNumbers w:val="0"/>
              <w:adjustRightInd w:val="0"/>
              <w:snapToGrid w:val="0"/>
              <w:spacing w:before="0" w:beforeAutospacing="0" w:after="0" w:afterAutospacing="0"/>
              <w:ind w:left="0" w:right="0"/>
              <w:jc w:val="left"/>
              <w:rPr>
                <w:rFonts w:hint="default"/>
                <w:color w:val="000000"/>
                <w:sz w:val="24"/>
                <w:highlight w:val="none"/>
              </w:rPr>
            </w:pPr>
            <w:r>
              <w:rPr>
                <w:rFonts w:hint="eastAsia"/>
                <w:b/>
                <w:color w:val="000000"/>
                <w:sz w:val="24"/>
                <w:highlight w:val="none"/>
                <w:lang w:eastAsia="zh-CN"/>
              </w:rPr>
              <w:t>□</w:t>
            </w:r>
            <w:r>
              <w:rPr>
                <w:rFonts w:hint="default"/>
                <w:b/>
                <w:color w:val="000000"/>
                <w:sz w:val="24"/>
                <w:highlight w:val="none"/>
              </w:rPr>
              <w:t>有偏离</w:t>
            </w:r>
            <w:r>
              <w:rPr>
                <w:rFonts w:hint="default"/>
                <w:color w:val="000000"/>
                <w:sz w:val="24"/>
                <w:highlight w:val="none"/>
              </w:rPr>
              <w:t>（</w:t>
            </w:r>
            <w:r>
              <w:rPr>
                <w:rFonts w:hint="default"/>
                <w:color w:val="000000"/>
                <w:sz w:val="24"/>
                <w:szCs w:val="21"/>
                <w:highlight w:val="none"/>
              </w:rPr>
              <w:t>如有偏离，</w:t>
            </w:r>
            <w:r>
              <w:rPr>
                <w:rFonts w:hint="default"/>
                <w:color w:val="000000"/>
                <w:sz w:val="24"/>
                <w:highlight w:val="none"/>
              </w:rPr>
              <w:t>则</w:t>
            </w:r>
            <w:r>
              <w:rPr>
                <w:rFonts w:hint="eastAsia"/>
                <w:color w:val="000000"/>
                <w:sz w:val="24"/>
                <w:highlight w:val="none"/>
              </w:rPr>
              <w:t>应</w:t>
            </w:r>
            <w:r>
              <w:rPr>
                <w:rFonts w:hint="default"/>
                <w:color w:val="000000"/>
                <w:sz w:val="24"/>
                <w:highlight w:val="none"/>
              </w:rPr>
              <w:t>在本表中对偏离项逐一列明</w:t>
            </w:r>
            <w:r>
              <w:rPr>
                <w:rFonts w:hint="eastAsia"/>
                <w:color w:val="000000"/>
                <w:sz w:val="24"/>
                <w:highlight w:val="none"/>
              </w:rPr>
              <w:t>，否则</w:t>
            </w:r>
            <w:r>
              <w:rPr>
                <w:rFonts w:hint="eastAsia"/>
                <w:b/>
                <w:bCs/>
                <w:color w:val="000000"/>
                <w:sz w:val="24"/>
                <w:highlight w:val="none"/>
              </w:rPr>
              <w:t>投标无效</w:t>
            </w:r>
            <w:r>
              <w:rPr>
                <w:rFonts w:hint="default"/>
                <w:color w:val="000000"/>
                <w:sz w:val="24"/>
                <w:highlight w:val="none"/>
              </w:rPr>
              <w:t>；</w:t>
            </w:r>
            <w:r>
              <w:rPr>
                <w:rFonts w:hint="default"/>
                <w:sz w:val="24"/>
                <w:highlight w:val="none"/>
              </w:rPr>
              <w:t>对合同条款中的所有要求，除本表列明的偏离外，均视作供应商已对之理解和响应。</w:t>
            </w:r>
            <w:r>
              <w:rPr>
                <w:rFonts w:hint="default"/>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4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92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4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4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92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4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4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92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4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4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688"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92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4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bookmarkEnd w:id="908"/>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000000"/>
          <w:sz w:val="24"/>
          <w:szCs w:val="20"/>
          <w:highlight w:val="none"/>
        </w:rPr>
        <w:t>采购需求偏离表（实质性格式）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u w:val="single"/>
        </w:rPr>
      </w:pPr>
      <w:r>
        <w:rPr>
          <w:color w:val="000000"/>
          <w:sz w:val="24"/>
          <w:highlight w:val="none"/>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序号</w:t>
            </w: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招标文件条目号(页码)</w:t>
            </w: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招标文件要求</w:t>
            </w: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投标响应内容</w:t>
            </w: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偏离情况</w:t>
            </w: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r>
              <w:rPr>
                <w:rFonts w:hint="default"/>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default"/>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sz w:val="24"/>
          <w:highlight w:val="none"/>
        </w:rPr>
        <w:t>对招标文件中的所有商务、技术要求，除本表所列明的所有偏离外，均视作供应商已对之理解和响应。此表中若无任何文字说明，内容为空白的，</w:t>
      </w:r>
      <w:r>
        <w:rPr>
          <w:b/>
          <w:sz w:val="24"/>
          <w:highlight w:val="none"/>
        </w:rPr>
        <w:t>投标无效。</w:t>
      </w:r>
    </w:p>
    <w:p>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pPr>
        <w:tabs>
          <w:tab w:val="left" w:pos="1800"/>
          <w:tab w:val="left" w:pos="5580"/>
        </w:tabs>
        <w:jc w:val="left"/>
        <w:rPr>
          <w:sz w:val="24"/>
          <w:highlight w:val="none"/>
        </w:rPr>
      </w:pP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中小企业证明文件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highlight w:val="none"/>
        </w:rPr>
      </w:pPr>
      <w:r>
        <w:rPr>
          <w:b/>
          <w:bCs/>
          <w:color w:val="000000"/>
          <w:sz w:val="24"/>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pPr>
        <w:numPr>
          <w:ilvl w:val="0"/>
          <w:numId w:val="23"/>
        </w:numPr>
        <w:tabs>
          <w:tab w:val="left" w:pos="1183"/>
          <w:tab w:val="left" w:pos="1484"/>
          <w:tab w:val="left" w:pos="4662"/>
          <w:tab w:val="left" w:pos="6903"/>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pPr>
        <w:numPr>
          <w:ilvl w:val="0"/>
          <w:numId w:val="23"/>
        </w:numPr>
        <w:tabs>
          <w:tab w:val="left" w:pos="1165"/>
          <w:tab w:val="left" w:pos="1183"/>
          <w:tab w:val="left" w:pos="4362"/>
          <w:tab w:val="left" w:pos="6577"/>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pPr>
        <w:autoSpaceDE w:val="0"/>
        <w:autoSpaceDN w:val="0"/>
        <w:spacing w:line="360" w:lineRule="auto"/>
        <w:ind w:left="860"/>
        <w:jc w:val="left"/>
        <w:rPr>
          <w:kern w:val="0"/>
          <w:sz w:val="24"/>
          <w:highlight w:val="none"/>
        </w:rPr>
      </w:pPr>
      <w:r>
        <w:rPr>
          <w:kern w:val="0"/>
          <w:sz w:val="24"/>
          <w:highlight w:val="none"/>
        </w:rPr>
        <w:t>……</w:t>
      </w:r>
    </w:p>
    <w:p>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default"/>
                <w:color w:val="000000"/>
                <w:szCs w:val="21"/>
                <w:highlight w:val="none"/>
              </w:rPr>
            </w:pPr>
            <w:r>
              <w:rPr>
                <w:rFonts w:hint="default"/>
                <w:color w:val="000000"/>
                <w:szCs w:val="21"/>
                <w:highlight w:val="none"/>
                <w:vertAlign w:val="superscript"/>
              </w:rPr>
              <w:t>1</w:t>
            </w:r>
            <w:r>
              <w:rPr>
                <w:rFonts w:hint="default"/>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4"/>
        </w:numPr>
        <w:tabs>
          <w:tab w:val="left" w:pos="1276"/>
          <w:tab w:val="left" w:pos="5005"/>
          <w:tab w:val="left" w:pos="7227"/>
        </w:tabs>
        <w:autoSpaceDE w:val="0"/>
        <w:autoSpaceDN w:val="0"/>
        <w:spacing w:line="360" w:lineRule="auto"/>
        <w:ind w:left="284" w:right="236" w:firstLine="576"/>
        <w:jc w:val="left"/>
        <w:rPr>
          <w:kern w:val="0"/>
          <w:sz w:val="24"/>
          <w:highlight w:val="none"/>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w:t>
      </w:r>
      <w:r>
        <w:rPr>
          <w:kern w:val="0"/>
          <w:sz w:val="24"/>
          <w:highlight w:val="none"/>
        </w:rPr>
        <w:t>承建（承接）企业为</w:t>
      </w:r>
      <w:r>
        <w:rPr>
          <w:i/>
          <w:kern w:val="0"/>
          <w:sz w:val="24"/>
          <w:highlight w:val="none"/>
          <w:u w:val="single"/>
        </w:rPr>
        <w:t>（企业名称）</w:t>
      </w:r>
      <w:r>
        <w:rPr>
          <w:kern w:val="0"/>
          <w:sz w:val="24"/>
          <w:highlight w:val="none"/>
        </w:rPr>
        <w:t>，从业人员</w:t>
      </w:r>
      <w:r>
        <w:rPr>
          <w:kern w:val="0"/>
          <w:sz w:val="24"/>
          <w:highlight w:val="none"/>
          <w:u w:val="single"/>
        </w:rPr>
        <w:tab/>
      </w:r>
      <w:r>
        <w:rPr>
          <w:kern w:val="0"/>
          <w:sz w:val="24"/>
          <w:highlight w:val="none"/>
        </w:rPr>
        <w:t>人，营业收入为</w:t>
      </w:r>
      <w:r>
        <w:rPr>
          <w:kern w:val="0"/>
          <w:sz w:val="24"/>
          <w:highlight w:val="none"/>
          <w:u w:val="single"/>
        </w:rPr>
        <w:tab/>
      </w:r>
      <w:r>
        <w:rPr>
          <w:kern w:val="0"/>
          <w:sz w:val="24"/>
          <w:highlight w:val="none"/>
        </w:rPr>
        <w:t>万元，资产总额为</w:t>
      </w:r>
      <w:r>
        <w:rPr>
          <w:kern w:val="0"/>
          <w:sz w:val="24"/>
          <w:highlight w:val="none"/>
          <w:u w:val="single"/>
        </w:rPr>
        <w:tab/>
      </w:r>
      <w:r>
        <w:rPr>
          <w:kern w:val="0"/>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kern w:val="0"/>
          <w:position w:val="16"/>
          <w:sz w:val="24"/>
          <w:highlight w:val="none"/>
        </w:rPr>
        <w:t>1</w:t>
      </w:r>
      <w:r>
        <w:rPr>
          <w:kern w:val="0"/>
          <w:position w:val="16"/>
          <w:sz w:val="24"/>
          <w:highlight w:val="none"/>
        </w:rPr>
        <w:fldChar w:fldCharType="end"/>
      </w:r>
      <w:r>
        <w:rPr>
          <w:kern w:val="0"/>
          <w:sz w:val="24"/>
          <w:highlight w:val="none"/>
        </w:rPr>
        <w:t>，属于</w:t>
      </w:r>
      <w:r>
        <w:rPr>
          <w:i/>
          <w:kern w:val="0"/>
          <w:sz w:val="24"/>
          <w:highlight w:val="none"/>
          <w:u w:val="single"/>
        </w:rPr>
        <w:t>（中型企业、小型企业、微型企业）</w:t>
      </w:r>
      <w:r>
        <w:rPr>
          <w:kern w:val="0"/>
          <w:sz w:val="24"/>
          <w:highlight w:val="none"/>
        </w:rPr>
        <w:t>；</w:t>
      </w:r>
    </w:p>
    <w:p>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；承建（承接）企业为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pPr>
        <w:autoSpaceDE w:val="0"/>
        <w:autoSpaceDN w:val="0"/>
        <w:spacing w:line="360" w:lineRule="auto"/>
        <w:ind w:left="860"/>
        <w:jc w:val="left"/>
        <w:rPr>
          <w:kern w:val="0"/>
          <w:sz w:val="24"/>
          <w:highlight w:val="none"/>
        </w:rPr>
      </w:pPr>
      <w:r>
        <w:rPr>
          <w:kern w:val="0"/>
          <w:sz w:val="24"/>
          <w:highlight w:val="none"/>
        </w:rPr>
        <w:t>……</w:t>
      </w:r>
    </w:p>
    <w:p>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kern w:val="0"/>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adjustRightInd w:val="0"/>
        <w:snapToGrid w:val="0"/>
        <w:jc w:val="left"/>
        <w:rPr>
          <w:color w:val="000000"/>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default"/>
                <w:color w:val="000000"/>
                <w:szCs w:val="21"/>
                <w:highlight w:val="none"/>
              </w:rPr>
            </w:pPr>
            <w:r>
              <w:rPr>
                <w:rFonts w:hint="default"/>
                <w:color w:val="000000"/>
                <w:szCs w:val="21"/>
                <w:highlight w:val="none"/>
                <w:vertAlign w:val="superscript"/>
              </w:rPr>
              <w:t>1</w:t>
            </w:r>
            <w:r>
              <w:rPr>
                <w:rFonts w:hint="default"/>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rFonts w:hint="eastAsia"/>
          <w:b/>
          <w:sz w:val="24"/>
          <w:highlight w:val="none"/>
          <w:lang w:eastAsia="zh-CN"/>
        </w:rPr>
        <w:t>□</w:t>
      </w:r>
      <w:r>
        <w:rPr>
          <w:b/>
          <w:spacing w:val="6"/>
          <w:sz w:val="24"/>
          <w:highlight w:val="none"/>
        </w:rPr>
        <w:t>不属于符合条件的残疾人福利性单位。</w:t>
      </w:r>
    </w:p>
    <w:p>
      <w:pPr>
        <w:spacing w:line="588" w:lineRule="exact"/>
        <w:ind w:firstLine="482"/>
        <w:rPr>
          <w:spacing w:val="6"/>
          <w:sz w:val="24"/>
          <w:highlight w:val="none"/>
        </w:rPr>
      </w:pPr>
      <w:r>
        <w:rPr>
          <w:rFonts w:hint="eastAsia"/>
          <w:b/>
          <w:sz w:val="24"/>
          <w:highlight w:val="none"/>
          <w:lang w:eastAsia="zh-CN"/>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numPr>
          <w:ilvl w:val="0"/>
          <w:numId w:val="22"/>
        </w:numPr>
        <w:tabs>
          <w:tab w:val="left" w:pos="360"/>
        </w:tabs>
        <w:snapToGrid w:val="0"/>
        <w:spacing w:line="360" w:lineRule="auto"/>
        <w:outlineLvl w:val="1"/>
        <w:rPr>
          <w:color w:val="000000"/>
          <w:sz w:val="24"/>
          <w:szCs w:val="20"/>
          <w:highlight w:val="none"/>
        </w:rPr>
      </w:pPr>
      <w:r>
        <w:rPr>
          <w:color w:val="000000"/>
          <w:szCs w:val="20"/>
          <w:highlight w:val="none"/>
        </w:rPr>
        <w:br w:type="page"/>
      </w:r>
      <w:r>
        <w:rPr>
          <w:color w:val="000000"/>
          <w:sz w:val="24"/>
          <w:szCs w:val="20"/>
          <w:highlight w:val="none"/>
        </w:rPr>
        <w:t>拟分包情况说明</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7"/>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pPr>
              <w:pStyle w:val="247"/>
              <w:jc w:val="center"/>
              <w:rPr>
                <w:rFonts w:ascii="Times New Roman" w:hAnsi="Times New Roman" w:cs="Times New Roman" w:eastAsiaTheme="minorEastAsia"/>
                <w:sz w:val="30"/>
                <w:highlight w:val="none"/>
              </w:rPr>
            </w:pPr>
          </w:p>
        </w:tc>
        <w:tc>
          <w:tcPr>
            <w:tcW w:w="1513" w:type="dxa"/>
            <w:vAlign w:val="center"/>
          </w:tcPr>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□中型企业</w:t>
            </w:r>
          </w:p>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□小微企业</w:t>
            </w:r>
          </w:p>
          <w:p>
            <w:pPr>
              <w:pStyle w:val="247"/>
              <w:tabs>
                <w:tab w:val="left" w:pos="235"/>
              </w:tabs>
              <w:ind w:left="0" w:leftChars="0" w:firstLine="218" w:firstLineChars="91"/>
              <w:jc w:val="left"/>
              <w:rPr>
                <w:rFonts w:ascii="Times New Roman" w:hAnsi="Times New Roman" w:cs="Times New Roman" w:eastAsiaTheme="minorEastAsia"/>
                <w:sz w:val="24"/>
                <w:highlight w:val="none"/>
                <w:lang w:eastAsia="zh-CN"/>
              </w:rPr>
            </w:pPr>
            <w:r>
              <w:rPr>
                <w:rFonts w:hint="eastAsia" w:cs="Times New Roman"/>
                <w:sz w:val="24"/>
                <w:highlight w:val="none"/>
                <w:lang w:eastAsia="zh-CN"/>
              </w:rPr>
              <w:t>□其他</w:t>
            </w:r>
          </w:p>
        </w:tc>
        <w:tc>
          <w:tcPr>
            <w:tcW w:w="1125" w:type="dxa"/>
            <w:vAlign w:val="center"/>
          </w:tcPr>
          <w:p>
            <w:pPr>
              <w:pStyle w:val="247"/>
              <w:jc w:val="center"/>
              <w:rPr>
                <w:rFonts w:ascii="Times New Roman" w:hAnsi="Times New Roman" w:cs="Times New Roman" w:eastAsiaTheme="minorEastAsia"/>
                <w:sz w:val="30"/>
                <w:highlight w:val="none"/>
                <w:lang w:eastAsia="zh-CN"/>
              </w:rPr>
            </w:pPr>
          </w:p>
        </w:tc>
        <w:tc>
          <w:tcPr>
            <w:tcW w:w="1558" w:type="dxa"/>
            <w:vAlign w:val="center"/>
          </w:tcPr>
          <w:p>
            <w:pPr>
              <w:pStyle w:val="247"/>
              <w:jc w:val="center"/>
              <w:rPr>
                <w:rFonts w:ascii="Times New Roman" w:hAnsi="Times New Roman" w:cs="Times New Roman" w:eastAsiaTheme="minorEastAsia"/>
                <w:sz w:val="30"/>
                <w:highlight w:val="none"/>
                <w:lang w:eastAsia="zh-CN"/>
              </w:rPr>
            </w:pPr>
          </w:p>
        </w:tc>
        <w:tc>
          <w:tcPr>
            <w:tcW w:w="1498" w:type="dxa"/>
            <w:vAlign w:val="center"/>
          </w:tcPr>
          <w:p>
            <w:pPr>
              <w:pStyle w:val="247"/>
              <w:jc w:val="center"/>
              <w:rPr>
                <w:rFonts w:ascii="Times New Roman" w:hAnsi="Times New Roman" w:cs="Times New Roman" w:eastAsiaTheme="minorEastAsia"/>
                <w:sz w:val="30"/>
                <w:highlight w:val="none"/>
                <w:lang w:eastAsia="zh-CN"/>
              </w:rPr>
            </w:pPr>
          </w:p>
        </w:tc>
        <w:tc>
          <w:tcPr>
            <w:tcW w:w="1564" w:type="dxa"/>
            <w:vAlign w:val="center"/>
          </w:tcPr>
          <w:p>
            <w:pPr>
              <w:pStyle w:val="247"/>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pPr>
              <w:pStyle w:val="247"/>
              <w:jc w:val="center"/>
              <w:rPr>
                <w:rFonts w:ascii="Times New Roman" w:hAnsi="Times New Roman" w:cs="Times New Roman" w:eastAsiaTheme="minorEastAsia"/>
                <w:sz w:val="30"/>
                <w:highlight w:val="none"/>
              </w:rPr>
            </w:pPr>
          </w:p>
        </w:tc>
        <w:tc>
          <w:tcPr>
            <w:tcW w:w="1513" w:type="dxa"/>
            <w:vAlign w:val="center"/>
          </w:tcPr>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□中型企业</w:t>
            </w:r>
          </w:p>
          <w:p>
            <w:pPr>
              <w:pStyle w:val="247"/>
              <w:tabs>
                <w:tab w:val="left" w:pos="235"/>
              </w:tabs>
              <w:ind w:left="0" w:leftChars="0" w:firstLine="218" w:firstLineChars="91"/>
              <w:jc w:val="left"/>
              <w:rPr>
                <w:rFonts w:hint="eastAsia" w:cs="Times New Roman"/>
                <w:sz w:val="24"/>
                <w:highlight w:val="none"/>
                <w:lang w:eastAsia="zh-CN"/>
              </w:rPr>
            </w:pPr>
            <w:r>
              <w:rPr>
                <w:rFonts w:hint="eastAsia" w:cs="Times New Roman"/>
                <w:sz w:val="24"/>
                <w:highlight w:val="none"/>
                <w:lang w:eastAsia="zh-CN"/>
              </w:rPr>
              <w:t>□小微企业</w:t>
            </w:r>
          </w:p>
          <w:p>
            <w:pPr>
              <w:pStyle w:val="247"/>
              <w:tabs>
                <w:tab w:val="left" w:pos="235"/>
              </w:tabs>
              <w:ind w:left="0" w:leftChars="0" w:firstLine="218" w:firstLineChars="91"/>
              <w:jc w:val="left"/>
              <w:rPr>
                <w:rFonts w:ascii="Times New Roman" w:hAnsi="Times New Roman" w:cs="Times New Roman" w:eastAsiaTheme="minorEastAsia"/>
                <w:sz w:val="24"/>
                <w:highlight w:val="none"/>
                <w:lang w:eastAsia="zh-CN"/>
              </w:rPr>
            </w:pPr>
            <w:r>
              <w:rPr>
                <w:rFonts w:hint="eastAsia" w:cs="Times New Roman"/>
                <w:sz w:val="24"/>
                <w:highlight w:val="none"/>
                <w:lang w:eastAsia="zh-CN"/>
              </w:rPr>
              <w:t>□其他</w:t>
            </w:r>
          </w:p>
        </w:tc>
        <w:tc>
          <w:tcPr>
            <w:tcW w:w="1125" w:type="dxa"/>
            <w:vAlign w:val="center"/>
          </w:tcPr>
          <w:p>
            <w:pPr>
              <w:pStyle w:val="247"/>
              <w:jc w:val="center"/>
              <w:rPr>
                <w:rFonts w:ascii="Times New Roman" w:hAnsi="Times New Roman" w:cs="Times New Roman" w:eastAsiaTheme="minorEastAsia"/>
                <w:sz w:val="30"/>
                <w:highlight w:val="none"/>
                <w:lang w:eastAsia="zh-CN"/>
              </w:rPr>
            </w:pPr>
          </w:p>
        </w:tc>
        <w:tc>
          <w:tcPr>
            <w:tcW w:w="1558" w:type="dxa"/>
            <w:vAlign w:val="center"/>
          </w:tcPr>
          <w:p>
            <w:pPr>
              <w:pStyle w:val="247"/>
              <w:jc w:val="center"/>
              <w:rPr>
                <w:rFonts w:ascii="Times New Roman" w:hAnsi="Times New Roman" w:cs="Times New Roman" w:eastAsiaTheme="minorEastAsia"/>
                <w:sz w:val="30"/>
                <w:highlight w:val="none"/>
                <w:lang w:eastAsia="zh-CN"/>
              </w:rPr>
            </w:pPr>
          </w:p>
        </w:tc>
        <w:tc>
          <w:tcPr>
            <w:tcW w:w="1498" w:type="dxa"/>
            <w:vAlign w:val="center"/>
          </w:tcPr>
          <w:p>
            <w:pPr>
              <w:pStyle w:val="247"/>
              <w:jc w:val="center"/>
              <w:rPr>
                <w:rFonts w:ascii="Times New Roman" w:hAnsi="Times New Roman" w:cs="Times New Roman" w:eastAsiaTheme="minorEastAsia"/>
                <w:sz w:val="30"/>
                <w:highlight w:val="none"/>
                <w:lang w:eastAsia="zh-CN"/>
              </w:rPr>
            </w:pPr>
          </w:p>
        </w:tc>
        <w:tc>
          <w:tcPr>
            <w:tcW w:w="1564" w:type="dxa"/>
            <w:vAlign w:val="center"/>
          </w:tcPr>
          <w:p>
            <w:pPr>
              <w:pStyle w:val="247"/>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pPr>
              <w:pStyle w:val="247"/>
              <w:jc w:val="center"/>
              <w:rPr>
                <w:rFonts w:ascii="Times New Roman" w:hAnsi="Times New Roman" w:cs="Times New Roman" w:eastAsiaTheme="minorEastAsia"/>
                <w:sz w:val="30"/>
                <w:highlight w:val="none"/>
              </w:rPr>
            </w:pPr>
          </w:p>
        </w:tc>
        <w:tc>
          <w:tcPr>
            <w:tcW w:w="1513" w:type="dxa"/>
            <w:vAlign w:val="center"/>
          </w:tcPr>
          <w:p>
            <w:pPr>
              <w:pStyle w:val="247"/>
              <w:tabs>
                <w:tab w:val="left" w:pos="235"/>
              </w:tabs>
              <w:jc w:val="center"/>
              <w:rPr>
                <w:rFonts w:ascii="Times New Roman" w:hAnsi="Times New Roman" w:cs="Times New Roman" w:eastAsiaTheme="minorEastAsia"/>
                <w:sz w:val="24"/>
                <w:highlight w:val="none"/>
              </w:rPr>
            </w:pPr>
          </w:p>
        </w:tc>
        <w:tc>
          <w:tcPr>
            <w:tcW w:w="1125" w:type="dxa"/>
            <w:vAlign w:val="center"/>
          </w:tcPr>
          <w:p>
            <w:pPr>
              <w:pStyle w:val="247"/>
              <w:jc w:val="center"/>
              <w:rPr>
                <w:rFonts w:ascii="Times New Roman" w:hAnsi="Times New Roman" w:cs="Times New Roman" w:eastAsiaTheme="minorEastAsia"/>
                <w:sz w:val="30"/>
                <w:highlight w:val="none"/>
              </w:rPr>
            </w:pPr>
          </w:p>
        </w:tc>
        <w:tc>
          <w:tcPr>
            <w:tcW w:w="1558" w:type="dxa"/>
            <w:vAlign w:val="center"/>
          </w:tcPr>
          <w:p>
            <w:pPr>
              <w:pStyle w:val="247"/>
              <w:jc w:val="center"/>
              <w:rPr>
                <w:rFonts w:ascii="Times New Roman" w:hAnsi="Times New Roman" w:cs="Times New Roman" w:eastAsiaTheme="minorEastAsia"/>
                <w:sz w:val="30"/>
                <w:highlight w:val="none"/>
              </w:rPr>
            </w:pPr>
          </w:p>
        </w:tc>
        <w:tc>
          <w:tcPr>
            <w:tcW w:w="1498" w:type="dxa"/>
            <w:vAlign w:val="center"/>
          </w:tcPr>
          <w:p>
            <w:pPr>
              <w:pStyle w:val="247"/>
              <w:jc w:val="center"/>
              <w:rPr>
                <w:rFonts w:ascii="Times New Roman" w:hAnsi="Times New Roman" w:cs="Times New Roman" w:eastAsiaTheme="minorEastAsia"/>
                <w:sz w:val="30"/>
                <w:highlight w:val="none"/>
              </w:rPr>
            </w:pPr>
          </w:p>
        </w:tc>
        <w:tc>
          <w:tcPr>
            <w:tcW w:w="1564" w:type="dxa"/>
            <w:vAlign w:val="center"/>
          </w:tcPr>
          <w:p>
            <w:pPr>
              <w:pStyle w:val="247"/>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7"/>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7"/>
              <w:jc w:val="center"/>
              <w:rPr>
                <w:rFonts w:ascii="Times New Roman" w:hAnsi="Times New Roman" w:cs="Times New Roman" w:eastAsiaTheme="minorEastAsia"/>
                <w:sz w:val="30"/>
                <w:highlight w:val="none"/>
              </w:rPr>
            </w:pPr>
          </w:p>
        </w:tc>
        <w:tc>
          <w:tcPr>
            <w:tcW w:w="1564" w:type="dxa"/>
            <w:vAlign w:val="center"/>
          </w:tcPr>
          <w:p>
            <w:pPr>
              <w:pStyle w:val="247"/>
              <w:jc w:val="center"/>
              <w:rPr>
                <w:rFonts w:ascii="Times New Roman" w:hAnsi="Times New Roman" w:cs="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pPr>
        <w:adjustRightInd w:val="0"/>
        <w:snapToGrid w:val="0"/>
        <w:spacing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w:t>
      </w:r>
      <w:r>
        <w:rPr>
          <w:rFonts w:hint="eastAsia" w:ascii="宋体" w:hAnsi="宋体"/>
          <w:sz w:val="24"/>
          <w:highlight w:val="none"/>
        </w:rPr>
        <w:t>并加盖投标人公章</w:t>
      </w:r>
      <w:r>
        <w:rPr>
          <w:sz w:val="24"/>
          <w:highlight w:val="none"/>
        </w:rPr>
        <w:t>，否则</w:t>
      </w:r>
      <w:r>
        <w:rPr>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highlight w:val="none"/>
        </w:rPr>
      </w:pPr>
    </w:p>
    <w:p>
      <w:pPr>
        <w:adjustRightInd w:val="0"/>
        <w:snapToGrid w:val="0"/>
        <w:spacing w:line="360" w:lineRule="auto"/>
        <w:ind w:firstLine="480" w:firstLineChars="200"/>
        <w:jc w:val="right"/>
        <w:rPr>
          <w:sz w:val="24"/>
          <w:highlight w:val="none"/>
        </w:rPr>
      </w:pPr>
      <w:r>
        <w:rPr>
          <w:sz w:val="24"/>
          <w:highlight w:val="none"/>
        </w:rPr>
        <w:t>投标人名称（盖章）：______</w:t>
      </w:r>
    </w:p>
    <w:p>
      <w:pPr>
        <w:adjustRightInd w:val="0"/>
        <w:snapToGrid w:val="0"/>
        <w:spacing w:line="360" w:lineRule="auto"/>
        <w:ind w:firstLine="480" w:firstLineChars="200"/>
        <w:jc w:val="right"/>
        <w:rPr>
          <w:b/>
          <w:color w:val="000000"/>
          <w:sz w:val="24"/>
          <w:highlight w:val="none"/>
        </w:rPr>
      </w:pPr>
      <w:r>
        <w:rPr>
          <w:color w:val="000000"/>
          <w:sz w:val="24"/>
          <w:highlight w:val="none"/>
        </w:rPr>
        <w:t>日期：_____年______月______日</w:t>
      </w:r>
    </w:p>
    <w:p>
      <w:pPr>
        <w:numPr>
          <w:ilvl w:val="0"/>
          <w:numId w:val="22"/>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pPr>
        <w:widowControl/>
        <w:jc w:val="left"/>
        <w:rPr>
          <w:b/>
          <w:sz w:val="36"/>
          <w:szCs w:val="36"/>
          <w:highlight w:val="none"/>
        </w:rPr>
      </w:pPr>
    </w:p>
    <w:p>
      <w:pPr>
        <w:widowControl/>
        <w:jc w:val="left"/>
        <w:rPr>
          <w:b/>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646"/>
      <w:rPr>
        <w:rFonts w:ascii="仿宋" w:hAnsi="仿宋" w:eastAsia="仿宋" w:cs="仿宋"/>
        <w:sz w:val="18"/>
        <w:szCs w:val="18"/>
      </w:rPr>
    </w:pPr>
    <w:r>
      <w:rPr>
        <w:rFonts w:eastAsia="宋体"/>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widowControl w:val="0"/>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宋体" w:hAnsi="Times New Roman" w:eastAsia="宋体" w:cs="Times New Roman"/>
                              <w:kern w:val="0"/>
                              <w:sz w:val="18"/>
                              <w:szCs w:val="20"/>
                              <w:lang w:val="en-US" w:eastAsia="zh-CN" w:bidi="ar-SA"/>
                            </w:rPr>
                            <w:instrText xml:space="preserve"> PAGE  \* MERGEFORMAT </w:instrText>
                          </w:r>
                          <w:r>
                            <w:rPr>
                              <w:rFonts w:ascii="宋体" w:hAnsi="Times New Roman" w:eastAsia="宋体" w:cs="Times New Roman"/>
                              <w:kern w:val="0"/>
                              <w:sz w:val="18"/>
                              <w:szCs w:val="20"/>
                              <w:lang w:val="en-US" w:eastAsia="zh-CN" w:bidi="ar-SA"/>
                            </w:rPr>
                            <w:fldChar w:fldCharType="separate"/>
                          </w:r>
                          <w:r>
                            <w:rPr>
                              <w:rFonts w:ascii="宋体" w:hAnsi="Times New Roman" w:eastAsia="宋体" w:cs="Times New Roman"/>
                              <w:kern w:val="0"/>
                              <w:sz w:val="18"/>
                              <w:szCs w:val="20"/>
                              <w:lang w:val="en-US" w:eastAsia="zh-CN" w:bidi="ar-SA"/>
                            </w:rPr>
                            <w:t>28</w:t>
                          </w:r>
                          <w:r>
                            <w:rPr>
                              <w:rFonts w:ascii="宋体" w:hAnsi="Times New Roman" w:eastAsia="宋体" w:cs="Times New Roman"/>
                              <w:kern w:val="0"/>
                              <w:sz w:val="18"/>
                              <w:szCs w:val="20"/>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widowControl w:val="0"/>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宋体" w:hAnsi="Times New Roman" w:eastAsia="宋体" w:cs="Times New Roman"/>
                        <w:kern w:val="0"/>
                        <w:sz w:val="18"/>
                        <w:szCs w:val="20"/>
                        <w:lang w:val="en-US" w:eastAsia="zh-CN" w:bidi="ar-SA"/>
                      </w:rPr>
                      <w:instrText xml:space="preserve"> PAGE  \* MERGEFORMAT </w:instrText>
                    </w:r>
                    <w:r>
                      <w:rPr>
                        <w:rFonts w:ascii="宋体" w:hAnsi="Times New Roman" w:eastAsia="宋体" w:cs="Times New Roman"/>
                        <w:kern w:val="0"/>
                        <w:sz w:val="18"/>
                        <w:szCs w:val="20"/>
                        <w:lang w:val="en-US" w:eastAsia="zh-CN" w:bidi="ar-SA"/>
                      </w:rPr>
                      <w:fldChar w:fldCharType="separate"/>
                    </w:r>
                    <w:r>
                      <w:rPr>
                        <w:rFonts w:ascii="宋体" w:hAnsi="Times New Roman" w:eastAsia="宋体" w:cs="Times New Roman"/>
                        <w:kern w:val="0"/>
                        <w:sz w:val="18"/>
                        <w:szCs w:val="20"/>
                        <w:lang w:val="en-US" w:eastAsia="zh-CN" w:bidi="ar-SA"/>
                      </w:rPr>
                      <w:t>28</w:t>
                    </w:r>
                    <w:r>
                      <w:rPr>
                        <w:rFonts w:ascii="宋体" w:hAnsi="Times New Roman" w:eastAsia="宋体" w:cs="Times New Roman"/>
                        <w:kern w:val="0"/>
                        <w:sz w:val="18"/>
                        <w:szCs w:val="20"/>
                        <w:lang w:val="en-US" w:eastAsia="zh-CN" w:bidi="ar-S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left="3646"/>
      <w:rPr>
        <w:rFonts w:ascii="仿宋" w:hAnsi="仿宋" w:eastAsia="仿宋" w:cs="仿宋"/>
        <w:sz w:val="18"/>
        <w:szCs w:val="18"/>
      </w:rPr>
    </w:pPr>
    <w:r>
      <w:rPr>
        <w:rFonts w:eastAsia="宋体"/>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widowControl w:val="0"/>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宋体" w:hAnsi="Times New Roman" w:eastAsia="宋体" w:cs="Times New Roman"/>
                              <w:kern w:val="0"/>
                              <w:sz w:val="18"/>
                              <w:szCs w:val="20"/>
                              <w:lang w:val="en-US" w:eastAsia="zh-CN" w:bidi="ar-SA"/>
                            </w:rPr>
                            <w:instrText xml:space="preserve"> PAGE  \* MERGEFORMAT </w:instrText>
                          </w:r>
                          <w:r>
                            <w:rPr>
                              <w:rFonts w:ascii="宋体" w:hAnsi="Times New Roman" w:eastAsia="宋体" w:cs="Times New Roman"/>
                              <w:kern w:val="0"/>
                              <w:sz w:val="18"/>
                              <w:szCs w:val="20"/>
                              <w:lang w:val="en-US" w:eastAsia="zh-CN" w:bidi="ar-SA"/>
                            </w:rPr>
                            <w:fldChar w:fldCharType="separate"/>
                          </w:r>
                          <w:r>
                            <w:rPr>
                              <w:rFonts w:ascii="宋体" w:hAnsi="Times New Roman" w:eastAsia="宋体" w:cs="Times New Roman"/>
                              <w:kern w:val="0"/>
                              <w:sz w:val="18"/>
                              <w:szCs w:val="20"/>
                              <w:lang w:val="en-US" w:eastAsia="zh-CN" w:bidi="ar-SA"/>
                            </w:rPr>
                            <w:t>40</w:t>
                          </w:r>
                          <w:r>
                            <w:rPr>
                              <w:rFonts w:ascii="宋体" w:hAnsi="Times New Roman" w:eastAsia="宋体" w:cs="Times New Roman"/>
                              <w:kern w:val="0"/>
                              <w:sz w:val="18"/>
                              <w:szCs w:val="20"/>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widowControl w:val="0"/>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宋体" w:hAnsi="Times New Roman" w:eastAsia="宋体" w:cs="Times New Roman"/>
                        <w:kern w:val="0"/>
                        <w:sz w:val="18"/>
                        <w:szCs w:val="20"/>
                        <w:lang w:val="en-US" w:eastAsia="zh-CN" w:bidi="ar-SA"/>
                      </w:rPr>
                      <w:instrText xml:space="preserve"> PAGE  \* MERGEFORMAT </w:instrText>
                    </w:r>
                    <w:r>
                      <w:rPr>
                        <w:rFonts w:ascii="宋体" w:hAnsi="Times New Roman" w:eastAsia="宋体" w:cs="Times New Roman"/>
                        <w:kern w:val="0"/>
                        <w:sz w:val="18"/>
                        <w:szCs w:val="20"/>
                        <w:lang w:val="en-US" w:eastAsia="zh-CN" w:bidi="ar-SA"/>
                      </w:rPr>
                      <w:fldChar w:fldCharType="separate"/>
                    </w:r>
                    <w:r>
                      <w:rPr>
                        <w:rFonts w:ascii="宋体" w:hAnsi="Times New Roman" w:eastAsia="宋体" w:cs="Times New Roman"/>
                        <w:kern w:val="0"/>
                        <w:sz w:val="18"/>
                        <w:szCs w:val="20"/>
                        <w:lang w:val="en-US" w:eastAsia="zh-CN" w:bidi="ar-SA"/>
                      </w:rPr>
                      <w:t>40</w:t>
                    </w:r>
                    <w:r>
                      <w:rPr>
                        <w:rFonts w:ascii="宋体" w:hAnsi="Times New Roman" w:eastAsia="宋体" w:cs="Times New Roman"/>
                        <w:kern w:val="0"/>
                        <w:sz w:val="18"/>
                        <w:szCs w:val="20"/>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jc w:val="right"/>
      <w:rPr>
        <w:rFonts w:hint="eastAsia" w:eastAsia="宋体"/>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04D711"/>
    <w:multiLevelType w:val="singleLevel"/>
    <w:tmpl w:val="C604D711"/>
    <w:lvl w:ilvl="0" w:tentative="0">
      <w:start w:val="3"/>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0"/>
    <w:multiLevelType w:val="singleLevel"/>
    <w:tmpl w:val="00000010"/>
    <w:lvl w:ilvl="0" w:tentative="0">
      <w:start w:val="1"/>
      <w:numFmt w:val="japaneseCounting"/>
      <w:lvlText w:val="第%1条"/>
      <w:lvlJc w:val="left"/>
      <w:pPr>
        <w:tabs>
          <w:tab w:val="left" w:pos="1110"/>
        </w:tabs>
        <w:ind w:left="1110" w:hanging="1110"/>
      </w:pPr>
    </w:lvl>
  </w:abstractNum>
  <w:abstractNum w:abstractNumId="5">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188FDA"/>
    <w:multiLevelType w:val="singleLevel"/>
    <w:tmpl w:val="16188FDA"/>
    <w:lvl w:ilvl="0" w:tentative="0">
      <w:start w:val="1"/>
      <w:numFmt w:val="decimal"/>
      <w:suff w:val="nothing"/>
      <w:lvlText w:val="%1、"/>
      <w:lvlJc w:val="left"/>
    </w:lvl>
  </w:abstractNum>
  <w:abstractNum w:abstractNumId="14">
    <w:nsid w:val="183D23B5"/>
    <w:multiLevelType w:val="singleLevel"/>
    <w:tmpl w:val="183D23B5"/>
    <w:lvl w:ilvl="0" w:tentative="0">
      <w:start w:val="5"/>
      <w:numFmt w:val="decimal"/>
      <w:suff w:val="nothing"/>
      <w:lvlText w:val="%1、"/>
      <w:lvlJc w:val="left"/>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6612E7B"/>
    <w:multiLevelType w:val="singleLevel"/>
    <w:tmpl w:val="56612E7B"/>
    <w:lvl w:ilvl="0" w:tentative="0">
      <w:start w:val="3"/>
      <w:numFmt w:val="chineseCounting"/>
      <w:suff w:val="nothing"/>
      <w:lvlText w:val="第%1条"/>
      <w:lvlJc w:val="left"/>
      <w:pPr>
        <w:ind w:left="-73"/>
      </w:pPr>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2"/>
  </w:num>
  <w:num w:numId="4">
    <w:abstractNumId w:val="7"/>
  </w:num>
  <w:num w:numId="5">
    <w:abstractNumId w:val="5"/>
  </w:num>
  <w:num w:numId="6">
    <w:abstractNumId w:val="3"/>
  </w:num>
  <w:num w:numId="7">
    <w:abstractNumId w:val="11"/>
  </w:num>
  <w:num w:numId="8">
    <w:abstractNumId w:val="8"/>
  </w:num>
  <w:num w:numId="9">
    <w:abstractNumId w:val="1"/>
  </w:num>
  <w:num w:numId="10">
    <w:abstractNumId w:val="17"/>
  </w:num>
  <w:num w:numId="11">
    <w:abstractNumId w:val="12"/>
  </w:num>
  <w:num w:numId="12">
    <w:abstractNumId w:val="22"/>
  </w:num>
  <w:num w:numId="13">
    <w:abstractNumId w:val="4"/>
    <w:lvlOverride w:ilvl="0">
      <w:startOverride w:val="1"/>
    </w:lvlOverride>
  </w:num>
  <w:num w:numId="14">
    <w:abstractNumId w:val="13"/>
  </w:num>
  <w:num w:numId="15">
    <w:abstractNumId w:val="20"/>
  </w:num>
  <w:num w:numId="16">
    <w:abstractNumId w:val="0"/>
  </w:num>
  <w:num w:numId="17">
    <w:abstractNumId w:val="5"/>
    <w:lvlOverride w:ilvl="0">
      <w:startOverride w:val="1"/>
    </w:lvlOverride>
  </w:num>
  <w:num w:numId="18">
    <w:abstractNumId w:val="14"/>
  </w:num>
  <w:num w:numId="19">
    <w:abstractNumId w:val="21"/>
  </w:num>
  <w:num w:numId="20">
    <w:abstractNumId w:val="15"/>
  </w:num>
  <w:num w:numId="21">
    <w:abstractNumId w:val="18"/>
  </w:num>
  <w:num w:numId="22">
    <w:abstractNumId w:val="16"/>
  </w:num>
  <w:num w:numId="23">
    <w:abstractNumId w:val="1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cyODMxYTE0ZTc0ZGU3Y2QwODc3MzYzN2Q1YmNiM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05"/>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F071CA"/>
    <w:rsid w:val="05D20D99"/>
    <w:rsid w:val="06D5631F"/>
    <w:rsid w:val="07866A20"/>
    <w:rsid w:val="080C703A"/>
    <w:rsid w:val="0B660C1A"/>
    <w:rsid w:val="0F2273B1"/>
    <w:rsid w:val="101271B8"/>
    <w:rsid w:val="111D6703"/>
    <w:rsid w:val="11C67FAF"/>
    <w:rsid w:val="127A4E6B"/>
    <w:rsid w:val="16497983"/>
    <w:rsid w:val="1654630D"/>
    <w:rsid w:val="17914E66"/>
    <w:rsid w:val="17F93E0B"/>
    <w:rsid w:val="18407286"/>
    <w:rsid w:val="188D5D57"/>
    <w:rsid w:val="1C455CA5"/>
    <w:rsid w:val="1CFF0AC4"/>
    <w:rsid w:val="1D2C69D2"/>
    <w:rsid w:val="1D8F0684"/>
    <w:rsid w:val="1EF52CC7"/>
    <w:rsid w:val="1FDE264F"/>
    <w:rsid w:val="20B56020"/>
    <w:rsid w:val="223905D4"/>
    <w:rsid w:val="239E00B4"/>
    <w:rsid w:val="23CA4BA3"/>
    <w:rsid w:val="24154585"/>
    <w:rsid w:val="24FF1718"/>
    <w:rsid w:val="251E74A4"/>
    <w:rsid w:val="27097E0D"/>
    <w:rsid w:val="27843CE5"/>
    <w:rsid w:val="28417CD5"/>
    <w:rsid w:val="31F34794"/>
    <w:rsid w:val="32EB653A"/>
    <w:rsid w:val="355C2AFF"/>
    <w:rsid w:val="367F6129"/>
    <w:rsid w:val="3790101F"/>
    <w:rsid w:val="3A1D7BBD"/>
    <w:rsid w:val="3A3E52EA"/>
    <w:rsid w:val="3BC0253B"/>
    <w:rsid w:val="3BCB6780"/>
    <w:rsid w:val="42CD0A98"/>
    <w:rsid w:val="431A0C09"/>
    <w:rsid w:val="446B4634"/>
    <w:rsid w:val="480E2158"/>
    <w:rsid w:val="49296D45"/>
    <w:rsid w:val="4B65373A"/>
    <w:rsid w:val="4D00163A"/>
    <w:rsid w:val="4F0F5BE3"/>
    <w:rsid w:val="4F71336A"/>
    <w:rsid w:val="50081B25"/>
    <w:rsid w:val="50354221"/>
    <w:rsid w:val="52422029"/>
    <w:rsid w:val="52E81F88"/>
    <w:rsid w:val="533B2833"/>
    <w:rsid w:val="55040901"/>
    <w:rsid w:val="554443D2"/>
    <w:rsid w:val="562154EA"/>
    <w:rsid w:val="56DF05DE"/>
    <w:rsid w:val="57FC6189"/>
    <w:rsid w:val="593D19CF"/>
    <w:rsid w:val="597907A7"/>
    <w:rsid w:val="59F44805"/>
    <w:rsid w:val="5AB42DC3"/>
    <w:rsid w:val="5C966047"/>
    <w:rsid w:val="5E914D18"/>
    <w:rsid w:val="5EC62C14"/>
    <w:rsid w:val="5EF0514D"/>
    <w:rsid w:val="5F073306"/>
    <w:rsid w:val="5F5F73B9"/>
    <w:rsid w:val="60242CA0"/>
    <w:rsid w:val="64693EFE"/>
    <w:rsid w:val="682D7860"/>
    <w:rsid w:val="6838144E"/>
    <w:rsid w:val="68546981"/>
    <w:rsid w:val="68AA7398"/>
    <w:rsid w:val="692D286A"/>
    <w:rsid w:val="6A120953"/>
    <w:rsid w:val="6A472CE6"/>
    <w:rsid w:val="6A611302"/>
    <w:rsid w:val="6AF71D66"/>
    <w:rsid w:val="6C025BC2"/>
    <w:rsid w:val="6E964E28"/>
    <w:rsid w:val="72107DFF"/>
    <w:rsid w:val="73A83580"/>
    <w:rsid w:val="742C597A"/>
    <w:rsid w:val="74F2224A"/>
    <w:rsid w:val="75711D5F"/>
    <w:rsid w:val="76B86E8E"/>
    <w:rsid w:val="770B714F"/>
    <w:rsid w:val="7A610A46"/>
    <w:rsid w:val="7AC654C1"/>
    <w:rsid w:val="7B0E674F"/>
    <w:rsid w:val="7DA50127"/>
    <w:rsid w:val="7DE64F91"/>
    <w:rsid w:val="7DFF78F1"/>
    <w:rsid w:val="7E042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autoRedefine/>
    <w:semiHidden/>
    <w:unhideWhenUsed/>
    <w:qFormat/>
    <w:uiPriority w:val="1"/>
  </w:style>
  <w:style w:type="table" w:default="1" w:styleId="42">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link w:val="201"/>
    <w:autoRedefine/>
    <w:qFormat/>
    <w:uiPriority w:val="0"/>
    <w:rPr>
      <w:rFonts w:hint="eastAsia" w:ascii="宋体" w:hAnsi="Courier New"/>
      <w:szCs w:val="20"/>
    </w:rPr>
  </w:style>
  <w:style w:type="paragraph" w:styleId="5">
    <w:name w:val="Normal Indent"/>
    <w:basedOn w:val="1"/>
    <w:link w:val="61"/>
    <w:autoRedefine/>
    <w:qFormat/>
    <w:uiPriority w:val="0"/>
    <w:pPr>
      <w:autoSpaceDE w:val="0"/>
      <w:autoSpaceDN w:val="0"/>
      <w:adjustRightInd w:val="0"/>
      <w:ind w:firstLine="420"/>
      <w:jc w:val="left"/>
    </w:pPr>
    <w:rPr>
      <w:rFonts w:ascii="宋体"/>
      <w:sz w:val="24"/>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235"/>
    <w:autoRedefine/>
    <w:qFormat/>
    <w:uiPriority w:val="0"/>
    <w:pPr>
      <w:shd w:val="clear" w:color="auto" w:fill="000080"/>
    </w:pPr>
  </w:style>
  <w:style w:type="paragraph" w:styleId="16">
    <w:name w:val="annotation text"/>
    <w:basedOn w:val="1"/>
    <w:link w:val="181"/>
    <w:autoRedefine/>
    <w:qFormat/>
    <w:uiPriority w:val="99"/>
    <w:pPr>
      <w:jc w:val="left"/>
    </w:pPr>
  </w:style>
  <w:style w:type="paragraph" w:styleId="17">
    <w:name w:val="Body Text 3"/>
    <w:basedOn w:val="1"/>
    <w:link w:val="236"/>
    <w:autoRedefine/>
    <w:qFormat/>
    <w:uiPriority w:val="0"/>
    <w:pPr>
      <w:spacing w:after="120"/>
    </w:pPr>
    <w:rPr>
      <w:sz w:val="16"/>
      <w:szCs w:val="16"/>
    </w:rPr>
  </w:style>
  <w:style w:type="paragraph" w:styleId="18">
    <w:name w:val="Body Text"/>
    <w:basedOn w:val="1"/>
    <w:link w:val="237"/>
    <w:autoRedefine/>
    <w:qFormat/>
    <w:uiPriority w:val="0"/>
    <w:pPr>
      <w:tabs>
        <w:tab w:val="left" w:pos="567"/>
      </w:tabs>
      <w:spacing w:before="120" w:line="22" w:lineRule="atLeast"/>
    </w:pPr>
    <w:rPr>
      <w:rFonts w:ascii="宋体" w:hAnsi="宋体"/>
      <w:sz w:val="24"/>
    </w:rPr>
  </w:style>
  <w:style w:type="paragraph" w:styleId="19">
    <w:name w:val="Body Text Indent"/>
    <w:basedOn w:val="1"/>
    <w:link w:val="66"/>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toc 8"/>
    <w:basedOn w:val="1"/>
    <w:next w:val="1"/>
    <w:autoRedefine/>
    <w:qFormat/>
    <w:uiPriority w:val="0"/>
    <w:pPr>
      <w:ind w:left="2940" w:leftChars="1400"/>
    </w:pPr>
  </w:style>
  <w:style w:type="paragraph" w:styleId="25">
    <w:name w:val="Date"/>
    <w:basedOn w:val="1"/>
    <w:next w:val="1"/>
    <w:link w:val="238"/>
    <w:autoRedefine/>
    <w:qFormat/>
    <w:uiPriority w:val="0"/>
    <w:pPr>
      <w:ind w:left="100" w:leftChars="2500"/>
    </w:pPr>
    <w:rPr>
      <w:rFonts w:ascii="仿宋_GB2312" w:hAnsi="宋体" w:eastAsia="仿宋_GB2312"/>
      <w:color w:val="000000"/>
      <w:sz w:val="24"/>
    </w:rPr>
  </w:style>
  <w:style w:type="paragraph" w:styleId="26">
    <w:name w:val="Body Text Indent 2"/>
    <w:basedOn w:val="1"/>
    <w:link w:val="239"/>
    <w:autoRedefine/>
    <w:qFormat/>
    <w:uiPriority w:val="0"/>
    <w:pPr>
      <w:ind w:firstLine="480" w:firstLineChars="200"/>
    </w:pPr>
    <w:rPr>
      <w:rFonts w:ascii="仿宋_GB2312" w:eastAsia="仿宋_GB2312"/>
      <w:sz w:val="24"/>
    </w:rPr>
  </w:style>
  <w:style w:type="paragraph" w:styleId="27">
    <w:name w:val="Balloon Text"/>
    <w:basedOn w:val="1"/>
    <w:link w:val="240"/>
    <w:autoRedefine/>
    <w:qFormat/>
    <w:uiPriority w:val="0"/>
    <w:rPr>
      <w:sz w:val="18"/>
      <w:szCs w:val="18"/>
    </w:rPr>
  </w:style>
  <w:style w:type="paragraph" w:styleId="28">
    <w:name w:val="footer"/>
    <w:basedOn w:val="1"/>
    <w:link w:val="16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24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187"/>
    <w:autoRedefine/>
    <w:qFormat/>
    <w:uiPriority w:val="0"/>
    <w:pPr>
      <w:jc w:val="center"/>
      <w:outlineLvl w:val="0"/>
    </w:pPr>
    <w:rPr>
      <w:b/>
      <w:sz w:val="32"/>
      <w:szCs w:val="20"/>
    </w:rPr>
  </w:style>
  <w:style w:type="paragraph" w:styleId="40">
    <w:name w:val="annotation subject"/>
    <w:basedOn w:val="16"/>
    <w:next w:val="16"/>
    <w:link w:val="243"/>
    <w:autoRedefine/>
    <w:qFormat/>
    <w:uiPriority w:val="0"/>
    <w:rPr>
      <w:b/>
      <w:bCs/>
    </w:rPr>
  </w:style>
  <w:style w:type="paragraph" w:styleId="41">
    <w:name w:val="Body Text First Indent 2"/>
    <w:basedOn w:val="19"/>
    <w:link w:val="244"/>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autoRedefine/>
    <w:qFormat/>
    <w:uiPriority w:val="99"/>
    <w:rPr>
      <w:sz w:val="21"/>
      <w:szCs w:val="21"/>
    </w:rPr>
  </w:style>
  <w:style w:type="character" w:styleId="52">
    <w:name w:val="HTML Cite"/>
    <w:autoRedefine/>
    <w:qFormat/>
    <w:uiPriority w:val="0"/>
    <w:rPr>
      <w:i/>
      <w:iCs/>
    </w:rPr>
  </w:style>
  <w:style w:type="character" w:customStyle="1" w:styleId="53">
    <w:name w:val="标题 2 字符"/>
    <w:link w:val="4"/>
    <w:autoRedefine/>
    <w:qFormat/>
    <w:uiPriority w:val="0"/>
    <w:rPr>
      <w:rFonts w:ascii="Arial" w:hAnsi="Arial" w:eastAsia="黑体"/>
      <w:b/>
      <w:sz w:val="30"/>
      <w:lang w:val="en-US" w:eastAsia="zh-CN" w:bidi="ar-SA"/>
    </w:rPr>
  </w:style>
  <w:style w:type="character" w:customStyle="1" w:styleId="54">
    <w:name w:val="标题 3 字符"/>
    <w:link w:val="6"/>
    <w:autoRedefine/>
    <w:qFormat/>
    <w:uiPriority w:val="0"/>
    <w:rPr>
      <w:rFonts w:ascii="宋体" w:eastAsia="宋体"/>
      <w:b/>
      <w:sz w:val="24"/>
      <w:u w:val="single"/>
      <w:lang w:val="en-US" w:eastAsia="zh-CN" w:bidi="ar-SA"/>
    </w:rPr>
  </w:style>
  <w:style w:type="character" w:customStyle="1" w:styleId="55">
    <w:name w:val="c21"/>
    <w:autoRedefine/>
    <w:qFormat/>
    <w:uiPriority w:val="0"/>
    <w:rPr>
      <w:rFonts w:hint="default" w:ascii="ˎ̥" w:hAnsi="ˎ̥"/>
      <w:color w:val="000000"/>
      <w:sz w:val="20"/>
      <w:szCs w:val="20"/>
      <w:u w:val="none"/>
    </w:rPr>
  </w:style>
  <w:style w:type="character" w:customStyle="1" w:styleId="56">
    <w:name w:val="title4"/>
    <w:autoRedefine/>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autoRedefine/>
    <w:qFormat/>
    <w:uiPriority w:val="0"/>
  </w:style>
  <w:style w:type="character" w:customStyle="1" w:styleId="60">
    <w:name w:val="locality"/>
    <w:basedOn w:val="45"/>
    <w:autoRedefine/>
    <w:qFormat/>
    <w:uiPriority w:val="0"/>
  </w:style>
  <w:style w:type="character" w:customStyle="1" w:styleId="61">
    <w:name w:val="正文缩进 字符"/>
    <w:link w:val="5"/>
    <w:autoRedefine/>
    <w:qFormat/>
    <w:uiPriority w:val="0"/>
    <w:rPr>
      <w:rFonts w:ascii="宋体" w:eastAsia="宋体"/>
      <w:kern w:val="2"/>
      <w:sz w:val="24"/>
      <w:szCs w:val="24"/>
      <w:lang w:val="en-US" w:eastAsia="zh-CN" w:bidi="ar-SA"/>
    </w:rPr>
  </w:style>
  <w:style w:type="character" w:customStyle="1" w:styleId="62">
    <w:name w:val="正文文本缩进 Char1"/>
    <w:link w:val="63"/>
    <w:autoRedefine/>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autoRedefine/>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9"/>
    <w:autoRedefine/>
    <w:qFormat/>
    <w:uiPriority w:val="0"/>
    <w:rPr>
      <w:rFonts w:eastAsia="宋体"/>
      <w:kern w:val="2"/>
      <w:sz w:val="24"/>
      <w:szCs w:val="24"/>
      <w:lang w:val="en-US" w:eastAsia="zh-CN" w:bidi="ar-SA"/>
    </w:rPr>
  </w:style>
  <w:style w:type="character" w:customStyle="1" w:styleId="67">
    <w:name w:val="正文缩进 Char Char"/>
    <w:link w:val="68"/>
    <w:autoRedefine/>
    <w:qFormat/>
    <w:uiPriority w:val="0"/>
    <w:rPr>
      <w:rFonts w:ascii="宋体" w:eastAsia="宋体"/>
      <w:snapToGrid w:val="0"/>
      <w:color w:val="000000"/>
      <w:kern w:val="28"/>
      <w:sz w:val="28"/>
      <w:lang w:bidi="ar-SA"/>
    </w:rPr>
  </w:style>
  <w:style w:type="paragraph" w:customStyle="1" w:styleId="68">
    <w:name w:val="正文缩进1"/>
    <w:basedOn w:val="1"/>
    <w:link w:val="6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autoRedefine/>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autoRedefine/>
    <w:qFormat/>
    <w:uiPriority w:val="0"/>
    <w:rPr>
      <w:rFonts w:eastAsia="宋体"/>
      <w:b/>
      <w:bCs/>
      <w:kern w:val="2"/>
      <w:sz w:val="32"/>
      <w:szCs w:val="32"/>
      <w:lang w:val="en-US" w:eastAsia="zh-CN" w:bidi="ar-SA"/>
    </w:rPr>
  </w:style>
  <w:style w:type="character" w:customStyle="1" w:styleId="74">
    <w:name w:val="段1 Char"/>
    <w:autoRedefine/>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autoRedefine/>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autoRedefine/>
    <w:qFormat/>
    <w:uiPriority w:val="0"/>
    <w:rPr>
      <w:rFonts w:cs="Times New Roman"/>
    </w:rPr>
  </w:style>
  <w:style w:type="paragraph" w:customStyle="1" w:styleId="79">
    <w:name w:val="二级条标题"/>
    <w:basedOn w:val="80"/>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autoRedefine/>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autoRedefine/>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autoRedefine/>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autoRedefine/>
    <w:qFormat/>
    <w:uiPriority w:val="0"/>
    <w:rPr>
      <w:rFonts w:ascii="Tahoma" w:hAnsi="Tahoma"/>
      <w:sz w:val="24"/>
      <w:szCs w:val="20"/>
    </w:rPr>
  </w:style>
  <w:style w:type="paragraph" w:customStyle="1" w:styleId="9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autoRedefine/>
    <w:qFormat/>
    <w:uiPriority w:val="0"/>
    <w:pPr>
      <w:tabs>
        <w:tab w:val="left" w:pos="360"/>
      </w:tabs>
    </w:pPr>
    <w:rPr>
      <w:sz w:val="24"/>
    </w:rPr>
  </w:style>
  <w:style w:type="paragraph" w:customStyle="1" w:styleId="10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5"/>
    <w:autoRedefine/>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5">
    <w:name w:val="Char1 Char Char Char1"/>
    <w:basedOn w:val="1"/>
    <w:autoRedefine/>
    <w:qFormat/>
    <w:uiPriority w:val="0"/>
    <w:rPr>
      <w:rFonts w:ascii="Tahoma" w:hAnsi="Tahoma" w:cs="仿宋_GB2312"/>
      <w:sz w:val="24"/>
      <w:szCs w:val="28"/>
    </w:rPr>
  </w:style>
  <w:style w:type="paragraph" w:customStyle="1" w:styleId="116">
    <w:name w:val="四级条标题"/>
    <w:basedOn w:val="117"/>
    <w:next w:val="1"/>
    <w:autoRedefine/>
    <w:qFormat/>
    <w:uiPriority w:val="0"/>
    <w:pPr>
      <w:numPr>
        <w:ilvl w:val="4"/>
      </w:numPr>
      <w:tabs>
        <w:tab w:val="left" w:pos="360"/>
        <w:tab w:val="left" w:pos="840"/>
      </w:tabs>
      <w:ind w:left="0" w:hanging="840"/>
      <w:outlineLvl w:val="4"/>
    </w:pPr>
  </w:style>
  <w:style w:type="paragraph" w:customStyle="1" w:styleId="117">
    <w:name w:val="三级条标题"/>
    <w:basedOn w:val="79"/>
    <w:next w:val="1"/>
    <w:autoRedefine/>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autoRedefine/>
    <w:qFormat/>
    <w:uiPriority w:val="0"/>
    <w:pPr>
      <w:ind w:firstLine="420" w:firstLineChars="200"/>
    </w:pPr>
    <w:rPr>
      <w:rFonts w:ascii="Calibri" w:hAnsi="Calibri"/>
      <w:szCs w:val="22"/>
    </w:rPr>
  </w:style>
  <w:style w:type="paragraph" w:customStyle="1" w:styleId="121">
    <w:name w:val="项目符号1"/>
    <w:basedOn w:val="122"/>
    <w:autoRedefine/>
    <w:qFormat/>
    <w:uiPriority w:val="0"/>
    <w:pPr>
      <w:ind w:left="-25" w:firstLine="0"/>
    </w:pPr>
  </w:style>
  <w:style w:type="paragraph" w:customStyle="1" w:styleId="122">
    <w:name w:val="正文文本样式"/>
    <w:basedOn w:val="1"/>
    <w:autoRedefine/>
    <w:qFormat/>
    <w:uiPriority w:val="0"/>
    <w:pPr>
      <w:spacing w:line="360" w:lineRule="auto"/>
      <w:ind w:firstLine="482"/>
    </w:pPr>
    <w:rPr>
      <w:rFonts w:cs="宋体"/>
      <w:sz w:val="24"/>
      <w:szCs w:val="20"/>
    </w:rPr>
  </w:style>
  <w:style w:type="paragraph" w:customStyle="1" w:styleId="12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autoRedefine/>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autoRedefine/>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autoRedefine/>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autoRedefine/>
    <w:qFormat/>
    <w:uiPriority w:val="0"/>
    <w:rPr>
      <w:rFonts w:ascii="Tahoma" w:hAnsi="Tahoma"/>
      <w:sz w:val="24"/>
      <w:szCs w:val="20"/>
    </w:rPr>
  </w:style>
  <w:style w:type="paragraph" w:customStyle="1" w:styleId="135">
    <w:name w:val="Char Char Char Char Char Char Char Char Char Char"/>
    <w:basedOn w:val="1"/>
    <w:autoRedefine/>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autoRedefine/>
    <w:qFormat/>
    <w:uiPriority w:val="0"/>
    <w:rPr>
      <w:rFonts w:ascii="Tahoma" w:hAnsi="Tahoma"/>
      <w:sz w:val="24"/>
      <w:szCs w:val="20"/>
    </w:rPr>
  </w:style>
  <w:style w:type="paragraph" w:customStyle="1" w:styleId="14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autoRedefine/>
    <w:qFormat/>
    <w:uiPriority w:val="0"/>
    <w:pPr>
      <w:spacing w:line="360" w:lineRule="auto"/>
      <w:jc w:val="center"/>
    </w:pPr>
    <w:rPr>
      <w:sz w:val="24"/>
    </w:rPr>
  </w:style>
  <w:style w:type="paragraph" w:customStyle="1" w:styleId="15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autoRedefine/>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autoRedefine/>
    <w:qFormat/>
    <w:uiPriority w:val="0"/>
    <w:rPr>
      <w:rFonts w:ascii="Tahoma" w:hAnsi="Tahoma"/>
      <w:sz w:val="24"/>
      <w:szCs w:val="20"/>
    </w:rPr>
  </w:style>
  <w:style w:type="paragraph" w:customStyle="1" w:styleId="16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6"/>
    <w:autoRedefine/>
    <w:qFormat/>
    <w:uiPriority w:val="99"/>
    <w:rPr>
      <w:kern w:val="2"/>
      <w:sz w:val="21"/>
      <w:szCs w:val="24"/>
    </w:rPr>
  </w:style>
  <w:style w:type="paragraph" w:customStyle="1" w:styleId="182">
    <w:name w:val="标题1-附件"/>
    <w:basedOn w:val="3"/>
    <w:autoRedefine/>
    <w:qFormat/>
    <w:uiPriority w:val="0"/>
    <w:pPr>
      <w:jc w:val="left"/>
    </w:pPr>
    <w:rPr>
      <w:sz w:val="24"/>
      <w:szCs w:val="24"/>
    </w:rPr>
  </w:style>
  <w:style w:type="paragraph" w:customStyle="1" w:styleId="183">
    <w:name w:val="正文小标题"/>
    <w:basedOn w:val="1"/>
    <w:next w:val="5"/>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5"/>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39"/>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5"/>
    <w:link w:val="3"/>
    <w:autoRedefine/>
    <w:qFormat/>
    <w:uiPriority w:val="0"/>
    <w:rPr>
      <w:rFonts w:ascii="宋体"/>
      <w:b/>
      <w:kern w:val="44"/>
      <w:sz w:val="32"/>
    </w:rPr>
  </w:style>
  <w:style w:type="character" w:customStyle="1" w:styleId="229">
    <w:name w:val="标题 4 字符"/>
    <w:basedOn w:val="45"/>
    <w:link w:val="7"/>
    <w:autoRedefine/>
    <w:qFormat/>
    <w:uiPriority w:val="0"/>
    <w:rPr>
      <w:sz w:val="24"/>
    </w:rPr>
  </w:style>
  <w:style w:type="character" w:customStyle="1" w:styleId="230">
    <w:name w:val="标题 5 字符"/>
    <w:basedOn w:val="45"/>
    <w:link w:val="8"/>
    <w:autoRedefine/>
    <w:qFormat/>
    <w:uiPriority w:val="0"/>
    <w:rPr>
      <w:b/>
      <w:sz w:val="28"/>
    </w:rPr>
  </w:style>
  <w:style w:type="character" w:customStyle="1" w:styleId="231">
    <w:name w:val="标题 6 字符"/>
    <w:basedOn w:val="45"/>
    <w:link w:val="9"/>
    <w:autoRedefine/>
    <w:qFormat/>
    <w:uiPriority w:val="0"/>
    <w:rPr>
      <w:rFonts w:ascii="Arial" w:hAnsi="Arial" w:eastAsia="黑体"/>
      <w:b/>
      <w:sz w:val="24"/>
    </w:rPr>
  </w:style>
  <w:style w:type="character" w:customStyle="1" w:styleId="232">
    <w:name w:val="标题 7 字符"/>
    <w:basedOn w:val="45"/>
    <w:link w:val="10"/>
    <w:autoRedefine/>
    <w:qFormat/>
    <w:uiPriority w:val="0"/>
    <w:rPr>
      <w:b/>
      <w:sz w:val="24"/>
    </w:rPr>
  </w:style>
  <w:style w:type="character" w:customStyle="1" w:styleId="233">
    <w:name w:val="标题 8 字符"/>
    <w:basedOn w:val="45"/>
    <w:link w:val="11"/>
    <w:autoRedefine/>
    <w:qFormat/>
    <w:uiPriority w:val="0"/>
    <w:rPr>
      <w:rFonts w:ascii="Arial" w:hAnsi="Arial" w:eastAsia="黑体"/>
      <w:sz w:val="24"/>
    </w:rPr>
  </w:style>
  <w:style w:type="character" w:customStyle="1" w:styleId="234">
    <w:name w:val="标题 9 字符"/>
    <w:basedOn w:val="45"/>
    <w:link w:val="12"/>
    <w:autoRedefine/>
    <w:qFormat/>
    <w:uiPriority w:val="0"/>
    <w:rPr>
      <w:rFonts w:ascii="Arial" w:hAnsi="Arial" w:eastAsia="黑体"/>
      <w:sz w:val="21"/>
    </w:rPr>
  </w:style>
  <w:style w:type="character" w:customStyle="1" w:styleId="235">
    <w:name w:val="文档结构图 字符"/>
    <w:basedOn w:val="45"/>
    <w:link w:val="15"/>
    <w:autoRedefine/>
    <w:qFormat/>
    <w:uiPriority w:val="0"/>
    <w:rPr>
      <w:kern w:val="2"/>
      <w:sz w:val="21"/>
      <w:szCs w:val="24"/>
      <w:shd w:val="clear" w:color="auto" w:fill="000080"/>
    </w:rPr>
  </w:style>
  <w:style w:type="character" w:customStyle="1" w:styleId="236">
    <w:name w:val="正文文本 3 字符"/>
    <w:basedOn w:val="45"/>
    <w:link w:val="17"/>
    <w:autoRedefine/>
    <w:qFormat/>
    <w:uiPriority w:val="0"/>
    <w:rPr>
      <w:kern w:val="2"/>
      <w:sz w:val="16"/>
      <w:szCs w:val="16"/>
    </w:rPr>
  </w:style>
  <w:style w:type="character" w:customStyle="1" w:styleId="237">
    <w:name w:val="正文文本 字符"/>
    <w:basedOn w:val="45"/>
    <w:link w:val="18"/>
    <w:autoRedefine/>
    <w:qFormat/>
    <w:uiPriority w:val="0"/>
    <w:rPr>
      <w:rFonts w:ascii="宋体" w:hAnsi="宋体"/>
      <w:kern w:val="2"/>
      <w:sz w:val="24"/>
      <w:szCs w:val="24"/>
    </w:rPr>
  </w:style>
  <w:style w:type="character" w:customStyle="1" w:styleId="238">
    <w:name w:val="日期 字符"/>
    <w:basedOn w:val="45"/>
    <w:link w:val="25"/>
    <w:autoRedefine/>
    <w:qFormat/>
    <w:uiPriority w:val="0"/>
    <w:rPr>
      <w:rFonts w:ascii="仿宋_GB2312" w:hAnsi="宋体" w:eastAsia="仿宋_GB2312"/>
      <w:color w:val="000000"/>
      <w:kern w:val="2"/>
      <w:sz w:val="24"/>
      <w:szCs w:val="24"/>
    </w:rPr>
  </w:style>
  <w:style w:type="character" w:customStyle="1" w:styleId="239">
    <w:name w:val="正文文本缩进 2 字符"/>
    <w:basedOn w:val="45"/>
    <w:link w:val="26"/>
    <w:autoRedefine/>
    <w:qFormat/>
    <w:uiPriority w:val="0"/>
    <w:rPr>
      <w:rFonts w:ascii="仿宋_GB2312" w:eastAsia="仿宋_GB2312"/>
      <w:kern w:val="2"/>
      <w:sz w:val="24"/>
      <w:szCs w:val="24"/>
    </w:rPr>
  </w:style>
  <w:style w:type="character" w:customStyle="1" w:styleId="240">
    <w:name w:val="批注框文本 字符"/>
    <w:basedOn w:val="45"/>
    <w:link w:val="27"/>
    <w:autoRedefine/>
    <w:qFormat/>
    <w:uiPriority w:val="0"/>
    <w:rPr>
      <w:kern w:val="2"/>
      <w:sz w:val="18"/>
      <w:szCs w:val="18"/>
    </w:rPr>
  </w:style>
  <w:style w:type="character" w:customStyle="1" w:styleId="241">
    <w:name w:val="正文文本缩进 3 字符"/>
    <w:basedOn w:val="45"/>
    <w:link w:val="33"/>
    <w:autoRedefine/>
    <w:qFormat/>
    <w:uiPriority w:val="0"/>
    <w:rPr>
      <w:rFonts w:ascii="宋体"/>
      <w:sz w:val="24"/>
    </w:rPr>
  </w:style>
  <w:style w:type="character" w:customStyle="1" w:styleId="242">
    <w:name w:val="HTML 预设格式 字符"/>
    <w:basedOn w:val="45"/>
    <w:link w:val="36"/>
    <w:autoRedefine/>
    <w:qFormat/>
    <w:uiPriority w:val="0"/>
    <w:rPr>
      <w:rFonts w:ascii="宋体" w:hAnsi="宋体" w:cs="宋体"/>
      <w:sz w:val="24"/>
      <w:szCs w:val="24"/>
    </w:rPr>
  </w:style>
  <w:style w:type="character" w:customStyle="1" w:styleId="243">
    <w:name w:val="批注主题 字符"/>
    <w:basedOn w:val="193"/>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table" w:customStyle="1" w:styleId="246">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48">
    <w:name w:val="fontstyle01"/>
    <w:autoRedefine/>
    <w:qFormat/>
    <w:uiPriority w:val="0"/>
    <w:rPr>
      <w:rFonts w:hint="eastAsia" w:ascii="仿宋_GB2312" w:eastAsia="仿宋_GB2312"/>
      <w:color w:val="000000"/>
      <w:sz w:val="32"/>
      <w:szCs w:val="32"/>
    </w:rPr>
  </w:style>
  <w:style w:type="paragraph" w:customStyle="1" w:styleId="249">
    <w:name w:val="正文 A"/>
    <w:basedOn w:val="1"/>
    <w:autoRedefine/>
    <w:qFormat/>
    <w:uiPriority w:val="0"/>
    <w:rPr>
      <w:rFonts w:ascii="Arial Unicode MS" w:hAnsi="Arial Unicode MS" w:eastAsia="Times New Roman" w:cs="Times New Roman"/>
      <w:color w:val="000000"/>
      <w:szCs w:val="21"/>
      <w:u w:color="00000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5041</Words>
  <Characters>28734</Characters>
  <Lines>1</Lines>
  <Paragraphs>1</Paragraphs>
  <TotalTime>52</TotalTime>
  <ScaleCrop>false</ScaleCrop>
  <LinksUpToDate>false</LinksUpToDate>
  <CharactersWithSpaces>33708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xtdgc</cp:lastModifiedBy>
  <cp:lastPrinted>2023-12-27T02:17:00Z</cp:lastPrinted>
  <dcterms:modified xsi:type="dcterms:W3CDTF">2023-12-27T09:22:02Z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464EE5B087AA4BEDB732CDE9F20846BD_13</vt:lpwstr>
  </property>
</Properties>
</file>