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asciiTheme="minorEastAsia" w:hAnsiTheme="minorEastAsia" w:eastAsiaTheme="minorEastAsia"/>
          <w:sz w:val="36"/>
          <w:lang w:eastAsia="zh-CN"/>
        </w:rPr>
      </w:pPr>
    </w:p>
    <w:p>
      <w:pPr>
        <w:pStyle w:val="12"/>
        <w:spacing w:before="4"/>
        <w:rPr>
          <w:rFonts w:asciiTheme="minorEastAsia" w:hAnsiTheme="minorEastAsia" w:eastAsiaTheme="minorEastAsia"/>
          <w:sz w:val="38"/>
          <w:lang w:eastAsia="zh-CN"/>
        </w:rPr>
      </w:pPr>
    </w:p>
    <w:p>
      <w:pPr>
        <w:spacing w:line="778" w:lineRule="exact"/>
        <w:ind w:right="49"/>
        <w:jc w:val="center"/>
        <w:rPr>
          <w:rFonts w:hint="eastAsia" w:asciiTheme="minorEastAsia" w:hAnsiTheme="minorEastAsia" w:eastAsiaTheme="minorEastAsia"/>
          <w:spacing w:val="2"/>
          <w:sz w:val="56"/>
          <w:lang w:eastAsia="zh-CN"/>
        </w:rPr>
      </w:pPr>
      <w:r>
        <w:rPr>
          <w:rFonts w:hint="eastAsia" w:asciiTheme="minorEastAsia" w:hAnsiTheme="minorEastAsia" w:eastAsiaTheme="minorEastAsia"/>
          <w:spacing w:val="2"/>
          <w:sz w:val="56"/>
          <w:lang w:eastAsia="zh-CN"/>
        </w:rPr>
        <w:t>资产-防水改造工程</w:t>
      </w:r>
    </w:p>
    <w:p>
      <w:pPr>
        <w:spacing w:line="778" w:lineRule="exact"/>
        <w:ind w:right="49"/>
        <w:jc w:val="center"/>
        <w:rPr>
          <w:rFonts w:hint="eastAsia" w:asciiTheme="minorEastAsia" w:hAnsiTheme="minorEastAsia" w:eastAsiaTheme="minorEastAsia"/>
          <w:spacing w:val="2"/>
          <w:sz w:val="56"/>
          <w:lang w:eastAsia="zh-CN"/>
        </w:rPr>
      </w:pPr>
      <w:r>
        <w:rPr>
          <w:rFonts w:hint="eastAsia" w:asciiTheme="minorEastAsia" w:hAnsiTheme="minorEastAsia" w:eastAsiaTheme="minorEastAsia"/>
          <w:spacing w:val="2"/>
          <w:sz w:val="56"/>
          <w:lang w:eastAsia="zh-CN"/>
        </w:rPr>
        <w:t>竞争性磋商文件</w:t>
      </w:r>
    </w:p>
    <w:p>
      <w:pPr>
        <w:pStyle w:val="12"/>
        <w:rPr>
          <w:rFonts w:asciiTheme="minorEastAsia" w:hAnsiTheme="minorEastAsia" w:eastAsiaTheme="minorEastAsia"/>
          <w:sz w:val="70"/>
          <w:lang w:eastAsia="zh-CN"/>
        </w:rPr>
      </w:pPr>
    </w:p>
    <w:p>
      <w:pPr>
        <w:pStyle w:val="12"/>
        <w:spacing w:before="6"/>
        <w:rPr>
          <w:rFonts w:asciiTheme="minorEastAsia" w:hAnsiTheme="minorEastAsia" w:eastAsiaTheme="minorEastAsia"/>
          <w:sz w:val="89"/>
          <w:lang w:eastAsia="zh-CN"/>
        </w:rPr>
      </w:pPr>
    </w:p>
    <w:p>
      <w:pPr>
        <w:pStyle w:val="12"/>
        <w:spacing w:before="6"/>
        <w:rPr>
          <w:rFonts w:asciiTheme="minorEastAsia" w:hAnsiTheme="minorEastAsia" w:eastAsiaTheme="minorEastAsia"/>
          <w:sz w:val="89"/>
          <w:lang w:eastAsia="zh-CN"/>
        </w:rPr>
      </w:pPr>
    </w:p>
    <w:p>
      <w:pPr>
        <w:pStyle w:val="12"/>
        <w:spacing w:before="6"/>
        <w:rPr>
          <w:rFonts w:asciiTheme="minorEastAsia" w:hAnsiTheme="minorEastAsia" w:eastAsiaTheme="minorEastAsia"/>
          <w:sz w:val="89"/>
          <w:lang w:eastAsia="zh-CN"/>
        </w:rPr>
      </w:pPr>
    </w:p>
    <w:p>
      <w:pPr>
        <w:pStyle w:val="12"/>
        <w:spacing w:before="6"/>
        <w:rPr>
          <w:rFonts w:asciiTheme="minorEastAsia" w:hAnsiTheme="minorEastAsia" w:eastAsiaTheme="minorEastAsia"/>
          <w:sz w:val="89"/>
          <w:lang w:eastAsia="zh-CN"/>
        </w:rPr>
      </w:pPr>
    </w:p>
    <w:p>
      <w:pPr>
        <w:pStyle w:val="12"/>
        <w:spacing w:before="6"/>
        <w:rPr>
          <w:rFonts w:asciiTheme="minorEastAsia" w:hAnsiTheme="minorEastAsia" w:eastAsiaTheme="minorEastAsia"/>
          <w:sz w:val="89"/>
          <w:lang w:eastAsia="zh-CN"/>
        </w:rPr>
      </w:pPr>
    </w:p>
    <w:p>
      <w:pPr>
        <w:ind w:left="426"/>
        <w:rPr>
          <w:rFonts w:asciiTheme="minorEastAsia" w:hAnsiTheme="minorEastAsia" w:eastAsiaTheme="minorEastAsia"/>
          <w:sz w:val="36"/>
          <w:lang w:eastAsia="zh-CN"/>
        </w:rPr>
      </w:pPr>
      <w:r>
        <w:rPr>
          <w:rFonts w:asciiTheme="minorEastAsia" w:hAnsiTheme="minorEastAsia" w:eastAsiaTheme="minorEastAsia"/>
          <w:sz w:val="36"/>
          <w:lang w:eastAsia="zh-CN"/>
        </w:rPr>
        <w:t>项目名称：</w:t>
      </w:r>
      <w:r>
        <w:rPr>
          <w:rFonts w:hint="eastAsia" w:asciiTheme="minorEastAsia" w:hAnsiTheme="minorEastAsia" w:eastAsiaTheme="minorEastAsia"/>
          <w:sz w:val="36"/>
          <w:lang w:eastAsia="zh-CN"/>
        </w:rPr>
        <w:t>资产-防水改造工程</w:t>
      </w:r>
    </w:p>
    <w:p>
      <w:pPr>
        <w:spacing w:before="229" w:line="309" w:lineRule="auto"/>
        <w:ind w:left="426" w:right="-44" w:rightChars="0"/>
        <w:rPr>
          <w:rFonts w:hint="default" w:asciiTheme="minorEastAsia" w:hAnsiTheme="minorEastAsia" w:eastAsiaTheme="minorEastAsia"/>
          <w:sz w:val="36"/>
          <w:lang w:val="en-US" w:eastAsia="zh-CN"/>
        </w:rPr>
      </w:pPr>
      <w:r>
        <w:rPr>
          <w:rFonts w:asciiTheme="minorEastAsia" w:hAnsiTheme="minorEastAsia" w:eastAsiaTheme="minorEastAsia"/>
          <w:sz w:val="36"/>
          <w:lang w:eastAsia="zh-CN"/>
        </w:rPr>
        <w:t>项目编</w:t>
      </w:r>
      <w:r>
        <w:rPr>
          <w:rFonts w:asciiTheme="minorEastAsia" w:hAnsiTheme="minorEastAsia" w:eastAsiaTheme="minorEastAsia"/>
          <w:spacing w:val="-1"/>
          <w:sz w:val="36"/>
          <w:lang w:eastAsia="zh-CN"/>
        </w:rPr>
        <w:t>号</w:t>
      </w:r>
      <w:r>
        <w:rPr>
          <w:sz w:val="36"/>
          <w:szCs w:val="36"/>
          <w:lang w:eastAsia="zh-CN"/>
        </w:rPr>
        <w:t>/</w:t>
      </w:r>
      <w:r>
        <w:rPr>
          <w:rFonts w:asciiTheme="minorEastAsia" w:hAnsiTheme="minorEastAsia" w:eastAsiaTheme="minorEastAsia"/>
          <w:sz w:val="36"/>
          <w:lang w:eastAsia="zh-CN"/>
        </w:rPr>
        <w:t>包号：</w:t>
      </w:r>
      <w:r>
        <w:rPr>
          <w:rFonts w:asciiTheme="minorEastAsia" w:hAnsiTheme="minorEastAsia" w:eastAsiaTheme="minorEastAsia"/>
          <w:sz w:val="36"/>
          <w:lang w:eastAsia="zh-CN"/>
        </w:rPr>
        <w:fldChar w:fldCharType="begin"/>
      </w:r>
      <w:r>
        <w:rPr>
          <w:rFonts w:asciiTheme="minorEastAsia" w:hAnsiTheme="minorEastAsia" w:eastAsiaTheme="minorEastAsia"/>
          <w:sz w:val="36"/>
          <w:lang w:eastAsia="zh-CN"/>
        </w:rPr>
        <w:instrText xml:space="preserve"> HYPERLINK "http://219.232.204.193:8080/frontend/plan/project_detail.html?projectUuid=3092b88d-af88-4aea-995f-fe8c982339e1&amp;viewMode=placard" </w:instrText>
      </w:r>
      <w:r>
        <w:rPr>
          <w:rFonts w:asciiTheme="minorEastAsia" w:hAnsiTheme="minorEastAsia" w:eastAsiaTheme="minorEastAsia"/>
          <w:sz w:val="36"/>
          <w:lang w:eastAsia="zh-CN"/>
        </w:rPr>
        <w:fldChar w:fldCharType="separate"/>
      </w:r>
      <w:r>
        <w:rPr>
          <w:rFonts w:hint="default" w:asciiTheme="minorEastAsia" w:hAnsiTheme="minorEastAsia" w:eastAsiaTheme="minorEastAsia"/>
          <w:sz w:val="36"/>
          <w:lang w:eastAsia="zh-CN"/>
        </w:rPr>
        <w:t>11011324210200014111-XM001</w:t>
      </w:r>
      <w:r>
        <w:rPr>
          <w:rFonts w:hint="default" w:asciiTheme="minorEastAsia" w:hAnsiTheme="minorEastAsia" w:eastAsiaTheme="minorEastAsia"/>
          <w:sz w:val="36"/>
          <w:lang w:eastAsia="zh-CN"/>
        </w:rPr>
        <w:fldChar w:fldCharType="end"/>
      </w:r>
      <w:r>
        <w:rPr>
          <w:rFonts w:hint="eastAsia" w:asciiTheme="minorEastAsia" w:hAnsiTheme="minorEastAsia" w:eastAsiaTheme="minorEastAsia"/>
          <w:sz w:val="36"/>
          <w:lang w:val="en-US" w:eastAsia="zh-CN"/>
        </w:rPr>
        <w:t>/第一包</w:t>
      </w:r>
    </w:p>
    <w:p>
      <w:pPr>
        <w:tabs>
          <w:tab w:val="left" w:pos="3520"/>
        </w:tabs>
        <w:spacing w:before="229" w:line="309" w:lineRule="auto"/>
        <w:ind w:left="426" w:right="-44" w:rightChars="0"/>
        <w:rPr>
          <w:rFonts w:asciiTheme="minorEastAsia" w:hAnsiTheme="minorEastAsia" w:eastAsiaTheme="minorEastAsia"/>
          <w:sz w:val="36"/>
          <w:lang w:eastAsia="zh-CN"/>
        </w:rPr>
      </w:pPr>
      <w:r>
        <w:rPr>
          <w:rFonts w:asciiTheme="minorEastAsia" w:hAnsiTheme="minorEastAsia" w:eastAsiaTheme="minorEastAsia"/>
          <w:sz w:val="36"/>
          <w:lang w:eastAsia="zh-CN"/>
        </w:rPr>
        <w:t>采 购 人：北京市顺义区教育资产管理服务中心</w:t>
      </w:r>
    </w:p>
    <w:p>
      <w:pPr>
        <w:spacing w:before="125"/>
        <w:ind w:left="426"/>
        <w:rPr>
          <w:rFonts w:asciiTheme="minorEastAsia" w:hAnsiTheme="minorEastAsia" w:eastAsiaTheme="minorEastAsia"/>
          <w:sz w:val="36"/>
          <w:lang w:eastAsia="zh-CN"/>
        </w:rPr>
      </w:pPr>
      <w:r>
        <w:rPr>
          <w:rFonts w:asciiTheme="minorEastAsia" w:hAnsiTheme="minorEastAsia" w:eastAsiaTheme="minorEastAsia"/>
          <w:sz w:val="36"/>
          <w:lang w:eastAsia="zh-CN"/>
        </w:rPr>
        <w:t>采购代理机构：</w:t>
      </w:r>
      <w:r>
        <w:rPr>
          <w:rFonts w:hint="eastAsia"/>
          <w:bCs/>
          <w:sz w:val="36"/>
          <w:szCs w:val="36"/>
          <w:lang w:eastAsia="zh-CN"/>
        </w:rPr>
        <w:t>北京招竣建设工程咨询有限公司</w:t>
      </w:r>
    </w:p>
    <w:p>
      <w:pPr>
        <w:spacing w:before="125"/>
        <w:ind w:left="952"/>
        <w:rPr>
          <w:rFonts w:asciiTheme="minorEastAsia" w:hAnsiTheme="minorEastAsia" w:eastAsiaTheme="minorEastAsia"/>
          <w:sz w:val="36"/>
          <w:lang w:eastAsia="zh-CN"/>
        </w:rPr>
      </w:pPr>
    </w:p>
    <w:p>
      <w:pPr>
        <w:rPr>
          <w:rFonts w:asciiTheme="minorEastAsia" w:hAnsiTheme="minorEastAsia" w:eastAsiaTheme="minorEastAsia"/>
          <w:sz w:val="36"/>
          <w:lang w:eastAsia="zh-CN"/>
        </w:rPr>
        <w:sectPr>
          <w:pgSz w:w="11910" w:h="16840"/>
          <w:pgMar w:top="1440" w:right="1093" w:bottom="1440" w:left="1797" w:header="720" w:footer="720" w:gutter="0"/>
          <w:cols w:space="720" w:num="1"/>
        </w:sectPr>
      </w:pPr>
    </w:p>
    <w:p>
      <w:pPr>
        <w:pStyle w:val="12"/>
        <w:rPr>
          <w:rFonts w:asciiTheme="minorEastAsia" w:hAnsiTheme="minorEastAsia" w:eastAsiaTheme="minorEastAsia"/>
          <w:sz w:val="20"/>
          <w:lang w:eastAsia="zh-CN"/>
        </w:rPr>
      </w:pPr>
    </w:p>
    <w:p>
      <w:pPr>
        <w:rPr>
          <w:rFonts w:asciiTheme="minorEastAsia" w:hAnsiTheme="minorEastAsia" w:eastAsiaTheme="minorEastAsia"/>
          <w:lang w:eastAsia="zh-CN"/>
        </w:rPr>
      </w:pPr>
    </w:p>
    <w:sdt>
      <w:sdtPr>
        <w:rPr>
          <w:rFonts w:ascii="宋体" w:hAnsi="宋体" w:eastAsia="宋体" w:cs="宋体"/>
          <w:b w:val="0"/>
          <w:bCs w:val="0"/>
          <w:color w:val="auto"/>
          <w:sz w:val="22"/>
          <w:szCs w:val="22"/>
          <w:lang w:val="zh-CN" w:eastAsia="en-US"/>
        </w:rPr>
        <w:id w:val="-1684278046"/>
        <w:docPartObj>
          <w:docPartGallery w:val="Table of Contents"/>
          <w:docPartUnique/>
        </w:docPartObj>
      </w:sdtPr>
      <w:sdtEndPr>
        <w:rPr>
          <w:rFonts w:ascii="宋体" w:hAnsi="宋体" w:eastAsia="宋体" w:cs="宋体"/>
          <w:b w:val="0"/>
          <w:bCs w:val="0"/>
          <w:color w:val="auto"/>
          <w:sz w:val="22"/>
          <w:szCs w:val="22"/>
          <w:lang w:val="zh-CN" w:eastAsia="en-US"/>
        </w:rPr>
      </w:sdtEndPr>
      <w:sdtContent>
        <w:p>
          <w:pPr>
            <w:pStyle w:val="40"/>
            <w:jc w:val="center"/>
            <w:rPr>
              <w:sz w:val="40"/>
            </w:rPr>
          </w:pPr>
          <w:r>
            <w:rPr>
              <w:sz w:val="40"/>
              <w:lang w:val="zh-CN"/>
            </w:rPr>
            <w:t>目录</w:t>
          </w:r>
        </w:p>
        <w:p>
          <w:pPr>
            <w:pStyle w:val="19"/>
            <w:tabs>
              <w:tab w:val="right" w:leader="dot" w:pos="8306"/>
            </w:tabs>
            <w:spacing w:line="360" w:lineRule="auto"/>
            <w:ind w:left="119"/>
            <w:rPr>
              <w:rFonts w:asciiTheme="minorHAnsi" w:hAnsiTheme="minorHAnsi" w:eastAsiaTheme="minorEastAsia" w:cstheme="minorBidi"/>
              <w:kern w:val="2"/>
              <w:sz w:val="21"/>
              <w:szCs w:val="22"/>
              <w:lang w:eastAsia="zh-CN"/>
            </w:rPr>
          </w:pPr>
          <w:r>
            <w:fldChar w:fldCharType="begin"/>
          </w:r>
          <w:r>
            <w:instrText xml:space="preserve"> TOC \o "1-3" \h \z \u </w:instrText>
          </w:r>
          <w:r>
            <w:fldChar w:fldCharType="separate"/>
          </w:r>
          <w:r>
            <w:fldChar w:fldCharType="begin"/>
          </w:r>
          <w:r>
            <w:instrText xml:space="preserve"> HYPERLINK \l "_Toc164263440" </w:instrText>
          </w:r>
          <w:r>
            <w:fldChar w:fldCharType="separate"/>
          </w:r>
          <w:r>
            <w:rPr>
              <w:rStyle w:val="25"/>
              <w:rFonts w:hint="eastAsia" w:asciiTheme="minorEastAsia" w:hAnsiTheme="minorEastAsia"/>
              <w:b/>
              <w:lang w:eastAsia="zh-CN"/>
            </w:rPr>
            <w:t>第一章</w:t>
          </w:r>
          <w:r>
            <w:rPr>
              <w:rStyle w:val="25"/>
              <w:rFonts w:asciiTheme="minorEastAsia" w:hAnsiTheme="minorEastAsia"/>
              <w:b/>
              <w:lang w:eastAsia="zh-CN"/>
            </w:rPr>
            <w:t xml:space="preserve"> </w:t>
          </w:r>
          <w:r>
            <w:rPr>
              <w:rStyle w:val="25"/>
              <w:rFonts w:hint="eastAsia" w:asciiTheme="minorEastAsia" w:hAnsiTheme="minorEastAsia"/>
              <w:b/>
              <w:lang w:eastAsia="zh-CN"/>
            </w:rPr>
            <w:t>采购邀请</w:t>
          </w:r>
          <w:r>
            <w:tab/>
          </w:r>
          <w:r>
            <w:fldChar w:fldCharType="begin"/>
          </w:r>
          <w:r>
            <w:instrText xml:space="preserve"> PAGEREF _Toc164263440 \h </w:instrText>
          </w:r>
          <w:r>
            <w:fldChar w:fldCharType="separate"/>
          </w:r>
          <w:r>
            <w:t>1</w:t>
          </w:r>
          <w:r>
            <w:fldChar w:fldCharType="end"/>
          </w:r>
          <w:r>
            <w:fldChar w:fldCharType="end"/>
          </w:r>
        </w:p>
        <w:p>
          <w:pPr>
            <w:pStyle w:val="19"/>
            <w:tabs>
              <w:tab w:val="right" w:leader="dot" w:pos="8306"/>
            </w:tabs>
            <w:spacing w:line="360" w:lineRule="auto"/>
            <w:ind w:left="119"/>
            <w:rPr>
              <w:rFonts w:asciiTheme="minorHAnsi" w:hAnsiTheme="minorHAnsi" w:eastAsiaTheme="minorEastAsia" w:cstheme="minorBidi"/>
              <w:kern w:val="2"/>
              <w:sz w:val="21"/>
              <w:szCs w:val="22"/>
              <w:lang w:eastAsia="zh-CN"/>
            </w:rPr>
          </w:pPr>
          <w:r>
            <w:fldChar w:fldCharType="begin"/>
          </w:r>
          <w:r>
            <w:instrText xml:space="preserve"> HYPERLINK \l "_Toc164263449" </w:instrText>
          </w:r>
          <w:r>
            <w:fldChar w:fldCharType="separate"/>
          </w:r>
          <w:r>
            <w:rPr>
              <w:rStyle w:val="25"/>
              <w:rFonts w:hint="eastAsia" w:asciiTheme="minorEastAsia" w:hAnsiTheme="minorEastAsia"/>
              <w:b/>
              <w:lang w:eastAsia="zh-CN"/>
            </w:rPr>
            <w:t>第二章供应商须知</w:t>
          </w:r>
          <w:r>
            <w:tab/>
          </w:r>
          <w:r>
            <w:fldChar w:fldCharType="begin"/>
          </w:r>
          <w:r>
            <w:instrText xml:space="preserve"> PAGEREF _Toc164263449 \h </w:instrText>
          </w:r>
          <w:r>
            <w:fldChar w:fldCharType="separate"/>
          </w:r>
          <w:r>
            <w:t>6</w:t>
          </w:r>
          <w:r>
            <w:fldChar w:fldCharType="end"/>
          </w:r>
          <w:r>
            <w:fldChar w:fldCharType="end"/>
          </w:r>
        </w:p>
        <w:p>
          <w:pPr>
            <w:pStyle w:val="19"/>
            <w:tabs>
              <w:tab w:val="right" w:leader="dot" w:pos="8306"/>
            </w:tabs>
            <w:spacing w:line="360" w:lineRule="auto"/>
            <w:ind w:left="119"/>
            <w:rPr>
              <w:rFonts w:asciiTheme="minorHAnsi" w:hAnsiTheme="minorHAnsi" w:eastAsiaTheme="minorEastAsia" w:cstheme="minorBidi"/>
              <w:kern w:val="2"/>
              <w:sz w:val="21"/>
              <w:szCs w:val="22"/>
              <w:lang w:eastAsia="zh-CN"/>
            </w:rPr>
          </w:pPr>
          <w:r>
            <w:fldChar w:fldCharType="begin"/>
          </w:r>
          <w:r>
            <w:instrText xml:space="preserve"> HYPERLINK \l "_Toc164263458" </w:instrText>
          </w:r>
          <w:r>
            <w:fldChar w:fldCharType="separate"/>
          </w:r>
          <w:r>
            <w:rPr>
              <w:rStyle w:val="25"/>
              <w:rFonts w:hint="eastAsia" w:asciiTheme="minorEastAsia" w:hAnsiTheme="minorEastAsia"/>
              <w:b/>
              <w:lang w:eastAsia="zh-CN"/>
            </w:rPr>
            <w:t>第三章评审方法和评审标准</w:t>
          </w:r>
          <w:r>
            <w:tab/>
          </w:r>
          <w:r>
            <w:fldChar w:fldCharType="begin"/>
          </w:r>
          <w:r>
            <w:instrText xml:space="preserve"> PAGEREF _Toc164263458 \h </w:instrText>
          </w:r>
          <w:r>
            <w:fldChar w:fldCharType="separate"/>
          </w:r>
          <w:r>
            <w:t>22</w:t>
          </w:r>
          <w:r>
            <w:fldChar w:fldCharType="end"/>
          </w:r>
          <w:r>
            <w:fldChar w:fldCharType="end"/>
          </w:r>
        </w:p>
        <w:p>
          <w:pPr>
            <w:pStyle w:val="19"/>
            <w:tabs>
              <w:tab w:val="right" w:leader="dot" w:pos="8306"/>
            </w:tabs>
            <w:spacing w:line="360" w:lineRule="auto"/>
            <w:ind w:left="119"/>
            <w:rPr>
              <w:rFonts w:asciiTheme="minorHAnsi" w:hAnsiTheme="minorHAnsi" w:eastAsiaTheme="minorEastAsia" w:cstheme="minorBidi"/>
              <w:kern w:val="2"/>
              <w:sz w:val="21"/>
              <w:szCs w:val="22"/>
              <w:lang w:eastAsia="zh-CN"/>
            </w:rPr>
          </w:pPr>
          <w:r>
            <w:fldChar w:fldCharType="begin"/>
          </w:r>
          <w:r>
            <w:instrText xml:space="preserve"> HYPERLINK \l "_Toc164263463" </w:instrText>
          </w:r>
          <w:r>
            <w:fldChar w:fldCharType="separate"/>
          </w:r>
          <w:r>
            <w:rPr>
              <w:rStyle w:val="25"/>
              <w:rFonts w:hint="eastAsia" w:asciiTheme="minorEastAsia" w:hAnsiTheme="minorEastAsia"/>
              <w:b/>
              <w:lang w:eastAsia="zh-CN"/>
            </w:rPr>
            <w:t>第四章采购需求</w:t>
          </w:r>
          <w:r>
            <w:tab/>
          </w:r>
          <w:r>
            <w:fldChar w:fldCharType="begin"/>
          </w:r>
          <w:r>
            <w:instrText xml:space="preserve"> PAGEREF _Toc164263463 \h </w:instrText>
          </w:r>
          <w:r>
            <w:fldChar w:fldCharType="separate"/>
          </w:r>
          <w:r>
            <w:t>30</w:t>
          </w:r>
          <w:r>
            <w:fldChar w:fldCharType="end"/>
          </w:r>
          <w:r>
            <w:fldChar w:fldCharType="end"/>
          </w:r>
        </w:p>
        <w:p>
          <w:pPr>
            <w:pStyle w:val="19"/>
            <w:tabs>
              <w:tab w:val="right" w:leader="dot" w:pos="8306"/>
            </w:tabs>
            <w:spacing w:line="360" w:lineRule="auto"/>
            <w:ind w:left="119"/>
            <w:rPr>
              <w:rFonts w:asciiTheme="minorHAnsi" w:hAnsiTheme="minorHAnsi" w:eastAsiaTheme="minorEastAsia" w:cstheme="minorBidi"/>
              <w:kern w:val="2"/>
              <w:sz w:val="21"/>
              <w:szCs w:val="22"/>
              <w:lang w:eastAsia="zh-CN"/>
            </w:rPr>
          </w:pPr>
          <w:r>
            <w:fldChar w:fldCharType="begin"/>
          </w:r>
          <w:r>
            <w:instrText xml:space="preserve"> HYPERLINK \l "_Toc164263464" </w:instrText>
          </w:r>
          <w:r>
            <w:fldChar w:fldCharType="separate"/>
          </w:r>
          <w:r>
            <w:rPr>
              <w:rStyle w:val="25"/>
              <w:rFonts w:hint="eastAsia" w:asciiTheme="minorEastAsia" w:hAnsiTheme="minorEastAsia"/>
              <w:b/>
              <w:lang w:eastAsia="zh-CN"/>
            </w:rPr>
            <w:t>第五章合同草案条款</w:t>
          </w:r>
          <w:r>
            <w:tab/>
          </w:r>
          <w:r>
            <w:fldChar w:fldCharType="begin"/>
          </w:r>
          <w:r>
            <w:instrText xml:space="preserve"> PAGEREF _Toc164263464 \h </w:instrText>
          </w:r>
          <w:r>
            <w:fldChar w:fldCharType="separate"/>
          </w:r>
          <w:r>
            <w:t>32</w:t>
          </w:r>
          <w:r>
            <w:fldChar w:fldCharType="end"/>
          </w:r>
          <w:r>
            <w:fldChar w:fldCharType="end"/>
          </w:r>
        </w:p>
        <w:p>
          <w:pPr>
            <w:pStyle w:val="19"/>
            <w:tabs>
              <w:tab w:val="right" w:leader="dot" w:pos="8306"/>
            </w:tabs>
            <w:spacing w:line="360" w:lineRule="auto"/>
            <w:ind w:left="119"/>
            <w:rPr>
              <w:rFonts w:asciiTheme="minorHAnsi" w:hAnsiTheme="minorHAnsi" w:eastAsiaTheme="minorEastAsia" w:cstheme="minorBidi"/>
              <w:kern w:val="2"/>
              <w:sz w:val="21"/>
              <w:szCs w:val="22"/>
              <w:lang w:eastAsia="zh-CN"/>
            </w:rPr>
          </w:pPr>
          <w:r>
            <w:fldChar w:fldCharType="begin"/>
          </w:r>
          <w:r>
            <w:instrText xml:space="preserve"> HYPERLINK \l "_Toc164263465" </w:instrText>
          </w:r>
          <w:r>
            <w:fldChar w:fldCharType="separate"/>
          </w:r>
          <w:r>
            <w:rPr>
              <w:rStyle w:val="25"/>
              <w:rFonts w:hint="eastAsia" w:asciiTheme="minorEastAsia" w:hAnsiTheme="minorEastAsia"/>
              <w:b/>
              <w:lang w:eastAsia="zh-CN"/>
            </w:rPr>
            <w:t>第六章响应文件格式</w:t>
          </w:r>
          <w:r>
            <w:tab/>
          </w:r>
          <w:r>
            <w:fldChar w:fldCharType="begin"/>
          </w:r>
          <w:r>
            <w:instrText xml:space="preserve"> PAGEREF _Toc164263465 \h </w:instrText>
          </w:r>
          <w:r>
            <w:fldChar w:fldCharType="separate"/>
          </w:r>
          <w:r>
            <w:t>34</w:t>
          </w:r>
          <w:r>
            <w:fldChar w:fldCharType="end"/>
          </w:r>
          <w:r>
            <w:fldChar w:fldCharType="end"/>
          </w:r>
        </w:p>
        <w:p>
          <w:r>
            <w:rPr>
              <w:b/>
              <w:bCs/>
              <w:lang w:val="zh-CN"/>
            </w:rPr>
            <w:fldChar w:fldCharType="end"/>
          </w:r>
        </w:p>
      </w:sdtContent>
    </w:sdt>
    <w:p>
      <w:pPr>
        <w:rPr>
          <w:rFonts w:asciiTheme="minorEastAsia" w:hAnsiTheme="minorEastAsia" w:eastAsiaTheme="minorEastAsia"/>
          <w:lang w:eastAsia="zh-CN"/>
        </w:rPr>
      </w:pPr>
    </w:p>
    <w:p>
      <w:pPr>
        <w:rPr>
          <w:rFonts w:asciiTheme="minorEastAsia" w:hAnsiTheme="minorEastAsia" w:eastAsiaTheme="minorEastAsia"/>
          <w:lang w:eastAsia="zh-CN"/>
        </w:rPr>
      </w:pPr>
    </w:p>
    <w:p>
      <w:pPr>
        <w:rPr>
          <w:rFonts w:asciiTheme="minorEastAsia" w:hAnsiTheme="minorEastAsia" w:eastAsiaTheme="minorEastAsia"/>
          <w:lang w:eastAsia="zh-CN"/>
        </w:rPr>
        <w:sectPr>
          <w:headerReference r:id="rId3" w:type="default"/>
          <w:pgSz w:w="11910" w:h="16840"/>
          <w:pgMar w:top="1440" w:right="1797" w:bottom="1440" w:left="1797" w:header="879" w:footer="0" w:gutter="0"/>
          <w:cols w:space="720" w:num="1"/>
        </w:sectPr>
      </w:pPr>
    </w:p>
    <w:p>
      <w:pPr>
        <w:pStyle w:val="3"/>
        <w:tabs>
          <w:tab w:val="left" w:pos="1670"/>
        </w:tabs>
        <w:spacing w:before="246"/>
        <w:ind w:left="48"/>
        <w:jc w:val="center"/>
        <w:rPr>
          <w:rFonts w:asciiTheme="minorEastAsia" w:hAnsiTheme="minorEastAsia" w:eastAsiaTheme="minorEastAsia"/>
          <w:b/>
          <w:lang w:eastAsia="zh-CN"/>
        </w:rPr>
      </w:pPr>
      <w:bookmarkStart w:id="0" w:name="_Toc164263440"/>
      <w:r>
        <w:rPr>
          <w:rFonts w:asciiTheme="minorEastAsia" w:hAnsiTheme="minorEastAsia" w:eastAsiaTheme="minorEastAsia"/>
          <w:b/>
          <w:lang w:eastAsia="zh-CN"/>
        </w:rPr>
        <w:t>第一章</w:t>
      </w:r>
      <w:r>
        <w:rPr>
          <w:rFonts w:hint="eastAsia" w:asciiTheme="minorEastAsia" w:hAnsiTheme="minorEastAsia" w:eastAsiaTheme="minorEastAsia"/>
          <w:b/>
          <w:lang w:eastAsia="zh-CN"/>
        </w:rPr>
        <w:t xml:space="preserve"> </w:t>
      </w:r>
      <w:r>
        <w:rPr>
          <w:rFonts w:asciiTheme="minorEastAsia" w:hAnsiTheme="minorEastAsia" w:eastAsiaTheme="minorEastAsia"/>
          <w:b/>
          <w:lang w:eastAsia="zh-CN"/>
        </w:rPr>
        <w:t>采购邀请</w:t>
      </w:r>
      <w:bookmarkEnd w:id="0"/>
    </w:p>
    <w:p>
      <w:pPr>
        <w:rPr>
          <w:lang w:eastAsia="zh-CN"/>
        </w:rPr>
      </w:pPr>
    </w:p>
    <w:p>
      <w:pPr>
        <w:pBdr>
          <w:top w:val="single" w:color="auto" w:sz="4" w:space="1"/>
          <w:left w:val="single" w:color="auto" w:sz="4" w:space="4"/>
          <w:bottom w:val="single" w:color="auto" w:sz="4" w:space="1"/>
          <w:right w:val="single" w:color="auto" w:sz="4" w:space="4"/>
        </w:pBdr>
        <w:wordWrap w:val="0"/>
        <w:spacing w:line="360" w:lineRule="auto"/>
        <w:ind w:firstLine="480" w:firstLineChars="200"/>
        <w:rPr>
          <w:sz w:val="24"/>
          <w:lang w:eastAsia="zh-CN"/>
        </w:rPr>
      </w:pPr>
      <w:r>
        <w:rPr>
          <w:rFonts w:hint="eastAsia"/>
          <w:sz w:val="24"/>
          <w:lang w:eastAsia="zh-CN"/>
        </w:rPr>
        <w:t>项目概况</w:t>
      </w:r>
    </w:p>
    <w:p>
      <w:pPr>
        <w:pBdr>
          <w:top w:val="single" w:color="auto" w:sz="4" w:space="1"/>
          <w:left w:val="single" w:color="auto" w:sz="4" w:space="4"/>
          <w:bottom w:val="single" w:color="auto" w:sz="4" w:space="1"/>
          <w:right w:val="single" w:color="auto" w:sz="4" w:space="4"/>
        </w:pBdr>
        <w:wordWrap w:val="0"/>
        <w:spacing w:line="360" w:lineRule="auto"/>
        <w:ind w:firstLine="840" w:firstLineChars="350"/>
        <w:rPr>
          <w:sz w:val="24"/>
          <w:lang w:eastAsia="zh-CN"/>
        </w:rPr>
      </w:pPr>
      <w:r>
        <w:rPr>
          <w:rFonts w:hint="eastAsia"/>
          <w:sz w:val="24"/>
          <w:u w:val="single"/>
          <w:lang w:eastAsia="zh-CN"/>
        </w:rPr>
        <w:t xml:space="preserve"> 资产-防水改造工程项目的潜在供应商应在北京市政府采购电子交易平台获取磋商文件，并于2024年</w:t>
      </w:r>
      <w:r>
        <w:rPr>
          <w:rFonts w:hint="eastAsia"/>
          <w:sz w:val="24"/>
          <w:u w:val="single"/>
          <w:lang w:val="en-US" w:eastAsia="zh-CN"/>
        </w:rPr>
        <w:t>05</w:t>
      </w:r>
      <w:r>
        <w:rPr>
          <w:rFonts w:hint="eastAsia"/>
          <w:sz w:val="24"/>
          <w:u w:val="single"/>
          <w:lang w:eastAsia="zh-CN"/>
        </w:rPr>
        <w:t>月</w:t>
      </w:r>
      <w:r>
        <w:rPr>
          <w:rFonts w:hint="eastAsia"/>
          <w:sz w:val="24"/>
          <w:u w:val="single"/>
          <w:lang w:val="en-US" w:eastAsia="zh-CN"/>
        </w:rPr>
        <w:t>23</w:t>
      </w:r>
      <w:r>
        <w:rPr>
          <w:rFonts w:hint="eastAsia"/>
          <w:sz w:val="24"/>
          <w:u w:val="single"/>
          <w:lang w:eastAsia="zh-CN"/>
        </w:rPr>
        <w:t>日9点30分（北京时间）前提交响应文件</w:t>
      </w:r>
      <w:r>
        <w:rPr>
          <w:rFonts w:hint="eastAsia"/>
          <w:sz w:val="24"/>
          <w:lang w:eastAsia="zh-CN"/>
        </w:rPr>
        <w:t>。</w:t>
      </w:r>
    </w:p>
    <w:p>
      <w:pPr>
        <w:pStyle w:val="5"/>
        <w:jc w:val="left"/>
        <w:rPr>
          <w:rFonts w:asciiTheme="minorEastAsia" w:hAnsiTheme="minorEastAsia" w:eastAsiaTheme="minorEastAsia"/>
          <w:b/>
          <w:lang w:eastAsia="zh-CN"/>
        </w:rPr>
      </w:pPr>
      <w:bookmarkStart w:id="1" w:name="_Toc164263441"/>
      <w:r>
        <w:rPr>
          <w:rFonts w:asciiTheme="minorEastAsia" w:hAnsiTheme="minorEastAsia" w:eastAsiaTheme="minorEastAsia"/>
          <w:b/>
          <w:lang w:eastAsia="zh-CN"/>
        </w:rPr>
        <w:t>一、项目基本情况</w:t>
      </w:r>
      <w:bookmarkEnd w:id="1"/>
    </w:p>
    <w:p>
      <w:pPr>
        <w:pStyle w:val="12"/>
        <w:tabs>
          <w:tab w:val="left" w:pos="3742"/>
        </w:tabs>
        <w:spacing w:before="154" w:line="360" w:lineRule="auto"/>
        <w:ind w:left="703"/>
        <w:rPr>
          <w:rFonts w:asciiTheme="minorEastAsia" w:hAnsiTheme="minorEastAsia" w:eastAsiaTheme="minorEastAsia"/>
          <w:lang w:eastAsia="zh-CN"/>
        </w:rPr>
      </w:pPr>
      <w:r>
        <w:rPr>
          <w:rFonts w:asciiTheme="minorEastAsia" w:hAnsiTheme="minorEastAsia" w:eastAsiaTheme="minorEastAsia"/>
          <w:w w:val="105"/>
          <w:lang w:eastAsia="zh-CN"/>
        </w:rPr>
        <w:t>1.项目编号：</w:t>
      </w:r>
      <w:r>
        <w:rPr>
          <w:rFonts w:hint="eastAsia" w:asciiTheme="minorEastAsia" w:hAnsiTheme="minorEastAsia" w:eastAsiaTheme="minorEastAsia"/>
          <w:w w:val="105"/>
          <w:u w:val="single"/>
          <w:lang w:eastAsia="zh-CN"/>
        </w:rPr>
        <w:t xml:space="preserve"> </w:t>
      </w:r>
      <w:r>
        <w:rPr>
          <w:rFonts w:hint="eastAsia" w:asciiTheme="minorEastAsia" w:hAnsiTheme="minorEastAsia" w:eastAsiaTheme="minorEastAsia"/>
          <w:w w:val="105"/>
          <w:u w:val="single"/>
          <w:lang w:eastAsia="zh-CN"/>
        </w:rPr>
        <w:fldChar w:fldCharType="begin"/>
      </w:r>
      <w:r>
        <w:rPr>
          <w:rFonts w:hint="eastAsia" w:asciiTheme="minorEastAsia" w:hAnsiTheme="minorEastAsia" w:eastAsiaTheme="minorEastAsia"/>
          <w:w w:val="105"/>
          <w:u w:val="single"/>
          <w:lang w:eastAsia="zh-CN"/>
        </w:rPr>
        <w:instrText xml:space="preserve"> HYPERLINK "http://219.232.204.193:8080/frontend/plan/project_detail.html?projectUuid=3092b88d-af88-4aea-995f-fe8c982339e1&amp;viewMode=placard" </w:instrText>
      </w:r>
      <w:r>
        <w:rPr>
          <w:rFonts w:hint="eastAsia" w:asciiTheme="minorEastAsia" w:hAnsiTheme="minorEastAsia" w:eastAsiaTheme="minorEastAsia"/>
          <w:w w:val="105"/>
          <w:u w:val="single"/>
          <w:lang w:eastAsia="zh-CN"/>
        </w:rPr>
        <w:fldChar w:fldCharType="separate"/>
      </w:r>
      <w:r>
        <w:rPr>
          <w:rFonts w:hint="eastAsia" w:asciiTheme="minorEastAsia" w:hAnsiTheme="minorEastAsia" w:eastAsiaTheme="minorEastAsia"/>
          <w:w w:val="105"/>
          <w:u w:val="single"/>
          <w:lang w:eastAsia="zh-CN"/>
        </w:rPr>
        <w:t>11011324210200014111-XM001</w:t>
      </w:r>
      <w:r>
        <w:rPr>
          <w:rFonts w:hint="eastAsia" w:asciiTheme="minorEastAsia" w:hAnsiTheme="minorEastAsia" w:eastAsiaTheme="minorEastAsia"/>
          <w:w w:val="105"/>
          <w:u w:val="single"/>
          <w:lang w:eastAsia="zh-CN"/>
        </w:rPr>
        <w:fldChar w:fldCharType="end"/>
      </w:r>
      <w:r>
        <w:rPr>
          <w:rFonts w:hint="eastAsia" w:asciiTheme="minorEastAsia" w:hAnsiTheme="minorEastAsia" w:eastAsiaTheme="minorEastAsia"/>
          <w:w w:val="105"/>
          <w:u w:val="single"/>
          <w:lang w:eastAsia="zh-CN"/>
        </w:rPr>
        <w:t xml:space="preserve"> </w:t>
      </w:r>
    </w:p>
    <w:p>
      <w:pPr>
        <w:pStyle w:val="12"/>
        <w:tabs>
          <w:tab w:val="left" w:pos="3742"/>
        </w:tabs>
        <w:spacing w:before="137" w:line="360" w:lineRule="auto"/>
        <w:ind w:left="703"/>
        <w:rPr>
          <w:rFonts w:asciiTheme="minorEastAsia" w:hAnsiTheme="minorEastAsia" w:eastAsiaTheme="minorEastAsia"/>
          <w:lang w:eastAsia="zh-CN"/>
        </w:rPr>
      </w:pPr>
      <w:r>
        <w:rPr>
          <w:rFonts w:asciiTheme="minorEastAsia" w:hAnsiTheme="minorEastAsia" w:eastAsiaTheme="minorEastAsia"/>
          <w:w w:val="105"/>
          <w:lang w:eastAsia="zh-CN"/>
        </w:rPr>
        <w:t>2.项目名称：</w:t>
      </w:r>
      <w:r>
        <w:rPr>
          <w:rFonts w:hint="eastAsia" w:asciiTheme="minorEastAsia" w:hAnsiTheme="minorEastAsia" w:eastAsiaTheme="minorEastAsia"/>
          <w:w w:val="105"/>
          <w:u w:val="single"/>
          <w:lang w:eastAsia="zh-CN"/>
        </w:rPr>
        <w:t>资产-防水改造工程</w:t>
      </w:r>
    </w:p>
    <w:p>
      <w:pPr>
        <w:pStyle w:val="12"/>
        <w:spacing w:before="134" w:line="360" w:lineRule="auto"/>
        <w:ind w:left="703"/>
        <w:rPr>
          <w:rFonts w:asciiTheme="minorEastAsia" w:hAnsiTheme="minorEastAsia" w:eastAsiaTheme="minorEastAsia"/>
          <w:lang w:eastAsia="zh-CN"/>
        </w:rPr>
      </w:pPr>
      <w:r>
        <w:rPr>
          <w:rFonts w:asciiTheme="minorEastAsia" w:hAnsiTheme="minorEastAsia" w:eastAsiaTheme="minorEastAsia"/>
          <w:lang w:eastAsia="zh-CN"/>
        </w:rPr>
        <w:t>3.采购方式：竞争性磋商</w:t>
      </w:r>
    </w:p>
    <w:p>
      <w:pPr>
        <w:pStyle w:val="12"/>
        <w:tabs>
          <w:tab w:val="left" w:pos="3449"/>
          <w:tab w:val="left" w:pos="7529"/>
        </w:tabs>
        <w:spacing w:before="134" w:line="360" w:lineRule="auto"/>
        <w:ind w:left="703"/>
        <w:rPr>
          <w:rFonts w:asciiTheme="minorEastAsia" w:hAnsiTheme="minorEastAsia" w:eastAsiaTheme="minorEastAsia"/>
          <w:lang w:eastAsia="zh-CN"/>
        </w:rPr>
      </w:pPr>
      <w:r>
        <w:rPr>
          <w:rFonts w:asciiTheme="minorEastAsia" w:hAnsiTheme="minorEastAsia" w:eastAsiaTheme="minorEastAsia"/>
          <w:spacing w:val="-2"/>
          <w:w w:val="114"/>
          <w:lang w:eastAsia="zh-CN"/>
        </w:rPr>
        <w:t>4</w:t>
      </w:r>
      <w:r>
        <w:rPr>
          <w:rFonts w:asciiTheme="minorEastAsia" w:hAnsiTheme="minorEastAsia" w:eastAsiaTheme="minorEastAsia"/>
          <w:w w:val="114"/>
          <w:lang w:eastAsia="zh-CN"/>
        </w:rPr>
        <w:t>.</w:t>
      </w:r>
      <w:r>
        <w:rPr>
          <w:rFonts w:asciiTheme="minorEastAsia" w:hAnsiTheme="minorEastAsia" w:eastAsiaTheme="minorEastAsia"/>
          <w:lang w:eastAsia="zh-CN"/>
        </w:rPr>
        <w:t>项目预算金额：</w:t>
      </w:r>
      <w:r>
        <w:rPr>
          <w:rFonts w:hint="eastAsia" w:asciiTheme="minorEastAsia" w:hAnsiTheme="minorEastAsia" w:eastAsiaTheme="minorEastAsia"/>
          <w:u w:val="single"/>
          <w:lang w:val="en-US" w:eastAsia="zh-CN"/>
        </w:rPr>
        <w:t>1428.300681</w:t>
      </w:r>
      <w:r>
        <w:rPr>
          <w:rFonts w:asciiTheme="minorEastAsia" w:hAnsiTheme="minorEastAsia" w:eastAsiaTheme="minorEastAsia"/>
          <w:lang w:eastAsia="zh-CN"/>
        </w:rPr>
        <w:t>万元</w:t>
      </w:r>
    </w:p>
    <w:p>
      <w:pPr>
        <w:pStyle w:val="12"/>
        <w:tabs>
          <w:tab w:val="left" w:pos="3449"/>
          <w:tab w:val="left" w:pos="7529"/>
        </w:tabs>
        <w:spacing w:before="134" w:line="360" w:lineRule="auto"/>
        <w:ind w:left="703"/>
        <w:rPr>
          <w:rFonts w:asciiTheme="minorEastAsia" w:hAnsiTheme="minorEastAsia" w:eastAsiaTheme="minorEastAsia"/>
          <w:lang w:eastAsia="zh-CN"/>
        </w:rPr>
      </w:pPr>
      <w:r>
        <w:rPr>
          <w:rFonts w:asciiTheme="minorEastAsia" w:hAnsiTheme="minorEastAsia" w:eastAsiaTheme="minorEastAsia"/>
          <w:lang w:eastAsia="zh-CN"/>
        </w:rPr>
        <w:t>项目最高限价（如有）：</w:t>
      </w:r>
      <w:r>
        <w:rPr>
          <w:rFonts w:hint="eastAsia" w:asciiTheme="minorEastAsia" w:hAnsiTheme="minorEastAsia" w:eastAsiaTheme="minorEastAsia"/>
          <w:u w:val="single"/>
          <w:lang w:val="en-US" w:eastAsia="zh-CN"/>
        </w:rPr>
        <w:t>1428.300681</w:t>
      </w:r>
      <w:r>
        <w:rPr>
          <w:rFonts w:asciiTheme="minorEastAsia" w:hAnsiTheme="minorEastAsia" w:eastAsiaTheme="minorEastAsia"/>
          <w:lang w:eastAsia="zh-CN"/>
        </w:rPr>
        <w:t>万元</w:t>
      </w:r>
    </w:p>
    <w:p>
      <w:pPr>
        <w:pStyle w:val="12"/>
        <w:spacing w:before="137" w:line="360" w:lineRule="auto"/>
        <w:ind w:left="703"/>
        <w:rPr>
          <w:rFonts w:asciiTheme="minorEastAsia" w:hAnsiTheme="minorEastAsia" w:eastAsiaTheme="minorEastAsia"/>
        </w:rPr>
      </w:pPr>
      <w:r>
        <w:rPr>
          <w:rFonts w:asciiTheme="minorEastAsia" w:hAnsiTheme="minorEastAsia" w:eastAsiaTheme="minorEastAsia"/>
          <w:w w:val="105"/>
        </w:rPr>
        <w:t>5.采购需求：</w:t>
      </w:r>
    </w:p>
    <w:p>
      <w:pPr>
        <w:pStyle w:val="12"/>
        <w:spacing w:before="3" w:after="1"/>
        <w:rPr>
          <w:rFonts w:asciiTheme="minorEastAsia" w:hAnsiTheme="minorEastAsia" w:eastAsiaTheme="minorEastAsia"/>
          <w:sz w:val="13"/>
        </w:rPr>
      </w:pPr>
    </w:p>
    <w:tbl>
      <w:tblPr>
        <w:tblStyle w:val="28"/>
        <w:tblW w:w="92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2139"/>
        <w:gridCol w:w="2010"/>
        <w:gridCol w:w="855"/>
        <w:gridCol w:w="35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54" w:hRule="exact"/>
        </w:trPr>
        <w:tc>
          <w:tcPr>
            <w:tcW w:w="703" w:type="dxa"/>
          </w:tcPr>
          <w:p>
            <w:pPr>
              <w:pStyle w:val="27"/>
              <w:spacing w:before="101"/>
              <w:ind w:left="115" w:right="118"/>
              <w:jc w:val="center"/>
              <w:rPr>
                <w:rFonts w:asciiTheme="minorEastAsia" w:hAnsiTheme="minorEastAsia" w:eastAsiaTheme="minorEastAsia"/>
                <w:sz w:val="21"/>
              </w:rPr>
            </w:pPr>
            <w:r>
              <w:rPr>
                <w:rFonts w:asciiTheme="minorEastAsia" w:hAnsiTheme="minorEastAsia" w:eastAsiaTheme="minorEastAsia"/>
                <w:sz w:val="21"/>
              </w:rPr>
              <w:t>包号</w:t>
            </w:r>
          </w:p>
        </w:tc>
        <w:tc>
          <w:tcPr>
            <w:tcW w:w="2139" w:type="dxa"/>
          </w:tcPr>
          <w:p>
            <w:pPr>
              <w:pStyle w:val="27"/>
              <w:spacing w:before="101"/>
              <w:ind w:left="353"/>
              <w:rPr>
                <w:rFonts w:asciiTheme="minorEastAsia" w:hAnsiTheme="minorEastAsia" w:eastAsiaTheme="minorEastAsia"/>
                <w:sz w:val="21"/>
              </w:rPr>
            </w:pPr>
            <w:r>
              <w:rPr>
                <w:rFonts w:asciiTheme="minorEastAsia" w:hAnsiTheme="minorEastAsia" w:eastAsiaTheme="minorEastAsia"/>
                <w:sz w:val="21"/>
              </w:rPr>
              <w:t>标的名称</w:t>
            </w:r>
          </w:p>
        </w:tc>
        <w:tc>
          <w:tcPr>
            <w:tcW w:w="2010" w:type="dxa"/>
          </w:tcPr>
          <w:p>
            <w:pPr>
              <w:pStyle w:val="27"/>
              <w:spacing w:line="240" w:lineRule="exact"/>
              <w:ind w:left="91" w:right="91"/>
              <w:jc w:val="center"/>
              <w:rPr>
                <w:rFonts w:asciiTheme="minorEastAsia" w:hAnsiTheme="minorEastAsia" w:eastAsiaTheme="minorEastAsia"/>
                <w:sz w:val="21"/>
                <w:lang w:eastAsia="zh-CN"/>
              </w:rPr>
            </w:pPr>
            <w:r>
              <w:rPr>
                <w:rFonts w:asciiTheme="minorEastAsia" w:hAnsiTheme="minorEastAsia" w:eastAsiaTheme="minorEastAsia"/>
                <w:sz w:val="21"/>
                <w:lang w:eastAsia="zh-CN"/>
              </w:rPr>
              <w:t>采购包预算金额</w:t>
            </w:r>
          </w:p>
          <w:p>
            <w:pPr>
              <w:pStyle w:val="27"/>
              <w:spacing w:line="273" w:lineRule="exact"/>
              <w:ind w:left="90" w:right="91"/>
              <w:jc w:val="center"/>
              <w:rPr>
                <w:rFonts w:asciiTheme="minorEastAsia" w:hAnsiTheme="minorEastAsia" w:eastAsiaTheme="minorEastAsia"/>
                <w:sz w:val="21"/>
                <w:lang w:eastAsia="zh-CN"/>
              </w:rPr>
            </w:pPr>
            <w:r>
              <w:rPr>
                <w:rFonts w:asciiTheme="minorEastAsia" w:hAnsiTheme="minorEastAsia" w:eastAsiaTheme="minorEastAsia"/>
                <w:sz w:val="21"/>
                <w:lang w:eastAsia="zh-CN"/>
              </w:rPr>
              <w:t>（万元）</w:t>
            </w:r>
          </w:p>
        </w:tc>
        <w:tc>
          <w:tcPr>
            <w:tcW w:w="855" w:type="dxa"/>
          </w:tcPr>
          <w:p>
            <w:pPr>
              <w:pStyle w:val="27"/>
              <w:spacing w:before="101"/>
              <w:ind w:left="283"/>
              <w:rPr>
                <w:rFonts w:asciiTheme="minorEastAsia" w:hAnsiTheme="minorEastAsia" w:eastAsiaTheme="minorEastAsia"/>
                <w:sz w:val="21"/>
              </w:rPr>
            </w:pPr>
            <w:r>
              <w:rPr>
                <w:rFonts w:asciiTheme="minorEastAsia" w:hAnsiTheme="minorEastAsia" w:eastAsiaTheme="minorEastAsia"/>
                <w:sz w:val="21"/>
              </w:rPr>
              <w:t>数量</w:t>
            </w:r>
          </w:p>
        </w:tc>
        <w:tc>
          <w:tcPr>
            <w:tcW w:w="3529" w:type="dxa"/>
          </w:tcPr>
          <w:p>
            <w:pPr>
              <w:pStyle w:val="27"/>
              <w:spacing w:before="101"/>
              <w:ind w:firstLine="630" w:firstLineChars="300"/>
              <w:jc w:val="both"/>
              <w:rPr>
                <w:rFonts w:asciiTheme="minorEastAsia" w:hAnsiTheme="minorEastAsia" w:eastAsiaTheme="minorEastAsia"/>
                <w:sz w:val="21"/>
                <w:lang w:eastAsia="zh-CN"/>
              </w:rPr>
            </w:pPr>
            <w:r>
              <w:rPr>
                <w:rFonts w:asciiTheme="minorEastAsia" w:hAnsiTheme="minorEastAsia" w:eastAsiaTheme="minorEastAsia"/>
                <w:sz w:val="21"/>
                <w:lang w:eastAsia="zh-CN"/>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exact"/>
        </w:trPr>
        <w:tc>
          <w:tcPr>
            <w:tcW w:w="703" w:type="dxa"/>
          </w:tcPr>
          <w:p>
            <w:pPr>
              <w:pStyle w:val="27"/>
              <w:spacing w:before="101"/>
              <w:ind w:left="115" w:right="115"/>
              <w:jc w:val="center"/>
              <w:rPr>
                <w:rFonts w:asciiTheme="minorEastAsia" w:hAnsiTheme="minorEastAsia" w:eastAsiaTheme="minorEastAsia"/>
                <w:sz w:val="21"/>
              </w:rPr>
            </w:pPr>
            <w:r>
              <w:rPr>
                <w:rFonts w:asciiTheme="minorEastAsia" w:hAnsiTheme="minorEastAsia" w:eastAsiaTheme="minorEastAsia"/>
                <w:w w:val="115"/>
                <w:sz w:val="21"/>
              </w:rPr>
              <w:t>01</w:t>
            </w:r>
          </w:p>
        </w:tc>
        <w:tc>
          <w:tcPr>
            <w:tcW w:w="2139" w:type="dxa"/>
          </w:tcPr>
          <w:p>
            <w:pPr>
              <w:jc w:val="center"/>
              <w:rPr>
                <w:rFonts w:asciiTheme="minorEastAsia" w:hAnsiTheme="minorEastAsia" w:eastAsiaTheme="minorEastAsia"/>
              </w:rPr>
            </w:pPr>
            <w:r>
              <w:rPr>
                <w:rFonts w:hint="eastAsia" w:asciiTheme="minorEastAsia" w:hAnsiTheme="minorEastAsia" w:eastAsiaTheme="minorEastAsia"/>
                <w:lang w:eastAsia="zh-CN"/>
              </w:rPr>
              <w:t>资产-防水改造工程</w:t>
            </w:r>
          </w:p>
        </w:tc>
        <w:tc>
          <w:tcPr>
            <w:tcW w:w="2010" w:type="dxa"/>
          </w:tcPr>
          <w:p>
            <w:pPr>
              <w:jc w:val="center"/>
              <w:rPr>
                <w:rFonts w:asciiTheme="minorEastAsia" w:hAnsiTheme="minorEastAsia" w:eastAsiaTheme="minorEastAsia"/>
              </w:rPr>
            </w:pPr>
            <w:r>
              <w:rPr>
                <w:rFonts w:hint="eastAsia" w:asciiTheme="minorEastAsia" w:hAnsiTheme="minorEastAsia" w:eastAsiaTheme="minorEastAsia"/>
                <w:lang w:val="en-US" w:eastAsia="zh-CN"/>
              </w:rPr>
              <w:t>1428.300681</w:t>
            </w:r>
          </w:p>
        </w:tc>
        <w:tc>
          <w:tcPr>
            <w:tcW w:w="855" w:type="dxa"/>
          </w:tcPr>
          <w:p>
            <w:pPr>
              <w:ind w:firstLine="440" w:firstLineChars="200"/>
              <w:rPr>
                <w:rFonts w:hint="eastAsia" w:asciiTheme="minorEastAsia" w:hAnsiTheme="minorEastAsia" w:eastAsiaTheme="minorEastAsia"/>
                <w:lang w:val="en-US" w:eastAsia="zh-CN"/>
              </w:rPr>
            </w:pPr>
            <w:r>
              <w:rPr>
                <w:rFonts w:hint="eastAsia" w:asciiTheme="minorEastAsia" w:hAnsiTheme="minorEastAsia" w:eastAsiaTheme="minorEastAsia"/>
                <w:lang w:val="en-US" w:eastAsia="zh-CN"/>
              </w:rPr>
              <w:t>1</w:t>
            </w:r>
          </w:p>
        </w:tc>
        <w:tc>
          <w:tcPr>
            <w:tcW w:w="3529" w:type="dxa"/>
          </w:tcPr>
          <w:p>
            <w:pPr>
              <w:rPr>
                <w:rFonts w:asciiTheme="minorEastAsia" w:hAnsiTheme="minorEastAsia" w:eastAsiaTheme="minorEastAsia"/>
              </w:rPr>
            </w:pPr>
            <w:r>
              <w:rPr>
                <w:rFonts w:hint="eastAsia" w:asciiTheme="minorEastAsia" w:hAnsiTheme="minorEastAsia" w:eastAsiaTheme="minorEastAsia"/>
                <w:lang w:eastAsia="zh-CN"/>
              </w:rPr>
              <w:t>资产-防水改造工程，详见工程量清单显示全部内容</w:t>
            </w:r>
          </w:p>
        </w:tc>
      </w:tr>
    </w:tbl>
    <w:p>
      <w:pPr>
        <w:pStyle w:val="12"/>
        <w:spacing w:before="11"/>
        <w:rPr>
          <w:rFonts w:asciiTheme="minorEastAsia" w:hAnsiTheme="minorEastAsia" w:eastAsiaTheme="minorEastAsia"/>
          <w:sz w:val="25"/>
        </w:rPr>
      </w:pPr>
    </w:p>
    <w:p>
      <w:pPr>
        <w:pStyle w:val="12"/>
        <w:spacing w:before="134" w:line="360" w:lineRule="auto"/>
        <w:ind w:left="701"/>
        <w:rPr>
          <w:rFonts w:asciiTheme="minorEastAsia" w:hAnsiTheme="minorEastAsia" w:eastAsiaTheme="minorEastAsia"/>
          <w:lang w:eastAsia="zh-CN"/>
        </w:rPr>
      </w:pPr>
      <w:r>
        <w:rPr>
          <w:rFonts w:asciiTheme="minorEastAsia" w:hAnsiTheme="minorEastAsia" w:eastAsiaTheme="minorEastAsia"/>
          <w:lang w:eastAsia="zh-CN"/>
        </w:rPr>
        <w:t>6.合同履行期限：</w:t>
      </w:r>
      <w:r>
        <w:rPr>
          <w:rFonts w:hint="eastAsia" w:asciiTheme="minorEastAsia" w:hAnsiTheme="minorEastAsia" w:eastAsiaTheme="minorEastAsia"/>
          <w:lang w:eastAsia="zh-CN"/>
        </w:rPr>
        <w:t xml:space="preserve"> 自合同签订之日起</w:t>
      </w:r>
      <w:r>
        <w:rPr>
          <w:rFonts w:hint="eastAsia" w:asciiTheme="minorEastAsia" w:hAnsiTheme="minorEastAsia" w:eastAsiaTheme="minorEastAsia"/>
          <w:lang w:val="en-US" w:eastAsia="zh-CN"/>
        </w:rPr>
        <w:t>60日历</w:t>
      </w:r>
      <w:r>
        <w:rPr>
          <w:rFonts w:hint="eastAsia" w:asciiTheme="minorEastAsia" w:hAnsiTheme="minorEastAsia" w:eastAsiaTheme="minorEastAsia"/>
          <w:lang w:eastAsia="zh-CN"/>
        </w:rPr>
        <w:t xml:space="preserve">天 </w:t>
      </w:r>
    </w:p>
    <w:p>
      <w:pPr>
        <w:pStyle w:val="12"/>
        <w:spacing w:before="134" w:line="360" w:lineRule="auto"/>
        <w:ind w:left="701"/>
        <w:rPr>
          <w:rFonts w:asciiTheme="minorEastAsia" w:hAnsiTheme="minorEastAsia" w:eastAsiaTheme="minorEastAsia"/>
          <w:lang w:eastAsia="zh-CN"/>
        </w:rPr>
      </w:pPr>
      <w:r>
        <w:rPr>
          <w:rFonts w:asciiTheme="minorEastAsia" w:hAnsiTheme="minorEastAsia" w:eastAsiaTheme="minorEastAsia"/>
          <w:lang w:eastAsia="zh-CN"/>
        </w:rPr>
        <w:t>7.本项目是否接受联合体：</w:t>
      </w:r>
      <w:r>
        <w:rPr>
          <w:rFonts w:hint="eastAsia" w:asciiTheme="minorEastAsia" w:hAnsiTheme="minorEastAsia" w:eastAsiaTheme="minorEastAsia"/>
          <w:lang w:eastAsia="zh-CN"/>
        </w:rPr>
        <w:t>□</w:t>
      </w:r>
      <w:r>
        <w:rPr>
          <w:rFonts w:asciiTheme="minorEastAsia" w:hAnsiTheme="minorEastAsia" w:eastAsiaTheme="minorEastAsia"/>
          <w:lang w:eastAsia="zh-CN"/>
        </w:rPr>
        <w:t>是</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否。</w:t>
      </w:r>
    </w:p>
    <w:p>
      <w:pPr>
        <w:pStyle w:val="12"/>
        <w:tabs>
          <w:tab w:val="left" w:pos="3982"/>
        </w:tabs>
        <w:spacing w:before="45"/>
        <w:ind w:left="701"/>
        <w:rPr>
          <w:rFonts w:asciiTheme="minorEastAsia" w:hAnsiTheme="minorEastAsia" w:eastAsiaTheme="minorEastAsia"/>
          <w:w w:val="105"/>
          <w:lang w:eastAsia="zh-CN"/>
        </w:rPr>
      </w:pPr>
    </w:p>
    <w:p>
      <w:pPr>
        <w:pStyle w:val="5"/>
        <w:jc w:val="left"/>
        <w:rPr>
          <w:rFonts w:asciiTheme="minorEastAsia" w:hAnsiTheme="minorEastAsia" w:eastAsiaTheme="minorEastAsia"/>
          <w:b/>
          <w:lang w:eastAsia="zh-CN"/>
        </w:rPr>
      </w:pPr>
      <w:bookmarkStart w:id="2" w:name="_Toc164263442"/>
      <w:r>
        <w:rPr>
          <w:rFonts w:asciiTheme="minorEastAsia" w:hAnsiTheme="minorEastAsia" w:eastAsiaTheme="minorEastAsia"/>
          <w:b/>
          <w:lang w:eastAsia="zh-CN"/>
        </w:rPr>
        <w:t>二、申请人的资格要求（须同时满足）</w:t>
      </w:r>
      <w:bookmarkEnd w:id="2"/>
    </w:p>
    <w:p>
      <w:pPr>
        <w:pStyle w:val="12"/>
        <w:spacing w:before="154" w:line="360" w:lineRule="auto"/>
        <w:ind w:left="701"/>
        <w:rPr>
          <w:rFonts w:asciiTheme="minorEastAsia" w:hAnsiTheme="minorEastAsia" w:eastAsiaTheme="minorEastAsia"/>
          <w:lang w:eastAsia="zh-CN"/>
        </w:rPr>
      </w:pPr>
      <w:r>
        <w:rPr>
          <w:rFonts w:asciiTheme="minorEastAsia" w:hAnsiTheme="minorEastAsia" w:eastAsiaTheme="minorEastAsia"/>
          <w:lang w:eastAsia="zh-CN"/>
        </w:rPr>
        <w:t>1.满足《中华人民共和国政府采购法》第二十二条规定；</w:t>
      </w:r>
    </w:p>
    <w:p>
      <w:pPr>
        <w:pStyle w:val="12"/>
        <w:spacing w:before="134" w:line="360" w:lineRule="auto"/>
        <w:ind w:left="701"/>
        <w:rPr>
          <w:rFonts w:asciiTheme="minorEastAsia" w:hAnsiTheme="minorEastAsia" w:eastAsiaTheme="minorEastAsia"/>
          <w:lang w:eastAsia="zh-CN"/>
        </w:rPr>
      </w:pPr>
      <w:r>
        <w:rPr>
          <w:rFonts w:asciiTheme="minorEastAsia" w:hAnsiTheme="minorEastAsia" w:eastAsiaTheme="minorEastAsia"/>
          <w:lang w:eastAsia="zh-CN"/>
        </w:rPr>
        <w:t>2.落实政府采购政策需满足的资格要求：</w:t>
      </w:r>
    </w:p>
    <w:p>
      <w:pPr>
        <w:pStyle w:val="29"/>
        <w:numPr>
          <w:ilvl w:val="1"/>
          <w:numId w:val="2"/>
        </w:numPr>
        <w:tabs>
          <w:tab w:val="left" w:pos="1201"/>
        </w:tabs>
        <w:spacing w:before="137" w:line="360" w:lineRule="auto"/>
        <w:ind w:hanging="499"/>
        <w:rPr>
          <w:rFonts w:asciiTheme="minorEastAsia" w:hAnsiTheme="minorEastAsia" w:eastAsiaTheme="minorEastAsia"/>
          <w:sz w:val="24"/>
        </w:rPr>
      </w:pPr>
      <w:r>
        <w:rPr>
          <w:rFonts w:asciiTheme="minorEastAsia" w:hAnsiTheme="minorEastAsia" w:eastAsiaTheme="minorEastAsia"/>
          <w:sz w:val="24"/>
        </w:rPr>
        <w:t>中小企业政策</w:t>
      </w:r>
    </w:p>
    <w:p>
      <w:pPr>
        <w:pStyle w:val="12"/>
        <w:spacing w:before="134" w:line="360" w:lineRule="auto"/>
        <w:ind w:left="284" w:leftChars="129" w:firstLine="425" w:firstLineChars="169"/>
        <w:rPr>
          <w:rFonts w:asciiTheme="minorEastAsia" w:hAnsiTheme="minorEastAsia" w:eastAsiaTheme="minorEastAsia"/>
          <w:lang w:eastAsia="zh-CN"/>
        </w:rPr>
      </w:pPr>
      <w:r>
        <w:rPr>
          <w:rFonts w:asciiTheme="minorEastAsia" w:hAnsiTheme="minorEastAsia" w:eastAsiaTheme="minorEastAsia"/>
          <w:w w:val="105"/>
          <w:lang w:eastAsia="zh-CN"/>
        </w:rPr>
        <w:t>□本项目不专门面向中小企业预留采购份额。</w:t>
      </w:r>
    </w:p>
    <w:p>
      <w:pPr>
        <w:pStyle w:val="12"/>
        <w:tabs>
          <w:tab w:val="left" w:pos="2763"/>
          <w:tab w:val="left" w:pos="4966"/>
        </w:tabs>
        <w:spacing w:before="143" w:line="360" w:lineRule="auto"/>
        <w:ind w:left="284" w:leftChars="129" w:firstLine="425" w:firstLineChars="169"/>
        <w:rPr>
          <w:rFonts w:asciiTheme="minorEastAsia" w:hAnsiTheme="minorEastAsia" w:eastAsiaTheme="minorEastAsia"/>
          <w:lang w:eastAsia="zh-CN"/>
        </w:rPr>
      </w:pPr>
      <w:r>
        <w:rPr>
          <w:rFonts w:asciiTheme="minorEastAsia" w:hAnsiTheme="minorEastAsia" w:eastAsiaTheme="minorEastAsia"/>
          <w:w w:val="105"/>
          <w:lang w:eastAsia="zh-CN"/>
        </w:rPr>
        <w:t>□</w:t>
      </w:r>
      <w:r>
        <w:rPr>
          <w:rFonts w:asciiTheme="minorEastAsia" w:hAnsiTheme="minorEastAsia" w:eastAsiaTheme="minorEastAsia"/>
          <w:lang w:eastAsia="zh-CN"/>
        </w:rPr>
        <w:t>本项</w:t>
      </w:r>
      <w:r>
        <w:rPr>
          <w:rFonts w:asciiTheme="minorEastAsia" w:hAnsiTheme="minorEastAsia" w:eastAsiaTheme="minorEastAsia"/>
          <w:spacing w:val="2"/>
          <w:lang w:eastAsia="zh-CN"/>
        </w:rPr>
        <w:t>目</w:t>
      </w:r>
      <w:r>
        <w:rPr>
          <w:rFonts w:asciiTheme="minorEastAsia" w:hAnsiTheme="minorEastAsia" w:eastAsiaTheme="minorEastAsia"/>
          <w:lang w:eastAsia="zh-CN"/>
        </w:rPr>
        <w:t>专门面向</w:t>
      </w:r>
      <w:r>
        <w:rPr>
          <w:rFonts w:hint="eastAsia" w:asciiTheme="minorEastAsia" w:hAnsiTheme="minorEastAsia" w:eastAsiaTheme="minorEastAsia"/>
          <w:lang w:eastAsia="zh-CN"/>
        </w:rPr>
        <w:t xml:space="preserve"> </w:t>
      </w:r>
      <w:r>
        <w:rPr>
          <w:rFonts w:asciiTheme="minorEastAsia" w:hAnsiTheme="minorEastAsia" w:eastAsiaTheme="minorEastAsia"/>
          <w:w w:val="105"/>
          <w:lang w:eastAsia="zh-CN"/>
        </w:rPr>
        <w:t>□</w:t>
      </w:r>
      <w:r>
        <w:rPr>
          <w:rFonts w:asciiTheme="minorEastAsia" w:hAnsiTheme="minorEastAsia" w:eastAsiaTheme="minorEastAsia"/>
          <w:lang w:eastAsia="zh-CN"/>
        </w:rPr>
        <w:t>中小</w:t>
      </w:r>
      <w:r>
        <w:rPr>
          <w:rFonts w:hint="eastAsia" w:asciiTheme="minorEastAsia" w:hAnsiTheme="minorEastAsia" w:eastAsiaTheme="minorEastAsia"/>
          <w:spacing w:val="2"/>
          <w:lang w:eastAsia="zh-CN"/>
        </w:rPr>
        <w:t xml:space="preserve"> </w:t>
      </w:r>
      <w:r>
        <w:rPr>
          <w:rFonts w:asciiTheme="minorEastAsia" w:hAnsiTheme="minorEastAsia" w:eastAsiaTheme="minorEastAsia"/>
          <w:w w:val="105"/>
          <w:lang w:eastAsia="zh-CN"/>
        </w:rPr>
        <w:t>□</w:t>
      </w:r>
      <w:r>
        <w:rPr>
          <w:rFonts w:asciiTheme="minorEastAsia" w:hAnsiTheme="minorEastAsia" w:eastAsiaTheme="minorEastAsia"/>
          <w:lang w:eastAsia="zh-CN"/>
        </w:rPr>
        <w:t>小微</w:t>
      </w:r>
      <w:r>
        <w:rPr>
          <w:rFonts w:asciiTheme="minorEastAsia" w:hAnsiTheme="minorEastAsia" w:eastAsiaTheme="minorEastAsia"/>
          <w:spacing w:val="2"/>
          <w:lang w:eastAsia="zh-CN"/>
        </w:rPr>
        <w:t>企</w:t>
      </w:r>
      <w:r>
        <w:rPr>
          <w:rFonts w:asciiTheme="minorEastAsia" w:hAnsiTheme="minorEastAsia" w:eastAsiaTheme="minorEastAsia"/>
          <w:lang w:eastAsia="zh-CN"/>
        </w:rPr>
        <w:t>业</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采购</w:t>
      </w:r>
      <w:r>
        <w:rPr>
          <w:rFonts w:asciiTheme="minorEastAsia" w:hAnsiTheme="minorEastAsia" w:eastAsiaTheme="minorEastAsia"/>
          <w:spacing w:val="2"/>
          <w:lang w:eastAsia="zh-CN"/>
        </w:rPr>
        <w:t>。</w:t>
      </w:r>
      <w:r>
        <w:rPr>
          <w:rFonts w:asciiTheme="minorEastAsia" w:hAnsiTheme="minorEastAsia" w:eastAsiaTheme="minorEastAsia"/>
          <w:lang w:eastAsia="zh-CN"/>
        </w:rPr>
        <w:t>即：提供</w:t>
      </w:r>
      <w:r>
        <w:rPr>
          <w:rFonts w:asciiTheme="minorEastAsia" w:hAnsiTheme="minorEastAsia" w:eastAsiaTheme="minorEastAsia"/>
          <w:spacing w:val="2"/>
          <w:lang w:eastAsia="zh-CN"/>
        </w:rPr>
        <w:t>的</w:t>
      </w:r>
      <w:r>
        <w:rPr>
          <w:rFonts w:asciiTheme="minorEastAsia" w:hAnsiTheme="minorEastAsia" w:eastAsiaTheme="minorEastAsia"/>
          <w:lang w:eastAsia="zh-CN"/>
        </w:rPr>
        <w:t>货物全部</w:t>
      </w:r>
      <w:r>
        <w:rPr>
          <w:rFonts w:asciiTheme="minorEastAsia" w:hAnsiTheme="minorEastAsia" w:eastAsiaTheme="minorEastAsia"/>
          <w:spacing w:val="2"/>
          <w:lang w:eastAsia="zh-CN"/>
        </w:rPr>
        <w:t>由</w:t>
      </w:r>
      <w:r>
        <w:rPr>
          <w:rFonts w:asciiTheme="minorEastAsia" w:hAnsiTheme="minorEastAsia" w:eastAsiaTheme="minorEastAsia"/>
          <w:lang w:eastAsia="zh-CN"/>
        </w:rPr>
        <w:t>符合政策要求的中</w:t>
      </w:r>
      <w:r>
        <w:rPr>
          <w:rFonts w:asciiTheme="minorEastAsia" w:hAnsiTheme="minorEastAsia" w:eastAsiaTheme="minorEastAsia"/>
          <w:spacing w:val="-1"/>
          <w:lang w:eastAsia="zh-CN"/>
        </w:rPr>
        <w:t>小</w:t>
      </w:r>
      <w:r>
        <w:rPr>
          <w:rFonts w:asciiTheme="minorEastAsia" w:hAnsiTheme="minorEastAsia" w:eastAsiaTheme="minorEastAsia"/>
          <w:spacing w:val="-2"/>
          <w:w w:val="120"/>
          <w:lang w:eastAsia="zh-CN"/>
        </w:rPr>
        <w:t>/</w:t>
      </w:r>
      <w:r>
        <w:rPr>
          <w:rFonts w:asciiTheme="minorEastAsia" w:hAnsiTheme="minorEastAsia" w:eastAsiaTheme="minorEastAsia"/>
          <w:lang w:eastAsia="zh-CN"/>
        </w:rPr>
        <w:t>小微企业制造、服务全部由符合政策要求的中</w:t>
      </w:r>
      <w:r>
        <w:rPr>
          <w:rFonts w:asciiTheme="minorEastAsia" w:hAnsiTheme="minorEastAsia" w:eastAsiaTheme="minorEastAsia"/>
          <w:spacing w:val="-1"/>
          <w:lang w:eastAsia="zh-CN"/>
        </w:rPr>
        <w:t>小</w:t>
      </w:r>
      <w:r>
        <w:rPr>
          <w:rFonts w:asciiTheme="minorEastAsia" w:hAnsiTheme="minorEastAsia" w:eastAsiaTheme="minorEastAsia"/>
          <w:w w:val="120"/>
          <w:lang w:eastAsia="zh-CN"/>
        </w:rPr>
        <w:t>/</w:t>
      </w:r>
      <w:r>
        <w:rPr>
          <w:rFonts w:asciiTheme="minorEastAsia" w:hAnsiTheme="minorEastAsia" w:eastAsiaTheme="minorEastAsia"/>
          <w:lang w:eastAsia="zh-CN"/>
        </w:rPr>
        <w:t>小微企业承接。</w:t>
      </w:r>
    </w:p>
    <w:p>
      <w:pPr>
        <w:pStyle w:val="12"/>
        <w:tabs>
          <w:tab w:val="left" w:pos="2763"/>
          <w:tab w:val="left" w:pos="4966"/>
        </w:tabs>
        <w:spacing w:before="143" w:line="360" w:lineRule="auto"/>
        <w:ind w:left="284" w:leftChars="129" w:firstLine="425" w:firstLineChars="169"/>
        <w:rPr>
          <w:rFonts w:asciiTheme="minorEastAsia" w:hAnsiTheme="minorEastAsia" w:eastAsiaTheme="minorEastAsia"/>
          <w:w w:val="105"/>
          <w:lang w:eastAsia="zh-CN"/>
        </w:rPr>
      </w:pPr>
      <w:r>
        <w:rPr>
          <w:rFonts w:hint="eastAsia" w:asciiTheme="minorEastAsia" w:hAnsiTheme="minorEastAsia" w:eastAsiaTheme="minorEastAsia"/>
          <w:w w:val="105"/>
          <w:lang w:eastAsia="zh-CN"/>
        </w:rPr>
        <w:t>■</w:t>
      </w:r>
      <w:r>
        <w:rPr>
          <w:rFonts w:asciiTheme="minorEastAsia" w:hAnsiTheme="minorEastAsia" w:eastAsiaTheme="minorEastAsia"/>
          <w:w w:val="105"/>
          <w:lang w:eastAsia="zh-CN"/>
        </w:rPr>
        <w:t>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eastAsiaTheme="minorEastAsia"/>
          <w:w w:val="105"/>
          <w:u w:val="single"/>
          <w:lang w:eastAsia="zh-CN"/>
        </w:rPr>
        <w:t xml:space="preserve"> 要求合同分包。预留中小企业份额不得低于571.320272万元，占总金额40.0</w:t>
      </w:r>
      <w:r>
        <w:rPr>
          <w:rFonts w:hint="eastAsia" w:asciiTheme="minorEastAsia" w:hAnsiTheme="minorEastAsia" w:eastAsiaTheme="minorEastAsia"/>
          <w:w w:val="105"/>
          <w:u w:val="single"/>
          <w:lang w:val="en-US" w:eastAsia="zh-CN"/>
        </w:rPr>
        <w:t>0</w:t>
      </w:r>
      <w:r>
        <w:rPr>
          <w:rFonts w:hint="eastAsia" w:asciiTheme="minorEastAsia" w:hAnsiTheme="minorEastAsia" w:eastAsiaTheme="minorEastAsia"/>
          <w:w w:val="105"/>
          <w:u w:val="single"/>
          <w:lang w:eastAsia="zh-CN"/>
        </w:rPr>
        <w:t>%，其中预留小微企业份额不得低于399.924191万元，占预留中小企业份额70.</w:t>
      </w:r>
      <w:r>
        <w:rPr>
          <w:rFonts w:hint="eastAsia" w:asciiTheme="minorEastAsia" w:hAnsiTheme="minorEastAsia" w:eastAsiaTheme="minorEastAsia"/>
          <w:w w:val="105"/>
          <w:u w:val="single"/>
          <w:lang w:val="en-US" w:eastAsia="zh-CN"/>
        </w:rPr>
        <w:t>00</w:t>
      </w:r>
      <w:r>
        <w:rPr>
          <w:rFonts w:hint="eastAsia" w:asciiTheme="minorEastAsia" w:hAnsiTheme="minorEastAsia" w:eastAsiaTheme="minorEastAsia"/>
          <w:w w:val="105"/>
          <w:u w:val="single"/>
          <w:lang w:eastAsia="zh-CN"/>
        </w:rPr>
        <w:t xml:space="preserve">%。 </w:t>
      </w:r>
      <w:r>
        <w:rPr>
          <w:rFonts w:asciiTheme="minorEastAsia" w:hAnsiTheme="minorEastAsia" w:eastAsiaTheme="minorEastAsia"/>
          <w:w w:val="105"/>
          <w:lang w:eastAsia="zh-CN"/>
        </w:rPr>
        <w:t>。</w:t>
      </w:r>
    </w:p>
    <w:p>
      <w:pPr>
        <w:pStyle w:val="29"/>
        <w:numPr>
          <w:ilvl w:val="1"/>
          <w:numId w:val="2"/>
        </w:numPr>
        <w:tabs>
          <w:tab w:val="left" w:pos="1201"/>
          <w:tab w:val="left" w:pos="7200"/>
        </w:tabs>
        <w:spacing w:before="41" w:line="360" w:lineRule="auto"/>
        <w:ind w:hanging="499"/>
        <w:rPr>
          <w:rFonts w:asciiTheme="minorEastAsia" w:hAnsiTheme="minorEastAsia" w:eastAsiaTheme="minorEastAsia"/>
          <w:sz w:val="24"/>
          <w:lang w:eastAsia="zh-CN"/>
        </w:rPr>
      </w:pPr>
      <w:r>
        <w:rPr>
          <w:rFonts w:asciiTheme="minorEastAsia" w:hAnsiTheme="minorEastAsia" w:eastAsiaTheme="minorEastAsia"/>
          <w:sz w:val="24"/>
          <w:lang w:eastAsia="zh-CN"/>
        </w:rPr>
        <w:t>其它落实政府采购政策的资格要求（如</w:t>
      </w:r>
      <w:r>
        <w:rPr>
          <w:rFonts w:asciiTheme="minorEastAsia" w:hAnsiTheme="minorEastAsia" w:eastAsiaTheme="minorEastAsia"/>
          <w:lang w:eastAsia="zh-CN"/>
        </w:rPr>
        <w:t>有）：</w:t>
      </w:r>
      <w:r>
        <w:rPr>
          <w:rFonts w:asciiTheme="minorEastAsia" w:hAnsiTheme="minorEastAsia" w:eastAsiaTheme="minorEastAsia"/>
          <w:sz w:val="24"/>
          <w:u w:val="single"/>
          <w:lang w:eastAsia="zh-CN"/>
        </w:rPr>
        <w:t xml:space="preserve"> </w:t>
      </w:r>
      <w:r>
        <w:rPr>
          <w:rFonts w:hint="eastAsia" w:asciiTheme="minorEastAsia" w:hAnsiTheme="minorEastAsia" w:eastAsiaTheme="minorEastAsia"/>
          <w:w w:val="105"/>
          <w:u w:val="single"/>
          <w:lang w:eastAsia="zh-CN"/>
        </w:rPr>
        <w:t xml:space="preserve">              </w:t>
      </w:r>
      <w:r>
        <w:rPr>
          <w:rFonts w:asciiTheme="minorEastAsia" w:hAnsiTheme="minorEastAsia" w:eastAsiaTheme="minorEastAsia"/>
          <w:sz w:val="24"/>
          <w:lang w:eastAsia="zh-CN"/>
        </w:rPr>
        <w:t>。</w:t>
      </w:r>
    </w:p>
    <w:p>
      <w:pPr>
        <w:pStyle w:val="12"/>
        <w:spacing w:before="134" w:line="360" w:lineRule="auto"/>
        <w:ind w:left="701"/>
        <w:rPr>
          <w:rFonts w:asciiTheme="minorEastAsia" w:hAnsiTheme="minorEastAsia" w:eastAsiaTheme="minorEastAsia"/>
          <w:lang w:eastAsia="zh-CN"/>
        </w:rPr>
      </w:pPr>
      <w:r>
        <w:rPr>
          <w:rFonts w:asciiTheme="minorEastAsia" w:hAnsiTheme="minorEastAsia" w:eastAsiaTheme="minorEastAsia"/>
          <w:lang w:eastAsia="zh-CN"/>
        </w:rPr>
        <w:t>3.本项目的特定资格要求：</w:t>
      </w:r>
    </w:p>
    <w:p>
      <w:pPr>
        <w:pStyle w:val="29"/>
        <w:numPr>
          <w:ilvl w:val="1"/>
          <w:numId w:val="3"/>
        </w:numPr>
        <w:tabs>
          <w:tab w:val="left" w:pos="1041"/>
        </w:tabs>
        <w:spacing w:before="43" w:line="360" w:lineRule="auto"/>
        <w:ind w:hanging="439"/>
        <w:rPr>
          <w:rFonts w:asciiTheme="minorEastAsia" w:hAnsiTheme="minorEastAsia" w:eastAsiaTheme="minorEastAsia"/>
          <w:sz w:val="24"/>
          <w:lang w:eastAsia="zh-CN"/>
        </w:rPr>
      </w:pPr>
      <w:r>
        <w:rPr>
          <w:rFonts w:asciiTheme="minorEastAsia" w:hAnsiTheme="minorEastAsia" w:eastAsiaTheme="minorEastAsia"/>
          <w:sz w:val="24"/>
          <w:lang w:eastAsia="zh-CN"/>
        </w:rPr>
        <w:t>本项目是否属于政府购买服务：</w:t>
      </w:r>
    </w:p>
    <w:p>
      <w:pPr>
        <w:pStyle w:val="12"/>
        <w:tabs>
          <w:tab w:val="left" w:pos="2763"/>
          <w:tab w:val="left" w:pos="4966"/>
        </w:tabs>
        <w:spacing w:before="143" w:line="360" w:lineRule="auto"/>
        <w:ind w:left="284" w:leftChars="129" w:firstLine="405" w:firstLineChars="169"/>
        <w:rPr>
          <w:rFonts w:asciiTheme="minorEastAsia" w:hAnsiTheme="minorEastAsia" w:eastAsiaTheme="minorEastAsia"/>
          <w:w w:val="105"/>
          <w:lang w:eastAsia="zh-CN"/>
        </w:rPr>
      </w:pPr>
      <w:r>
        <w:rPr>
          <w:rFonts w:hint="eastAsia" w:asciiTheme="minorEastAsia" w:hAnsiTheme="minorEastAsia" w:eastAsiaTheme="minorEastAsia"/>
          <w:lang w:eastAsia="zh-CN"/>
        </w:rPr>
        <w:t>■</w:t>
      </w:r>
      <w:r>
        <w:rPr>
          <w:rFonts w:asciiTheme="minorEastAsia" w:hAnsiTheme="minorEastAsia" w:eastAsiaTheme="minorEastAsia"/>
          <w:w w:val="105"/>
          <w:lang w:eastAsia="zh-CN"/>
        </w:rPr>
        <w:t>否</w:t>
      </w:r>
    </w:p>
    <w:p>
      <w:pPr>
        <w:pStyle w:val="12"/>
        <w:spacing w:before="141" w:line="360" w:lineRule="auto"/>
        <w:ind w:left="284" w:leftChars="129" w:right="168" w:firstLine="405" w:firstLineChars="169"/>
        <w:rPr>
          <w:rFonts w:asciiTheme="minorEastAsia" w:hAnsiTheme="minorEastAsia" w:eastAsiaTheme="minorEastAsia"/>
          <w:lang w:eastAsia="zh-CN"/>
        </w:rPr>
      </w:pPr>
      <w:r>
        <w:rPr>
          <w:rFonts w:hint="eastAsia" w:asciiTheme="minorEastAsia" w:hAnsiTheme="minorEastAsia" w:eastAsiaTheme="minorEastAsia"/>
          <w:lang w:eastAsia="zh-CN"/>
        </w:rPr>
        <w:t>□</w:t>
      </w:r>
      <w:r>
        <w:rPr>
          <w:rFonts w:asciiTheme="minorEastAsia" w:hAnsiTheme="minorEastAsia" w:eastAsiaTheme="minorEastAsia"/>
          <w:w w:val="105"/>
          <w:lang w:eastAsia="zh-CN"/>
        </w:rPr>
        <w:t>是，公益一类事业单位、使用事业编制且由财政拨款保障的群团</w:t>
      </w:r>
      <w:r>
        <w:rPr>
          <w:rFonts w:asciiTheme="minorEastAsia" w:hAnsiTheme="minorEastAsia" w:eastAsiaTheme="minorEastAsia"/>
          <w:lang w:eastAsia="zh-CN"/>
        </w:rPr>
        <w:t>组</w:t>
      </w:r>
      <w:r>
        <w:rPr>
          <w:rFonts w:asciiTheme="minorEastAsia" w:hAnsiTheme="minorEastAsia" w:eastAsiaTheme="minorEastAsia"/>
          <w:spacing w:val="-3"/>
          <w:lang w:eastAsia="zh-CN"/>
        </w:rPr>
        <w:t>织</w:t>
      </w:r>
      <w:r>
        <w:rPr>
          <w:rFonts w:asciiTheme="minorEastAsia" w:hAnsiTheme="minorEastAsia" w:eastAsiaTheme="minorEastAsia"/>
          <w:spacing w:val="-12"/>
          <w:lang w:eastAsia="zh-CN"/>
        </w:rPr>
        <w:t>，</w:t>
      </w:r>
      <w:r>
        <w:rPr>
          <w:rFonts w:asciiTheme="minorEastAsia" w:hAnsiTheme="minorEastAsia" w:eastAsiaTheme="minorEastAsia"/>
          <w:lang w:eastAsia="zh-CN"/>
        </w:rPr>
        <w:t>不得作为承接主体；</w:t>
      </w:r>
    </w:p>
    <w:p>
      <w:pPr>
        <w:pStyle w:val="29"/>
        <w:numPr>
          <w:ilvl w:val="1"/>
          <w:numId w:val="3"/>
        </w:numPr>
        <w:tabs>
          <w:tab w:val="left" w:pos="1041"/>
        </w:tabs>
        <w:spacing w:before="43" w:line="360" w:lineRule="auto"/>
        <w:ind w:hanging="439"/>
        <w:rPr>
          <w:rFonts w:hint="eastAsia" w:asciiTheme="minorEastAsia" w:hAnsiTheme="minorEastAsia" w:eastAsiaTheme="minorEastAsia"/>
          <w:w w:val="105"/>
          <w:u w:val="single"/>
          <w:lang w:eastAsia="zh-CN"/>
        </w:rPr>
      </w:pPr>
      <w:r>
        <w:rPr>
          <w:rFonts w:asciiTheme="minorEastAsia" w:hAnsiTheme="minorEastAsia" w:eastAsiaTheme="minorEastAsia"/>
          <w:sz w:val="24"/>
          <w:lang w:eastAsia="zh-CN"/>
        </w:rPr>
        <w:t>其他特定资格要求：</w:t>
      </w:r>
      <w:r>
        <w:rPr>
          <w:rFonts w:hint="eastAsia" w:asciiTheme="minorEastAsia" w:hAnsiTheme="minorEastAsia" w:eastAsiaTheme="minorEastAsia"/>
          <w:w w:val="105"/>
          <w:u w:val="single"/>
          <w:lang w:eastAsia="zh-CN"/>
        </w:rPr>
        <w:t xml:space="preserve"> </w:t>
      </w:r>
      <w:r>
        <w:rPr>
          <w:rFonts w:hint="eastAsia" w:cs="宋体" w:asciiTheme="minorEastAsia" w:hAnsiTheme="minorEastAsia" w:eastAsiaTheme="minorEastAsia"/>
          <w:w w:val="105"/>
          <w:sz w:val="24"/>
          <w:szCs w:val="24"/>
          <w:u w:val="single"/>
          <w:lang w:val="en-US" w:eastAsia="zh-CN" w:bidi="ar-SA"/>
        </w:rPr>
        <w:t>投标人须具备防水防腐保温工程专业承包资质一级资质，具有有效的安全生产许可证，并在人员、设备、资金等方面具有相应的施工能力，其中，投标人拟派项目经理须具备建筑工程注册建造师一级执业资格，具备有效的安全生产考核合格证书（B本）；</w:t>
      </w:r>
    </w:p>
    <w:p>
      <w:pPr>
        <w:pStyle w:val="29"/>
        <w:numPr>
          <w:ilvl w:val="1"/>
          <w:numId w:val="3"/>
        </w:numPr>
        <w:tabs>
          <w:tab w:val="left" w:pos="1041"/>
        </w:tabs>
        <w:spacing w:before="43" w:line="360" w:lineRule="auto"/>
        <w:ind w:hanging="439"/>
        <w:rPr>
          <w:rFonts w:asciiTheme="minorEastAsia" w:hAnsiTheme="minorEastAsia" w:eastAsiaTheme="minorEastAsia"/>
          <w:sz w:val="24"/>
          <w:lang w:eastAsia="zh-CN"/>
        </w:rPr>
      </w:pPr>
      <w:r>
        <w:rPr>
          <w:rFonts w:hint="eastAsia" w:asciiTheme="minorEastAsia" w:hAnsiTheme="minorEastAsia" w:eastAsiaTheme="minorEastAsia"/>
          <w:w w:val="105"/>
          <w:u w:val="single"/>
          <w:lang w:eastAsia="zh-CN"/>
        </w:rPr>
        <w:t xml:space="preserve"> </w:t>
      </w:r>
      <w:r>
        <w:rPr>
          <w:rFonts w:asciiTheme="minorEastAsia" w:hAnsiTheme="minorEastAsia" w:eastAsiaTheme="minorEastAsia"/>
          <w:sz w:val="24"/>
          <w:lang w:eastAsia="zh-CN"/>
        </w:rPr>
        <w:t>。</w:t>
      </w:r>
    </w:p>
    <w:p>
      <w:pPr>
        <w:tabs>
          <w:tab w:val="left" w:pos="1041"/>
        </w:tabs>
        <w:spacing w:before="43"/>
        <w:rPr>
          <w:rFonts w:asciiTheme="minorEastAsia" w:hAnsiTheme="minorEastAsia" w:eastAsiaTheme="minorEastAsia"/>
          <w:sz w:val="24"/>
          <w:lang w:eastAsia="zh-CN"/>
        </w:rPr>
      </w:pPr>
    </w:p>
    <w:p>
      <w:pPr>
        <w:pStyle w:val="5"/>
        <w:jc w:val="left"/>
        <w:rPr>
          <w:rFonts w:asciiTheme="minorEastAsia" w:hAnsiTheme="minorEastAsia" w:eastAsiaTheme="minorEastAsia"/>
          <w:b/>
          <w:lang w:eastAsia="zh-CN"/>
        </w:rPr>
      </w:pPr>
      <w:bookmarkStart w:id="3" w:name="_Toc164263443"/>
      <w:r>
        <w:rPr>
          <w:rFonts w:asciiTheme="minorEastAsia" w:hAnsiTheme="minorEastAsia" w:eastAsiaTheme="minorEastAsia"/>
          <w:b/>
          <w:lang w:eastAsia="zh-CN"/>
        </w:rPr>
        <w:t>三、获取采购文件</w:t>
      </w:r>
      <w:bookmarkEnd w:id="3"/>
    </w:p>
    <w:p>
      <w:pPr>
        <w:pStyle w:val="12"/>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1.时间：</w:t>
      </w:r>
      <w:r>
        <w:rPr>
          <w:rFonts w:hint="eastAsia" w:asciiTheme="minorEastAsia" w:hAnsiTheme="minorEastAsia" w:eastAsiaTheme="minorEastAsia"/>
          <w:spacing w:val="-3"/>
          <w:u w:val="single"/>
          <w:lang w:eastAsia="zh-CN"/>
        </w:rPr>
        <w:t xml:space="preserve"> 2024</w:t>
      </w:r>
      <w:r>
        <w:rPr>
          <w:rFonts w:asciiTheme="minorEastAsia" w:hAnsiTheme="minorEastAsia" w:eastAsiaTheme="minorEastAsia"/>
          <w:lang w:eastAsia="zh-CN"/>
        </w:rPr>
        <w:t>年</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05</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月</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09</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日至</w:t>
      </w:r>
      <w:r>
        <w:rPr>
          <w:rFonts w:hint="eastAsia" w:asciiTheme="minorEastAsia" w:hAnsiTheme="minorEastAsia" w:eastAsiaTheme="minorEastAsia"/>
          <w:spacing w:val="-3"/>
          <w:u w:val="single"/>
          <w:lang w:eastAsia="zh-CN"/>
        </w:rPr>
        <w:t xml:space="preserve"> 2024</w:t>
      </w:r>
      <w:r>
        <w:rPr>
          <w:rFonts w:asciiTheme="minorEastAsia" w:hAnsiTheme="minorEastAsia" w:eastAsiaTheme="minorEastAsia"/>
          <w:lang w:eastAsia="zh-CN"/>
        </w:rPr>
        <w:t>年</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05</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月</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14</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spacing w:val="-3"/>
          <w:lang w:eastAsia="zh-CN"/>
        </w:rPr>
        <w:t>日，每天上午</w:t>
      </w:r>
    </w:p>
    <w:p>
      <w:pPr>
        <w:pStyle w:val="12"/>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hAnsiTheme="minorEastAsia" w:eastAsiaTheme="minorEastAsia"/>
          <w:spacing w:val="-120"/>
          <w:lang w:eastAsia="zh-CN"/>
        </w:rPr>
      </w:pP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0:00</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至</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12:00</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spacing w:val="-5"/>
          <w:lang w:eastAsia="zh-CN"/>
        </w:rPr>
        <w:t>，下午</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12:00</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至</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24:00</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（北京时间，法定节假日除外</w:t>
      </w:r>
      <w:r>
        <w:rPr>
          <w:rFonts w:asciiTheme="minorEastAsia" w:hAnsiTheme="minorEastAsia" w:eastAsiaTheme="minorEastAsia"/>
          <w:spacing w:val="-120"/>
          <w:lang w:eastAsia="zh-CN"/>
        </w:rPr>
        <w:t>）</w:t>
      </w:r>
    </w:p>
    <w:p>
      <w:pPr>
        <w:pStyle w:val="12"/>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hAnsiTheme="minorEastAsia" w:eastAsiaTheme="minorEastAsia"/>
          <w:lang w:eastAsia="zh-CN"/>
        </w:rPr>
      </w:pPr>
      <w:r>
        <w:rPr>
          <w:rFonts w:asciiTheme="minorEastAsia" w:hAnsiTheme="minorEastAsia" w:eastAsiaTheme="minorEastAsia"/>
          <w:lang w:eastAsia="zh-CN"/>
        </w:rPr>
        <w:t>2.地点：北京市政府采购电子交易平台</w:t>
      </w:r>
    </w:p>
    <w:p>
      <w:pPr>
        <w:pStyle w:val="12"/>
        <w:wordWrap w:val="0"/>
        <w:spacing w:before="132" w:line="360" w:lineRule="auto"/>
        <w:ind w:left="119" w:right="170" w:firstLine="482"/>
        <w:rPr>
          <w:rFonts w:asciiTheme="minorEastAsia" w:hAnsiTheme="minorEastAsia" w:eastAsiaTheme="minorEastAsia"/>
          <w:lang w:eastAsia="zh-CN"/>
        </w:rPr>
      </w:pPr>
      <w:r>
        <w:rPr>
          <w:rFonts w:asciiTheme="minorEastAsia" w:hAnsiTheme="minorEastAsia" w:eastAsiaTheme="minorEastAsia"/>
          <w:spacing w:val="-2"/>
          <w:w w:val="114"/>
          <w:lang w:eastAsia="zh-CN"/>
        </w:rPr>
        <w:t>3</w:t>
      </w:r>
      <w:r>
        <w:rPr>
          <w:rFonts w:asciiTheme="minorEastAsia" w:hAnsiTheme="minorEastAsia" w:eastAsiaTheme="minorEastAsia"/>
          <w:w w:val="114"/>
          <w:lang w:eastAsia="zh-CN"/>
        </w:rPr>
        <w:t>.</w:t>
      </w:r>
      <w:r>
        <w:rPr>
          <w:rFonts w:asciiTheme="minorEastAsia" w:hAnsiTheme="minorEastAsia" w:eastAsiaTheme="minorEastAsia"/>
          <w:lang w:eastAsia="zh-CN"/>
        </w:rPr>
        <w:t>方式</w:t>
      </w:r>
      <w:r>
        <w:rPr>
          <w:rFonts w:asciiTheme="minorEastAsia" w:hAnsiTheme="minorEastAsia" w:eastAsiaTheme="minorEastAsia"/>
          <w:spacing w:val="-10"/>
          <w:lang w:eastAsia="zh-CN"/>
        </w:rPr>
        <w:t>：</w:t>
      </w:r>
      <w:r>
        <w:rPr>
          <w:rFonts w:asciiTheme="minorEastAsia" w:hAnsiTheme="minorEastAsia" w:eastAsiaTheme="minorEastAsia"/>
          <w:lang w:eastAsia="zh-CN"/>
        </w:rPr>
        <w:t>供应商使</w:t>
      </w:r>
      <w:r>
        <w:rPr>
          <w:rFonts w:asciiTheme="minorEastAsia" w:hAnsiTheme="minorEastAsia" w:eastAsiaTheme="minorEastAsia"/>
          <w:spacing w:val="59"/>
          <w:lang w:eastAsia="zh-CN"/>
        </w:rPr>
        <w:t>用</w:t>
      </w:r>
      <w:r>
        <w:rPr>
          <w:rFonts w:asciiTheme="minorEastAsia" w:hAnsiTheme="minorEastAsia" w:eastAsiaTheme="minorEastAsia"/>
          <w:spacing w:val="-2"/>
          <w:w w:val="85"/>
          <w:lang w:eastAsia="zh-CN"/>
        </w:rPr>
        <w:t>C</w:t>
      </w:r>
      <w:r>
        <w:rPr>
          <w:rFonts w:asciiTheme="minorEastAsia" w:hAnsiTheme="minorEastAsia" w:eastAsiaTheme="minorEastAsia"/>
          <w:w w:val="92"/>
          <w:lang w:eastAsia="zh-CN"/>
        </w:rPr>
        <w:t>A</w:t>
      </w:r>
      <w:r>
        <w:rPr>
          <w:rFonts w:asciiTheme="minorEastAsia" w:hAnsiTheme="minorEastAsia" w:eastAsiaTheme="minorEastAsia"/>
          <w:spacing w:val="-3"/>
          <w:lang w:eastAsia="zh-CN"/>
        </w:rPr>
        <w:t xml:space="preserve"> </w:t>
      </w:r>
      <w:r>
        <w:rPr>
          <w:rFonts w:asciiTheme="minorEastAsia" w:hAnsiTheme="minorEastAsia" w:eastAsiaTheme="minorEastAsia"/>
          <w:lang w:eastAsia="zh-CN"/>
        </w:rPr>
        <w:t>数字证书或电子营业执照登录北京市政府采购电子交易平台</w:t>
      </w:r>
      <w:r>
        <w:rPr>
          <w:rFonts w:asciiTheme="minorEastAsia" w:hAnsiTheme="minorEastAsia" w:eastAsiaTheme="minorEastAsia"/>
          <w:spacing w:val="-1"/>
          <w:lang w:eastAsia="zh-CN"/>
        </w:rPr>
        <w:t>（</w:t>
      </w:r>
      <w:r>
        <w:fldChar w:fldCharType="begin"/>
      </w:r>
      <w:r>
        <w:instrText xml:space="preserve"> HYPERLINK "http://zbcg-bjzc.zhongcy.com/bjczj-portal-site/index.html%23/home" \h </w:instrText>
      </w:r>
      <w:r>
        <w:fldChar w:fldCharType="separate"/>
      </w:r>
      <w:r>
        <w:rPr>
          <w:rFonts w:asciiTheme="minorEastAsia" w:hAnsiTheme="minorEastAsia" w:eastAsiaTheme="minorEastAsia"/>
          <w:spacing w:val="-1"/>
          <w:w w:val="103"/>
          <w:lang w:eastAsia="zh-CN"/>
        </w:rPr>
        <w:t>h</w:t>
      </w:r>
      <w:r>
        <w:rPr>
          <w:rFonts w:asciiTheme="minorEastAsia" w:hAnsiTheme="minorEastAsia" w:eastAsiaTheme="minorEastAsia"/>
          <w:spacing w:val="-1"/>
          <w:w w:val="115"/>
          <w:lang w:eastAsia="zh-CN"/>
        </w:rPr>
        <w:t>tt</w:t>
      </w:r>
      <w:r>
        <w:rPr>
          <w:rFonts w:asciiTheme="minorEastAsia" w:hAnsiTheme="minorEastAsia" w:eastAsiaTheme="minorEastAsia"/>
          <w:spacing w:val="1"/>
          <w:w w:val="92"/>
          <w:lang w:eastAsia="zh-CN"/>
        </w:rPr>
        <w:t>p</w:t>
      </w:r>
      <w:r>
        <w:rPr>
          <w:rFonts w:asciiTheme="minorEastAsia" w:hAnsiTheme="minorEastAsia" w:eastAsiaTheme="minorEastAsia"/>
          <w:spacing w:val="-2"/>
          <w:w w:val="121"/>
          <w:lang w:eastAsia="zh-CN"/>
        </w:rPr>
        <w:t>:</w:t>
      </w:r>
      <w:r>
        <w:rPr>
          <w:rFonts w:asciiTheme="minorEastAsia" w:hAnsiTheme="minorEastAsia" w:eastAsiaTheme="minorEastAsia"/>
          <w:w w:val="76"/>
          <w:lang w:eastAsia="zh-CN"/>
        </w:rPr>
        <w:t>//</w:t>
      </w:r>
      <w:r>
        <w:rPr>
          <w:rFonts w:asciiTheme="minorEastAsia" w:hAnsiTheme="minorEastAsia" w:eastAsiaTheme="minorEastAsia"/>
          <w:spacing w:val="-1"/>
          <w:w w:val="123"/>
          <w:lang w:eastAsia="zh-CN"/>
        </w:rPr>
        <w:t>z</w:t>
      </w:r>
      <w:r>
        <w:rPr>
          <w:rFonts w:asciiTheme="minorEastAsia" w:hAnsiTheme="minorEastAsia" w:eastAsiaTheme="minorEastAsia"/>
          <w:spacing w:val="1"/>
          <w:w w:val="92"/>
          <w:lang w:eastAsia="zh-CN"/>
        </w:rPr>
        <w:t>b</w:t>
      </w:r>
      <w:r>
        <w:rPr>
          <w:rFonts w:asciiTheme="minorEastAsia" w:hAnsiTheme="minorEastAsia" w:eastAsiaTheme="minorEastAsia"/>
          <w:w w:val="89"/>
          <w:lang w:eastAsia="zh-CN"/>
        </w:rPr>
        <w:t>c</w:t>
      </w:r>
      <w:r>
        <w:rPr>
          <w:rFonts w:asciiTheme="minorEastAsia" w:hAnsiTheme="minorEastAsia" w:eastAsiaTheme="minorEastAsia"/>
          <w:spacing w:val="-1"/>
          <w:w w:val="89"/>
          <w:lang w:eastAsia="zh-CN"/>
        </w:rPr>
        <w:t>g</w:t>
      </w:r>
      <w:r>
        <w:rPr>
          <w:rFonts w:asciiTheme="minorEastAsia" w:hAnsiTheme="minorEastAsia" w:eastAsiaTheme="minorEastAsia"/>
          <w:w w:val="98"/>
          <w:lang w:eastAsia="zh-CN"/>
        </w:rPr>
        <w:t>-</w:t>
      </w:r>
      <w:r>
        <w:rPr>
          <w:rFonts w:asciiTheme="minorEastAsia" w:hAnsiTheme="minorEastAsia" w:eastAsiaTheme="minorEastAsia"/>
          <w:spacing w:val="1"/>
          <w:w w:val="98"/>
          <w:lang w:eastAsia="zh-CN"/>
        </w:rPr>
        <w:t>b</w:t>
      </w:r>
      <w:r>
        <w:rPr>
          <w:rFonts w:asciiTheme="minorEastAsia" w:hAnsiTheme="minorEastAsia" w:eastAsiaTheme="minorEastAsia"/>
          <w:spacing w:val="-2"/>
          <w:w w:val="136"/>
          <w:lang w:eastAsia="zh-CN"/>
        </w:rPr>
        <w:t>j</w:t>
      </w:r>
      <w:r>
        <w:rPr>
          <w:rFonts w:asciiTheme="minorEastAsia" w:hAnsiTheme="minorEastAsia" w:eastAsiaTheme="minorEastAsia"/>
          <w:spacing w:val="1"/>
          <w:w w:val="123"/>
          <w:lang w:eastAsia="zh-CN"/>
        </w:rPr>
        <w:t>z</w:t>
      </w:r>
      <w:r>
        <w:rPr>
          <w:rFonts w:asciiTheme="minorEastAsia" w:hAnsiTheme="minorEastAsia" w:eastAsiaTheme="minorEastAsia"/>
          <w:w w:val="93"/>
          <w:lang w:eastAsia="zh-CN"/>
        </w:rPr>
        <w:t>c.</w:t>
      </w:r>
      <w:r>
        <w:rPr>
          <w:rFonts w:asciiTheme="minorEastAsia" w:hAnsiTheme="minorEastAsia" w:eastAsiaTheme="minorEastAsia"/>
          <w:spacing w:val="-1"/>
          <w:w w:val="123"/>
          <w:lang w:eastAsia="zh-CN"/>
        </w:rPr>
        <w:t>z</w:t>
      </w:r>
      <w:r>
        <w:rPr>
          <w:rFonts w:asciiTheme="minorEastAsia" w:hAnsiTheme="minorEastAsia" w:eastAsiaTheme="minorEastAsia"/>
          <w:spacing w:val="-1"/>
          <w:w w:val="103"/>
          <w:lang w:eastAsia="zh-CN"/>
        </w:rPr>
        <w:t>h</w:t>
      </w:r>
      <w:r>
        <w:rPr>
          <w:rFonts w:asciiTheme="minorEastAsia" w:hAnsiTheme="minorEastAsia" w:eastAsiaTheme="minorEastAsia"/>
          <w:spacing w:val="2"/>
          <w:w w:val="93"/>
          <w:lang w:eastAsia="zh-CN"/>
        </w:rPr>
        <w:t>o</w:t>
      </w:r>
      <w:r>
        <w:rPr>
          <w:rFonts w:asciiTheme="minorEastAsia" w:hAnsiTheme="minorEastAsia" w:eastAsiaTheme="minorEastAsia"/>
          <w:spacing w:val="-1"/>
          <w:w w:val="103"/>
          <w:lang w:eastAsia="zh-CN"/>
        </w:rPr>
        <w:t>n</w:t>
      </w:r>
      <w:r>
        <w:rPr>
          <w:rFonts w:asciiTheme="minorEastAsia" w:hAnsiTheme="minorEastAsia" w:eastAsiaTheme="minorEastAsia"/>
          <w:spacing w:val="1"/>
          <w:w w:val="94"/>
          <w:lang w:eastAsia="zh-CN"/>
        </w:rPr>
        <w:t>g</w:t>
      </w:r>
      <w:r>
        <w:rPr>
          <w:rFonts w:asciiTheme="minorEastAsia" w:hAnsiTheme="minorEastAsia" w:eastAsiaTheme="minorEastAsia"/>
          <w:w w:val="84"/>
          <w:lang w:eastAsia="zh-CN"/>
        </w:rPr>
        <w:t>c</w:t>
      </w:r>
      <w:r>
        <w:rPr>
          <w:rFonts w:asciiTheme="minorEastAsia" w:hAnsiTheme="minorEastAsia" w:eastAsiaTheme="minorEastAsia"/>
          <w:spacing w:val="-37"/>
          <w:w w:val="110"/>
          <w:lang w:eastAsia="zh-CN"/>
        </w:rPr>
        <w:t>y</w:t>
      </w:r>
      <w:r>
        <w:rPr>
          <w:rFonts w:asciiTheme="minorEastAsia" w:hAnsiTheme="minorEastAsia" w:eastAsiaTheme="minorEastAsia"/>
          <w:w w:val="114"/>
          <w:lang w:eastAsia="zh-CN"/>
        </w:rPr>
        <w:t>.</w:t>
      </w:r>
      <w:r>
        <w:rPr>
          <w:rFonts w:asciiTheme="minorEastAsia" w:hAnsiTheme="minorEastAsia" w:eastAsiaTheme="minorEastAsia"/>
          <w:w w:val="84"/>
          <w:lang w:eastAsia="zh-CN"/>
        </w:rPr>
        <w:t>c</w:t>
      </w:r>
      <w:r>
        <w:rPr>
          <w:rFonts w:asciiTheme="minorEastAsia" w:hAnsiTheme="minorEastAsia" w:eastAsiaTheme="minorEastAsia"/>
          <w:w w:val="99"/>
          <w:lang w:eastAsia="zh-CN"/>
        </w:rPr>
        <w:t>o</w:t>
      </w:r>
      <w:r>
        <w:rPr>
          <w:rFonts w:asciiTheme="minorEastAsia" w:hAnsiTheme="minorEastAsia" w:eastAsiaTheme="minorEastAsia"/>
          <w:spacing w:val="1"/>
          <w:w w:val="99"/>
          <w:lang w:eastAsia="zh-CN"/>
        </w:rPr>
        <w:t>m</w:t>
      </w:r>
      <w:r>
        <w:rPr>
          <w:rFonts w:asciiTheme="minorEastAsia" w:hAnsiTheme="minorEastAsia" w:eastAsiaTheme="minorEastAsia"/>
          <w:spacing w:val="-2"/>
          <w:w w:val="76"/>
          <w:lang w:eastAsia="zh-CN"/>
        </w:rPr>
        <w:t>/</w:t>
      </w:r>
      <w:r>
        <w:rPr>
          <w:rFonts w:asciiTheme="minorEastAsia" w:hAnsiTheme="minorEastAsia" w:eastAsiaTheme="minorEastAsia"/>
          <w:spacing w:val="1"/>
          <w:w w:val="92"/>
          <w:lang w:eastAsia="zh-CN"/>
        </w:rPr>
        <w:t>b</w:t>
      </w:r>
      <w:r>
        <w:rPr>
          <w:rFonts w:asciiTheme="minorEastAsia" w:hAnsiTheme="minorEastAsia" w:eastAsiaTheme="minorEastAsia"/>
          <w:w w:val="136"/>
          <w:lang w:eastAsia="zh-CN"/>
        </w:rPr>
        <w:t>j</w:t>
      </w:r>
      <w:r>
        <w:rPr>
          <w:rFonts w:asciiTheme="minorEastAsia" w:hAnsiTheme="minorEastAsia" w:eastAsiaTheme="minorEastAsia"/>
          <w:w w:val="84"/>
          <w:lang w:eastAsia="zh-CN"/>
        </w:rPr>
        <w:t>c</w:t>
      </w:r>
      <w:r>
        <w:rPr>
          <w:rFonts w:asciiTheme="minorEastAsia" w:hAnsiTheme="minorEastAsia" w:eastAsiaTheme="minorEastAsia"/>
          <w:spacing w:val="-1"/>
          <w:w w:val="123"/>
          <w:lang w:eastAsia="zh-CN"/>
        </w:rPr>
        <w:t>z</w:t>
      </w:r>
      <w:r>
        <w:rPr>
          <w:rFonts w:asciiTheme="minorEastAsia" w:hAnsiTheme="minorEastAsia" w:eastAsiaTheme="minorEastAsia"/>
          <w:w w:val="136"/>
          <w:lang w:eastAsia="zh-CN"/>
        </w:rPr>
        <w:t>j</w:t>
      </w:r>
      <w:r>
        <w:rPr>
          <w:rFonts w:asciiTheme="minorEastAsia" w:hAnsiTheme="minorEastAsia" w:eastAsiaTheme="minorEastAsia"/>
          <w:w w:val="98"/>
          <w:lang w:eastAsia="zh-CN"/>
        </w:rPr>
        <w:t>-</w:t>
      </w:r>
      <w:r>
        <w:rPr>
          <w:rFonts w:asciiTheme="minorEastAsia" w:hAnsiTheme="minorEastAsia" w:eastAsiaTheme="minorEastAsia"/>
          <w:spacing w:val="1"/>
          <w:w w:val="98"/>
          <w:lang w:eastAsia="zh-CN"/>
        </w:rPr>
        <w:t>p</w:t>
      </w:r>
      <w:r>
        <w:rPr>
          <w:rFonts w:asciiTheme="minorEastAsia" w:hAnsiTheme="minorEastAsia" w:eastAsiaTheme="minorEastAsia"/>
          <w:w w:val="109"/>
          <w:lang w:eastAsia="zh-CN"/>
        </w:rPr>
        <w:t>or</w:t>
      </w:r>
      <w:r>
        <w:rPr>
          <w:rFonts w:asciiTheme="minorEastAsia" w:hAnsiTheme="minorEastAsia" w:eastAsiaTheme="minorEastAsia"/>
          <w:spacing w:val="-1"/>
          <w:w w:val="109"/>
          <w:lang w:eastAsia="zh-CN"/>
        </w:rPr>
        <w:t>t</w:t>
      </w:r>
      <w:r>
        <w:rPr>
          <w:rFonts w:asciiTheme="minorEastAsia" w:hAnsiTheme="minorEastAsia" w:eastAsiaTheme="minorEastAsia"/>
          <w:spacing w:val="-1"/>
          <w:w w:val="89"/>
          <w:lang w:eastAsia="zh-CN"/>
        </w:rPr>
        <w:t>a</w:t>
      </w:r>
      <w:r>
        <w:rPr>
          <w:rFonts w:asciiTheme="minorEastAsia" w:hAnsiTheme="minorEastAsia" w:eastAsiaTheme="minorEastAsia"/>
          <w:w w:val="138"/>
          <w:lang w:eastAsia="zh-CN"/>
        </w:rPr>
        <w:t>l</w:t>
      </w:r>
      <w:r>
        <w:rPr>
          <w:rFonts w:asciiTheme="minorEastAsia" w:hAnsiTheme="minorEastAsia" w:eastAsiaTheme="minorEastAsia"/>
          <w:w w:val="125"/>
          <w:lang w:eastAsia="zh-CN"/>
        </w:rPr>
        <w:t>-si</w:t>
      </w:r>
      <w:r>
        <w:rPr>
          <w:rFonts w:asciiTheme="minorEastAsia" w:hAnsiTheme="minorEastAsia" w:eastAsiaTheme="minorEastAsia"/>
          <w:spacing w:val="-1"/>
          <w:w w:val="115"/>
          <w:lang w:eastAsia="zh-CN"/>
        </w:rPr>
        <w:t>t</w:t>
      </w:r>
      <w:r>
        <w:rPr>
          <w:rFonts w:asciiTheme="minorEastAsia" w:hAnsiTheme="minorEastAsia" w:eastAsiaTheme="minorEastAsia"/>
          <w:spacing w:val="1"/>
          <w:w w:val="94"/>
          <w:lang w:eastAsia="zh-CN"/>
        </w:rPr>
        <w:t>e</w:t>
      </w:r>
      <w:r>
        <w:rPr>
          <w:rFonts w:asciiTheme="minorEastAsia" w:hAnsiTheme="minorEastAsia" w:eastAsiaTheme="minorEastAsia"/>
          <w:w w:val="76"/>
          <w:lang w:eastAsia="zh-CN"/>
        </w:rPr>
        <w:t>/</w:t>
      </w:r>
      <w:r>
        <w:rPr>
          <w:rFonts w:asciiTheme="minorEastAsia" w:hAnsiTheme="minorEastAsia" w:eastAsiaTheme="minorEastAsia"/>
          <w:spacing w:val="-2"/>
          <w:w w:val="138"/>
          <w:lang w:eastAsia="zh-CN"/>
        </w:rPr>
        <w:t>i</w:t>
      </w:r>
      <w:r>
        <w:rPr>
          <w:rFonts w:asciiTheme="minorEastAsia" w:hAnsiTheme="minorEastAsia" w:eastAsiaTheme="minorEastAsia"/>
          <w:spacing w:val="1"/>
          <w:w w:val="103"/>
          <w:lang w:eastAsia="zh-CN"/>
        </w:rPr>
        <w:t>n</w:t>
      </w:r>
      <w:r>
        <w:rPr>
          <w:rFonts w:asciiTheme="minorEastAsia" w:hAnsiTheme="minorEastAsia" w:eastAsiaTheme="minorEastAsia"/>
          <w:spacing w:val="-1"/>
          <w:w w:val="92"/>
          <w:lang w:eastAsia="zh-CN"/>
        </w:rPr>
        <w:t>d</w:t>
      </w:r>
      <w:r>
        <w:rPr>
          <w:rFonts w:asciiTheme="minorEastAsia" w:hAnsiTheme="minorEastAsia" w:eastAsiaTheme="minorEastAsia"/>
          <w:spacing w:val="-4"/>
          <w:w w:val="94"/>
          <w:lang w:eastAsia="zh-CN"/>
        </w:rPr>
        <w:t>e</w:t>
      </w:r>
      <w:r>
        <w:rPr>
          <w:rFonts w:asciiTheme="minorEastAsia" w:hAnsiTheme="minorEastAsia" w:eastAsiaTheme="minorEastAsia"/>
          <w:w w:val="119"/>
          <w:lang w:eastAsia="zh-CN"/>
        </w:rPr>
        <w:t>x.</w:t>
      </w:r>
      <w:r>
        <w:rPr>
          <w:rFonts w:asciiTheme="minorEastAsia" w:hAnsiTheme="minorEastAsia" w:eastAsiaTheme="minorEastAsia"/>
          <w:spacing w:val="-1"/>
          <w:w w:val="103"/>
          <w:lang w:eastAsia="zh-CN"/>
        </w:rPr>
        <w:t>h</w:t>
      </w:r>
      <w:r>
        <w:rPr>
          <w:rFonts w:asciiTheme="minorEastAsia" w:hAnsiTheme="minorEastAsia" w:eastAsiaTheme="minorEastAsia"/>
          <w:spacing w:val="-1"/>
          <w:w w:val="115"/>
          <w:lang w:eastAsia="zh-CN"/>
        </w:rPr>
        <w:t>t</w:t>
      </w:r>
      <w:r>
        <w:rPr>
          <w:rFonts w:asciiTheme="minorEastAsia" w:hAnsiTheme="minorEastAsia" w:eastAsiaTheme="minorEastAsia"/>
          <w:spacing w:val="1"/>
          <w:w w:val="103"/>
          <w:lang w:eastAsia="zh-CN"/>
        </w:rPr>
        <w:t>m</w:t>
      </w:r>
      <w:r>
        <w:rPr>
          <w:rFonts w:asciiTheme="minorEastAsia" w:hAnsiTheme="minorEastAsia" w:eastAsiaTheme="minorEastAsia"/>
          <w:w w:val="138"/>
          <w:lang w:eastAsia="zh-CN"/>
        </w:rPr>
        <w:t>l</w:t>
      </w:r>
      <w:r>
        <w:rPr>
          <w:rFonts w:asciiTheme="minorEastAsia" w:hAnsiTheme="minorEastAsia" w:eastAsiaTheme="minorEastAsia"/>
          <w:spacing w:val="-2"/>
          <w:w w:val="116"/>
          <w:lang w:eastAsia="zh-CN"/>
        </w:rPr>
        <w:t>#</w:t>
      </w:r>
      <w:r>
        <w:rPr>
          <w:rFonts w:asciiTheme="minorEastAsia" w:hAnsiTheme="minorEastAsia" w:eastAsiaTheme="minorEastAsia"/>
          <w:w w:val="76"/>
          <w:lang w:eastAsia="zh-CN"/>
        </w:rPr>
        <w:t>/</w:t>
      </w:r>
      <w:r>
        <w:rPr>
          <w:rFonts w:asciiTheme="minorEastAsia" w:hAnsiTheme="minorEastAsia" w:eastAsiaTheme="minorEastAsia"/>
          <w:spacing w:val="1"/>
          <w:w w:val="103"/>
          <w:lang w:eastAsia="zh-CN"/>
        </w:rPr>
        <w:t>h</w:t>
      </w:r>
      <w:r>
        <w:rPr>
          <w:rFonts w:asciiTheme="minorEastAsia" w:hAnsiTheme="minorEastAsia" w:eastAsiaTheme="minorEastAsia"/>
          <w:w w:val="99"/>
          <w:lang w:eastAsia="zh-CN"/>
        </w:rPr>
        <w:t>o</w:t>
      </w:r>
      <w:r>
        <w:rPr>
          <w:rFonts w:asciiTheme="minorEastAsia" w:hAnsiTheme="minorEastAsia" w:eastAsiaTheme="minorEastAsia"/>
          <w:spacing w:val="-1"/>
          <w:w w:val="99"/>
          <w:lang w:eastAsia="zh-CN"/>
        </w:rPr>
        <w:t>m</w:t>
      </w:r>
      <w:r>
        <w:rPr>
          <w:rFonts w:asciiTheme="minorEastAsia" w:hAnsiTheme="minorEastAsia" w:eastAsiaTheme="minorEastAsia"/>
          <w:spacing w:val="-1"/>
          <w:w w:val="94"/>
          <w:lang w:eastAsia="zh-CN"/>
        </w:rPr>
        <w:t>e</w:t>
      </w:r>
      <w:r>
        <w:rPr>
          <w:rFonts w:asciiTheme="minorEastAsia" w:hAnsiTheme="minorEastAsia" w:eastAsiaTheme="minorEastAsia"/>
          <w:spacing w:val="-1"/>
          <w:w w:val="94"/>
          <w:lang w:eastAsia="zh-CN"/>
        </w:rPr>
        <w:fldChar w:fldCharType="end"/>
      </w:r>
      <w:r>
        <w:rPr>
          <w:rFonts w:asciiTheme="minorEastAsia" w:hAnsiTheme="minorEastAsia" w:eastAsiaTheme="minorEastAsia"/>
          <w:lang w:eastAsia="zh-CN"/>
        </w:rPr>
        <w:t>）获取电子版竞争性磋商文件。</w:t>
      </w:r>
    </w:p>
    <w:p>
      <w:pPr>
        <w:pStyle w:val="12"/>
        <w:spacing w:before="58" w:line="360" w:lineRule="auto"/>
        <w:ind w:left="601"/>
        <w:rPr>
          <w:rFonts w:asciiTheme="minorEastAsia" w:hAnsiTheme="minorEastAsia" w:eastAsiaTheme="minorEastAsia"/>
          <w:lang w:eastAsia="zh-CN"/>
        </w:rPr>
      </w:pPr>
      <w:r>
        <w:rPr>
          <w:rFonts w:asciiTheme="minorEastAsia" w:hAnsiTheme="minorEastAsia" w:eastAsiaTheme="minorEastAsia"/>
          <w:w w:val="105"/>
          <w:lang w:eastAsia="zh-CN"/>
        </w:rPr>
        <w:t>4.售价：0 元。</w:t>
      </w:r>
    </w:p>
    <w:p>
      <w:pPr>
        <w:pStyle w:val="12"/>
        <w:rPr>
          <w:rFonts w:asciiTheme="minorEastAsia" w:hAnsiTheme="minorEastAsia" w:eastAsiaTheme="minorEastAsia"/>
          <w:sz w:val="28"/>
          <w:lang w:eastAsia="zh-CN"/>
        </w:rPr>
      </w:pPr>
    </w:p>
    <w:p>
      <w:pPr>
        <w:pStyle w:val="5"/>
        <w:jc w:val="left"/>
        <w:rPr>
          <w:rFonts w:asciiTheme="minorEastAsia" w:hAnsiTheme="minorEastAsia" w:eastAsiaTheme="minorEastAsia"/>
          <w:b/>
          <w:lang w:eastAsia="zh-CN"/>
        </w:rPr>
      </w:pPr>
      <w:bookmarkStart w:id="4" w:name="_Toc164263444"/>
      <w:r>
        <w:rPr>
          <w:rFonts w:asciiTheme="minorEastAsia" w:hAnsiTheme="minorEastAsia" w:eastAsiaTheme="minorEastAsia"/>
          <w:b/>
          <w:lang w:eastAsia="zh-CN"/>
        </w:rPr>
        <w:t>四、响应文件提交</w:t>
      </w:r>
      <w:bookmarkEnd w:id="4"/>
    </w:p>
    <w:p>
      <w:pPr>
        <w:pStyle w:val="12"/>
        <w:tabs>
          <w:tab w:val="left" w:pos="2161"/>
          <w:tab w:val="left" w:pos="2641"/>
          <w:tab w:val="left" w:pos="2761"/>
          <w:tab w:val="left" w:pos="3361"/>
          <w:tab w:val="left" w:pos="3961"/>
          <w:tab w:val="left" w:pos="4561"/>
        </w:tabs>
        <w:spacing w:before="154" w:line="355" w:lineRule="auto"/>
        <w:ind w:left="601" w:right="-48"/>
        <w:rPr>
          <w:rFonts w:asciiTheme="minorEastAsia" w:hAnsiTheme="minorEastAsia" w:eastAsiaTheme="minorEastAsia"/>
          <w:lang w:eastAsia="zh-CN"/>
        </w:rPr>
      </w:pPr>
      <w:r>
        <w:rPr>
          <w:rFonts w:asciiTheme="minorEastAsia" w:hAnsiTheme="minorEastAsia" w:eastAsiaTheme="minorEastAsia"/>
          <w:lang w:eastAsia="zh-CN"/>
        </w:rPr>
        <w:t>截止时间：</w:t>
      </w:r>
      <w:r>
        <w:rPr>
          <w:rFonts w:hint="eastAsia" w:asciiTheme="minorEastAsia" w:hAnsiTheme="minorEastAsia" w:eastAsiaTheme="minorEastAsia"/>
          <w:spacing w:val="-3"/>
          <w:u w:val="single"/>
          <w:lang w:eastAsia="zh-CN"/>
        </w:rPr>
        <w:t xml:space="preserve"> 2024</w:t>
      </w:r>
      <w:r>
        <w:rPr>
          <w:rFonts w:asciiTheme="minorEastAsia" w:hAnsiTheme="minorEastAsia" w:eastAsiaTheme="minorEastAsia"/>
          <w:lang w:eastAsia="zh-CN"/>
        </w:rPr>
        <w:t>年</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05</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月</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23</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日</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09</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点</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30</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分（北京时间</w:t>
      </w:r>
      <w:r>
        <w:rPr>
          <w:lang w:eastAsia="zh-CN"/>
        </w:rPr>
        <w:t>）。</w:t>
      </w:r>
    </w:p>
    <w:p>
      <w:pPr>
        <w:pStyle w:val="12"/>
        <w:tabs>
          <w:tab w:val="left" w:pos="2161"/>
          <w:tab w:val="left" w:pos="2641"/>
          <w:tab w:val="left" w:pos="2761"/>
          <w:tab w:val="left" w:pos="3361"/>
          <w:tab w:val="left" w:pos="3961"/>
          <w:tab w:val="left" w:pos="4561"/>
        </w:tabs>
        <w:spacing w:before="154" w:line="355" w:lineRule="auto"/>
        <w:ind w:left="601" w:right="-48"/>
        <w:rPr>
          <w:rFonts w:asciiTheme="minorEastAsia" w:hAnsiTheme="minorEastAsia" w:eastAsiaTheme="minorEastAsia"/>
          <w:lang w:eastAsia="zh-CN"/>
        </w:rPr>
      </w:pPr>
      <w:r>
        <w:rPr>
          <w:rFonts w:asciiTheme="minorEastAsia" w:hAnsiTheme="minorEastAsia" w:eastAsiaTheme="minorEastAsia"/>
          <w:lang w:eastAsia="zh-CN"/>
        </w:rPr>
        <w:t>地点</w:t>
      </w:r>
      <w:r>
        <w:rPr>
          <w:rFonts w:asciiTheme="minorEastAsia" w:hAnsiTheme="minorEastAsia" w:eastAsiaTheme="minorEastAsia"/>
          <w:spacing w:val="-1"/>
          <w:lang w:eastAsia="zh-CN"/>
        </w:rPr>
        <w:t>：</w:t>
      </w:r>
      <w:r>
        <w:rPr>
          <w:rFonts w:hint="eastAsia" w:asciiTheme="minorEastAsia" w:hAnsiTheme="minorEastAsia" w:eastAsiaTheme="minorEastAsia"/>
          <w:spacing w:val="-3"/>
          <w:u w:val="single"/>
          <w:lang w:eastAsia="zh-CN"/>
        </w:rPr>
        <w:t>北京市政府采购电子交易平台</w:t>
      </w:r>
      <w:r>
        <w:rPr>
          <w:rFonts w:asciiTheme="minorEastAsia" w:hAnsiTheme="minorEastAsia" w:eastAsiaTheme="minorEastAsia"/>
          <w:lang w:eastAsia="zh-CN"/>
        </w:rPr>
        <w:t>。</w:t>
      </w:r>
    </w:p>
    <w:p>
      <w:pPr>
        <w:pStyle w:val="12"/>
        <w:spacing w:before="11"/>
        <w:rPr>
          <w:rFonts w:asciiTheme="minorEastAsia" w:hAnsiTheme="minorEastAsia" w:eastAsiaTheme="minorEastAsia"/>
          <w:sz w:val="34"/>
          <w:lang w:eastAsia="zh-CN"/>
        </w:rPr>
      </w:pPr>
    </w:p>
    <w:p>
      <w:pPr>
        <w:pStyle w:val="5"/>
        <w:jc w:val="left"/>
        <w:rPr>
          <w:rFonts w:asciiTheme="minorEastAsia" w:hAnsiTheme="minorEastAsia" w:eastAsiaTheme="minorEastAsia"/>
          <w:b/>
          <w:lang w:eastAsia="zh-CN"/>
        </w:rPr>
      </w:pPr>
      <w:bookmarkStart w:id="5" w:name="_Toc164263445"/>
      <w:r>
        <w:rPr>
          <w:rFonts w:asciiTheme="minorEastAsia" w:hAnsiTheme="minorEastAsia" w:eastAsiaTheme="minorEastAsia"/>
          <w:b/>
          <w:lang w:eastAsia="zh-CN"/>
        </w:rPr>
        <w:t>五、开启</w:t>
      </w:r>
      <w:bookmarkEnd w:id="5"/>
    </w:p>
    <w:p>
      <w:pPr>
        <w:pStyle w:val="12"/>
        <w:tabs>
          <w:tab w:val="left" w:pos="1681"/>
          <w:tab w:val="left" w:pos="2281"/>
          <w:tab w:val="left" w:pos="2641"/>
          <w:tab w:val="left" w:pos="2881"/>
          <w:tab w:val="left" w:pos="3481"/>
          <w:tab w:val="left" w:pos="4081"/>
        </w:tabs>
        <w:spacing w:before="154" w:line="355" w:lineRule="auto"/>
        <w:ind w:left="601" w:right="94"/>
        <w:rPr>
          <w:rFonts w:asciiTheme="minorEastAsia" w:hAnsiTheme="minorEastAsia" w:eastAsiaTheme="minorEastAsia"/>
          <w:lang w:eastAsia="zh-CN"/>
        </w:rPr>
      </w:pPr>
      <w:r>
        <w:rPr>
          <w:rFonts w:asciiTheme="minorEastAsia" w:hAnsiTheme="minorEastAsia" w:eastAsiaTheme="minorEastAsia"/>
          <w:lang w:eastAsia="zh-CN"/>
        </w:rPr>
        <w:t>时间：</w:t>
      </w:r>
      <w:r>
        <w:rPr>
          <w:rFonts w:hint="eastAsia" w:asciiTheme="minorEastAsia" w:hAnsiTheme="minorEastAsia" w:eastAsiaTheme="minorEastAsia"/>
          <w:spacing w:val="-3"/>
          <w:u w:val="single"/>
          <w:lang w:eastAsia="zh-CN"/>
        </w:rPr>
        <w:t xml:space="preserve"> 2024</w:t>
      </w:r>
      <w:r>
        <w:rPr>
          <w:rFonts w:asciiTheme="minorEastAsia" w:hAnsiTheme="minorEastAsia" w:eastAsiaTheme="minorEastAsia"/>
          <w:lang w:eastAsia="zh-CN"/>
        </w:rPr>
        <w:t>年</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05</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月</w:t>
      </w:r>
      <w:r>
        <w:rPr>
          <w:rFonts w:hint="eastAsia" w:asciiTheme="minorEastAsia" w:hAnsiTheme="minorEastAsia" w:eastAsiaTheme="minorEastAsia"/>
          <w:spacing w:val="-3"/>
          <w:u w:val="single"/>
          <w:lang w:eastAsia="zh-CN"/>
        </w:rPr>
        <w:t xml:space="preserve"> </w:t>
      </w:r>
      <w:r>
        <w:rPr>
          <w:rFonts w:hint="eastAsia" w:asciiTheme="minorEastAsia" w:hAnsiTheme="minorEastAsia" w:eastAsiaTheme="minorEastAsia"/>
          <w:spacing w:val="-3"/>
          <w:u w:val="single"/>
          <w:lang w:val="en-US" w:eastAsia="zh-CN"/>
        </w:rPr>
        <w:t>23</w:t>
      </w:r>
      <w:r>
        <w:rPr>
          <w:rFonts w:hint="eastAsia" w:asciiTheme="minorEastAsia" w:hAnsiTheme="minorEastAsia" w:eastAsiaTheme="minorEastAsia"/>
          <w:spacing w:val="-3"/>
          <w:u w:val="single"/>
          <w:lang w:eastAsia="zh-CN"/>
        </w:rPr>
        <w:t xml:space="preserve"> </w:t>
      </w:r>
      <w:r>
        <w:rPr>
          <w:rFonts w:asciiTheme="minorEastAsia" w:hAnsiTheme="minorEastAsia" w:eastAsiaTheme="minorEastAsia"/>
          <w:lang w:eastAsia="zh-CN"/>
        </w:rPr>
        <w:t>日</w:t>
      </w:r>
      <w:r>
        <w:rPr>
          <w:rFonts w:hint="eastAsia" w:asciiTheme="minorEastAsia" w:hAnsiTheme="minorEastAsia" w:eastAsiaTheme="minorEastAsia"/>
          <w:u w:val="single"/>
          <w:lang w:val="en-US" w:eastAsia="zh-CN"/>
        </w:rPr>
        <w:t xml:space="preserve"> </w:t>
      </w:r>
      <w:r>
        <w:rPr>
          <w:rFonts w:hint="eastAsia" w:asciiTheme="minorEastAsia" w:hAnsiTheme="minorEastAsia" w:eastAsiaTheme="minorEastAsia"/>
          <w:spacing w:val="-3"/>
          <w:u w:val="single"/>
          <w:lang w:val="en-US" w:eastAsia="zh-CN"/>
        </w:rPr>
        <w:t xml:space="preserve">09 </w:t>
      </w:r>
      <w:r>
        <w:rPr>
          <w:rFonts w:asciiTheme="minorEastAsia" w:hAnsiTheme="minorEastAsia" w:eastAsiaTheme="minorEastAsia"/>
          <w:lang w:eastAsia="zh-CN"/>
        </w:rPr>
        <w:t>点</w:t>
      </w:r>
      <w:r>
        <w:rPr>
          <w:rFonts w:hint="eastAsia" w:asciiTheme="minorEastAsia" w:hAnsiTheme="minorEastAsia" w:eastAsiaTheme="minorEastAsia"/>
          <w:u w:val="single"/>
          <w:lang w:val="en-US" w:eastAsia="zh-CN"/>
        </w:rPr>
        <w:t xml:space="preserve"> </w:t>
      </w:r>
      <w:r>
        <w:rPr>
          <w:rFonts w:hint="eastAsia" w:asciiTheme="minorEastAsia" w:hAnsiTheme="minorEastAsia" w:eastAsiaTheme="minorEastAsia"/>
          <w:u w:val="single"/>
          <w:lang w:val="en-US" w:eastAsia="zh-CN"/>
        </w:rPr>
        <w:t xml:space="preserve">30 </w:t>
      </w:r>
      <w:r>
        <w:rPr>
          <w:rFonts w:asciiTheme="minorEastAsia" w:hAnsiTheme="minorEastAsia" w:eastAsiaTheme="minorEastAsia"/>
          <w:lang w:eastAsia="zh-CN"/>
        </w:rPr>
        <w:t>分（北京时间</w:t>
      </w:r>
      <w:r>
        <w:rPr>
          <w:lang w:eastAsia="zh-CN"/>
        </w:rPr>
        <w:t>）。</w:t>
      </w:r>
    </w:p>
    <w:p>
      <w:pPr>
        <w:pStyle w:val="12"/>
        <w:tabs>
          <w:tab w:val="left" w:pos="1681"/>
          <w:tab w:val="left" w:pos="2281"/>
          <w:tab w:val="left" w:pos="2641"/>
          <w:tab w:val="left" w:pos="2881"/>
          <w:tab w:val="left" w:pos="3481"/>
          <w:tab w:val="left" w:pos="4081"/>
        </w:tabs>
        <w:spacing w:before="154" w:line="355" w:lineRule="auto"/>
        <w:ind w:left="601" w:right="94"/>
        <w:rPr>
          <w:rFonts w:asciiTheme="minorEastAsia" w:hAnsiTheme="minorEastAsia" w:eastAsiaTheme="minorEastAsia"/>
          <w:lang w:eastAsia="zh-CN"/>
        </w:rPr>
      </w:pPr>
      <w:r>
        <w:rPr>
          <w:rFonts w:asciiTheme="minorEastAsia" w:hAnsiTheme="minorEastAsia" w:eastAsiaTheme="minorEastAsia"/>
          <w:lang w:eastAsia="zh-CN"/>
        </w:rPr>
        <w:t>地点</w:t>
      </w:r>
      <w:r>
        <w:rPr>
          <w:rFonts w:asciiTheme="minorEastAsia" w:hAnsiTheme="minorEastAsia" w:eastAsiaTheme="minorEastAsia"/>
          <w:spacing w:val="-1"/>
          <w:lang w:eastAsia="zh-CN"/>
        </w:rPr>
        <w:t>：</w:t>
      </w:r>
      <w:r>
        <w:rPr>
          <w:rFonts w:hint="eastAsia" w:asciiTheme="minorEastAsia" w:hAnsiTheme="minorEastAsia" w:eastAsiaTheme="minorEastAsia"/>
          <w:spacing w:val="-3"/>
          <w:u w:val="single"/>
          <w:lang w:eastAsia="zh-CN"/>
        </w:rPr>
        <w:t>北京市顺义区复兴东街</w:t>
      </w:r>
      <w:r>
        <w:rPr>
          <w:rFonts w:asciiTheme="minorEastAsia" w:hAnsiTheme="minorEastAsia" w:eastAsiaTheme="minorEastAsia"/>
          <w:spacing w:val="-3"/>
          <w:u w:val="single"/>
          <w:lang w:eastAsia="zh-CN"/>
        </w:rPr>
        <w:t>3号院顺义区政务服务中心6号电梯厅二层</w:t>
      </w:r>
      <w:r>
        <w:rPr>
          <w:rFonts w:asciiTheme="minorEastAsia" w:hAnsiTheme="minorEastAsia" w:eastAsiaTheme="minorEastAsia"/>
          <w:lang w:eastAsia="zh-CN"/>
        </w:rPr>
        <w:t>。</w:t>
      </w:r>
    </w:p>
    <w:p>
      <w:pPr>
        <w:pStyle w:val="12"/>
        <w:spacing w:before="11"/>
        <w:rPr>
          <w:rFonts w:asciiTheme="minorEastAsia" w:hAnsiTheme="minorEastAsia" w:eastAsiaTheme="minorEastAsia"/>
          <w:sz w:val="34"/>
          <w:lang w:eastAsia="zh-CN"/>
        </w:rPr>
      </w:pPr>
    </w:p>
    <w:p>
      <w:pPr>
        <w:pStyle w:val="5"/>
        <w:jc w:val="left"/>
        <w:rPr>
          <w:rFonts w:asciiTheme="minorEastAsia" w:hAnsiTheme="minorEastAsia" w:eastAsiaTheme="minorEastAsia"/>
          <w:b/>
          <w:lang w:eastAsia="zh-CN"/>
        </w:rPr>
      </w:pPr>
      <w:bookmarkStart w:id="6" w:name="_Toc164263446"/>
      <w:r>
        <w:rPr>
          <w:rFonts w:asciiTheme="minorEastAsia" w:hAnsiTheme="minorEastAsia" w:eastAsiaTheme="minorEastAsia"/>
          <w:b/>
          <w:lang w:eastAsia="zh-CN"/>
        </w:rPr>
        <w:t>六、公告期限</w:t>
      </w:r>
      <w:bookmarkEnd w:id="6"/>
    </w:p>
    <w:p>
      <w:pPr>
        <w:pStyle w:val="12"/>
        <w:tabs>
          <w:tab w:val="left" w:pos="1681"/>
          <w:tab w:val="left" w:pos="2281"/>
          <w:tab w:val="left" w:pos="2641"/>
          <w:tab w:val="left" w:pos="2881"/>
          <w:tab w:val="left" w:pos="3481"/>
          <w:tab w:val="left" w:pos="4081"/>
        </w:tabs>
        <w:spacing w:before="154" w:line="355" w:lineRule="auto"/>
        <w:ind w:left="601" w:right="94"/>
        <w:rPr>
          <w:rFonts w:asciiTheme="minorEastAsia" w:hAnsiTheme="minorEastAsia" w:eastAsiaTheme="minorEastAsia"/>
          <w:lang w:eastAsia="zh-CN"/>
        </w:rPr>
      </w:pPr>
      <w:r>
        <w:rPr>
          <w:rFonts w:asciiTheme="minorEastAsia" w:hAnsiTheme="minorEastAsia" w:eastAsiaTheme="minorEastAsia"/>
          <w:lang w:eastAsia="zh-CN"/>
        </w:rPr>
        <w:t>自本公告发布之日起 3 个工作日。</w:t>
      </w:r>
      <w:bookmarkStart w:id="572" w:name="_GoBack"/>
      <w:bookmarkEnd w:id="572"/>
    </w:p>
    <w:p>
      <w:pPr>
        <w:pStyle w:val="12"/>
        <w:rPr>
          <w:rFonts w:asciiTheme="minorEastAsia" w:hAnsiTheme="minorEastAsia" w:eastAsiaTheme="minorEastAsia"/>
          <w:sz w:val="28"/>
          <w:lang w:eastAsia="zh-CN"/>
        </w:rPr>
      </w:pPr>
    </w:p>
    <w:p>
      <w:pPr>
        <w:pStyle w:val="5"/>
        <w:jc w:val="left"/>
        <w:rPr>
          <w:rFonts w:asciiTheme="minorEastAsia" w:hAnsiTheme="minorEastAsia" w:eastAsiaTheme="minorEastAsia"/>
          <w:b/>
          <w:lang w:eastAsia="zh-CN"/>
        </w:rPr>
      </w:pPr>
      <w:bookmarkStart w:id="7" w:name="_Toc164263447"/>
      <w:r>
        <w:rPr>
          <w:rFonts w:asciiTheme="minorEastAsia" w:hAnsiTheme="minorEastAsia" w:eastAsiaTheme="minorEastAsia"/>
          <w:b/>
          <w:lang w:eastAsia="zh-CN"/>
        </w:rPr>
        <w:t>七、其他补充事宜</w:t>
      </w:r>
      <w:bookmarkEnd w:id="7"/>
    </w:p>
    <w:p>
      <w:pPr>
        <w:pStyle w:val="12"/>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asciiTheme="minorEastAsia" w:hAnsiTheme="minorEastAsia" w:eastAsiaTheme="minorEastAsia"/>
          <w:lang w:eastAsia="zh-CN"/>
        </w:rPr>
      </w:pPr>
      <w:r>
        <w:rPr>
          <w:rFonts w:asciiTheme="minorEastAsia" w:hAnsiTheme="minorEastAsia" w:eastAsiaTheme="minorEastAsia"/>
          <w:lang w:eastAsia="zh-CN"/>
        </w:rPr>
        <w:t>1.本项目需要落实的政府采购政策：</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1)执行《财政部生态环境部关于印发环境标志产品政府采购品目清单的通知（财库[2019]18号）；</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2)执行《财政部发展改革委关于印发节能产品政府采购品目清单的通知》（财库[2019]19号）；</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3)执行《财政部工业和信息化部关于印发政府采购促进中小企业发展管理办法的通知》（财库〔2020〕46号）；</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4)执行《财政部关于开展政府采购信用担保试点工作方案》（财库[2011]124号）；</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5)执行《财政部、司法部关于政府采购支持监狱企业发展有关问题的通知》（财库[2014]68号）；</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6)执行《关于促进残疾人就业政府采购政策的通知》（财库[2017]141号）；</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spacing w:val="-3"/>
          <w:lang w:eastAsia="zh-CN"/>
        </w:rPr>
      </w:pPr>
      <w:r>
        <w:rPr>
          <w:rFonts w:asciiTheme="minorEastAsia" w:hAnsiTheme="minorEastAsia" w:eastAsiaTheme="minorEastAsia"/>
          <w:spacing w:val="-3"/>
          <w:lang w:eastAsia="zh-CN"/>
        </w:rPr>
        <w:t>7)执行《财政部关于在政府采购活动中查询及使用信用记录有关问题的通知》（财库[2016]125号）等财政部和北京市相关文件的规定；</w:t>
      </w:r>
    </w:p>
    <w:p>
      <w:pPr>
        <w:pStyle w:val="12"/>
        <w:tabs>
          <w:tab w:val="left" w:pos="3349"/>
          <w:tab w:val="left" w:pos="5379"/>
          <w:tab w:val="left" w:pos="7887"/>
          <w:tab w:val="left" w:pos="8394"/>
        </w:tabs>
        <w:spacing w:before="142" w:line="360" w:lineRule="auto"/>
        <w:ind w:left="601"/>
        <w:rPr>
          <w:rFonts w:asciiTheme="minorEastAsia" w:hAnsiTheme="minorEastAsia" w:eastAsiaTheme="minorEastAsia"/>
          <w:lang w:eastAsia="zh-CN"/>
        </w:rPr>
      </w:pPr>
      <w:r>
        <w:rPr>
          <w:rFonts w:asciiTheme="minorEastAsia" w:hAnsiTheme="minorEastAsia" w:eastAsiaTheme="minorEastAsia"/>
          <w:lang w:eastAsia="zh-CN"/>
        </w:rPr>
        <w:t>2.本项目采用</w:t>
      </w:r>
      <w:r>
        <w:rPr>
          <w:rFonts w:asciiTheme="minorEastAsia" w:hAnsiTheme="minorEastAsia" w:eastAsiaTheme="minorEastAsia"/>
          <w:b/>
          <w:lang w:eastAsia="zh-CN"/>
        </w:rPr>
        <w:t>全流程电子化</w:t>
      </w:r>
      <w:r>
        <w:rPr>
          <w:rFonts w:asciiTheme="minorEastAsia" w:hAnsiTheme="minorEastAsia" w:eastAsiaTheme="minorEastAsia"/>
          <w:lang w:eastAsia="zh-CN"/>
        </w:rPr>
        <w:t>采购方式，请供应商认真学习北京市政府采购电子交易平台发布的相关操作手册（供应商可在交易平台下载相关手册），办理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数字证书或电子营业执照情况确认是否符合本项目电子化采购流程要求。</w:t>
      </w:r>
    </w:p>
    <w:p>
      <w:pPr>
        <w:pStyle w:val="12"/>
        <w:tabs>
          <w:tab w:val="left" w:pos="8394"/>
        </w:tabs>
        <w:spacing w:before="58" w:line="360" w:lineRule="auto"/>
        <w:ind w:left="601"/>
        <w:rPr>
          <w:rFonts w:asciiTheme="minorEastAsia" w:hAnsiTheme="minorEastAsia" w:eastAsiaTheme="minorEastAsia"/>
          <w:lang w:eastAsia="zh-CN"/>
        </w:rPr>
      </w:pPr>
      <w:r>
        <w:rPr>
          <w:rFonts w:asciiTheme="minorEastAsia" w:hAnsiTheme="minorEastAsia" w:eastAsiaTheme="minorEastAsia"/>
          <w:lang w:eastAsia="zh-CN"/>
        </w:rPr>
        <w:t>CA 数字证书服务热线 010-58511086</w:t>
      </w:r>
    </w:p>
    <w:p>
      <w:pPr>
        <w:pStyle w:val="12"/>
        <w:tabs>
          <w:tab w:val="left" w:pos="8394"/>
        </w:tabs>
        <w:spacing w:before="131" w:line="360" w:lineRule="auto"/>
        <w:ind w:left="601"/>
        <w:rPr>
          <w:rFonts w:asciiTheme="minorEastAsia" w:hAnsiTheme="minorEastAsia" w:eastAsiaTheme="minorEastAsia"/>
          <w:lang w:eastAsia="zh-CN"/>
        </w:rPr>
      </w:pPr>
      <w:r>
        <w:rPr>
          <w:rFonts w:asciiTheme="minorEastAsia" w:hAnsiTheme="minorEastAsia" w:eastAsiaTheme="minorEastAsia"/>
          <w:lang w:eastAsia="zh-CN"/>
        </w:rPr>
        <w:t>电子营业执照服务热线 400-699-7000</w:t>
      </w:r>
    </w:p>
    <w:p>
      <w:pPr>
        <w:pStyle w:val="12"/>
        <w:tabs>
          <w:tab w:val="left" w:pos="3001"/>
          <w:tab w:val="left" w:pos="8394"/>
        </w:tabs>
        <w:spacing w:before="133" w:line="360" w:lineRule="auto"/>
        <w:ind w:left="601"/>
        <w:rPr>
          <w:rFonts w:asciiTheme="minorEastAsia" w:hAnsiTheme="minorEastAsia" w:eastAsiaTheme="minorEastAsia"/>
          <w:lang w:eastAsia="zh-CN"/>
        </w:rPr>
      </w:pPr>
      <w:r>
        <w:rPr>
          <w:rFonts w:asciiTheme="minorEastAsia" w:hAnsiTheme="minorEastAsia" w:eastAsiaTheme="minorEastAsia"/>
          <w:lang w:eastAsia="zh-CN"/>
        </w:rPr>
        <w:t>技术支持服务热线010-86483801</w:t>
      </w:r>
    </w:p>
    <w:p>
      <w:pPr>
        <w:tabs>
          <w:tab w:val="left" w:pos="1041"/>
        </w:tabs>
        <w:spacing w:before="131"/>
        <w:ind w:left="6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2.1</w:t>
      </w:r>
      <w:r>
        <w:rPr>
          <w:rFonts w:asciiTheme="minorEastAsia" w:hAnsiTheme="minorEastAsia" w:eastAsiaTheme="minorEastAsia"/>
          <w:sz w:val="24"/>
          <w:lang w:eastAsia="zh-CN"/>
        </w:rPr>
        <w:t>办理</w:t>
      </w:r>
      <w:r>
        <w:rPr>
          <w:rFonts w:asciiTheme="minorEastAsia" w:hAnsiTheme="minorEastAsia" w:eastAsiaTheme="minorEastAsia"/>
          <w:spacing w:val="-68"/>
          <w:sz w:val="24"/>
          <w:lang w:eastAsia="zh-CN"/>
        </w:rPr>
        <w:t xml:space="preserve"> </w:t>
      </w:r>
      <w:r>
        <w:rPr>
          <w:rFonts w:asciiTheme="minorEastAsia" w:hAnsiTheme="minorEastAsia" w:eastAsiaTheme="minorEastAsia"/>
          <w:sz w:val="24"/>
          <w:lang w:eastAsia="zh-CN"/>
        </w:rPr>
        <w:t>CA 数字证书或电子营业执照</w:t>
      </w:r>
    </w:p>
    <w:p>
      <w:pPr>
        <w:pStyle w:val="12"/>
        <w:tabs>
          <w:tab w:val="left" w:pos="1041"/>
        </w:tabs>
        <w:spacing w:before="133" w:line="333" w:lineRule="auto"/>
        <w:ind w:left="142" w:right="92" w:rightChars="42" w:firstLine="567" w:firstLineChars="225"/>
        <w:rPr>
          <w:rFonts w:asciiTheme="minorEastAsia" w:hAnsiTheme="minorEastAsia" w:eastAsiaTheme="minorEastAsia"/>
          <w:lang w:eastAsia="zh-CN"/>
        </w:rPr>
      </w:pPr>
      <w:r>
        <w:rPr>
          <w:rFonts w:asciiTheme="minorEastAsia" w:hAnsiTheme="minorEastAsia" w:eastAsiaTheme="minorEastAsia"/>
          <w:w w:val="105"/>
          <w:lang w:eastAsia="zh-CN"/>
        </w:rPr>
        <w:t>供应商登录北京市政府采购电子交易平台查阅</w:t>
      </w:r>
      <w:r>
        <w:rPr>
          <w:rFonts w:hint="eastAsia" w:asciiTheme="minorEastAsia" w:hAnsiTheme="minorEastAsia" w:eastAsiaTheme="minorEastAsia"/>
          <w:w w:val="105"/>
          <w:lang w:eastAsia="zh-CN"/>
        </w:rPr>
        <w:t xml:space="preserve"> </w:t>
      </w:r>
      <w:r>
        <w:rPr>
          <w:rFonts w:asciiTheme="minorEastAsia" w:hAnsiTheme="minorEastAsia" w:eastAsiaTheme="minorEastAsia"/>
          <w:w w:val="105"/>
          <w:lang w:eastAsia="zh-CN"/>
        </w:rPr>
        <w:t>“用户指南”—“操作指南”—“市场主体CA办理操作流程指引”/“电子营业执照使用指南”，按照程序要求办理。</w:t>
      </w:r>
    </w:p>
    <w:p>
      <w:pPr>
        <w:tabs>
          <w:tab w:val="left" w:pos="1041"/>
        </w:tabs>
        <w:spacing w:before="25"/>
        <w:ind w:left="600"/>
        <w:rPr>
          <w:rFonts w:asciiTheme="minorEastAsia" w:hAnsiTheme="minorEastAsia" w:eastAsiaTheme="minorEastAsia"/>
          <w:sz w:val="24"/>
        </w:rPr>
      </w:pPr>
      <w:r>
        <w:rPr>
          <w:rFonts w:hint="eastAsia" w:asciiTheme="minorEastAsia" w:hAnsiTheme="minorEastAsia" w:eastAsiaTheme="minorEastAsia"/>
          <w:sz w:val="24"/>
          <w:lang w:eastAsia="zh-CN"/>
        </w:rPr>
        <w:t xml:space="preserve">2.2 </w:t>
      </w:r>
      <w:r>
        <w:rPr>
          <w:rFonts w:asciiTheme="minorEastAsia" w:hAnsiTheme="minorEastAsia" w:eastAsiaTheme="minorEastAsia"/>
          <w:sz w:val="24"/>
        </w:rPr>
        <w:t>注册</w:t>
      </w:r>
    </w:p>
    <w:p>
      <w:pPr>
        <w:pStyle w:val="12"/>
        <w:tabs>
          <w:tab w:val="left" w:pos="1041"/>
        </w:tabs>
        <w:spacing w:before="133" w:line="333" w:lineRule="auto"/>
        <w:ind w:left="142" w:right="92" w:rightChars="42" w:firstLine="567" w:firstLineChars="225"/>
        <w:rPr>
          <w:rFonts w:asciiTheme="minorEastAsia" w:hAnsiTheme="minorEastAsia" w:eastAsiaTheme="minorEastAsia"/>
          <w:w w:val="105"/>
          <w:lang w:eastAsia="zh-CN"/>
        </w:rPr>
      </w:pPr>
      <w:r>
        <w:rPr>
          <w:rFonts w:asciiTheme="minorEastAsia" w:hAnsiTheme="minorEastAsia" w:eastAsiaTheme="minorEastAsia"/>
          <w:w w:val="105"/>
          <w:lang w:eastAsia="zh-CN"/>
        </w:rPr>
        <w:t>供应商登录北京市政府采购电子交易平台“用户指南”—“操作指南”—“市场主体注册入库操作流程指引”进行自助注册绑定。</w:t>
      </w:r>
    </w:p>
    <w:p>
      <w:pPr>
        <w:tabs>
          <w:tab w:val="left" w:pos="1041"/>
        </w:tabs>
        <w:spacing w:before="22"/>
        <w:ind w:left="600"/>
        <w:rPr>
          <w:rFonts w:asciiTheme="minorEastAsia" w:hAnsiTheme="minorEastAsia" w:eastAsiaTheme="minorEastAsia"/>
          <w:sz w:val="24"/>
        </w:rPr>
      </w:pPr>
      <w:r>
        <w:rPr>
          <w:rFonts w:hint="eastAsia" w:asciiTheme="minorEastAsia" w:hAnsiTheme="minorEastAsia" w:eastAsiaTheme="minorEastAsia"/>
          <w:sz w:val="24"/>
          <w:lang w:eastAsia="zh-CN"/>
        </w:rPr>
        <w:t>2.3</w:t>
      </w:r>
      <w:r>
        <w:rPr>
          <w:rFonts w:asciiTheme="minorEastAsia" w:hAnsiTheme="minorEastAsia" w:eastAsiaTheme="minorEastAsia"/>
          <w:sz w:val="24"/>
        </w:rPr>
        <w:t>驱动、客户端下载</w:t>
      </w:r>
    </w:p>
    <w:p>
      <w:pPr>
        <w:pStyle w:val="12"/>
        <w:tabs>
          <w:tab w:val="left" w:pos="1041"/>
        </w:tabs>
        <w:spacing w:before="133" w:line="333" w:lineRule="auto"/>
        <w:ind w:left="142" w:right="92" w:rightChars="42" w:firstLine="567" w:firstLineChars="225"/>
        <w:rPr>
          <w:rFonts w:asciiTheme="minorEastAsia" w:hAnsiTheme="minorEastAsia" w:eastAsiaTheme="minorEastAsia"/>
          <w:w w:val="105"/>
          <w:lang w:eastAsia="zh-CN"/>
        </w:rPr>
      </w:pPr>
      <w:r>
        <w:rPr>
          <w:rFonts w:asciiTheme="minorEastAsia" w:hAnsiTheme="minorEastAsia" w:eastAsiaTheme="minorEastAsia"/>
          <w:w w:val="105"/>
          <w:lang w:eastAsia="zh-CN"/>
        </w:rPr>
        <w:t>供应商登录北京市政府采购电子交易平台“用户指南”—“工具下载”—“招标采购系统文件驱动安装包”下载相关驱动。</w:t>
      </w:r>
    </w:p>
    <w:p>
      <w:pPr>
        <w:pStyle w:val="12"/>
        <w:tabs>
          <w:tab w:val="left" w:pos="1041"/>
        </w:tabs>
        <w:spacing w:before="133" w:line="333" w:lineRule="auto"/>
        <w:ind w:left="142" w:right="92" w:rightChars="42" w:firstLine="567" w:firstLineChars="225"/>
        <w:rPr>
          <w:rFonts w:asciiTheme="minorEastAsia" w:hAnsiTheme="minorEastAsia" w:eastAsiaTheme="minorEastAsia"/>
          <w:w w:val="105"/>
          <w:lang w:eastAsia="zh-CN"/>
        </w:rPr>
      </w:pPr>
      <w:r>
        <w:rPr>
          <w:rFonts w:asciiTheme="minorEastAsia" w:hAnsiTheme="minorEastAsia" w:eastAsiaTheme="minorEastAsia"/>
          <w:w w:val="105"/>
          <w:lang w:eastAsia="zh-CN"/>
        </w:rPr>
        <w:t>供应商登录北京市政府采购电子交易平台“用户指南”—“工具下载”—“投标文件编制工具”下载相关客户端。</w:t>
      </w:r>
    </w:p>
    <w:p>
      <w:pPr>
        <w:tabs>
          <w:tab w:val="left" w:pos="1041"/>
          <w:tab w:val="left" w:pos="1101"/>
        </w:tabs>
        <w:spacing w:before="25"/>
        <w:ind w:left="6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2.4</w:t>
      </w:r>
      <w:r>
        <w:rPr>
          <w:rFonts w:asciiTheme="minorEastAsia" w:hAnsiTheme="minorEastAsia" w:eastAsiaTheme="minorEastAsia"/>
          <w:sz w:val="24"/>
          <w:lang w:eastAsia="zh-CN"/>
        </w:rPr>
        <w:t>获取电子竞争性磋商文件</w:t>
      </w:r>
    </w:p>
    <w:p>
      <w:pPr>
        <w:pStyle w:val="12"/>
        <w:tabs>
          <w:tab w:val="left" w:pos="1041"/>
        </w:tabs>
        <w:spacing w:before="133" w:line="333" w:lineRule="auto"/>
        <w:ind w:left="142" w:right="92" w:rightChars="42" w:firstLine="567" w:firstLineChars="225"/>
        <w:rPr>
          <w:rFonts w:asciiTheme="minorEastAsia" w:hAnsiTheme="minorEastAsia" w:eastAsiaTheme="minorEastAsia"/>
          <w:w w:val="105"/>
          <w:lang w:eastAsia="zh-CN"/>
        </w:rPr>
      </w:pPr>
      <w:r>
        <w:rPr>
          <w:rFonts w:asciiTheme="minorEastAsia" w:hAnsiTheme="minorEastAsia" w:eastAsiaTheme="minorEastAsia"/>
          <w:w w:val="105"/>
          <w:lang w:eastAsia="zh-CN"/>
        </w:rPr>
        <w:t>供应商使用CA 数字证书或电子营业执照登录北京市政府采购电子交易平台获取电子竞争性磋商文件。</w:t>
      </w:r>
    </w:p>
    <w:p>
      <w:pPr>
        <w:pStyle w:val="12"/>
        <w:tabs>
          <w:tab w:val="left" w:pos="1041"/>
        </w:tabs>
        <w:spacing w:before="133" w:line="333" w:lineRule="auto"/>
        <w:ind w:left="142" w:right="92" w:rightChars="42" w:firstLine="567" w:firstLineChars="225"/>
        <w:rPr>
          <w:rFonts w:asciiTheme="minorEastAsia" w:hAnsiTheme="minorEastAsia" w:eastAsiaTheme="minorEastAsia"/>
          <w:w w:val="105"/>
          <w:lang w:eastAsia="zh-CN"/>
        </w:rPr>
      </w:pPr>
      <w:r>
        <w:rPr>
          <w:rFonts w:asciiTheme="minorEastAsia" w:hAnsiTheme="minorEastAsia" w:eastAsiaTheme="minorEastAsia"/>
          <w:w w:val="105"/>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pPr>
        <w:tabs>
          <w:tab w:val="left" w:pos="1041"/>
        </w:tabs>
        <w:spacing w:before="46"/>
        <w:ind w:left="600"/>
        <w:rPr>
          <w:rFonts w:asciiTheme="minorEastAsia" w:hAnsiTheme="minorEastAsia" w:eastAsiaTheme="minorEastAsia"/>
          <w:sz w:val="24"/>
        </w:rPr>
      </w:pPr>
      <w:r>
        <w:rPr>
          <w:rFonts w:hint="eastAsia" w:asciiTheme="minorEastAsia" w:hAnsiTheme="minorEastAsia" w:eastAsiaTheme="minorEastAsia"/>
          <w:sz w:val="24"/>
          <w:lang w:eastAsia="zh-CN"/>
        </w:rPr>
        <w:t>2.5</w:t>
      </w:r>
      <w:r>
        <w:rPr>
          <w:rFonts w:asciiTheme="minorEastAsia" w:hAnsiTheme="minorEastAsia" w:eastAsiaTheme="minorEastAsia"/>
          <w:sz w:val="24"/>
        </w:rPr>
        <w:t>编制电子响应文件</w:t>
      </w:r>
    </w:p>
    <w:p>
      <w:pPr>
        <w:pStyle w:val="12"/>
        <w:spacing w:before="131" w:line="357" w:lineRule="auto"/>
        <w:ind w:left="121" w:right="112" w:firstLine="480"/>
        <w:rPr>
          <w:rFonts w:asciiTheme="minorEastAsia" w:hAnsiTheme="minorEastAsia" w:eastAsiaTheme="minorEastAsia"/>
          <w:sz w:val="16"/>
          <w:lang w:eastAsia="zh-CN"/>
        </w:rPr>
      </w:pPr>
      <w:r>
        <w:rPr>
          <w:rFonts w:asciiTheme="minorEastAsia" w:hAnsiTheme="minorEastAsia" w:eastAsiaTheme="minorEastAsia"/>
          <w:w w:val="105"/>
          <w:lang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r>
        <w:rPr>
          <w:rFonts w:asciiTheme="minorEastAsia" w:hAnsiTheme="minorEastAsia" w:eastAsiaTheme="minorEastAsia"/>
          <w:lang w:eastAsia="zh-CN"/>
        </w:rPr>
        <w:t>。</w:t>
      </w:r>
    </w:p>
    <w:p>
      <w:pPr>
        <w:tabs>
          <w:tab w:val="left" w:pos="1041"/>
        </w:tabs>
        <w:spacing w:before="43"/>
        <w:ind w:left="600"/>
        <w:rPr>
          <w:rFonts w:asciiTheme="minorEastAsia" w:hAnsiTheme="minorEastAsia" w:eastAsiaTheme="minorEastAsia"/>
          <w:sz w:val="24"/>
        </w:rPr>
      </w:pPr>
      <w:r>
        <w:rPr>
          <w:rFonts w:hint="eastAsia" w:asciiTheme="minorEastAsia" w:hAnsiTheme="minorEastAsia" w:eastAsiaTheme="minorEastAsia"/>
          <w:sz w:val="24"/>
          <w:lang w:eastAsia="zh-CN"/>
        </w:rPr>
        <w:t>2.6</w:t>
      </w:r>
      <w:r>
        <w:rPr>
          <w:rFonts w:asciiTheme="minorEastAsia" w:hAnsiTheme="minorEastAsia" w:eastAsiaTheme="minorEastAsia"/>
          <w:sz w:val="24"/>
        </w:rPr>
        <w:t>提交电子响应文件</w:t>
      </w:r>
    </w:p>
    <w:p>
      <w:pPr>
        <w:pStyle w:val="12"/>
        <w:spacing w:before="134" w:line="357" w:lineRule="auto"/>
        <w:ind w:left="121" w:right="230" w:firstLine="480"/>
        <w:rPr>
          <w:rFonts w:asciiTheme="minorEastAsia" w:hAnsiTheme="minorEastAsia" w:eastAsiaTheme="minorEastAsia"/>
          <w:lang w:eastAsia="zh-CN"/>
        </w:rPr>
      </w:pPr>
      <w:r>
        <w:rPr>
          <w:rFonts w:asciiTheme="minorEastAsia" w:hAnsiTheme="minorEastAsia" w:eastAsiaTheme="minorEastAsia"/>
          <w:lang w:eastAsia="zh-CN"/>
        </w:rPr>
        <w:t>供应商应于响应文件提交截止时间前在平台提交电子响应文件</w:t>
      </w:r>
      <w:r>
        <w:rPr>
          <w:rFonts w:asciiTheme="minorEastAsia" w:hAnsiTheme="minorEastAsia" w:eastAsiaTheme="minorEastAsia"/>
          <w:spacing w:val="-48"/>
          <w:lang w:eastAsia="zh-CN"/>
        </w:rPr>
        <w:t>，</w:t>
      </w:r>
      <w:r>
        <w:rPr>
          <w:rFonts w:asciiTheme="minorEastAsia" w:hAnsiTheme="minorEastAsia" w:eastAsiaTheme="minorEastAsia"/>
          <w:lang w:eastAsia="zh-CN"/>
        </w:rPr>
        <w:t>上传电子响应文件过程中请保持与互联网的连接畅通。</w:t>
      </w:r>
    </w:p>
    <w:p>
      <w:pPr>
        <w:tabs>
          <w:tab w:val="left" w:pos="1101"/>
        </w:tabs>
        <w:spacing w:before="36"/>
        <w:ind w:left="600"/>
        <w:rPr>
          <w:rFonts w:asciiTheme="minorEastAsia" w:hAnsiTheme="minorEastAsia" w:eastAsiaTheme="minorEastAsia"/>
          <w:sz w:val="24"/>
          <w:lang w:eastAsia="zh-CN"/>
        </w:rPr>
      </w:pPr>
      <w:r>
        <w:rPr>
          <w:rFonts w:hint="eastAsia" w:asciiTheme="minorEastAsia" w:hAnsiTheme="minorEastAsia" w:eastAsiaTheme="minorEastAsia"/>
          <w:sz w:val="24"/>
          <w:lang w:eastAsia="zh-CN"/>
        </w:rPr>
        <w:t>2.7</w:t>
      </w:r>
      <w:r>
        <w:rPr>
          <w:rFonts w:asciiTheme="minorEastAsia" w:hAnsiTheme="minorEastAsia" w:eastAsiaTheme="minorEastAsia"/>
          <w:sz w:val="24"/>
          <w:lang w:eastAsia="zh-CN"/>
        </w:rPr>
        <w:t>开启响应文件</w:t>
      </w:r>
    </w:p>
    <w:p>
      <w:pPr>
        <w:pStyle w:val="12"/>
        <w:spacing w:before="134" w:line="348" w:lineRule="auto"/>
        <w:ind w:left="121" w:right="110" w:firstLine="480"/>
        <w:rPr>
          <w:rFonts w:asciiTheme="minorEastAsia" w:hAnsiTheme="minorEastAsia" w:eastAsiaTheme="minorEastAsia"/>
          <w:lang w:eastAsia="zh-CN"/>
        </w:rPr>
      </w:pPr>
      <w:r>
        <w:rPr>
          <w:rFonts w:asciiTheme="minorEastAsia" w:hAnsiTheme="minorEastAsia" w:eastAsiaTheme="minorEastAsia"/>
          <w:lang w:eastAsia="zh-CN"/>
        </w:rPr>
        <w:t>供应商于磋商文件规定的开启时间</w:t>
      </w:r>
      <w:r>
        <w:rPr>
          <w:rFonts w:asciiTheme="minorEastAsia" w:hAnsiTheme="minorEastAsia" w:eastAsiaTheme="minorEastAsia"/>
          <w:spacing w:val="-22"/>
          <w:lang w:eastAsia="zh-CN"/>
        </w:rPr>
        <w:t>、</w:t>
      </w:r>
      <w:r>
        <w:rPr>
          <w:rFonts w:asciiTheme="minorEastAsia" w:hAnsiTheme="minorEastAsia" w:eastAsiaTheme="minorEastAsia"/>
          <w:lang w:eastAsia="zh-CN"/>
        </w:rPr>
        <w:t>在开启地点使用</w:t>
      </w:r>
      <w:r>
        <w:rPr>
          <w:lang w:eastAsia="zh-CN"/>
        </w:rPr>
        <w:t>CA</w:t>
      </w:r>
      <w:r>
        <w:rPr>
          <w:rFonts w:asciiTheme="minorEastAsia" w:hAnsiTheme="minorEastAsia" w:eastAsiaTheme="minorEastAsia"/>
          <w:lang w:eastAsia="zh-CN"/>
        </w:rPr>
        <w:t>数字证书或电子营业执照登录北京市政府采购电子交易平台解密并开启响应文件</w:t>
      </w:r>
      <w:r>
        <w:rPr>
          <w:rFonts w:asciiTheme="minorEastAsia" w:hAnsiTheme="minorEastAsia" w:eastAsiaTheme="minorEastAsia"/>
          <w:spacing w:val="-84"/>
          <w:lang w:eastAsia="zh-CN"/>
        </w:rPr>
        <w:t>。</w:t>
      </w:r>
      <w:r>
        <w:rPr>
          <w:rFonts w:asciiTheme="minorEastAsia" w:hAnsiTheme="minorEastAsia" w:eastAsiaTheme="minorEastAsia"/>
          <w:lang w:eastAsia="zh-CN"/>
        </w:rPr>
        <w:t>如因供应商问题</w:t>
      </w:r>
      <w:r>
        <w:rPr>
          <w:rFonts w:asciiTheme="minorEastAsia" w:hAnsiTheme="minorEastAsia" w:eastAsiaTheme="minorEastAsia"/>
          <w:spacing w:val="-84"/>
          <w:lang w:eastAsia="zh-CN"/>
        </w:rPr>
        <w:t>，</w:t>
      </w:r>
      <w:r>
        <w:rPr>
          <w:rFonts w:asciiTheme="minorEastAsia" w:hAnsiTheme="minorEastAsia" w:eastAsiaTheme="minorEastAsia"/>
          <w:lang w:eastAsia="zh-CN"/>
        </w:rPr>
        <w:t>解密不成功，则响</w:t>
      </w:r>
      <w:r>
        <w:rPr>
          <w:rFonts w:asciiTheme="minorEastAsia" w:hAnsiTheme="minorEastAsia" w:eastAsiaTheme="minorEastAsia"/>
          <w:spacing w:val="2"/>
          <w:lang w:eastAsia="zh-CN"/>
        </w:rPr>
        <w:t>应</w:t>
      </w:r>
      <w:r>
        <w:rPr>
          <w:rFonts w:asciiTheme="minorEastAsia" w:hAnsiTheme="minorEastAsia" w:eastAsiaTheme="minorEastAsia"/>
          <w:lang w:eastAsia="zh-CN"/>
        </w:rPr>
        <w:t>无</w:t>
      </w:r>
      <w:r>
        <w:rPr>
          <w:rFonts w:asciiTheme="minorEastAsia" w:hAnsiTheme="minorEastAsia" w:eastAsiaTheme="minorEastAsia"/>
          <w:spacing w:val="-1"/>
          <w:lang w:eastAsia="zh-CN"/>
        </w:rPr>
        <w:t>效</w:t>
      </w:r>
      <w:r>
        <w:rPr>
          <w:rFonts w:asciiTheme="minorEastAsia" w:hAnsiTheme="minorEastAsia" w:eastAsiaTheme="minorEastAsia"/>
          <w:lang w:eastAsia="zh-CN"/>
        </w:rPr>
        <w:t>。</w:t>
      </w:r>
    </w:p>
    <w:p>
      <w:pPr>
        <w:spacing w:line="360" w:lineRule="auto"/>
        <w:rPr>
          <w:sz w:val="24"/>
          <w:lang w:eastAsia="zh-CN"/>
        </w:rPr>
      </w:pPr>
      <w:r>
        <w:rPr>
          <w:rFonts w:hint="eastAsia"/>
          <w:sz w:val="24"/>
          <w:lang w:eastAsia="zh-CN"/>
        </w:rPr>
        <w:t>3、供应商须委派一名授权代表人，参加竞争性磋商的代表人须出示本人身份证（非法定代表人时还须提供与《响应文件》中一致的《法定代表人授权书》）</w:t>
      </w:r>
    </w:p>
    <w:p>
      <w:pPr>
        <w:spacing w:line="360" w:lineRule="auto"/>
        <w:rPr>
          <w:sz w:val="24"/>
          <w:lang w:eastAsia="zh-CN"/>
        </w:rPr>
      </w:pPr>
      <w:r>
        <w:rPr>
          <w:rFonts w:hint="eastAsia"/>
          <w:sz w:val="24"/>
          <w:lang w:eastAsia="zh-CN"/>
        </w:rPr>
        <w:t>4、公告媒体：本公告同时在中国政府采购网、北京市政府采购网发布。</w:t>
      </w:r>
    </w:p>
    <w:p>
      <w:pPr>
        <w:pStyle w:val="5"/>
        <w:jc w:val="left"/>
        <w:rPr>
          <w:rFonts w:asciiTheme="minorEastAsia" w:hAnsiTheme="minorEastAsia" w:eastAsiaTheme="minorEastAsia"/>
          <w:b/>
          <w:lang w:eastAsia="zh-CN"/>
        </w:rPr>
      </w:pPr>
      <w:bookmarkStart w:id="8" w:name="_Toc164263448"/>
      <w:r>
        <w:rPr>
          <w:rFonts w:asciiTheme="minorEastAsia" w:hAnsiTheme="minorEastAsia" w:eastAsiaTheme="minorEastAsia"/>
          <w:b/>
          <w:lang w:eastAsia="zh-CN"/>
        </w:rPr>
        <w:t>八、对本次采购提出询问，请按以下方式联系。</w:t>
      </w:r>
      <w:bookmarkEnd w:id="8"/>
    </w:p>
    <w:p>
      <w:pPr>
        <w:spacing w:before="154"/>
        <w:ind w:left="841"/>
        <w:jc w:val="both"/>
        <w:rPr>
          <w:rFonts w:asciiTheme="minorEastAsia" w:hAnsiTheme="minorEastAsia" w:eastAsiaTheme="minorEastAsia"/>
          <w:sz w:val="24"/>
          <w:lang w:eastAsia="zh-CN"/>
        </w:rPr>
      </w:pPr>
      <w:r>
        <w:rPr>
          <w:rFonts w:asciiTheme="minorEastAsia" w:hAnsiTheme="minorEastAsia" w:eastAsiaTheme="minorEastAsia"/>
          <w:b/>
          <w:w w:val="105"/>
          <w:sz w:val="24"/>
          <w:lang w:eastAsia="zh-CN"/>
        </w:rPr>
        <w:t>1.</w:t>
      </w:r>
      <w:r>
        <w:rPr>
          <w:rFonts w:asciiTheme="minorEastAsia" w:hAnsiTheme="minorEastAsia" w:eastAsiaTheme="minorEastAsia"/>
          <w:w w:val="105"/>
          <w:sz w:val="24"/>
          <w:lang w:eastAsia="zh-CN"/>
        </w:rPr>
        <w:t>采购人信息</w:t>
      </w:r>
    </w:p>
    <w:p>
      <w:pPr>
        <w:pStyle w:val="12"/>
        <w:tabs>
          <w:tab w:val="left" w:pos="3471"/>
        </w:tabs>
        <w:spacing w:before="132" w:line="357" w:lineRule="auto"/>
        <w:ind w:left="899" w:right="94"/>
        <w:jc w:val="both"/>
        <w:rPr>
          <w:rFonts w:asciiTheme="minorEastAsia" w:hAnsiTheme="minorEastAsia" w:eastAsiaTheme="minorEastAsia"/>
          <w:spacing w:val="-3"/>
          <w:u w:val="single"/>
          <w:lang w:eastAsia="zh-CN"/>
        </w:rPr>
      </w:pPr>
      <w:r>
        <w:rPr>
          <w:rFonts w:asciiTheme="minorEastAsia" w:hAnsiTheme="minorEastAsia" w:eastAsiaTheme="minorEastAsia"/>
          <w:lang w:eastAsia="zh-CN"/>
        </w:rPr>
        <w:t xml:space="preserve">名 </w:t>
      </w:r>
      <w:r>
        <w:rPr>
          <w:rFonts w:hint="eastAsia" w:asciiTheme="minorEastAsia" w:hAnsiTheme="minorEastAsia" w:eastAsiaTheme="minorEastAsia"/>
          <w:spacing w:val="118"/>
          <w:lang w:eastAsia="zh-CN"/>
        </w:rPr>
        <w:t xml:space="preserve"> </w:t>
      </w:r>
      <w:r>
        <w:rPr>
          <w:rFonts w:asciiTheme="minorEastAsia" w:hAnsiTheme="minorEastAsia" w:eastAsiaTheme="minorEastAsia"/>
          <w:lang w:eastAsia="zh-CN"/>
        </w:rPr>
        <w:t>称：</w:t>
      </w:r>
      <w:r>
        <w:rPr>
          <w:rFonts w:hint="eastAsia" w:asciiTheme="minorEastAsia" w:hAnsiTheme="minorEastAsia" w:eastAsiaTheme="minorEastAsia"/>
          <w:spacing w:val="-3"/>
          <w:u w:val="single"/>
          <w:lang w:eastAsia="zh-CN"/>
        </w:rPr>
        <w:t xml:space="preserve"> 北京市顺义区教育资产管理服务中心 </w:t>
      </w:r>
    </w:p>
    <w:p>
      <w:pPr>
        <w:pStyle w:val="12"/>
        <w:tabs>
          <w:tab w:val="left" w:pos="3471"/>
        </w:tabs>
        <w:spacing w:before="132" w:line="357" w:lineRule="auto"/>
        <w:ind w:left="899" w:right="378"/>
        <w:jc w:val="both"/>
        <w:rPr>
          <w:rFonts w:asciiTheme="minorEastAsia" w:hAnsiTheme="minorEastAsia" w:eastAsiaTheme="minorEastAsia"/>
          <w:u w:val="single"/>
          <w:lang w:eastAsia="zh-CN"/>
        </w:rPr>
      </w:pPr>
      <w:r>
        <w:rPr>
          <w:rFonts w:asciiTheme="minorEastAsia" w:hAnsiTheme="minorEastAsia" w:eastAsiaTheme="minorEastAsia"/>
          <w:lang w:eastAsia="zh-CN"/>
        </w:rPr>
        <w:t xml:space="preserve">地 </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 xml:space="preserve"> 址：</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北京市顺义区</w:t>
      </w:r>
      <w:r>
        <w:rPr>
          <w:rFonts w:asciiTheme="minorEastAsia" w:hAnsiTheme="minorEastAsia" w:eastAsiaTheme="minorEastAsia"/>
          <w:u w:val="single"/>
          <w:lang w:eastAsia="zh-CN"/>
        </w:rPr>
        <w:t xml:space="preserve"> </w:t>
      </w:r>
    </w:p>
    <w:p>
      <w:pPr>
        <w:pStyle w:val="12"/>
        <w:tabs>
          <w:tab w:val="left" w:pos="3471"/>
        </w:tabs>
        <w:spacing w:before="132" w:line="357" w:lineRule="auto"/>
        <w:ind w:left="899" w:right="236"/>
        <w:jc w:val="both"/>
        <w:rPr>
          <w:rFonts w:asciiTheme="minorEastAsia" w:hAnsiTheme="minorEastAsia" w:eastAsiaTheme="minorEastAsia"/>
          <w:lang w:eastAsia="zh-CN"/>
        </w:rPr>
      </w:pPr>
      <w:r>
        <w:rPr>
          <w:rFonts w:asciiTheme="minorEastAsia" w:hAnsiTheme="minorEastAsia" w:eastAsiaTheme="minorEastAsia"/>
          <w:lang w:eastAsia="zh-CN"/>
        </w:rPr>
        <w:t>联系方式：</w:t>
      </w:r>
      <w:r>
        <w:rPr>
          <w:rFonts w:asciiTheme="minorEastAsia" w:hAnsiTheme="minorEastAsia" w:eastAsiaTheme="minorEastAsia"/>
          <w:u w:val="single"/>
          <w:lang w:eastAsia="zh-CN"/>
        </w:rPr>
        <w:t xml:space="preserve"> 朱老师</w:t>
      </w:r>
      <w:r>
        <w:rPr>
          <w:rFonts w:hint="eastAsia" w:asciiTheme="minorEastAsia" w:hAnsiTheme="minorEastAsia" w:eastAsiaTheme="minorEastAsia"/>
          <w:u w:val="single"/>
          <w:lang w:val="en-US" w:eastAsia="zh-CN"/>
        </w:rPr>
        <w:t>/010-61402052</w:t>
      </w:r>
    </w:p>
    <w:p>
      <w:pPr>
        <w:pStyle w:val="12"/>
        <w:spacing w:before="36"/>
        <w:ind w:left="899"/>
        <w:jc w:val="both"/>
        <w:rPr>
          <w:rFonts w:asciiTheme="minorEastAsia" w:hAnsiTheme="minorEastAsia" w:eastAsiaTheme="minorEastAsia"/>
          <w:lang w:eastAsia="zh-CN"/>
        </w:rPr>
      </w:pPr>
      <w:r>
        <w:rPr>
          <w:rFonts w:asciiTheme="minorEastAsia" w:hAnsiTheme="minorEastAsia" w:eastAsiaTheme="minorEastAsia"/>
          <w:b/>
          <w:lang w:eastAsia="zh-CN"/>
        </w:rPr>
        <w:t>2.</w:t>
      </w:r>
      <w:r>
        <w:rPr>
          <w:rFonts w:asciiTheme="minorEastAsia" w:hAnsiTheme="minorEastAsia" w:eastAsiaTheme="minorEastAsia"/>
          <w:lang w:eastAsia="zh-CN"/>
        </w:rPr>
        <w:t>采购代理机构信息</w:t>
      </w:r>
    </w:p>
    <w:p>
      <w:pPr>
        <w:pStyle w:val="12"/>
        <w:tabs>
          <w:tab w:val="left" w:pos="3471"/>
        </w:tabs>
        <w:spacing w:before="132" w:line="357" w:lineRule="auto"/>
        <w:ind w:left="899" w:right="94"/>
        <w:jc w:val="both"/>
        <w:rPr>
          <w:rFonts w:asciiTheme="minorEastAsia" w:hAnsiTheme="minorEastAsia" w:eastAsiaTheme="minorEastAsia"/>
          <w:spacing w:val="-3"/>
          <w:u w:val="single"/>
          <w:lang w:eastAsia="zh-CN"/>
        </w:rPr>
      </w:pPr>
      <w:r>
        <w:rPr>
          <w:rFonts w:asciiTheme="minorEastAsia" w:hAnsiTheme="minorEastAsia" w:eastAsiaTheme="minorEastAsia"/>
          <w:lang w:eastAsia="zh-CN"/>
        </w:rPr>
        <w:t xml:space="preserve">名 </w:t>
      </w:r>
      <w:r>
        <w:rPr>
          <w:rFonts w:hint="eastAsia" w:asciiTheme="minorEastAsia" w:hAnsiTheme="minorEastAsia" w:eastAsiaTheme="minorEastAsia"/>
          <w:spacing w:val="118"/>
          <w:lang w:eastAsia="zh-CN"/>
        </w:rPr>
        <w:t xml:space="preserve"> </w:t>
      </w:r>
      <w:r>
        <w:rPr>
          <w:rFonts w:asciiTheme="minorEastAsia" w:hAnsiTheme="minorEastAsia" w:eastAsiaTheme="minorEastAsia"/>
          <w:lang w:eastAsia="zh-CN"/>
        </w:rPr>
        <w:t>称：</w:t>
      </w:r>
      <w:r>
        <w:rPr>
          <w:rFonts w:hint="eastAsia" w:asciiTheme="minorEastAsia" w:hAnsiTheme="minorEastAsia" w:eastAsiaTheme="minorEastAsia"/>
          <w:spacing w:val="-3"/>
          <w:u w:val="single"/>
          <w:lang w:eastAsia="zh-CN"/>
        </w:rPr>
        <w:t>北京招竣建设工程咨询有限公司</w:t>
      </w:r>
    </w:p>
    <w:p>
      <w:pPr>
        <w:pStyle w:val="12"/>
        <w:tabs>
          <w:tab w:val="left" w:pos="3471"/>
        </w:tabs>
        <w:spacing w:before="132" w:line="357" w:lineRule="auto"/>
        <w:ind w:left="899" w:right="378"/>
        <w:jc w:val="both"/>
        <w:rPr>
          <w:rFonts w:asciiTheme="minorEastAsia" w:hAnsiTheme="minorEastAsia" w:eastAsiaTheme="minorEastAsia"/>
          <w:u w:val="single"/>
          <w:lang w:eastAsia="zh-CN"/>
        </w:rPr>
      </w:pPr>
      <w:r>
        <w:rPr>
          <w:rFonts w:asciiTheme="minorEastAsia" w:hAnsiTheme="minorEastAsia" w:eastAsiaTheme="minorEastAsia"/>
          <w:lang w:eastAsia="zh-CN"/>
        </w:rPr>
        <w:t xml:space="preserve">地 </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 xml:space="preserve"> 址：</w:t>
      </w:r>
      <w:r>
        <w:rPr>
          <w:rFonts w:hint="eastAsia" w:asciiTheme="minorEastAsia" w:hAnsiTheme="minorEastAsia" w:eastAsiaTheme="minorEastAsia"/>
          <w:u w:val="single"/>
          <w:lang w:eastAsia="zh-CN"/>
        </w:rPr>
        <w:t>北京市顺义区顺通路西侧仓上小区商业服务楼</w:t>
      </w:r>
      <w:r>
        <w:rPr>
          <w:rFonts w:asciiTheme="minorEastAsia" w:hAnsiTheme="minorEastAsia" w:eastAsiaTheme="minorEastAsia"/>
          <w:u w:val="single"/>
          <w:lang w:eastAsia="zh-CN"/>
        </w:rPr>
        <w:t>2号</w:t>
      </w:r>
    </w:p>
    <w:p>
      <w:pPr>
        <w:pStyle w:val="12"/>
        <w:tabs>
          <w:tab w:val="left" w:pos="3471"/>
        </w:tabs>
        <w:spacing w:before="132" w:line="357" w:lineRule="auto"/>
        <w:ind w:left="899" w:right="236"/>
        <w:jc w:val="both"/>
        <w:rPr>
          <w:rFonts w:asciiTheme="minorEastAsia" w:hAnsiTheme="minorEastAsia" w:eastAsiaTheme="minorEastAsia"/>
          <w:lang w:eastAsia="zh-CN"/>
        </w:rPr>
      </w:pPr>
      <w:r>
        <w:rPr>
          <w:rFonts w:asciiTheme="minorEastAsia" w:hAnsiTheme="minorEastAsia" w:eastAsiaTheme="minorEastAsia"/>
          <w:lang w:eastAsia="zh-CN"/>
        </w:rPr>
        <w:t>联系方式：</w:t>
      </w:r>
      <w:r>
        <w:rPr>
          <w:rFonts w:hint="eastAsia" w:asciiTheme="minorEastAsia" w:hAnsiTheme="minorEastAsia" w:eastAsiaTheme="minorEastAsia"/>
          <w:spacing w:val="-3"/>
          <w:u w:val="single"/>
          <w:lang w:eastAsia="zh-CN"/>
        </w:rPr>
        <w:t xml:space="preserve"> 西冠嘉 </w:t>
      </w:r>
      <w:r>
        <w:rPr>
          <w:rFonts w:asciiTheme="minorEastAsia" w:hAnsiTheme="minorEastAsia" w:eastAsiaTheme="minorEastAsia"/>
          <w:spacing w:val="-3"/>
          <w:u w:val="single"/>
          <w:lang w:eastAsia="zh-CN"/>
        </w:rPr>
        <w:t>/010-6</w:t>
      </w:r>
      <w:r>
        <w:rPr>
          <w:rFonts w:hint="eastAsia" w:asciiTheme="minorEastAsia" w:hAnsiTheme="minorEastAsia" w:eastAsiaTheme="minorEastAsia"/>
          <w:spacing w:val="-3"/>
          <w:u w:val="single"/>
          <w:lang w:val="en-US" w:eastAsia="zh-CN"/>
        </w:rPr>
        <w:t>9409202</w:t>
      </w:r>
      <w:r>
        <w:rPr>
          <w:rFonts w:hint="eastAsia" w:asciiTheme="minorEastAsia" w:hAnsiTheme="minorEastAsia" w:eastAsiaTheme="minorEastAsia"/>
          <w:spacing w:val="-3"/>
          <w:u w:val="single"/>
          <w:lang w:eastAsia="zh-CN"/>
        </w:rPr>
        <w:t xml:space="preserve"> </w:t>
      </w:r>
    </w:p>
    <w:p>
      <w:pPr>
        <w:spacing w:before="34"/>
        <w:ind w:left="899"/>
        <w:jc w:val="both"/>
        <w:rPr>
          <w:rFonts w:asciiTheme="minorEastAsia" w:hAnsiTheme="minorEastAsia" w:eastAsiaTheme="minorEastAsia"/>
          <w:sz w:val="24"/>
          <w:lang w:eastAsia="zh-CN"/>
        </w:rPr>
      </w:pPr>
      <w:r>
        <w:rPr>
          <w:rFonts w:asciiTheme="minorEastAsia" w:hAnsiTheme="minorEastAsia" w:eastAsiaTheme="minorEastAsia"/>
          <w:b/>
          <w:w w:val="105"/>
          <w:sz w:val="24"/>
          <w:lang w:eastAsia="zh-CN"/>
        </w:rPr>
        <w:t>3.</w:t>
      </w:r>
      <w:r>
        <w:rPr>
          <w:rFonts w:asciiTheme="minorEastAsia" w:hAnsiTheme="minorEastAsia" w:eastAsiaTheme="minorEastAsia"/>
          <w:w w:val="105"/>
          <w:sz w:val="24"/>
          <w:lang w:eastAsia="zh-CN"/>
        </w:rPr>
        <w:t>项目联系方式</w:t>
      </w:r>
    </w:p>
    <w:p>
      <w:pPr>
        <w:pStyle w:val="12"/>
        <w:tabs>
          <w:tab w:val="left" w:pos="1859"/>
          <w:tab w:val="left" w:pos="3711"/>
        </w:tabs>
        <w:spacing w:before="132" w:line="357" w:lineRule="auto"/>
        <w:ind w:left="899" w:right="-48"/>
        <w:rPr>
          <w:rFonts w:asciiTheme="minorEastAsia" w:hAnsiTheme="minorEastAsia" w:eastAsiaTheme="minorEastAsia"/>
          <w:u w:val="single"/>
          <w:lang w:eastAsia="zh-CN"/>
        </w:rPr>
      </w:pPr>
      <w:r>
        <w:rPr>
          <w:rFonts w:asciiTheme="minorEastAsia" w:hAnsiTheme="minorEastAsia" w:eastAsiaTheme="minorEastAsia"/>
          <w:lang w:eastAsia="zh-CN"/>
        </w:rPr>
        <w:t>项目联系人：</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西冠嘉 </w:t>
      </w:r>
    </w:p>
    <w:p>
      <w:pPr>
        <w:pStyle w:val="12"/>
        <w:tabs>
          <w:tab w:val="left" w:pos="1859"/>
          <w:tab w:val="left" w:pos="3711"/>
        </w:tabs>
        <w:spacing w:before="132" w:line="357" w:lineRule="auto"/>
        <w:ind w:left="899" w:right="519"/>
        <w:rPr>
          <w:rFonts w:asciiTheme="minorEastAsia" w:hAnsiTheme="minorEastAsia" w:eastAsiaTheme="minorEastAsia"/>
          <w:lang w:eastAsia="zh-CN"/>
        </w:rPr>
      </w:pPr>
      <w:r>
        <w:rPr>
          <w:rFonts w:asciiTheme="minorEastAsia" w:hAnsiTheme="minorEastAsia" w:eastAsiaTheme="minorEastAsia"/>
          <w:lang w:eastAsia="zh-CN"/>
        </w:rPr>
        <w:t>电话：</w:t>
      </w:r>
      <w:r>
        <w:rPr>
          <w:rFonts w:asciiTheme="minorEastAsia" w:hAnsiTheme="minorEastAsia" w:eastAsiaTheme="minorEastAsia"/>
          <w:u w:val="single"/>
          <w:lang w:eastAsia="zh-CN"/>
        </w:rPr>
        <w:t xml:space="preserve"> </w:t>
      </w:r>
      <w:r>
        <w:rPr>
          <w:rFonts w:asciiTheme="minorEastAsia" w:hAnsiTheme="minorEastAsia" w:eastAsiaTheme="minorEastAsia"/>
          <w:spacing w:val="-3"/>
          <w:u w:val="single"/>
          <w:lang w:eastAsia="zh-CN"/>
        </w:rPr>
        <w:t>010-6</w:t>
      </w:r>
      <w:r>
        <w:rPr>
          <w:rFonts w:hint="eastAsia" w:asciiTheme="minorEastAsia" w:hAnsiTheme="minorEastAsia" w:eastAsiaTheme="minorEastAsia"/>
          <w:spacing w:val="-3"/>
          <w:u w:val="single"/>
          <w:lang w:val="en-US" w:eastAsia="zh-CN"/>
        </w:rPr>
        <w:t>9409202</w:t>
      </w:r>
      <w:r>
        <w:rPr>
          <w:rFonts w:hint="eastAsia" w:asciiTheme="minorEastAsia" w:hAnsiTheme="minorEastAsia" w:eastAsiaTheme="minorEastAsia"/>
          <w:u w:val="single"/>
          <w:lang w:eastAsia="zh-CN"/>
        </w:rPr>
        <w:t xml:space="preserve">  </w:t>
      </w:r>
    </w:p>
    <w:p>
      <w:pPr>
        <w:spacing w:line="357" w:lineRule="auto"/>
        <w:rPr>
          <w:rFonts w:asciiTheme="minorEastAsia" w:hAnsiTheme="minorEastAsia" w:eastAsiaTheme="minorEastAsia"/>
          <w:lang w:eastAsia="zh-CN"/>
        </w:rPr>
      </w:pPr>
    </w:p>
    <w:p>
      <w:pPr>
        <w:spacing w:line="357" w:lineRule="auto"/>
        <w:rPr>
          <w:rFonts w:asciiTheme="minorEastAsia" w:hAnsiTheme="minorEastAsia" w:eastAsiaTheme="minorEastAsia"/>
          <w:lang w:eastAsia="zh-CN"/>
        </w:rPr>
        <w:sectPr>
          <w:footerReference r:id="rId4" w:type="default"/>
          <w:pgSz w:w="11910" w:h="16840"/>
          <w:pgMar w:top="1440" w:right="1797" w:bottom="1440" w:left="1797" w:header="879" w:footer="879" w:gutter="0"/>
          <w:pgNumType w:start="1"/>
          <w:cols w:space="720" w:num="1"/>
        </w:sectPr>
      </w:pPr>
    </w:p>
    <w:p>
      <w:pPr>
        <w:pStyle w:val="3"/>
        <w:tabs>
          <w:tab w:val="left" w:pos="1670"/>
        </w:tabs>
        <w:spacing w:before="246"/>
        <w:ind w:left="48"/>
        <w:jc w:val="center"/>
        <w:rPr>
          <w:rFonts w:asciiTheme="minorEastAsia" w:hAnsiTheme="minorEastAsia" w:eastAsiaTheme="minorEastAsia"/>
          <w:b/>
          <w:lang w:eastAsia="zh-CN"/>
        </w:rPr>
      </w:pPr>
      <w:bookmarkStart w:id="9" w:name="_TOC_250004"/>
      <w:bookmarkEnd w:id="9"/>
      <w:bookmarkStart w:id="10" w:name="_Toc164263449"/>
      <w:r>
        <w:rPr>
          <w:rFonts w:asciiTheme="minorEastAsia" w:hAnsiTheme="minorEastAsia" w:eastAsiaTheme="minorEastAsia"/>
          <w:b/>
          <w:lang w:eastAsia="zh-CN"/>
        </w:rPr>
        <w:t>第二章供应商须知</w:t>
      </w:r>
      <w:bookmarkEnd w:id="10"/>
    </w:p>
    <w:p>
      <w:pPr>
        <w:pStyle w:val="5"/>
        <w:rPr>
          <w:rFonts w:asciiTheme="minorEastAsia" w:hAnsiTheme="minorEastAsia" w:eastAsiaTheme="minorEastAsia"/>
          <w:b/>
          <w:lang w:eastAsia="zh-CN"/>
        </w:rPr>
      </w:pPr>
      <w:bookmarkStart w:id="11" w:name="_Toc164263450"/>
      <w:r>
        <w:rPr>
          <w:rFonts w:asciiTheme="minorEastAsia" w:hAnsiTheme="minorEastAsia" w:eastAsiaTheme="minorEastAsia"/>
          <w:b/>
          <w:lang w:eastAsia="zh-CN"/>
        </w:rPr>
        <w:t>供应商须知资料表</w:t>
      </w:r>
      <w:bookmarkEnd w:id="11"/>
    </w:p>
    <w:p>
      <w:pPr>
        <w:pStyle w:val="12"/>
        <w:spacing w:after="20" w:line="360" w:lineRule="auto"/>
        <w:ind w:firstLine="480"/>
        <w:rPr>
          <w:rFonts w:asciiTheme="minorEastAsia" w:hAnsiTheme="minorEastAsia" w:eastAsiaTheme="minorEastAsia"/>
          <w:lang w:eastAsia="zh-CN"/>
        </w:rPr>
      </w:pPr>
      <w:r>
        <w:rPr>
          <w:rFonts w:asciiTheme="minorEastAsia" w:hAnsiTheme="minorEastAsia" w:eastAsiaTheme="minorEastAsia"/>
          <w:lang w:eastAsia="zh-CN"/>
        </w:rPr>
        <w:t>本表是对供应商须知的具体补</w:t>
      </w:r>
      <w:r>
        <w:rPr>
          <w:rFonts w:asciiTheme="minorEastAsia" w:hAnsiTheme="minorEastAsia" w:eastAsiaTheme="minorEastAsia"/>
          <w:spacing w:val="2"/>
          <w:lang w:eastAsia="zh-CN"/>
        </w:rPr>
        <w:t>充</w:t>
      </w:r>
      <w:r>
        <w:rPr>
          <w:rFonts w:asciiTheme="minorEastAsia" w:hAnsiTheme="minorEastAsia" w:eastAsiaTheme="minorEastAsia"/>
          <w:lang w:eastAsia="zh-CN"/>
        </w:rPr>
        <w:t>和修</w:t>
      </w:r>
      <w:r>
        <w:rPr>
          <w:rFonts w:asciiTheme="minorEastAsia" w:hAnsiTheme="minorEastAsia" w:eastAsiaTheme="minorEastAsia"/>
          <w:spacing w:val="-3"/>
          <w:lang w:eastAsia="zh-CN"/>
        </w:rPr>
        <w:t>改</w:t>
      </w:r>
      <w:r>
        <w:rPr>
          <w:rFonts w:asciiTheme="minorEastAsia" w:hAnsiTheme="minorEastAsia" w:eastAsiaTheme="minorEastAsia"/>
          <w:spacing w:val="-15"/>
          <w:lang w:eastAsia="zh-CN"/>
        </w:rPr>
        <w:t>，</w:t>
      </w:r>
      <w:r>
        <w:rPr>
          <w:rFonts w:asciiTheme="minorEastAsia" w:hAnsiTheme="minorEastAsia" w:eastAsiaTheme="minorEastAsia"/>
          <w:lang w:eastAsia="zh-CN"/>
        </w:rPr>
        <w:t>如有矛盾</w:t>
      </w:r>
      <w:r>
        <w:rPr>
          <w:rFonts w:asciiTheme="minorEastAsia" w:hAnsiTheme="minorEastAsia" w:eastAsiaTheme="minorEastAsia"/>
          <w:spacing w:val="-15"/>
          <w:lang w:eastAsia="zh-CN"/>
        </w:rPr>
        <w:t>，</w:t>
      </w:r>
      <w:r>
        <w:rPr>
          <w:rFonts w:asciiTheme="minorEastAsia" w:hAnsiTheme="minorEastAsia" w:eastAsiaTheme="minorEastAsia"/>
          <w:lang w:eastAsia="zh-CN"/>
        </w:rPr>
        <w:t>均以本资料表为准</w:t>
      </w:r>
      <w:r>
        <w:rPr>
          <w:rFonts w:asciiTheme="minorEastAsia" w:hAnsiTheme="minorEastAsia" w:eastAsiaTheme="minorEastAsia"/>
          <w:spacing w:val="-12"/>
          <w:lang w:eastAsia="zh-CN"/>
        </w:rPr>
        <w:t>。</w:t>
      </w:r>
      <w:r>
        <w:rPr>
          <w:rFonts w:asciiTheme="minorEastAsia" w:hAnsiTheme="minorEastAsia" w:eastAsiaTheme="minorEastAsia"/>
          <w:lang w:eastAsia="zh-CN"/>
        </w:rPr>
        <w:t>标</w:t>
      </w:r>
      <w:r>
        <w:rPr>
          <w:rFonts w:asciiTheme="minorEastAsia" w:hAnsiTheme="minorEastAsia" w:eastAsiaTheme="minorEastAsia"/>
          <w:spacing w:val="-1"/>
          <w:lang w:eastAsia="zh-CN"/>
        </w:rPr>
        <w:t>记</w:t>
      </w:r>
      <w:r>
        <w:rPr>
          <w:rFonts w:asciiTheme="minorEastAsia" w:hAnsiTheme="minorEastAsia" w:eastAsiaTheme="minorEastAsia"/>
          <w:spacing w:val="-2"/>
          <w:w w:val="101"/>
          <w:lang w:eastAsia="zh-CN"/>
        </w:rPr>
        <w:t>“</w:t>
      </w:r>
      <w:r>
        <w:rPr>
          <w:rFonts w:hint="eastAsia" w:asciiTheme="minorEastAsia" w:hAnsiTheme="minorEastAsia" w:eastAsiaTheme="minorEastAsia"/>
          <w:w w:val="105"/>
          <w:lang w:eastAsia="zh-CN"/>
        </w:rPr>
        <w:t>■</w:t>
      </w:r>
      <w:r>
        <w:rPr>
          <w:rFonts w:asciiTheme="minorEastAsia" w:hAnsiTheme="minorEastAsia" w:eastAsiaTheme="minorEastAsia"/>
          <w:w w:val="101"/>
          <w:lang w:eastAsia="zh-CN"/>
        </w:rPr>
        <w:t>”</w:t>
      </w:r>
      <w:r>
        <w:rPr>
          <w:rFonts w:asciiTheme="minorEastAsia" w:hAnsiTheme="minorEastAsia" w:eastAsiaTheme="minorEastAsia"/>
          <w:lang w:eastAsia="zh-CN"/>
        </w:rPr>
        <w:t>的选项意为适用于本项目，标</w:t>
      </w:r>
      <w:r>
        <w:rPr>
          <w:rFonts w:asciiTheme="minorEastAsia" w:hAnsiTheme="minorEastAsia" w:eastAsiaTheme="minorEastAsia"/>
          <w:spacing w:val="-1"/>
          <w:lang w:eastAsia="zh-CN"/>
        </w:rPr>
        <w:t>记</w:t>
      </w:r>
      <w:r>
        <w:rPr>
          <w:rFonts w:asciiTheme="minorEastAsia" w:hAnsiTheme="minorEastAsia" w:eastAsiaTheme="minorEastAsia"/>
          <w:spacing w:val="-2"/>
          <w:w w:val="101"/>
          <w:lang w:eastAsia="zh-CN"/>
        </w:rPr>
        <w:t>“</w:t>
      </w:r>
      <w:r>
        <w:rPr>
          <w:rFonts w:asciiTheme="minorEastAsia" w:hAnsiTheme="minorEastAsia" w:eastAsiaTheme="minorEastAsia"/>
          <w:spacing w:val="1"/>
          <w:w w:val="101"/>
          <w:sz w:val="21"/>
          <w:lang w:eastAsia="zh-CN"/>
        </w:rPr>
        <w:t>□</w:t>
      </w:r>
      <w:r>
        <w:rPr>
          <w:rFonts w:asciiTheme="minorEastAsia" w:hAnsiTheme="minorEastAsia" w:eastAsiaTheme="minorEastAsia"/>
          <w:w w:val="101"/>
          <w:lang w:eastAsia="zh-CN"/>
        </w:rPr>
        <w:t>”</w:t>
      </w:r>
      <w:r>
        <w:rPr>
          <w:rFonts w:asciiTheme="minorEastAsia" w:hAnsiTheme="minorEastAsia" w:eastAsiaTheme="minorEastAsia"/>
          <w:lang w:eastAsia="zh-CN"/>
        </w:rPr>
        <w:t>的选项意为不适用于本项目。</w:t>
      </w: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9"/>
        <w:gridCol w:w="1276"/>
        <w:gridCol w:w="59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4" w:hRule="exact"/>
        </w:trPr>
        <w:tc>
          <w:tcPr>
            <w:tcW w:w="684" w:type="pct"/>
            <w:vAlign w:val="center"/>
          </w:tcPr>
          <w:p>
            <w:pPr>
              <w:jc w:val="center"/>
              <w:rPr>
                <w:b/>
                <w:sz w:val="24"/>
                <w:szCs w:val="24"/>
              </w:rPr>
            </w:pPr>
            <w:r>
              <w:rPr>
                <w:b/>
                <w:sz w:val="24"/>
                <w:szCs w:val="24"/>
              </w:rPr>
              <w:t>条款号</w:t>
            </w:r>
          </w:p>
        </w:tc>
        <w:tc>
          <w:tcPr>
            <w:tcW w:w="766" w:type="pct"/>
            <w:vAlign w:val="center"/>
          </w:tcPr>
          <w:p>
            <w:pPr>
              <w:jc w:val="center"/>
              <w:rPr>
                <w:b/>
                <w:sz w:val="24"/>
                <w:szCs w:val="24"/>
              </w:rPr>
            </w:pPr>
            <w:r>
              <w:rPr>
                <w:b/>
                <w:sz w:val="24"/>
                <w:szCs w:val="24"/>
              </w:rPr>
              <w:t>条目</w:t>
            </w:r>
          </w:p>
        </w:tc>
        <w:tc>
          <w:tcPr>
            <w:tcW w:w="3550" w:type="pct"/>
            <w:vAlign w:val="center"/>
          </w:tcPr>
          <w:p>
            <w:pPr>
              <w:jc w:val="center"/>
              <w:rPr>
                <w:b/>
                <w:sz w:val="24"/>
                <w:szCs w:val="24"/>
              </w:rPr>
            </w:pPr>
            <w:r>
              <w:rPr>
                <w:b/>
                <w:sz w:val="24"/>
                <w:szCs w:val="24"/>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5" w:hRule="exac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2.2</w:t>
            </w:r>
          </w:p>
        </w:tc>
        <w:tc>
          <w:tcPr>
            <w:tcW w:w="766" w:type="pct"/>
            <w:vAlign w:val="center"/>
          </w:tcPr>
          <w:p>
            <w:pPr>
              <w:pStyle w:val="27"/>
              <w:ind w:left="105" w:right="105"/>
              <w:jc w:val="center"/>
              <w:rPr>
                <w:rFonts w:asciiTheme="minorEastAsia" w:hAnsiTheme="minorEastAsia" w:eastAsiaTheme="minorEastAsia"/>
                <w:sz w:val="24"/>
              </w:rPr>
            </w:pPr>
            <w:r>
              <w:rPr>
                <w:rFonts w:asciiTheme="minorEastAsia" w:hAnsiTheme="minorEastAsia" w:eastAsiaTheme="minorEastAsia"/>
                <w:sz w:val="24"/>
              </w:rPr>
              <w:t>项目属性</w:t>
            </w:r>
          </w:p>
        </w:tc>
        <w:tc>
          <w:tcPr>
            <w:tcW w:w="3550" w:type="pct"/>
            <w:vAlign w:val="center"/>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项目属性：</w:t>
            </w:r>
          </w:p>
          <w:p>
            <w:pPr>
              <w:pStyle w:val="27"/>
              <w:ind w:left="102"/>
              <w:jc w:val="both"/>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服务</w:t>
            </w:r>
          </w:p>
          <w:p>
            <w:pPr>
              <w:pStyle w:val="27"/>
              <w:ind w:left="102"/>
              <w:jc w:val="both"/>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货物</w:t>
            </w:r>
          </w:p>
          <w:p>
            <w:pPr>
              <w:pStyle w:val="27"/>
              <w:ind w:left="102"/>
              <w:jc w:val="both"/>
              <w:rPr>
                <w:rFonts w:asciiTheme="minorEastAsia" w:hAnsiTheme="minorEastAsia" w:eastAsiaTheme="minorEastAsia"/>
                <w:sz w:val="24"/>
              </w:rPr>
            </w:pPr>
            <w:r>
              <w:rPr>
                <w:rFonts w:hint="eastAsia" w:asciiTheme="minorEastAsia" w:hAnsiTheme="minorEastAsia" w:eastAsiaTheme="minorEastAsia"/>
                <w:w w:val="105"/>
                <w:sz w:val="24"/>
                <w:szCs w:val="24"/>
                <w:lang w:eastAsia="zh-CN"/>
              </w:rPr>
              <w:t>■</w:t>
            </w:r>
            <w:r>
              <w:rPr>
                <w:rFonts w:asciiTheme="minorEastAsia" w:hAnsiTheme="minorEastAsia" w:eastAsiaTheme="minorEastAsia"/>
                <w:sz w:val="24"/>
                <w:szCs w:val="24"/>
              </w:rPr>
              <w:t>工程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3" w:hRule="exac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2.3</w:t>
            </w:r>
          </w:p>
        </w:tc>
        <w:tc>
          <w:tcPr>
            <w:tcW w:w="766" w:type="pct"/>
            <w:vAlign w:val="center"/>
          </w:tcPr>
          <w:p>
            <w:pPr>
              <w:pStyle w:val="27"/>
              <w:ind w:left="105" w:right="105"/>
              <w:jc w:val="center"/>
              <w:rPr>
                <w:rFonts w:asciiTheme="minorEastAsia" w:hAnsiTheme="minorEastAsia" w:eastAsiaTheme="minorEastAsia"/>
                <w:sz w:val="24"/>
              </w:rPr>
            </w:pPr>
            <w:r>
              <w:rPr>
                <w:rFonts w:asciiTheme="minorEastAsia" w:hAnsiTheme="minorEastAsia" w:eastAsiaTheme="minorEastAsia"/>
                <w:sz w:val="24"/>
              </w:rPr>
              <w:t>科研仪器设备</w:t>
            </w:r>
          </w:p>
        </w:tc>
        <w:tc>
          <w:tcPr>
            <w:tcW w:w="3550" w:type="pct"/>
            <w:vAlign w:val="center"/>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是否属于科研仪器设备采购项目：</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□是</w:t>
            </w:r>
          </w:p>
          <w:p>
            <w:pPr>
              <w:pStyle w:val="27"/>
              <w:ind w:left="102"/>
              <w:jc w:val="both"/>
              <w:rPr>
                <w:rFonts w:asciiTheme="minorEastAsia" w:hAnsiTheme="minorEastAsia" w:eastAsiaTheme="minorEastAsia"/>
                <w:sz w:val="24"/>
              </w:rPr>
            </w:pPr>
            <w:r>
              <w:rPr>
                <w:rFonts w:hint="eastAsia" w:asciiTheme="minorEastAsia" w:hAnsiTheme="minorEastAsia" w:eastAsiaTheme="minorEastAsia"/>
                <w:w w:val="105"/>
                <w:sz w:val="24"/>
                <w:szCs w:val="24"/>
                <w:lang w:eastAsia="zh-CN"/>
              </w:rPr>
              <w:t>■</w:t>
            </w:r>
            <w:r>
              <w:rPr>
                <w:rFonts w:asciiTheme="minorEastAsia" w:hAnsiTheme="minorEastAsia" w:eastAsiaTheme="minorEastAsia"/>
                <w:sz w:val="24"/>
                <w:lang w:eastAsia="zh-CN"/>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4" w:hRule="exact"/>
        </w:trPr>
        <w:tc>
          <w:tcPr>
            <w:tcW w:w="684" w:type="pct"/>
            <w:vMerge w:val="restar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3.1</w:t>
            </w:r>
          </w:p>
        </w:tc>
        <w:tc>
          <w:tcPr>
            <w:tcW w:w="766" w:type="pct"/>
            <w:vAlign w:val="center"/>
          </w:tcPr>
          <w:p>
            <w:pPr>
              <w:pStyle w:val="27"/>
              <w:spacing w:before="1"/>
              <w:ind w:left="105" w:right="105"/>
              <w:jc w:val="center"/>
              <w:rPr>
                <w:rFonts w:asciiTheme="minorEastAsia" w:hAnsiTheme="minorEastAsia" w:eastAsiaTheme="minorEastAsia"/>
                <w:sz w:val="24"/>
              </w:rPr>
            </w:pPr>
            <w:r>
              <w:rPr>
                <w:rFonts w:asciiTheme="minorEastAsia" w:hAnsiTheme="minorEastAsia" w:eastAsiaTheme="minorEastAsia"/>
                <w:sz w:val="24"/>
              </w:rPr>
              <w:t>现场考察</w:t>
            </w:r>
          </w:p>
        </w:tc>
        <w:tc>
          <w:tcPr>
            <w:tcW w:w="3550" w:type="pct"/>
            <w:tcBorders>
              <w:bottom w:val="single" w:color="000000" w:sz="6" w:space="0"/>
            </w:tcBorders>
            <w:vAlign w:val="center"/>
          </w:tcPr>
          <w:p>
            <w:pPr>
              <w:pStyle w:val="27"/>
              <w:ind w:left="102"/>
              <w:jc w:val="both"/>
              <w:rPr>
                <w:rFonts w:asciiTheme="minorEastAsia" w:hAnsiTheme="minorEastAsia" w:eastAsiaTheme="minorEastAsia"/>
                <w:sz w:val="24"/>
                <w:lang w:eastAsia="zh-CN"/>
              </w:rPr>
            </w:pPr>
            <w:r>
              <w:rPr>
                <w:rFonts w:hint="eastAsia" w:asciiTheme="minorEastAsia" w:hAnsiTheme="minorEastAsia" w:eastAsiaTheme="minorEastAsia"/>
                <w:w w:val="105"/>
                <w:sz w:val="24"/>
                <w:szCs w:val="24"/>
                <w:lang w:eastAsia="zh-CN"/>
              </w:rPr>
              <w:t>■</w:t>
            </w:r>
            <w:r>
              <w:rPr>
                <w:rFonts w:asciiTheme="minorEastAsia" w:hAnsiTheme="minorEastAsia" w:eastAsiaTheme="minorEastAsia"/>
                <w:sz w:val="24"/>
                <w:lang w:eastAsia="zh-CN"/>
              </w:rPr>
              <w:t>不组织</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□组织，考察时间：</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年</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月</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日</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点</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分</w:t>
            </w:r>
          </w:p>
          <w:p>
            <w:pPr>
              <w:pStyle w:val="27"/>
              <w:ind w:left="102"/>
              <w:jc w:val="both"/>
              <w:rPr>
                <w:rFonts w:asciiTheme="minorEastAsia" w:hAnsiTheme="minorEastAsia" w:eastAsiaTheme="minorEastAsia"/>
                <w:sz w:val="24"/>
              </w:rPr>
            </w:pPr>
            <w:r>
              <w:rPr>
                <w:rFonts w:asciiTheme="minorEastAsia" w:hAnsiTheme="minorEastAsia" w:eastAsiaTheme="minorEastAsia"/>
                <w:sz w:val="24"/>
                <w:lang w:eastAsia="zh-CN"/>
              </w:rPr>
              <w:t>考察地点：</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4" w:hRule="exact"/>
        </w:trPr>
        <w:tc>
          <w:tcPr>
            <w:tcW w:w="684" w:type="pct"/>
            <w:vMerge w:val="continue"/>
            <w:vAlign w:val="center"/>
          </w:tcPr>
          <w:p>
            <w:pPr>
              <w:pStyle w:val="27"/>
              <w:spacing w:before="126"/>
              <w:ind w:left="86" w:right="86"/>
              <w:jc w:val="center"/>
              <w:rPr>
                <w:rFonts w:asciiTheme="minorEastAsia" w:hAnsiTheme="minorEastAsia" w:eastAsiaTheme="minorEastAsia"/>
                <w:sz w:val="24"/>
              </w:rPr>
            </w:pPr>
          </w:p>
        </w:tc>
        <w:tc>
          <w:tcPr>
            <w:tcW w:w="766" w:type="pct"/>
            <w:vAlign w:val="center"/>
          </w:tcPr>
          <w:p>
            <w:pPr>
              <w:pStyle w:val="27"/>
              <w:ind w:left="105" w:right="105"/>
              <w:jc w:val="center"/>
              <w:rPr>
                <w:rFonts w:asciiTheme="minorEastAsia" w:hAnsiTheme="minorEastAsia" w:eastAsiaTheme="minorEastAsia"/>
                <w:sz w:val="24"/>
              </w:rPr>
            </w:pPr>
            <w:r>
              <w:rPr>
                <w:rFonts w:asciiTheme="minorEastAsia" w:hAnsiTheme="minorEastAsia" w:eastAsiaTheme="minorEastAsia"/>
                <w:sz w:val="24"/>
              </w:rPr>
              <w:t>磋商前答疑会</w:t>
            </w:r>
          </w:p>
        </w:tc>
        <w:tc>
          <w:tcPr>
            <w:tcW w:w="3550" w:type="pct"/>
            <w:tcBorders>
              <w:top w:val="single" w:color="000000" w:sz="6" w:space="0"/>
              <w:bottom w:val="single" w:color="000000" w:sz="6" w:space="0"/>
            </w:tcBorders>
            <w:vAlign w:val="center"/>
          </w:tcPr>
          <w:p>
            <w:pPr>
              <w:pStyle w:val="27"/>
              <w:ind w:left="102"/>
              <w:jc w:val="both"/>
              <w:rPr>
                <w:rFonts w:asciiTheme="minorEastAsia" w:hAnsiTheme="minorEastAsia" w:eastAsiaTheme="minorEastAsia"/>
                <w:sz w:val="24"/>
                <w:lang w:eastAsia="zh-CN"/>
              </w:rPr>
            </w:pPr>
            <w:r>
              <w:rPr>
                <w:rFonts w:hint="eastAsia" w:asciiTheme="minorEastAsia" w:hAnsiTheme="minorEastAsia" w:eastAsiaTheme="minorEastAsia"/>
                <w:w w:val="105"/>
                <w:sz w:val="24"/>
                <w:szCs w:val="24"/>
                <w:lang w:eastAsia="zh-CN"/>
              </w:rPr>
              <w:t>■</w:t>
            </w:r>
            <w:r>
              <w:rPr>
                <w:rFonts w:asciiTheme="minorEastAsia" w:hAnsiTheme="minorEastAsia" w:eastAsiaTheme="minorEastAsia"/>
                <w:sz w:val="24"/>
                <w:lang w:eastAsia="zh-CN"/>
              </w:rPr>
              <w:t>不召开</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□召开，召开时间：</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年</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月</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日</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点</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分</w:t>
            </w:r>
          </w:p>
          <w:p>
            <w:pPr>
              <w:pStyle w:val="27"/>
              <w:ind w:left="102"/>
              <w:jc w:val="both"/>
              <w:rPr>
                <w:rFonts w:asciiTheme="minorEastAsia" w:hAnsiTheme="minorEastAsia" w:eastAsiaTheme="minorEastAsia"/>
                <w:sz w:val="24"/>
              </w:rPr>
            </w:pPr>
            <w:r>
              <w:rPr>
                <w:rFonts w:asciiTheme="minorEastAsia" w:hAnsiTheme="minorEastAsia" w:eastAsiaTheme="minorEastAsia"/>
                <w:sz w:val="24"/>
                <w:lang w:eastAsia="zh-CN"/>
              </w:rPr>
              <w:t>召开地点：</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4" w:hRule="exact"/>
        </w:trPr>
        <w:tc>
          <w:tcPr>
            <w:tcW w:w="684" w:type="pct"/>
            <w:vAlign w:val="center"/>
          </w:tcPr>
          <w:p>
            <w:pPr>
              <w:pStyle w:val="27"/>
              <w:spacing w:before="126"/>
              <w:ind w:left="86" w:right="86"/>
              <w:jc w:val="center"/>
              <w:rPr>
                <w:rFonts w:asciiTheme="minorEastAsia" w:hAnsiTheme="minorEastAsia" w:eastAsiaTheme="minorEastAsia"/>
                <w:sz w:val="24"/>
                <w:lang w:eastAsia="zh-CN"/>
              </w:rPr>
            </w:pPr>
            <w:r>
              <w:rPr>
                <w:rFonts w:hint="eastAsia" w:asciiTheme="minorEastAsia" w:hAnsiTheme="minorEastAsia" w:eastAsiaTheme="minorEastAsia"/>
                <w:sz w:val="24"/>
                <w:lang w:eastAsia="zh-CN"/>
              </w:rPr>
              <w:t>4.1.2</w:t>
            </w:r>
          </w:p>
        </w:tc>
        <w:tc>
          <w:tcPr>
            <w:tcW w:w="766" w:type="pct"/>
            <w:vAlign w:val="center"/>
          </w:tcPr>
          <w:p>
            <w:pPr>
              <w:pStyle w:val="27"/>
              <w:ind w:left="105" w:right="105"/>
              <w:jc w:val="center"/>
              <w:rPr>
                <w:rFonts w:asciiTheme="minorEastAsia" w:hAnsiTheme="minorEastAsia" w:eastAsiaTheme="minorEastAsia"/>
                <w:sz w:val="24"/>
                <w:lang w:eastAsia="zh-CN"/>
              </w:rPr>
            </w:pPr>
            <w:r>
              <w:rPr>
                <w:sz w:val="24"/>
                <w:lang w:eastAsia="zh-CN"/>
              </w:rPr>
              <w:t>本项目是否接受进口产品</w:t>
            </w:r>
          </w:p>
        </w:tc>
        <w:tc>
          <w:tcPr>
            <w:tcW w:w="3550" w:type="pct"/>
            <w:tcBorders>
              <w:top w:val="single" w:color="000000" w:sz="6" w:space="0"/>
              <w:bottom w:val="single" w:color="000000" w:sz="6" w:space="0"/>
            </w:tcBorders>
            <w:vAlign w:val="center"/>
          </w:tcPr>
          <w:p>
            <w:pPr>
              <w:rPr>
                <w:sz w:val="24"/>
              </w:rPr>
            </w:pPr>
            <w:r>
              <w:rPr>
                <w:sz w:val="24"/>
              </w:rPr>
              <w:t>□</w:t>
            </w:r>
            <w:r>
              <w:rPr>
                <w:rFonts w:hint="eastAsia"/>
                <w:sz w:val="24"/>
              </w:rPr>
              <w:t xml:space="preserve"> 是</w:t>
            </w:r>
          </w:p>
          <w:p>
            <w:pPr>
              <w:rPr>
                <w:rFonts w:asciiTheme="minorEastAsia" w:hAnsiTheme="minorEastAsia" w:eastAsiaTheme="minorEastAsia"/>
                <w:w w:val="105"/>
                <w:lang w:eastAsia="zh-CN"/>
              </w:rPr>
            </w:pPr>
            <w:r>
              <w:rPr>
                <w:rFonts w:hint="eastAsia"/>
                <w:sz w:val="24"/>
              </w:rPr>
              <w:t>■ 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33" w:hRule="exac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4.2.5</w:t>
            </w:r>
          </w:p>
        </w:tc>
        <w:tc>
          <w:tcPr>
            <w:tcW w:w="766" w:type="pct"/>
            <w:vAlign w:val="center"/>
          </w:tcPr>
          <w:p>
            <w:pPr>
              <w:pStyle w:val="27"/>
              <w:ind w:left="105" w:right="105"/>
              <w:jc w:val="center"/>
              <w:rPr>
                <w:rFonts w:asciiTheme="minorEastAsia" w:hAnsiTheme="minorEastAsia" w:eastAsiaTheme="minorEastAsia"/>
                <w:sz w:val="24"/>
              </w:rPr>
            </w:pPr>
            <w:r>
              <w:rPr>
                <w:rFonts w:asciiTheme="minorEastAsia" w:hAnsiTheme="minorEastAsia" w:eastAsiaTheme="minorEastAsia"/>
                <w:sz w:val="24"/>
              </w:rPr>
              <w:t>标的所属行业</w:t>
            </w:r>
          </w:p>
        </w:tc>
        <w:tc>
          <w:tcPr>
            <w:tcW w:w="3550" w:type="pct"/>
            <w:tcBorders>
              <w:top w:val="single" w:color="000000" w:sz="6" w:space="0"/>
            </w:tcBorders>
            <w:vAlign w:val="center"/>
          </w:tcPr>
          <w:tbl>
            <w:tblPr>
              <w:tblStyle w:val="23"/>
              <w:tblpPr w:leftFromText="180" w:rightFromText="180" w:horzAnchor="margin" w:tblpY="444"/>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9"/>
              <w:gridCol w:w="32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2282"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2718" w:type="pct"/>
                  <w:tcBorders>
                    <w:top w:val="single" w:color="auto" w:sz="4" w:space="0"/>
                    <w:left w:val="single" w:color="auto" w:sz="4" w:space="0"/>
                    <w:bottom w:val="single" w:color="auto" w:sz="4" w:space="0"/>
                    <w:right w:val="single" w:color="auto" w:sz="4" w:space="0"/>
                  </w:tcBorders>
                  <w:vAlign w:val="center"/>
                </w:tcPr>
                <w:p>
                  <w:pPr>
                    <w:jc w:val="center"/>
                    <w:rPr>
                      <w:sz w:val="24"/>
                      <w:lang w:eastAsia="zh-CN"/>
                    </w:rPr>
                  </w:pPr>
                  <w:r>
                    <w:rPr>
                      <w:sz w:val="24"/>
                      <w:lang w:eastAsia="zh-CN"/>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82" w:type="pct"/>
                  <w:tcBorders>
                    <w:top w:val="single" w:color="auto" w:sz="4" w:space="0"/>
                    <w:left w:val="single" w:color="auto" w:sz="4" w:space="0"/>
                    <w:bottom w:val="single" w:color="auto" w:sz="4" w:space="0"/>
                    <w:right w:val="single" w:color="auto" w:sz="4" w:space="0"/>
                  </w:tcBorders>
                  <w:vAlign w:val="center"/>
                </w:tcPr>
                <w:p>
                  <w:pPr>
                    <w:jc w:val="center"/>
                    <w:rPr>
                      <w:bCs/>
                      <w:sz w:val="24"/>
                      <w:lang w:eastAsia="zh-CN"/>
                    </w:rPr>
                  </w:pPr>
                  <w:r>
                    <w:rPr>
                      <w:rFonts w:hint="eastAsia"/>
                      <w:sz w:val="24"/>
                      <w:lang w:eastAsia="zh-CN"/>
                    </w:rPr>
                    <w:t>资产-防水改造工程</w:t>
                  </w:r>
                </w:p>
              </w:tc>
              <w:tc>
                <w:tcPr>
                  <w:tcW w:w="2718" w:type="pct"/>
                  <w:tcBorders>
                    <w:top w:val="single" w:color="auto" w:sz="4" w:space="0"/>
                    <w:left w:val="single" w:color="auto" w:sz="4" w:space="0"/>
                    <w:bottom w:val="single" w:color="auto" w:sz="4" w:space="0"/>
                    <w:right w:val="single" w:color="auto" w:sz="4" w:space="0"/>
                  </w:tcBorders>
                  <w:vAlign w:val="center"/>
                </w:tcPr>
                <w:p>
                  <w:pPr>
                    <w:jc w:val="center"/>
                    <w:rPr>
                      <w:sz w:val="24"/>
                      <w:lang w:eastAsia="zh-CN"/>
                    </w:rPr>
                  </w:pPr>
                  <w:r>
                    <w:rPr>
                      <w:rFonts w:hint="eastAsia"/>
                      <w:kern w:val="0"/>
                      <w:sz w:val="24"/>
                    </w:rPr>
                    <w:t>建筑业</w:t>
                  </w:r>
                </w:p>
              </w:tc>
            </w:tr>
          </w:tbl>
          <w:p>
            <w:pPr>
              <w:rPr>
                <w:rFonts w:asciiTheme="minorEastAsia" w:hAnsiTheme="minorEastAsia" w:eastAsiaTheme="minorEastAsia"/>
                <w:sz w:val="24"/>
                <w:lang w:eastAsia="zh-CN"/>
              </w:rPr>
            </w:pPr>
            <w:r>
              <w:rPr>
                <w:sz w:val="24"/>
                <w:lang w:eastAsia="zh-CN"/>
              </w:rPr>
              <w:t>本项目采购标的对应的中小企业划分标准所属行业：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4" w:hRule="exac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10.2</w:t>
            </w:r>
          </w:p>
        </w:tc>
        <w:tc>
          <w:tcPr>
            <w:tcW w:w="766" w:type="pct"/>
            <w:vAlign w:val="center"/>
          </w:tcPr>
          <w:p>
            <w:pPr>
              <w:pStyle w:val="27"/>
              <w:spacing w:before="1"/>
              <w:ind w:left="105" w:right="105"/>
              <w:jc w:val="center"/>
              <w:rPr>
                <w:rFonts w:asciiTheme="minorEastAsia" w:hAnsiTheme="minorEastAsia" w:eastAsiaTheme="minorEastAsia"/>
                <w:sz w:val="24"/>
              </w:rPr>
            </w:pPr>
            <w:r>
              <w:rPr>
                <w:rFonts w:asciiTheme="minorEastAsia" w:hAnsiTheme="minorEastAsia" w:eastAsiaTheme="minorEastAsia"/>
                <w:sz w:val="24"/>
              </w:rPr>
              <w:t>报价</w:t>
            </w:r>
          </w:p>
        </w:tc>
        <w:tc>
          <w:tcPr>
            <w:tcW w:w="3550" w:type="pct"/>
            <w:tcBorders>
              <w:bottom w:val="single" w:color="000000" w:sz="6" w:space="0"/>
            </w:tcBorders>
            <w:vAlign w:val="center"/>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报价的特殊规定：</w:t>
            </w:r>
          </w:p>
          <w:p>
            <w:pPr>
              <w:pStyle w:val="27"/>
              <w:ind w:left="102"/>
              <w:jc w:val="both"/>
              <w:rPr>
                <w:rFonts w:asciiTheme="minorEastAsia" w:hAnsiTheme="minorEastAsia" w:eastAsiaTheme="minorEastAsia"/>
                <w:sz w:val="24"/>
                <w:lang w:eastAsia="zh-CN"/>
              </w:rPr>
            </w:pPr>
            <w:r>
              <w:rPr>
                <w:rFonts w:hint="eastAsia" w:asciiTheme="minorEastAsia" w:hAnsiTheme="minorEastAsia" w:eastAsiaTheme="minorEastAsia"/>
                <w:w w:val="105"/>
                <w:sz w:val="24"/>
                <w:szCs w:val="24"/>
                <w:lang w:eastAsia="zh-CN"/>
              </w:rPr>
              <w:t>■</w:t>
            </w:r>
            <w:r>
              <w:rPr>
                <w:rFonts w:asciiTheme="minorEastAsia" w:hAnsiTheme="minorEastAsia" w:eastAsiaTheme="minorEastAsia"/>
                <w:sz w:val="24"/>
                <w:lang w:eastAsia="zh-CN"/>
              </w:rPr>
              <w:t>无</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□有，具体情形：</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74" w:hRule="exac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11.1</w:t>
            </w:r>
          </w:p>
        </w:tc>
        <w:tc>
          <w:tcPr>
            <w:tcW w:w="766" w:type="pct"/>
            <w:vMerge w:val="restart"/>
            <w:vAlign w:val="center"/>
          </w:tcPr>
          <w:p>
            <w:pPr>
              <w:pStyle w:val="27"/>
              <w:jc w:val="center"/>
              <w:rPr>
                <w:rFonts w:asciiTheme="minorEastAsia" w:hAnsiTheme="minorEastAsia" w:eastAsiaTheme="minorEastAsia"/>
                <w:sz w:val="24"/>
                <w:lang w:eastAsia="zh-CN"/>
              </w:rPr>
            </w:pPr>
            <w:r>
              <w:rPr>
                <w:rFonts w:asciiTheme="minorEastAsia" w:hAnsiTheme="minorEastAsia" w:eastAsiaTheme="minorEastAsia"/>
                <w:sz w:val="24"/>
                <w:lang w:eastAsia="zh-CN"/>
              </w:rPr>
              <w:t>磋商保证金</w:t>
            </w:r>
          </w:p>
          <w:p>
            <w:pPr>
              <w:pStyle w:val="27"/>
              <w:jc w:val="center"/>
              <w:rPr>
                <w:rFonts w:asciiTheme="minorEastAsia" w:hAnsiTheme="minorEastAsia" w:eastAsiaTheme="minorEastAsia"/>
                <w:sz w:val="24"/>
                <w:lang w:eastAsia="zh-CN"/>
              </w:rPr>
            </w:pPr>
            <w:r>
              <w:rPr>
                <w:rFonts w:hint="eastAsia" w:asciiTheme="minorEastAsia" w:hAnsiTheme="minorEastAsia" w:eastAsiaTheme="minorEastAsia"/>
                <w:sz w:val="24"/>
                <w:lang w:eastAsia="zh-CN"/>
              </w:rPr>
              <w:t>（本项目不适用）</w:t>
            </w:r>
          </w:p>
        </w:tc>
        <w:tc>
          <w:tcPr>
            <w:tcW w:w="3550" w:type="pct"/>
            <w:tcBorders>
              <w:top w:val="single" w:color="000000" w:sz="6" w:space="0"/>
              <w:bottom w:val="single" w:color="000000" w:sz="6" w:space="0"/>
            </w:tcBorders>
            <w:vAlign w:val="center"/>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磋商保证金金额：</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01 包：</w:t>
            </w:r>
            <w:r>
              <w:rPr>
                <w:rFonts w:hint="eastAsia" w:asciiTheme="minorEastAsia" w:hAnsiTheme="minorEastAsia" w:eastAsiaTheme="minorEastAsia"/>
                <w:u w:val="single"/>
                <w:lang w:eastAsia="zh-CN"/>
              </w:rPr>
              <w:t xml:space="preserve">    /    </w:t>
            </w:r>
            <w:r>
              <w:rPr>
                <w:rFonts w:asciiTheme="minorEastAsia" w:hAnsiTheme="minorEastAsia" w:eastAsiaTheme="minorEastAsia"/>
                <w:sz w:val="24"/>
                <w:lang w:eastAsia="zh-CN"/>
              </w:rPr>
              <w:t>；</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 包：</w:t>
            </w:r>
            <w:r>
              <w:rPr>
                <w:rFonts w:hint="eastAsia" w:asciiTheme="minorEastAsia" w:hAnsiTheme="minorEastAsia" w:eastAsiaTheme="minorEastAsia"/>
                <w:u w:val="single"/>
                <w:lang w:eastAsia="zh-CN"/>
              </w:rPr>
              <w:t xml:space="preserve">    /    </w:t>
            </w:r>
            <w:r>
              <w:rPr>
                <w:rFonts w:asciiTheme="minorEastAsia" w:hAnsiTheme="minorEastAsia" w:eastAsiaTheme="minorEastAsia"/>
                <w:sz w:val="24"/>
                <w:lang w:eastAsia="zh-CN"/>
              </w:rPr>
              <w:t>。</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磋商保证金收受人信息：</w:t>
            </w:r>
            <w:r>
              <w:rPr>
                <w:rFonts w:hint="eastAsia" w:asciiTheme="minorEastAsia" w:hAnsiTheme="minorEastAsia" w:eastAsiaTheme="minorEastAsia"/>
                <w:u w:val="single"/>
                <w:lang w:eastAsia="zh-CN"/>
              </w:rPr>
              <w:t xml:space="preserve">    /    </w:t>
            </w:r>
            <w:r>
              <w:rPr>
                <w:rFonts w:asciiTheme="minorEastAsia" w:hAnsiTheme="minor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43" w:hRule="exac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11.7.5</w:t>
            </w:r>
          </w:p>
        </w:tc>
        <w:tc>
          <w:tcPr>
            <w:tcW w:w="766" w:type="pct"/>
            <w:vMerge w:val="continue"/>
            <w:vAlign w:val="center"/>
          </w:tcPr>
          <w:p>
            <w:pPr>
              <w:jc w:val="center"/>
              <w:rPr>
                <w:rFonts w:asciiTheme="minorEastAsia" w:hAnsiTheme="minorEastAsia" w:eastAsiaTheme="minorEastAsia"/>
              </w:rPr>
            </w:pPr>
          </w:p>
        </w:tc>
        <w:tc>
          <w:tcPr>
            <w:tcW w:w="3550" w:type="pct"/>
            <w:tcBorders>
              <w:top w:val="single" w:color="000000" w:sz="6" w:space="0"/>
              <w:bottom w:val="single" w:color="000000" w:sz="6" w:space="0"/>
            </w:tcBorders>
            <w:vAlign w:val="center"/>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磋商保证金不予退还的其他情形：</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□无</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□有，具体情形：</w:t>
            </w:r>
            <w:r>
              <w:rPr>
                <w:rFonts w:hint="eastAsia" w:asciiTheme="minorEastAsia" w:hAnsiTheme="minorEastAsia" w:eastAsiaTheme="minorEastAsia"/>
                <w:u w:val="single"/>
                <w:lang w:eastAsia="zh-CN"/>
              </w:rPr>
              <w:t xml:space="preserve">      /      </w:t>
            </w:r>
            <w:r>
              <w:rPr>
                <w:rFonts w:asciiTheme="minorEastAsia" w:hAnsiTheme="minor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77" w:hRule="exact"/>
        </w:trPr>
        <w:tc>
          <w:tcPr>
            <w:tcW w:w="684" w:type="pct"/>
            <w:vAlign w:val="center"/>
          </w:tcPr>
          <w:p>
            <w:pPr>
              <w:pStyle w:val="27"/>
              <w:spacing w:before="126"/>
              <w:ind w:left="86" w:right="86"/>
              <w:jc w:val="center"/>
              <w:rPr>
                <w:rFonts w:asciiTheme="minorEastAsia" w:hAnsiTheme="minorEastAsia" w:eastAsiaTheme="minorEastAsia"/>
                <w:sz w:val="24"/>
                <w:lang w:eastAsia="zh-CN"/>
              </w:rPr>
            </w:pPr>
            <w:r>
              <w:rPr>
                <w:rFonts w:asciiTheme="minorEastAsia" w:hAnsiTheme="minorEastAsia" w:eastAsiaTheme="minorEastAsia"/>
                <w:sz w:val="24"/>
                <w:lang w:eastAsia="zh-CN"/>
              </w:rPr>
              <w:t>12.1</w:t>
            </w:r>
          </w:p>
        </w:tc>
        <w:tc>
          <w:tcPr>
            <w:tcW w:w="766" w:type="pct"/>
            <w:vAlign w:val="center"/>
          </w:tcPr>
          <w:p>
            <w:pPr>
              <w:pStyle w:val="27"/>
              <w:spacing w:before="1"/>
              <w:ind w:left="105" w:right="105"/>
              <w:jc w:val="center"/>
              <w:rPr>
                <w:rFonts w:asciiTheme="minorEastAsia" w:hAnsiTheme="minorEastAsia" w:eastAsiaTheme="minorEastAsia"/>
                <w:sz w:val="24"/>
                <w:lang w:eastAsia="zh-CN"/>
              </w:rPr>
            </w:pPr>
            <w:r>
              <w:rPr>
                <w:rFonts w:asciiTheme="minorEastAsia" w:hAnsiTheme="minorEastAsia" w:eastAsiaTheme="minorEastAsia"/>
                <w:sz w:val="24"/>
              </w:rPr>
              <w:t>响应有</w:t>
            </w:r>
          </w:p>
          <w:p>
            <w:pPr>
              <w:pStyle w:val="27"/>
              <w:spacing w:before="1"/>
              <w:ind w:left="105" w:right="105"/>
              <w:jc w:val="center"/>
              <w:rPr>
                <w:rFonts w:asciiTheme="minorEastAsia" w:hAnsiTheme="minorEastAsia" w:eastAsiaTheme="minorEastAsia"/>
                <w:sz w:val="24"/>
                <w:lang w:eastAsia="zh-CN"/>
              </w:rPr>
            </w:pPr>
            <w:r>
              <w:rPr>
                <w:rFonts w:asciiTheme="minorEastAsia" w:hAnsiTheme="minorEastAsia" w:eastAsiaTheme="minorEastAsia"/>
                <w:sz w:val="24"/>
              </w:rPr>
              <w:t>效期</w:t>
            </w:r>
          </w:p>
        </w:tc>
        <w:tc>
          <w:tcPr>
            <w:tcW w:w="3550" w:type="pct"/>
            <w:tcBorders>
              <w:top w:val="single" w:color="000000" w:sz="6" w:space="0"/>
              <w:bottom w:val="single" w:color="000000" w:sz="6" w:space="0"/>
            </w:tcBorders>
            <w:vAlign w:val="center"/>
          </w:tcPr>
          <w:p>
            <w:pPr>
              <w:pStyle w:val="27"/>
              <w:tabs>
                <w:tab w:val="left" w:pos="4063"/>
              </w:tabs>
              <w:spacing w:line="273" w:lineRule="exact"/>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自响应文件提交截止之日起算</w:t>
            </w:r>
            <w:r>
              <w:rPr>
                <w:rFonts w:hint="eastAsia" w:asciiTheme="minorEastAsia" w:hAnsiTheme="minorEastAsia" w:eastAsiaTheme="minorEastAsia"/>
                <w:b/>
                <w:sz w:val="24"/>
                <w:u w:val="single"/>
                <w:lang w:eastAsia="zh-CN"/>
              </w:rPr>
              <w:t>90</w:t>
            </w:r>
            <w:r>
              <w:rPr>
                <w:rFonts w:asciiTheme="minorEastAsia" w:hAnsiTheme="minorEastAsia" w:eastAsiaTheme="minorEastAsia"/>
                <w:sz w:val="24"/>
                <w:lang w:eastAsia="zh-CN"/>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13" w:hRule="exact"/>
        </w:trPr>
        <w:tc>
          <w:tcPr>
            <w:tcW w:w="684" w:type="pct"/>
            <w:vAlign w:val="center"/>
          </w:tcPr>
          <w:p>
            <w:pPr>
              <w:pStyle w:val="27"/>
              <w:spacing w:before="126"/>
              <w:ind w:left="86" w:right="86"/>
              <w:jc w:val="center"/>
              <w:rPr>
                <w:rFonts w:asciiTheme="minorEastAsia" w:hAnsiTheme="minorEastAsia" w:eastAsiaTheme="minorEastAsia"/>
                <w:sz w:val="24"/>
                <w:lang w:eastAsia="zh-CN"/>
              </w:rPr>
            </w:pPr>
            <w:r>
              <w:rPr>
                <w:rFonts w:hint="eastAsia" w:asciiTheme="minorEastAsia" w:hAnsiTheme="minorEastAsia" w:eastAsiaTheme="minorEastAsia"/>
                <w:sz w:val="24"/>
                <w:lang w:eastAsia="zh-CN"/>
              </w:rPr>
              <w:t>14.1</w:t>
            </w:r>
          </w:p>
        </w:tc>
        <w:tc>
          <w:tcPr>
            <w:tcW w:w="766" w:type="pct"/>
            <w:vAlign w:val="center"/>
          </w:tcPr>
          <w:p>
            <w:pPr>
              <w:pStyle w:val="27"/>
              <w:spacing w:before="1"/>
              <w:ind w:left="105" w:right="105"/>
              <w:jc w:val="center"/>
              <w:rPr>
                <w:rFonts w:asciiTheme="minorEastAsia" w:hAnsiTheme="minorEastAsia" w:eastAsiaTheme="minorEastAsia"/>
                <w:sz w:val="24"/>
              </w:rPr>
            </w:pPr>
            <w:r>
              <w:rPr>
                <w:rFonts w:hint="eastAsia" w:asciiTheme="minorEastAsia" w:hAnsiTheme="minorEastAsia" w:eastAsiaTheme="minorEastAsia"/>
                <w:sz w:val="24"/>
                <w:lang w:eastAsia="zh-CN"/>
              </w:rPr>
              <w:t>响应文件的提交</w:t>
            </w:r>
          </w:p>
        </w:tc>
        <w:tc>
          <w:tcPr>
            <w:tcW w:w="3550" w:type="pct"/>
            <w:tcBorders>
              <w:top w:val="single" w:color="000000" w:sz="6" w:space="0"/>
              <w:bottom w:val="single" w:color="000000" w:sz="6" w:space="0"/>
            </w:tcBorders>
            <w:vAlign w:val="center"/>
          </w:tcPr>
          <w:p>
            <w:pPr>
              <w:pStyle w:val="27"/>
              <w:tabs>
                <w:tab w:val="left" w:pos="4063"/>
              </w:tabs>
              <w:spacing w:line="273" w:lineRule="exact"/>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1、如果多包项目，投标人应针对每个标包单独制作响应文件。</w:t>
            </w:r>
          </w:p>
          <w:p>
            <w:pPr>
              <w:pStyle w:val="27"/>
              <w:tabs>
                <w:tab w:val="left" w:pos="4063"/>
              </w:tabs>
              <w:spacing w:line="273" w:lineRule="exact"/>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2、</w:t>
            </w:r>
            <w:r>
              <w:rPr>
                <w:rFonts w:hint="eastAsia" w:asciiTheme="minorEastAsia" w:hAnsiTheme="minorEastAsia" w:eastAsiaTheme="minorEastAsia"/>
                <w:sz w:val="24"/>
                <w:lang w:eastAsia="zh-CN"/>
              </w:rPr>
              <w:t>每个标包的</w:t>
            </w:r>
            <w:r>
              <w:rPr>
                <w:rFonts w:asciiTheme="minorEastAsia" w:hAnsiTheme="minorEastAsia" w:eastAsiaTheme="minorEastAsia"/>
                <w:sz w:val="24"/>
                <w:lang w:eastAsia="zh-CN"/>
              </w:rPr>
              <w:t>电子版</w:t>
            </w:r>
            <w:r>
              <w:rPr>
                <w:rFonts w:hint="eastAsia" w:asciiTheme="minorEastAsia" w:hAnsiTheme="minorEastAsia" w:eastAsiaTheme="minorEastAsia"/>
                <w:sz w:val="24"/>
                <w:lang w:eastAsia="zh-CN"/>
              </w:rPr>
              <w:t>响应文件上传至平台系统</w:t>
            </w:r>
          </w:p>
          <w:p>
            <w:pPr>
              <w:pStyle w:val="27"/>
              <w:tabs>
                <w:tab w:val="left" w:pos="4063"/>
              </w:tabs>
              <w:spacing w:line="273" w:lineRule="exact"/>
              <w:ind w:left="102"/>
              <w:jc w:val="both"/>
              <w:rPr>
                <w:rFonts w:asciiTheme="minorEastAsia" w:hAnsiTheme="minorEastAsia" w:eastAsiaTheme="minorEastAsia"/>
                <w:sz w:val="24"/>
                <w:lang w:eastAsia="zh-CN"/>
              </w:rPr>
            </w:pPr>
            <w:r>
              <w:rPr>
                <w:rFonts w:hint="eastAsia" w:asciiTheme="minorEastAsia" w:hAnsiTheme="minorEastAsia" w:eastAsiaTheme="minorEastAsia"/>
                <w:sz w:val="24"/>
                <w:lang w:val="en-US" w:eastAsia="zh-CN"/>
              </w:rPr>
              <w:t>3</w:t>
            </w:r>
            <w:r>
              <w:rPr>
                <w:rFonts w:asciiTheme="minorEastAsia" w:hAnsiTheme="minorEastAsia" w:eastAsiaTheme="minorEastAsia"/>
                <w:sz w:val="24"/>
                <w:lang w:eastAsia="zh-CN"/>
              </w:rPr>
              <w:t>、不按照文件要求递交</w:t>
            </w:r>
            <w:r>
              <w:rPr>
                <w:rFonts w:hint="eastAsia" w:asciiTheme="minorEastAsia" w:hAnsiTheme="minorEastAsia" w:eastAsiaTheme="minorEastAsia"/>
                <w:sz w:val="24"/>
                <w:lang w:eastAsia="zh-CN"/>
              </w:rPr>
              <w:t>电子版及</w:t>
            </w:r>
            <w:r>
              <w:rPr>
                <w:rFonts w:asciiTheme="minorEastAsia" w:hAnsiTheme="minorEastAsia" w:eastAsiaTheme="minorEastAsia"/>
                <w:sz w:val="24"/>
                <w:lang w:eastAsia="zh-CN"/>
              </w:rPr>
              <w:t>纸质版响应文件的，采购人均不予受理。</w:t>
            </w:r>
          </w:p>
          <w:p>
            <w:pPr>
              <w:pStyle w:val="27"/>
              <w:tabs>
                <w:tab w:val="left" w:pos="4063"/>
              </w:tabs>
              <w:spacing w:line="273" w:lineRule="exact"/>
              <w:ind w:left="102"/>
              <w:jc w:val="both"/>
              <w:rPr>
                <w:rFonts w:hint="eastAsia"/>
                <w:sz w:val="24"/>
                <w:lang w:eastAsia="zh-CN"/>
              </w:rPr>
            </w:pPr>
            <w:r>
              <w:rPr>
                <w:rFonts w:hint="eastAsia" w:asciiTheme="minorEastAsia" w:hAnsiTheme="minorEastAsia" w:eastAsiaTheme="minorEastAsia"/>
                <w:sz w:val="24"/>
                <w:lang w:val="en-US" w:eastAsia="zh-CN"/>
              </w:rPr>
              <w:t>4</w:t>
            </w:r>
            <w:r>
              <w:rPr>
                <w:rFonts w:asciiTheme="minorEastAsia" w:hAnsiTheme="minorEastAsia" w:eastAsiaTheme="minorEastAsia"/>
                <w:sz w:val="24"/>
                <w:lang w:eastAsia="zh-CN"/>
              </w:rPr>
              <w:t>、</w:t>
            </w:r>
            <w:r>
              <w:rPr>
                <w:rFonts w:hint="eastAsia"/>
                <w:sz w:val="24"/>
                <w:lang w:eastAsia="zh-CN"/>
              </w:rPr>
              <w:t>评审时以上传至</w:t>
            </w:r>
            <w:r>
              <w:rPr>
                <w:rFonts w:hint="eastAsia" w:asciiTheme="minorEastAsia" w:hAnsiTheme="minorEastAsia" w:eastAsiaTheme="minorEastAsia"/>
                <w:sz w:val="24"/>
                <w:lang w:eastAsia="zh-CN"/>
              </w:rPr>
              <w:t>平台系统</w:t>
            </w:r>
            <w:r>
              <w:rPr>
                <w:rFonts w:hint="eastAsia"/>
                <w:sz w:val="24"/>
                <w:lang w:eastAsia="zh-CN"/>
              </w:rPr>
              <w:t>的电子版响应文件为准。</w:t>
            </w:r>
          </w:p>
          <w:p>
            <w:pPr>
              <w:pStyle w:val="27"/>
              <w:tabs>
                <w:tab w:val="left" w:pos="4063"/>
              </w:tabs>
              <w:spacing w:line="273" w:lineRule="exact"/>
              <w:ind w:left="102"/>
              <w:jc w:val="both"/>
              <w:rPr>
                <w:rFonts w:asciiTheme="minorEastAsia" w:hAnsiTheme="minorEastAsia" w:eastAsiaTheme="minorEastAsia"/>
                <w:sz w:val="24"/>
                <w:lang w:eastAsia="zh-CN"/>
              </w:rPr>
            </w:pPr>
            <w:r>
              <w:rPr>
                <w:rFonts w:hint="eastAsia"/>
                <w:sz w:val="24"/>
                <w:lang w:val="en-US" w:eastAsia="zh-CN"/>
              </w:rPr>
              <w:t>5、</w:t>
            </w:r>
            <w:r>
              <w:rPr>
                <w:rFonts w:hint="eastAsia" w:ascii="宋体" w:hAnsi="宋体" w:cs="宋体"/>
                <w:sz w:val="24"/>
                <w:highlight w:val="none"/>
              </w:rPr>
              <w:t>中标人在领取中标通知书时须向代理公司提供纸质版投标文件</w:t>
            </w:r>
            <w:r>
              <w:rPr>
                <w:rFonts w:hint="eastAsia" w:cs="宋体"/>
                <w:sz w:val="24"/>
                <w:highlight w:val="none"/>
                <w:lang w:eastAsia="zh-CN"/>
              </w:rPr>
              <w:t>壹</w:t>
            </w:r>
            <w:r>
              <w:rPr>
                <w:rFonts w:hint="eastAsia" w:ascii="宋体" w:hAnsi="宋体" w:cs="宋体"/>
                <w:sz w:val="24"/>
                <w:highlight w:val="none"/>
              </w:rPr>
              <w:t>份，与上传</w:t>
            </w:r>
            <w:r>
              <w:rPr>
                <w:rFonts w:hint="eastAsia" w:ascii="宋体" w:hAnsi="宋体" w:cs="宋体"/>
                <w:sz w:val="24"/>
                <w:highlight w:val="none"/>
                <w:lang w:val="en-US" w:eastAsia="zh-CN"/>
              </w:rPr>
              <w:t>北京市政府采购电子交易平台</w:t>
            </w:r>
            <w:r>
              <w:rPr>
                <w:rFonts w:hint="eastAsia" w:ascii="宋体" w:hAnsi="宋体" w:cs="宋体"/>
                <w:sz w:val="24"/>
                <w:highlight w:val="none"/>
              </w:rPr>
              <w:t>投标文件电子版保持一致并加盖公章。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9" w:hRule="exac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20.1</w:t>
            </w:r>
          </w:p>
        </w:tc>
        <w:tc>
          <w:tcPr>
            <w:tcW w:w="766" w:type="pct"/>
            <w:vAlign w:val="center"/>
          </w:tcPr>
          <w:p>
            <w:pPr>
              <w:pStyle w:val="27"/>
              <w:spacing w:before="1"/>
              <w:ind w:left="105" w:right="105"/>
              <w:jc w:val="center"/>
            </w:pPr>
            <w:r>
              <w:rPr>
                <w:rFonts w:asciiTheme="minorEastAsia" w:hAnsiTheme="minorEastAsia" w:eastAsiaTheme="minorEastAsia"/>
                <w:sz w:val="24"/>
              </w:rPr>
              <w:t>确定成交供应商</w:t>
            </w:r>
          </w:p>
        </w:tc>
        <w:tc>
          <w:tcPr>
            <w:tcW w:w="3550" w:type="pct"/>
            <w:tcBorders>
              <w:top w:val="single" w:color="000000" w:sz="6" w:space="0"/>
              <w:bottom w:val="single" w:color="000000" w:sz="6" w:space="0"/>
            </w:tcBorders>
            <w:vAlign w:val="center"/>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采购人是否授权磋商小组直接确定成交供应商：</w:t>
            </w:r>
          </w:p>
          <w:p>
            <w:pPr>
              <w:pStyle w:val="27"/>
              <w:ind w:left="102"/>
              <w:jc w:val="both"/>
              <w:rPr>
                <w:rFonts w:asciiTheme="minorEastAsia" w:hAnsiTheme="minorEastAsia" w:eastAsiaTheme="minorEastAsia"/>
                <w:sz w:val="24"/>
                <w:lang w:eastAsia="zh-CN"/>
              </w:rPr>
            </w:pPr>
            <w:r>
              <w:rPr>
                <w:rFonts w:hint="eastAsia"/>
                <w:sz w:val="24"/>
                <w:szCs w:val="24"/>
                <w:lang w:eastAsia="zh-CN"/>
              </w:rPr>
              <w:t>■</w:t>
            </w:r>
            <w:r>
              <w:rPr>
                <w:rFonts w:asciiTheme="minorEastAsia" w:hAnsiTheme="minorEastAsia" w:eastAsiaTheme="minorEastAsia"/>
                <w:sz w:val="24"/>
                <w:lang w:eastAsia="zh-CN"/>
              </w:rPr>
              <w:t>否</w:t>
            </w:r>
          </w:p>
          <w:p>
            <w:pPr>
              <w:pStyle w:val="27"/>
              <w:ind w:left="102"/>
              <w:jc w:val="both"/>
              <w:rPr>
                <w:rFonts w:asciiTheme="minorEastAsia" w:hAnsiTheme="minorEastAsia" w:eastAsiaTheme="minorEastAsia"/>
                <w:sz w:val="24"/>
                <w:lang w:eastAsia="zh-CN"/>
              </w:rPr>
            </w:pPr>
            <w:r>
              <w:rPr>
                <w:rFonts w:hint="eastAsia" w:asciiTheme="minorEastAsia" w:hAnsiTheme="minorEastAsia" w:eastAsiaTheme="minorEastAsia"/>
                <w:sz w:val="24"/>
                <w:lang w:eastAsia="zh-CN"/>
              </w:rPr>
              <w:t>□</w:t>
            </w:r>
            <w:r>
              <w:rPr>
                <w:rFonts w:asciiTheme="minorEastAsia" w:hAnsiTheme="minorEastAsia" w:eastAsiaTheme="minorEastAsia"/>
                <w:sz w:val="24"/>
                <w:lang w:eastAsia="zh-CN"/>
              </w:rPr>
              <w:t>是</w:t>
            </w:r>
          </w:p>
          <w:p>
            <w:pPr>
              <w:pStyle w:val="27"/>
              <w:ind w:left="102"/>
              <w:jc w:val="both"/>
              <w:rPr>
                <w:rFonts w:asciiTheme="minorEastAsia" w:hAnsiTheme="minorEastAsia" w:eastAsiaTheme="minorEastAsia"/>
                <w:sz w:val="24"/>
                <w:lang w:eastAsia="zh-CN"/>
              </w:rPr>
            </w:pPr>
            <w:r>
              <w:rPr>
                <w:lang w:eastAsia="zh-CN"/>
              </w:rPr>
              <w:t>成交候选人并列的，按照以下方式确定成交供应商：</w:t>
            </w:r>
            <w:r>
              <w:rPr>
                <w:rFonts w:hint="eastAsia"/>
                <w:u w:val="single"/>
                <w:lang w:eastAsia="zh-CN"/>
              </w:rPr>
              <w:t>按照第三章6.1条款确定。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80" w:hRule="atLeast"/>
        </w:trPr>
        <w:tc>
          <w:tcPr>
            <w:tcW w:w="684" w:type="pct"/>
            <w:vAlign w:val="center"/>
          </w:tcPr>
          <w:p>
            <w:pPr>
              <w:pStyle w:val="27"/>
              <w:spacing w:before="126"/>
              <w:ind w:left="86" w:right="86"/>
              <w:jc w:val="center"/>
              <w:rPr>
                <w:rFonts w:asciiTheme="minorEastAsia" w:hAnsiTheme="minorEastAsia" w:eastAsiaTheme="minorEastAsia"/>
                <w:sz w:val="24"/>
              </w:rPr>
            </w:pPr>
            <w:r>
              <w:rPr>
                <w:rFonts w:asciiTheme="minorEastAsia" w:hAnsiTheme="minorEastAsia" w:eastAsiaTheme="minorEastAsia"/>
                <w:sz w:val="24"/>
              </w:rPr>
              <w:t>23.5</w:t>
            </w:r>
          </w:p>
        </w:tc>
        <w:tc>
          <w:tcPr>
            <w:tcW w:w="766" w:type="pct"/>
            <w:vAlign w:val="center"/>
          </w:tcPr>
          <w:p>
            <w:pPr>
              <w:pStyle w:val="27"/>
              <w:spacing w:line="276" w:lineRule="exact"/>
              <w:ind w:left="105" w:right="105"/>
              <w:jc w:val="center"/>
              <w:rPr>
                <w:rFonts w:asciiTheme="minorEastAsia" w:hAnsiTheme="minorEastAsia" w:eastAsiaTheme="minorEastAsia"/>
                <w:sz w:val="24"/>
              </w:rPr>
            </w:pPr>
            <w:r>
              <w:rPr>
                <w:rFonts w:asciiTheme="minorEastAsia" w:hAnsiTheme="minorEastAsia" w:eastAsiaTheme="minorEastAsia"/>
                <w:sz w:val="24"/>
              </w:rPr>
              <w:t>分包</w:t>
            </w:r>
          </w:p>
        </w:tc>
        <w:tc>
          <w:tcPr>
            <w:tcW w:w="3550" w:type="pct"/>
            <w:tcBorders>
              <w:top w:val="single" w:color="000000" w:sz="6" w:space="0"/>
            </w:tcBorders>
            <w:vAlign w:val="center"/>
          </w:tcPr>
          <w:p>
            <w:pPr>
              <w:rPr>
                <w:sz w:val="24"/>
                <w:szCs w:val="24"/>
                <w:lang w:eastAsia="zh-CN"/>
              </w:rPr>
            </w:pPr>
            <w:r>
              <w:rPr>
                <w:sz w:val="24"/>
                <w:szCs w:val="24"/>
                <w:lang w:eastAsia="zh-CN"/>
              </w:rPr>
              <w:t xml:space="preserve">本项目是否允许分包： </w:t>
            </w:r>
          </w:p>
          <w:p>
            <w:pPr>
              <w:rPr>
                <w:sz w:val="24"/>
                <w:szCs w:val="24"/>
                <w:lang w:eastAsia="zh-CN"/>
              </w:rPr>
            </w:pPr>
            <w:r>
              <w:rPr>
                <w:rFonts w:hint="eastAsia" w:asciiTheme="minorEastAsia" w:hAnsiTheme="minorEastAsia" w:eastAsiaTheme="minorEastAsia"/>
                <w:sz w:val="24"/>
                <w:lang w:eastAsia="zh-CN"/>
              </w:rPr>
              <w:t>□</w:t>
            </w:r>
            <w:r>
              <w:rPr>
                <w:sz w:val="24"/>
                <w:szCs w:val="24"/>
                <w:lang w:eastAsia="zh-CN"/>
              </w:rPr>
              <w:t>不允许</w:t>
            </w:r>
          </w:p>
          <w:p>
            <w:pPr>
              <w:rPr>
                <w:sz w:val="24"/>
                <w:szCs w:val="24"/>
                <w:lang w:eastAsia="zh-CN"/>
              </w:rPr>
            </w:pPr>
            <w:r>
              <w:rPr>
                <w:rFonts w:hint="eastAsia"/>
                <w:sz w:val="24"/>
                <w:szCs w:val="24"/>
                <w:lang w:eastAsia="zh-CN"/>
              </w:rPr>
              <w:t>■</w:t>
            </w:r>
            <w:r>
              <w:rPr>
                <w:sz w:val="24"/>
                <w:szCs w:val="24"/>
                <w:lang w:eastAsia="zh-CN"/>
              </w:rPr>
              <w:t>允许，具体要求：_______。</w:t>
            </w:r>
          </w:p>
          <w:p>
            <w:pPr>
              <w:rPr>
                <w:sz w:val="24"/>
                <w:szCs w:val="24"/>
                <w:lang w:eastAsia="zh-CN"/>
              </w:rPr>
            </w:pPr>
            <w:r>
              <w:rPr>
                <w:sz w:val="24"/>
                <w:szCs w:val="24"/>
                <w:lang w:eastAsia="zh-CN"/>
              </w:rPr>
              <w:t>（1）可以分包履行的具体内容：</w:t>
            </w:r>
            <w:r>
              <w:rPr>
                <w:rFonts w:hint="eastAsia"/>
                <w:sz w:val="24"/>
                <w:u w:val="single"/>
              </w:rPr>
              <w:t>以实际发生为准</w:t>
            </w:r>
            <w:r>
              <w:rPr>
                <w:sz w:val="24"/>
                <w:szCs w:val="24"/>
                <w:lang w:eastAsia="zh-CN"/>
              </w:rPr>
              <w:t>；</w:t>
            </w:r>
          </w:p>
          <w:p>
            <w:pPr>
              <w:rPr>
                <w:sz w:val="24"/>
                <w:szCs w:val="24"/>
                <w:lang w:eastAsia="zh-CN"/>
              </w:rPr>
            </w:pPr>
            <w:r>
              <w:rPr>
                <w:sz w:val="24"/>
                <w:szCs w:val="24"/>
                <w:lang w:eastAsia="zh-CN"/>
              </w:rPr>
              <w:t>（2）允许分包的金额或者比例：</w:t>
            </w:r>
            <w:r>
              <w:rPr>
                <w:rFonts w:hint="eastAsia"/>
                <w:sz w:val="24"/>
                <w:szCs w:val="24"/>
                <w:u w:val="single"/>
                <w:lang w:eastAsia="zh-CN"/>
              </w:rPr>
              <w:t>要求合同分包。预留中小企业份额不得低于571.320272万元，占总金额40.0</w:t>
            </w:r>
            <w:r>
              <w:rPr>
                <w:rFonts w:hint="eastAsia"/>
                <w:sz w:val="24"/>
                <w:szCs w:val="24"/>
                <w:u w:val="single"/>
                <w:lang w:val="en-US" w:eastAsia="zh-CN"/>
              </w:rPr>
              <w:t>0</w:t>
            </w:r>
            <w:r>
              <w:rPr>
                <w:rFonts w:hint="eastAsia"/>
                <w:sz w:val="24"/>
                <w:szCs w:val="24"/>
                <w:u w:val="single"/>
                <w:lang w:eastAsia="zh-CN"/>
              </w:rPr>
              <w:t>%，其中预留小微企业份额不得低于399.924191万元，占预留中小企业份额70.</w:t>
            </w:r>
            <w:r>
              <w:rPr>
                <w:rFonts w:hint="eastAsia"/>
                <w:sz w:val="24"/>
                <w:szCs w:val="24"/>
                <w:u w:val="single"/>
                <w:lang w:val="en-US" w:eastAsia="zh-CN"/>
              </w:rPr>
              <w:t>00</w:t>
            </w:r>
            <w:r>
              <w:rPr>
                <w:rFonts w:hint="eastAsia"/>
                <w:sz w:val="24"/>
                <w:szCs w:val="24"/>
                <w:u w:val="single"/>
                <w:lang w:eastAsia="zh-CN"/>
              </w:rPr>
              <w:t>%。</w:t>
            </w:r>
            <w:r>
              <w:rPr>
                <w:sz w:val="24"/>
                <w:szCs w:val="24"/>
                <w:lang w:eastAsia="zh-CN"/>
              </w:rPr>
              <w:t>；</w:t>
            </w:r>
          </w:p>
          <w:p>
            <w:pPr>
              <w:pStyle w:val="27"/>
              <w:tabs>
                <w:tab w:val="left" w:pos="2774"/>
              </w:tabs>
              <w:spacing w:line="366" w:lineRule="exact"/>
              <w:rPr>
                <w:rFonts w:asciiTheme="minorEastAsia" w:hAnsiTheme="minorEastAsia" w:eastAsiaTheme="minorEastAsia"/>
                <w:sz w:val="24"/>
                <w:lang w:eastAsia="zh-CN"/>
              </w:rPr>
            </w:pPr>
            <w:r>
              <w:rPr>
                <w:sz w:val="24"/>
                <w:szCs w:val="24"/>
              </w:rPr>
              <w:t>（3）其他要求：</w:t>
            </w:r>
            <w:r>
              <w:rPr>
                <w:rFonts w:hint="eastAsia"/>
                <w:sz w:val="24"/>
                <w:u w:val="single"/>
                <w:lang w:eastAsia="zh-CN"/>
              </w:rPr>
              <w:t>拟分包的金额不得低于上述金额</w:t>
            </w:r>
            <w:r>
              <w:rPr>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91" w:hRule="exact"/>
        </w:trPr>
        <w:tc>
          <w:tcPr>
            <w:tcW w:w="684" w:type="pct"/>
            <w:vAlign w:val="center"/>
          </w:tcPr>
          <w:p>
            <w:pPr>
              <w:pStyle w:val="27"/>
              <w:spacing w:line="352" w:lineRule="exact"/>
              <w:ind w:left="88" w:right="86"/>
              <w:jc w:val="center"/>
              <w:rPr>
                <w:rFonts w:asciiTheme="minorEastAsia" w:hAnsiTheme="minorEastAsia" w:eastAsiaTheme="minorEastAsia"/>
                <w:sz w:val="24"/>
              </w:rPr>
            </w:pPr>
            <w:r>
              <w:rPr>
                <w:rFonts w:asciiTheme="minorEastAsia" w:hAnsiTheme="minorEastAsia" w:eastAsiaTheme="minorEastAsia"/>
                <w:sz w:val="24"/>
              </w:rPr>
              <w:t>24.1.1</w:t>
            </w:r>
          </w:p>
        </w:tc>
        <w:tc>
          <w:tcPr>
            <w:tcW w:w="766" w:type="pct"/>
            <w:vAlign w:val="center"/>
          </w:tcPr>
          <w:p>
            <w:pPr>
              <w:pStyle w:val="27"/>
              <w:spacing w:line="278" w:lineRule="exact"/>
              <w:ind w:left="105" w:right="105"/>
              <w:jc w:val="center"/>
              <w:rPr>
                <w:rFonts w:asciiTheme="minorEastAsia" w:hAnsiTheme="minorEastAsia" w:eastAsiaTheme="minorEastAsia"/>
                <w:sz w:val="24"/>
              </w:rPr>
            </w:pPr>
            <w:r>
              <w:rPr>
                <w:rFonts w:asciiTheme="minorEastAsia" w:hAnsiTheme="minorEastAsia" w:eastAsiaTheme="minorEastAsia"/>
                <w:sz w:val="24"/>
              </w:rPr>
              <w:t>询问</w:t>
            </w:r>
          </w:p>
        </w:tc>
        <w:tc>
          <w:tcPr>
            <w:tcW w:w="3550" w:type="pct"/>
            <w:tcBorders>
              <w:top w:val="single" w:color="000000" w:sz="6" w:space="0"/>
              <w:bottom w:val="single" w:color="000000" w:sz="6" w:space="0"/>
            </w:tcBorders>
            <w:vAlign w:val="center"/>
          </w:tcPr>
          <w:p>
            <w:pPr>
              <w:pStyle w:val="27"/>
              <w:tabs>
                <w:tab w:val="left" w:pos="2623"/>
              </w:tabs>
              <w:spacing w:line="275" w:lineRule="exact"/>
              <w:ind w:left="103"/>
              <w:jc w:val="both"/>
              <w:rPr>
                <w:rFonts w:asciiTheme="minorEastAsia" w:hAnsiTheme="minorEastAsia" w:eastAsiaTheme="minorEastAsia"/>
                <w:sz w:val="24"/>
                <w:lang w:eastAsia="zh-CN"/>
              </w:rPr>
            </w:pPr>
            <w:r>
              <w:rPr>
                <w:sz w:val="24"/>
              </w:rPr>
              <w:t>询问送达形式：</w:t>
            </w:r>
            <w:r>
              <w:rPr>
                <w:rFonts w:hint="eastAsia"/>
                <w:sz w:val="24"/>
              </w:rPr>
              <w:t>以电子邮件的形式，本项目询问需提交电子pdf版本的文件稿加盖供应商电子公章发送至</w:t>
            </w:r>
            <w:r>
              <w:rPr>
                <w:rFonts w:hint="eastAsia"/>
                <w:sz w:val="24"/>
                <w:lang w:val="en-US" w:eastAsia="zh-CN"/>
              </w:rPr>
              <w:t>xiguanjia</w:t>
            </w:r>
            <w:r>
              <w:rPr>
                <w:rFonts w:hint="eastAsia"/>
                <w:sz w:val="24"/>
              </w:rPr>
              <w:t>@qq.com，并致电010-</w:t>
            </w:r>
            <w:r>
              <w:rPr>
                <w:rFonts w:hint="eastAsia"/>
                <w:sz w:val="24"/>
                <w:lang w:val="en-US" w:eastAsia="zh-CN"/>
              </w:rPr>
              <w:t>69409202</w:t>
            </w:r>
            <w:r>
              <w:rPr>
                <w:rFonts w:hint="eastAsia"/>
                <w:sz w:val="24"/>
              </w:rPr>
              <w:t>予以告知</w:t>
            </w: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1" w:hRule="exact"/>
        </w:trPr>
        <w:tc>
          <w:tcPr>
            <w:tcW w:w="684" w:type="pct"/>
            <w:tcBorders>
              <w:bottom w:val="single" w:color="auto" w:sz="4" w:space="0"/>
            </w:tcBorders>
            <w:vAlign w:val="center"/>
          </w:tcPr>
          <w:p>
            <w:pPr>
              <w:pStyle w:val="27"/>
              <w:spacing w:line="352" w:lineRule="exact"/>
              <w:ind w:left="88" w:right="86"/>
              <w:jc w:val="center"/>
              <w:rPr>
                <w:rFonts w:asciiTheme="minorEastAsia" w:hAnsiTheme="minorEastAsia" w:eastAsiaTheme="minorEastAsia"/>
                <w:sz w:val="24"/>
              </w:rPr>
            </w:pPr>
            <w:r>
              <w:rPr>
                <w:rFonts w:asciiTheme="minorEastAsia" w:hAnsiTheme="minorEastAsia" w:eastAsiaTheme="minorEastAsia"/>
                <w:sz w:val="24"/>
              </w:rPr>
              <w:t>24.3</w:t>
            </w:r>
          </w:p>
        </w:tc>
        <w:tc>
          <w:tcPr>
            <w:tcW w:w="766" w:type="pct"/>
            <w:tcBorders>
              <w:bottom w:val="single" w:color="auto" w:sz="4" w:space="0"/>
            </w:tcBorders>
            <w:vAlign w:val="center"/>
          </w:tcPr>
          <w:p>
            <w:pPr>
              <w:pStyle w:val="27"/>
              <w:spacing w:line="352" w:lineRule="exact"/>
              <w:ind w:left="88" w:right="105"/>
              <w:jc w:val="center"/>
              <w:rPr>
                <w:rFonts w:asciiTheme="minorEastAsia" w:hAnsiTheme="minorEastAsia" w:eastAsiaTheme="minorEastAsia"/>
                <w:sz w:val="24"/>
              </w:rPr>
            </w:pPr>
            <w:r>
              <w:rPr>
                <w:rFonts w:asciiTheme="minorEastAsia" w:hAnsiTheme="minorEastAsia" w:eastAsiaTheme="minorEastAsia"/>
                <w:sz w:val="24"/>
              </w:rPr>
              <w:t>联系方式</w:t>
            </w:r>
          </w:p>
        </w:tc>
        <w:tc>
          <w:tcPr>
            <w:tcW w:w="3550" w:type="pct"/>
            <w:tcBorders>
              <w:top w:val="single" w:color="000000" w:sz="6" w:space="0"/>
              <w:bottom w:val="single" w:color="auto" w:sz="4" w:space="0"/>
            </w:tcBorders>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接收询问和质疑的联系方式</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联系部门：</w:t>
            </w:r>
            <w:r>
              <w:rPr>
                <w:rFonts w:hint="eastAsia" w:asciiTheme="minorEastAsia" w:hAnsiTheme="minorEastAsia" w:eastAsiaTheme="minorEastAsia"/>
                <w:u w:val="single"/>
                <w:lang w:eastAsia="zh-CN"/>
              </w:rPr>
              <w:t>北京招竣建设工程咨询有限公司</w:t>
            </w:r>
            <w:r>
              <w:rPr>
                <w:rFonts w:asciiTheme="minorEastAsia" w:hAnsiTheme="minorEastAsia" w:eastAsiaTheme="minorEastAsia"/>
                <w:sz w:val="24"/>
                <w:lang w:eastAsia="zh-CN"/>
              </w:rPr>
              <w:t>；</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联系电话：</w:t>
            </w:r>
            <w:r>
              <w:rPr>
                <w:rFonts w:hint="eastAsia" w:asciiTheme="minorEastAsia" w:hAnsiTheme="minorEastAsia" w:eastAsiaTheme="minorEastAsia"/>
                <w:u w:val="single"/>
                <w:lang w:eastAsia="zh-CN"/>
              </w:rPr>
              <w:t xml:space="preserve"> </w:t>
            </w:r>
            <w:r>
              <w:rPr>
                <w:rFonts w:hint="eastAsia" w:asciiTheme="minorEastAsia" w:hAnsiTheme="minorEastAsia" w:eastAsiaTheme="minorEastAsia"/>
                <w:u w:val="single"/>
                <w:lang w:val="en-US" w:eastAsia="zh-CN"/>
              </w:rPr>
              <w:t>010-69409202</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通讯地址：</w:t>
            </w:r>
            <w:r>
              <w:rPr>
                <w:rFonts w:hint="eastAsia" w:asciiTheme="minorEastAsia" w:hAnsiTheme="minorEastAsia" w:eastAsiaTheme="minorEastAsia"/>
                <w:u w:val="single"/>
                <w:lang w:eastAsia="zh-CN"/>
              </w:rPr>
              <w:t>北京市顺义区顺通路西侧仓上小区商业服务楼</w:t>
            </w:r>
            <w:r>
              <w:rPr>
                <w:rFonts w:asciiTheme="minorEastAsia" w:hAnsiTheme="minorEastAsia" w:eastAsiaTheme="minorEastAsia"/>
                <w:u w:val="single"/>
                <w:lang w:eastAsia="zh-CN"/>
              </w:rPr>
              <w:t>2号</w:t>
            </w:r>
            <w:r>
              <w:rPr>
                <w:rFonts w:asciiTheme="minorEastAsia" w:hAnsiTheme="minor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8" w:hRule="exact"/>
        </w:trPr>
        <w:tc>
          <w:tcPr>
            <w:tcW w:w="684" w:type="pct"/>
            <w:tcBorders>
              <w:top w:val="single" w:color="auto" w:sz="4" w:space="0"/>
              <w:left w:val="single" w:color="auto" w:sz="4" w:space="0"/>
              <w:bottom w:val="single" w:color="auto" w:sz="4" w:space="0"/>
              <w:right w:val="single" w:color="auto" w:sz="4" w:space="0"/>
            </w:tcBorders>
            <w:vAlign w:val="center"/>
          </w:tcPr>
          <w:p>
            <w:pPr>
              <w:pStyle w:val="27"/>
              <w:ind w:left="86" w:right="86"/>
              <w:jc w:val="center"/>
              <w:rPr>
                <w:rFonts w:asciiTheme="minorEastAsia" w:hAnsiTheme="minorEastAsia" w:eastAsiaTheme="minorEastAsia"/>
                <w:sz w:val="24"/>
              </w:rPr>
            </w:pPr>
            <w:r>
              <w:rPr>
                <w:rFonts w:asciiTheme="minorEastAsia" w:hAnsiTheme="minorEastAsia" w:eastAsiaTheme="minorEastAsia"/>
                <w:sz w:val="24"/>
              </w:rPr>
              <w:t>25</w:t>
            </w:r>
          </w:p>
        </w:tc>
        <w:tc>
          <w:tcPr>
            <w:tcW w:w="766" w:type="pct"/>
            <w:tcBorders>
              <w:top w:val="single" w:color="auto" w:sz="4" w:space="0"/>
              <w:left w:val="single" w:color="auto" w:sz="4" w:space="0"/>
              <w:bottom w:val="single" w:color="auto" w:sz="4" w:space="0"/>
              <w:right w:val="single" w:color="auto" w:sz="4" w:space="0"/>
            </w:tcBorders>
            <w:vAlign w:val="center"/>
          </w:tcPr>
          <w:p>
            <w:pPr>
              <w:pStyle w:val="27"/>
              <w:ind w:left="105" w:right="105"/>
              <w:jc w:val="center"/>
              <w:rPr>
                <w:rFonts w:asciiTheme="minorEastAsia" w:hAnsiTheme="minorEastAsia" w:eastAsiaTheme="minorEastAsia"/>
                <w:sz w:val="24"/>
              </w:rPr>
            </w:pPr>
            <w:r>
              <w:rPr>
                <w:rFonts w:asciiTheme="minorEastAsia" w:hAnsiTheme="minorEastAsia" w:eastAsiaTheme="minorEastAsia"/>
                <w:sz w:val="24"/>
              </w:rPr>
              <w:t>代理费</w:t>
            </w:r>
          </w:p>
        </w:tc>
        <w:tc>
          <w:tcPr>
            <w:tcW w:w="3550" w:type="pct"/>
            <w:tcBorders>
              <w:top w:val="single" w:color="auto" w:sz="4" w:space="0"/>
              <w:left w:val="single" w:color="auto" w:sz="4" w:space="0"/>
              <w:bottom w:val="single" w:color="auto" w:sz="4" w:space="0"/>
              <w:right w:val="single" w:color="auto" w:sz="4" w:space="0"/>
            </w:tcBorders>
          </w:tcPr>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收费对象：</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□采购人</w:t>
            </w:r>
          </w:p>
          <w:p>
            <w:pPr>
              <w:pStyle w:val="27"/>
              <w:ind w:left="102"/>
              <w:jc w:val="both"/>
              <w:rPr>
                <w:rFonts w:asciiTheme="minorEastAsia" w:hAnsiTheme="minorEastAsia" w:eastAsiaTheme="minorEastAsia"/>
                <w:sz w:val="24"/>
                <w:lang w:eastAsia="zh-CN"/>
              </w:rPr>
            </w:pPr>
            <w:r>
              <w:rPr>
                <w:rFonts w:hint="eastAsia"/>
                <w:sz w:val="24"/>
                <w:szCs w:val="24"/>
                <w:lang w:eastAsia="zh-CN"/>
              </w:rPr>
              <w:t>■</w:t>
            </w:r>
            <w:r>
              <w:rPr>
                <w:rFonts w:asciiTheme="minorEastAsia" w:hAnsiTheme="minorEastAsia" w:eastAsiaTheme="minorEastAsia"/>
                <w:sz w:val="24"/>
                <w:lang w:eastAsia="zh-CN"/>
              </w:rPr>
              <w:t>成交供应商</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收费标准：</w:t>
            </w:r>
            <w:r>
              <w:rPr>
                <w:rFonts w:hint="eastAsia" w:asciiTheme="minorEastAsia" w:hAnsiTheme="minorEastAsia" w:eastAsiaTheme="minorEastAsia"/>
                <w:u w:val="single"/>
                <w:lang w:eastAsia="zh-CN"/>
              </w:rPr>
              <w:t>按“国家发展改革委关于降低部分建设项目收费标准规范收费行为等有关问题的通知</w:t>
            </w:r>
            <w:r>
              <w:rPr>
                <w:rFonts w:asciiTheme="minorEastAsia" w:hAnsiTheme="minorEastAsia" w:eastAsiaTheme="minorEastAsia"/>
                <w:u w:val="single"/>
                <w:lang w:eastAsia="zh-CN"/>
              </w:rPr>
              <w:t>,发改价格【2011】534号”,有关规定计取招标代理服务费；</w:t>
            </w:r>
            <w:r>
              <w:rPr>
                <w:rFonts w:hint="eastAsia" w:asciiTheme="minorEastAsia" w:hAnsiTheme="minorEastAsia" w:eastAsiaTheme="minorEastAsia"/>
                <w:u w:val="single"/>
                <w:lang w:eastAsia="zh-CN"/>
              </w:rPr>
              <w:t xml:space="preserve"> </w:t>
            </w:r>
            <w:r>
              <w:rPr>
                <w:rFonts w:asciiTheme="minorEastAsia" w:hAnsiTheme="minorEastAsia" w:eastAsiaTheme="minorEastAsia"/>
                <w:sz w:val="24"/>
                <w:lang w:eastAsia="zh-CN"/>
              </w:rPr>
              <w:t>；</w:t>
            </w:r>
          </w:p>
          <w:p>
            <w:pPr>
              <w:pStyle w:val="27"/>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缴纳时间：</w:t>
            </w:r>
            <w:r>
              <w:rPr>
                <w:rFonts w:hint="eastAsia" w:asciiTheme="minorEastAsia" w:hAnsiTheme="minorEastAsia" w:eastAsiaTheme="minorEastAsia"/>
                <w:u w:val="single"/>
                <w:lang w:eastAsia="zh-CN"/>
              </w:rPr>
              <w:t>供应商在领取成交通知书时，向代理机构缴纳招标代理费</w:t>
            </w:r>
            <w:r>
              <w:rPr>
                <w:rFonts w:asciiTheme="minorEastAsia" w:hAnsiTheme="minorEastAsia" w:eastAsiaTheme="minor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48" w:hRule="exact"/>
        </w:trPr>
        <w:tc>
          <w:tcPr>
            <w:tcW w:w="684" w:type="pct"/>
            <w:tcBorders>
              <w:top w:val="single" w:color="auto" w:sz="4" w:space="0"/>
              <w:left w:val="single" w:color="auto" w:sz="4" w:space="0"/>
              <w:bottom w:val="single" w:color="auto" w:sz="4" w:space="0"/>
              <w:right w:val="single" w:color="auto" w:sz="4" w:space="0"/>
            </w:tcBorders>
            <w:vAlign w:val="center"/>
          </w:tcPr>
          <w:p>
            <w:pPr>
              <w:pStyle w:val="27"/>
              <w:ind w:left="86" w:right="86"/>
              <w:jc w:val="center"/>
              <w:rPr>
                <w:rFonts w:asciiTheme="minorEastAsia" w:hAnsiTheme="minorEastAsia" w:eastAsiaTheme="minorEastAsia"/>
                <w:sz w:val="24"/>
              </w:rPr>
            </w:pPr>
            <w:r>
              <w:rPr>
                <w:rFonts w:ascii="Times New Roman" w:hAnsi="Times New Roman"/>
                <w:b/>
                <w:sz w:val="24"/>
                <w:szCs w:val="24"/>
              </w:rPr>
              <w:t>补充内容</w:t>
            </w:r>
          </w:p>
        </w:tc>
        <w:tc>
          <w:tcPr>
            <w:tcW w:w="766" w:type="pct"/>
            <w:tcBorders>
              <w:top w:val="single" w:color="auto" w:sz="4" w:space="0"/>
              <w:left w:val="single" w:color="auto" w:sz="4" w:space="0"/>
              <w:bottom w:val="single" w:color="auto" w:sz="4" w:space="0"/>
              <w:right w:val="single" w:color="auto" w:sz="4" w:space="0"/>
            </w:tcBorders>
            <w:vAlign w:val="center"/>
          </w:tcPr>
          <w:p>
            <w:pPr>
              <w:pStyle w:val="27"/>
              <w:ind w:left="105" w:right="105"/>
              <w:jc w:val="center"/>
              <w:rPr>
                <w:rFonts w:asciiTheme="minorEastAsia" w:hAnsiTheme="minorEastAsia" w:eastAsiaTheme="minorEastAsia"/>
                <w:sz w:val="24"/>
              </w:rPr>
            </w:pPr>
            <w:r>
              <w:rPr>
                <w:rFonts w:hint="eastAsia"/>
                <w:b/>
                <w:sz w:val="24"/>
              </w:rPr>
              <w:t>招标控制价</w:t>
            </w:r>
          </w:p>
        </w:tc>
        <w:tc>
          <w:tcPr>
            <w:tcW w:w="3550" w:type="pct"/>
            <w:tcBorders>
              <w:top w:val="single" w:color="auto" w:sz="4" w:space="0"/>
              <w:left w:val="single" w:color="auto" w:sz="4" w:space="0"/>
              <w:bottom w:val="single" w:color="auto" w:sz="4" w:space="0"/>
              <w:right w:val="single" w:color="auto" w:sz="4" w:space="0"/>
            </w:tcBorders>
          </w:tcPr>
          <w:p>
            <w:pPr>
              <w:rPr>
                <w:sz w:val="24"/>
              </w:rPr>
            </w:pPr>
            <w:r>
              <w:rPr>
                <w:rFonts w:hint="eastAsia"/>
                <w:sz w:val="24"/>
              </w:rPr>
              <w:t>设置最高投标限价</w:t>
            </w:r>
          </w:p>
          <w:p>
            <w:pPr>
              <w:rPr>
                <w:sz w:val="24"/>
              </w:rPr>
            </w:pPr>
            <w:r>
              <w:rPr>
                <w:rFonts w:hint="eastAsia"/>
                <w:sz w:val="24"/>
              </w:rPr>
              <w:t>采用招标控制价</w:t>
            </w:r>
          </w:p>
          <w:p>
            <w:pPr>
              <w:jc w:val="left"/>
              <w:rPr>
                <w:rFonts w:hint="eastAsia"/>
                <w:b/>
                <w:bCs/>
                <w:sz w:val="24"/>
                <w:lang w:val="en-US" w:eastAsia="zh-CN"/>
              </w:rPr>
            </w:pPr>
            <w:r>
              <w:rPr>
                <w:rFonts w:hint="eastAsia"/>
                <w:b/>
                <w:bCs/>
                <w:sz w:val="24"/>
                <w:lang w:val="en-US" w:eastAsia="zh-CN"/>
              </w:rPr>
              <w:t>本项目招标控制价为14283006.81元</w:t>
            </w:r>
          </w:p>
          <w:p>
            <w:pPr>
              <w:jc w:val="left"/>
              <w:rPr>
                <w:rFonts w:hint="eastAsia"/>
                <w:b/>
                <w:bCs/>
                <w:sz w:val="24"/>
                <w:lang w:val="en-US" w:eastAsia="zh-CN"/>
              </w:rPr>
            </w:pPr>
            <w:r>
              <w:rPr>
                <w:rFonts w:hint="eastAsia"/>
                <w:b/>
                <w:bCs/>
                <w:sz w:val="24"/>
                <w:lang w:val="en-US" w:eastAsia="zh-CN"/>
              </w:rPr>
              <w:t xml:space="preserve">   其中：单位工程的分部分项工程合价为：/元</w:t>
            </w:r>
          </w:p>
          <w:p>
            <w:pPr>
              <w:jc w:val="left"/>
              <w:rPr>
                <w:rFonts w:hint="eastAsia"/>
                <w:b/>
                <w:bCs/>
                <w:sz w:val="24"/>
                <w:lang w:val="en-US" w:eastAsia="zh-CN"/>
              </w:rPr>
            </w:pPr>
            <w:r>
              <w:rPr>
                <w:rFonts w:hint="eastAsia"/>
                <w:b/>
                <w:bCs/>
                <w:sz w:val="24"/>
                <w:lang w:val="en-US" w:eastAsia="zh-CN"/>
              </w:rPr>
              <w:t xml:space="preserve">   措施项目合价为：/元；</w:t>
            </w:r>
          </w:p>
          <w:p>
            <w:pPr>
              <w:jc w:val="left"/>
              <w:rPr>
                <w:rFonts w:hint="eastAsia"/>
                <w:b/>
                <w:bCs/>
                <w:sz w:val="24"/>
                <w:lang w:val="en-US" w:eastAsia="zh-CN"/>
              </w:rPr>
            </w:pPr>
            <w:r>
              <w:rPr>
                <w:rFonts w:hint="eastAsia"/>
                <w:b/>
                <w:bCs/>
                <w:sz w:val="24"/>
                <w:lang w:val="en-US" w:eastAsia="zh-CN"/>
              </w:rPr>
              <w:t xml:space="preserve">   安全文明施工费为</w:t>
            </w:r>
            <w:r>
              <w:rPr>
                <w:rFonts w:hint="eastAsia"/>
                <w:b/>
                <w:bCs/>
                <w:sz w:val="24"/>
                <w:lang w:eastAsia="zh-CN"/>
              </w:rPr>
              <w:t>：</w:t>
            </w:r>
            <w:r>
              <w:rPr>
                <w:rFonts w:hint="eastAsia"/>
                <w:b/>
                <w:bCs/>
                <w:sz w:val="24"/>
                <w:lang w:val="en-US" w:eastAsia="zh-CN"/>
              </w:rPr>
              <w:t>/元；(除税)</w:t>
            </w:r>
          </w:p>
          <w:p>
            <w:pPr>
              <w:jc w:val="left"/>
              <w:rPr>
                <w:rFonts w:hint="eastAsia"/>
                <w:b/>
                <w:bCs/>
                <w:sz w:val="24"/>
                <w:lang w:val="en-US" w:eastAsia="zh-CN"/>
              </w:rPr>
            </w:pPr>
            <w:r>
              <w:rPr>
                <w:rFonts w:hint="eastAsia"/>
                <w:b/>
                <w:bCs/>
                <w:sz w:val="24"/>
                <w:lang w:val="en-US" w:eastAsia="zh-CN"/>
              </w:rPr>
              <w:t xml:space="preserve">   其他项目合价为：/元；</w:t>
            </w:r>
          </w:p>
          <w:p>
            <w:pPr>
              <w:jc w:val="left"/>
              <w:rPr>
                <w:rFonts w:hint="eastAsia"/>
                <w:b/>
                <w:bCs/>
                <w:sz w:val="24"/>
                <w:lang w:val="en-US" w:eastAsia="zh-CN"/>
              </w:rPr>
            </w:pPr>
            <w:r>
              <w:rPr>
                <w:rFonts w:hint="eastAsia"/>
                <w:b/>
                <w:bCs/>
                <w:sz w:val="24"/>
                <w:lang w:val="en-US" w:eastAsia="zh-CN"/>
              </w:rPr>
              <w:t xml:space="preserve">   暂列金额为（含税）</w:t>
            </w:r>
            <w:r>
              <w:rPr>
                <w:rFonts w:hint="eastAsia"/>
                <w:b/>
                <w:bCs/>
                <w:sz w:val="24"/>
                <w:lang w:eastAsia="zh-CN"/>
              </w:rPr>
              <w:t>：</w:t>
            </w:r>
            <w:r>
              <w:rPr>
                <w:rFonts w:hint="eastAsia"/>
                <w:b/>
                <w:bCs/>
                <w:sz w:val="24"/>
                <w:lang w:val="en-US" w:eastAsia="zh-CN"/>
              </w:rPr>
              <w:t>/元；</w:t>
            </w:r>
          </w:p>
          <w:p>
            <w:pPr>
              <w:jc w:val="left"/>
              <w:rPr>
                <w:rFonts w:hint="eastAsia"/>
                <w:b/>
                <w:bCs/>
                <w:sz w:val="24"/>
                <w:lang w:val="en-US" w:eastAsia="zh-CN"/>
              </w:rPr>
            </w:pPr>
            <w:r>
              <w:rPr>
                <w:rFonts w:hint="eastAsia"/>
                <w:b/>
                <w:bCs/>
                <w:sz w:val="24"/>
                <w:lang w:val="en-US" w:eastAsia="zh-CN"/>
              </w:rPr>
              <w:t xml:space="preserve">   专业工程暂估价为（含税）：/元；</w:t>
            </w:r>
          </w:p>
          <w:p>
            <w:pPr>
              <w:jc w:val="left"/>
              <w:rPr>
                <w:rFonts w:hint="eastAsia"/>
                <w:b/>
                <w:bCs/>
                <w:sz w:val="24"/>
                <w:lang w:val="en-US" w:eastAsia="zh-CN"/>
              </w:rPr>
            </w:pPr>
            <w:r>
              <w:rPr>
                <w:rFonts w:hint="eastAsia"/>
                <w:b/>
                <w:bCs/>
                <w:sz w:val="24"/>
                <w:lang w:val="en-US" w:eastAsia="zh-CN"/>
              </w:rPr>
              <w:t xml:space="preserve">   规费合价为：/元；</w:t>
            </w:r>
          </w:p>
          <w:p>
            <w:pPr>
              <w:jc w:val="left"/>
              <w:rPr>
                <w:rFonts w:hint="eastAsia"/>
                <w:b/>
                <w:bCs/>
                <w:sz w:val="24"/>
                <w:lang w:val="en-US" w:eastAsia="zh-CN"/>
              </w:rPr>
            </w:pPr>
            <w:r>
              <w:rPr>
                <w:rFonts w:hint="eastAsia"/>
                <w:b/>
                <w:bCs/>
                <w:sz w:val="24"/>
                <w:lang w:val="en-US" w:eastAsia="zh-CN"/>
              </w:rPr>
              <w:t xml:space="preserve">   税金合价为：/元；</w:t>
            </w:r>
          </w:p>
          <w:p>
            <w:pPr>
              <w:jc w:val="left"/>
              <w:rPr>
                <w:rFonts w:hint="eastAsia"/>
                <w:b/>
                <w:bCs/>
                <w:sz w:val="24"/>
                <w:lang w:val="en-US" w:eastAsia="zh-CN"/>
              </w:rPr>
            </w:pPr>
            <w:r>
              <w:rPr>
                <w:rFonts w:hint="eastAsia"/>
                <w:b/>
                <w:bCs/>
                <w:sz w:val="24"/>
                <w:lang w:val="en-US" w:eastAsia="zh-CN"/>
              </w:rPr>
              <w:t xml:space="preserve">   材料暂估价为（不含税）/元；</w:t>
            </w:r>
          </w:p>
          <w:p>
            <w:pPr>
              <w:pStyle w:val="27"/>
              <w:ind w:left="102"/>
              <w:jc w:val="both"/>
              <w:rPr>
                <w:rFonts w:asciiTheme="minorEastAsia" w:hAnsiTheme="minorEastAsia" w:eastAsiaTheme="minorEastAsia"/>
                <w:sz w:val="24"/>
                <w:lang w:eastAsia="zh-CN"/>
              </w:rPr>
            </w:pPr>
            <w:r>
              <w:rPr>
                <w:rFonts w:hint="eastAsia"/>
                <w:b/>
                <w:bCs/>
                <w:sz w:val="24"/>
              </w:rPr>
              <w:t>注：投标人的投标报价总价超过招标控制价的，按废标处理。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58" w:hRule="exact"/>
        </w:trPr>
        <w:tc>
          <w:tcPr>
            <w:tcW w:w="684" w:type="pct"/>
            <w:tcBorders>
              <w:top w:val="single" w:color="auto" w:sz="4" w:space="0"/>
              <w:left w:val="single" w:color="auto" w:sz="4" w:space="0"/>
              <w:bottom w:val="single" w:color="auto" w:sz="4" w:space="0"/>
              <w:right w:val="single" w:color="auto" w:sz="4" w:space="0"/>
            </w:tcBorders>
            <w:vAlign w:val="center"/>
          </w:tcPr>
          <w:p>
            <w:pPr>
              <w:pStyle w:val="27"/>
              <w:ind w:left="86" w:right="86"/>
              <w:jc w:val="center"/>
              <w:rPr>
                <w:rFonts w:ascii="Times New Roman" w:hAnsi="Times New Roman"/>
                <w:b/>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pPr>
              <w:jc w:val="center"/>
              <w:rPr>
                <w:rFonts w:hint="eastAsia"/>
                <w:b/>
                <w:sz w:val="24"/>
              </w:rPr>
            </w:pPr>
            <w:r>
              <w:rPr>
                <w:rFonts w:hint="eastAsia"/>
                <w:b/>
                <w:sz w:val="24"/>
              </w:rPr>
              <w:t>构成磋商文件的其他资料</w:t>
            </w:r>
          </w:p>
        </w:tc>
        <w:tc>
          <w:tcPr>
            <w:tcW w:w="5911" w:type="dxa"/>
            <w:tcBorders>
              <w:top w:val="single" w:color="auto" w:sz="4" w:space="0"/>
              <w:left w:val="single" w:color="auto" w:sz="4" w:space="0"/>
              <w:bottom w:val="single" w:color="auto" w:sz="4" w:space="0"/>
              <w:right w:val="single" w:color="auto" w:sz="4" w:space="0"/>
            </w:tcBorders>
            <w:vAlign w:val="center"/>
          </w:tcPr>
          <w:p>
            <w:pPr>
              <w:jc w:val="left"/>
              <w:rPr>
                <w:rFonts w:hint="eastAsia" w:eastAsia="宋体"/>
                <w:b/>
                <w:bCs/>
                <w:sz w:val="24"/>
                <w:lang w:eastAsia="zh-CN"/>
              </w:rPr>
            </w:pPr>
            <w:r>
              <w:rPr>
                <w:rFonts w:hint="eastAsia"/>
                <w:sz w:val="24"/>
              </w:rPr>
              <w:t>工程量清单</w:t>
            </w:r>
            <w:r>
              <w:rPr>
                <w:rFonts w:hint="eastAsia"/>
                <w:sz w:val="24"/>
                <w:lang w:eastAsia="zh-CN"/>
              </w:rPr>
              <w:t>领取方式：供应商应将关注截图</w:t>
            </w:r>
            <w:r>
              <w:rPr>
                <w:rFonts w:hint="eastAsia"/>
                <w:sz w:val="24"/>
              </w:rPr>
              <w:t>发送至</w:t>
            </w:r>
            <w:r>
              <w:rPr>
                <w:rFonts w:hint="eastAsia"/>
                <w:sz w:val="24"/>
                <w:lang w:val="en-US" w:eastAsia="zh-CN"/>
              </w:rPr>
              <w:t>xiguanjia</w:t>
            </w:r>
            <w:r>
              <w:rPr>
                <w:rFonts w:hint="eastAsia"/>
                <w:sz w:val="24"/>
              </w:rPr>
              <w:t>@qq.com</w:t>
            </w:r>
            <w:r>
              <w:rPr>
                <w:rFonts w:hint="eastAsia"/>
                <w:sz w:val="24"/>
                <w:lang w:eastAsia="zh-CN"/>
              </w:rPr>
              <w:t>邮箱内，未发送者招标代理不予提供工程量清单。</w:t>
            </w:r>
          </w:p>
        </w:tc>
      </w:tr>
    </w:tbl>
    <w:p>
      <w:pPr>
        <w:spacing w:line="313" w:lineRule="exact"/>
        <w:rPr>
          <w:rFonts w:asciiTheme="minorEastAsia" w:hAnsiTheme="minorEastAsia" w:eastAsiaTheme="minorEastAsia"/>
          <w:sz w:val="24"/>
          <w:lang w:eastAsia="zh-CN"/>
        </w:rPr>
        <w:sectPr>
          <w:pgSz w:w="11910" w:h="16840"/>
          <w:pgMar w:top="1440" w:right="1797" w:bottom="1440" w:left="1797" w:header="879" w:footer="879" w:gutter="0"/>
          <w:cols w:space="720" w:num="1"/>
        </w:sectPr>
      </w:pPr>
    </w:p>
    <w:p>
      <w:pPr>
        <w:pStyle w:val="5"/>
        <w:rPr>
          <w:rFonts w:asciiTheme="minorEastAsia" w:hAnsiTheme="minorEastAsia" w:eastAsiaTheme="minorEastAsia"/>
          <w:b/>
          <w:lang w:eastAsia="zh-CN"/>
        </w:rPr>
      </w:pPr>
      <w:bookmarkStart w:id="12" w:name="_Toc164263451"/>
      <w:r>
        <w:rPr>
          <w:rFonts w:asciiTheme="minorEastAsia" w:hAnsiTheme="minorEastAsia" w:eastAsiaTheme="minorEastAsia"/>
          <w:b/>
          <w:lang w:eastAsia="zh-CN"/>
        </w:rPr>
        <w:t>供应商须知</w:t>
      </w:r>
      <w:bookmarkEnd w:id="12"/>
    </w:p>
    <w:p/>
    <w:p>
      <w:pPr>
        <w:pStyle w:val="5"/>
        <w:rPr>
          <w:rFonts w:asciiTheme="minorEastAsia" w:hAnsiTheme="minorEastAsia" w:eastAsiaTheme="minorEastAsia"/>
          <w:b/>
          <w:lang w:eastAsia="zh-CN"/>
        </w:rPr>
      </w:pPr>
      <w:bookmarkStart w:id="13" w:name="_Toc164263452"/>
      <w:r>
        <w:rPr>
          <w:rFonts w:asciiTheme="minorEastAsia" w:hAnsiTheme="minorEastAsia" w:eastAsiaTheme="minorEastAsia"/>
          <w:b/>
          <w:lang w:eastAsia="zh-CN"/>
        </w:rPr>
        <w:t>一</w:t>
      </w:r>
      <w:r>
        <w:rPr>
          <w:rFonts w:hint="eastAsia" w:asciiTheme="minorEastAsia" w:hAnsiTheme="minorEastAsia" w:eastAsiaTheme="minorEastAsia"/>
          <w:b/>
          <w:lang w:eastAsia="zh-CN"/>
        </w:rPr>
        <w:t xml:space="preserve">  </w:t>
      </w:r>
      <w:r>
        <w:rPr>
          <w:rFonts w:asciiTheme="minorEastAsia" w:hAnsiTheme="minorEastAsia" w:eastAsiaTheme="minorEastAsia"/>
          <w:b/>
          <w:lang w:eastAsia="zh-CN"/>
        </w:rPr>
        <w:t>说明</w:t>
      </w:r>
      <w:bookmarkEnd w:id="13"/>
    </w:p>
    <w:p>
      <w:pPr>
        <w:pStyle w:val="29"/>
        <w:numPr>
          <w:ilvl w:val="0"/>
          <w:numId w:val="4"/>
        </w:numPr>
        <w:tabs>
          <w:tab w:val="left" w:pos="476"/>
          <w:tab w:val="left" w:pos="477"/>
        </w:tabs>
        <w:ind w:hanging="355"/>
        <w:rPr>
          <w:rFonts w:asciiTheme="minorEastAsia" w:hAnsiTheme="minorEastAsia" w:eastAsiaTheme="minorEastAsia"/>
          <w:sz w:val="24"/>
          <w:lang w:eastAsia="zh-CN"/>
        </w:rPr>
      </w:pPr>
      <w:r>
        <w:rPr>
          <w:rFonts w:asciiTheme="minorEastAsia" w:hAnsiTheme="minorEastAsia" w:eastAsiaTheme="minorEastAsia"/>
          <w:sz w:val="24"/>
          <w:lang w:eastAsia="zh-CN"/>
        </w:rPr>
        <w:t>采购人、采购代理机构、供应商、联合体</w:t>
      </w:r>
    </w:p>
    <w:p>
      <w:pPr>
        <w:pStyle w:val="29"/>
        <w:numPr>
          <w:ilvl w:val="1"/>
          <w:numId w:val="4"/>
        </w:numPr>
        <w:tabs>
          <w:tab w:val="left" w:pos="1202"/>
        </w:tabs>
        <w:spacing w:before="46" w:line="336" w:lineRule="auto"/>
        <w:ind w:left="1201" w:right="108"/>
        <w:jc w:val="both"/>
        <w:rPr>
          <w:rFonts w:asciiTheme="minorEastAsia" w:hAnsiTheme="minorEastAsia" w:eastAsiaTheme="minorEastAsia"/>
          <w:sz w:val="24"/>
          <w:lang w:eastAsia="zh-CN"/>
        </w:rPr>
      </w:pPr>
      <w:r>
        <w:rPr>
          <w:rFonts w:asciiTheme="minorEastAsia" w:hAnsiTheme="minorEastAsia" w:eastAsiaTheme="minorEastAsia"/>
          <w:sz w:val="24"/>
          <w:lang w:eastAsia="zh-CN"/>
        </w:rPr>
        <w:t>采购人、采购代理机构：指依法进行政府采购的国家机关、事业单位、</w:t>
      </w:r>
      <w:r>
        <w:rPr>
          <w:rFonts w:asciiTheme="minorEastAsia" w:hAnsiTheme="minorEastAsia" w:eastAsiaTheme="minorEastAsia"/>
          <w:spacing w:val="2"/>
          <w:sz w:val="24"/>
          <w:lang w:eastAsia="zh-CN"/>
        </w:rPr>
        <w:t>团</w:t>
      </w:r>
      <w:r>
        <w:rPr>
          <w:rFonts w:asciiTheme="minorEastAsia" w:hAnsiTheme="minorEastAsia" w:eastAsiaTheme="minorEastAsia"/>
          <w:sz w:val="24"/>
          <w:lang w:eastAsia="zh-CN"/>
        </w:rPr>
        <w:t>体组织</w:t>
      </w:r>
      <w:r>
        <w:rPr>
          <w:rFonts w:asciiTheme="minorEastAsia" w:hAnsiTheme="minorEastAsia" w:eastAsiaTheme="minorEastAsia"/>
          <w:spacing w:val="-44"/>
          <w:sz w:val="24"/>
          <w:lang w:eastAsia="zh-CN"/>
        </w:rPr>
        <w:t>，</w:t>
      </w:r>
      <w:r>
        <w:rPr>
          <w:rFonts w:asciiTheme="minorEastAsia" w:hAnsiTheme="minorEastAsia" w:eastAsiaTheme="minorEastAsia"/>
          <w:sz w:val="24"/>
          <w:lang w:eastAsia="zh-CN"/>
        </w:rPr>
        <w:t>及其委托的采购代理机构</w:t>
      </w:r>
      <w:r>
        <w:rPr>
          <w:rFonts w:asciiTheme="minorEastAsia" w:hAnsiTheme="minorEastAsia" w:eastAsiaTheme="minorEastAsia"/>
          <w:spacing w:val="-41"/>
          <w:sz w:val="24"/>
          <w:lang w:eastAsia="zh-CN"/>
        </w:rPr>
        <w:t>。</w:t>
      </w:r>
      <w:r>
        <w:rPr>
          <w:rFonts w:asciiTheme="minorEastAsia" w:hAnsiTheme="minorEastAsia" w:eastAsiaTheme="minorEastAsia"/>
          <w:sz w:val="24"/>
          <w:lang w:eastAsia="zh-CN"/>
        </w:rPr>
        <w:t>本项目采购人</w:t>
      </w:r>
      <w:r>
        <w:rPr>
          <w:rFonts w:asciiTheme="minorEastAsia" w:hAnsiTheme="minorEastAsia" w:eastAsiaTheme="minorEastAsia"/>
          <w:spacing w:val="-43"/>
          <w:sz w:val="24"/>
          <w:lang w:eastAsia="zh-CN"/>
        </w:rPr>
        <w:t>、</w:t>
      </w:r>
      <w:r>
        <w:rPr>
          <w:rFonts w:asciiTheme="minorEastAsia" w:hAnsiTheme="minorEastAsia" w:eastAsiaTheme="minorEastAsia"/>
          <w:sz w:val="24"/>
          <w:lang w:eastAsia="zh-CN"/>
        </w:rPr>
        <w:t>采购代理机构见第一</w:t>
      </w:r>
      <w:r>
        <w:rPr>
          <w:rFonts w:asciiTheme="minorEastAsia" w:hAnsiTheme="minorEastAsia" w:eastAsiaTheme="minorEastAsia"/>
          <w:spacing w:val="-41"/>
          <w:sz w:val="24"/>
          <w:lang w:eastAsia="zh-CN"/>
        </w:rPr>
        <w:t>章</w:t>
      </w:r>
      <w:r>
        <w:rPr>
          <w:rFonts w:asciiTheme="minorEastAsia" w:hAnsiTheme="minorEastAsia" w:eastAsiaTheme="minorEastAsia"/>
          <w:sz w:val="24"/>
          <w:lang w:eastAsia="zh-CN"/>
        </w:rPr>
        <w:t>《采购邀请</w:t>
      </w:r>
      <w:r>
        <w:rPr>
          <w:rFonts w:hint="eastAsia" w:asciiTheme="minorEastAsia" w:hAnsiTheme="minorEastAsia" w:eastAsiaTheme="minorEastAsia"/>
          <w:sz w:val="24"/>
          <w:lang w:eastAsia="zh-CN"/>
        </w:rPr>
        <w:t>》</w:t>
      </w:r>
      <w:r>
        <w:rPr>
          <w:rFonts w:hint="eastAsia"/>
          <w:lang w:eastAsia="zh-CN"/>
        </w:rPr>
        <w:t>。</w:t>
      </w:r>
    </w:p>
    <w:p>
      <w:pPr>
        <w:pStyle w:val="29"/>
        <w:numPr>
          <w:ilvl w:val="1"/>
          <w:numId w:val="4"/>
        </w:numPr>
        <w:tabs>
          <w:tab w:val="left" w:pos="1202"/>
        </w:tabs>
        <w:spacing w:before="46" w:line="336" w:lineRule="auto"/>
        <w:ind w:left="1201" w:right="108"/>
        <w:jc w:val="both"/>
        <w:rPr>
          <w:rFonts w:asciiTheme="minorEastAsia" w:hAnsiTheme="minorEastAsia" w:eastAsiaTheme="minorEastAsia"/>
          <w:sz w:val="24"/>
          <w:lang w:eastAsia="zh-CN"/>
        </w:rPr>
      </w:pPr>
      <w:r>
        <w:rPr>
          <w:rFonts w:asciiTheme="minorEastAsia" w:hAnsiTheme="minorEastAsia" w:eastAsiaTheme="minorEastAsia"/>
          <w:sz w:val="24"/>
          <w:lang w:eastAsia="zh-CN"/>
        </w:rPr>
        <w:t>供应</w:t>
      </w:r>
      <w:r>
        <w:rPr>
          <w:rFonts w:asciiTheme="minorEastAsia" w:hAnsiTheme="minorEastAsia" w:eastAsiaTheme="minorEastAsia"/>
          <w:spacing w:val="-15"/>
          <w:sz w:val="24"/>
          <w:szCs w:val="24"/>
          <w:lang w:eastAsia="zh-CN"/>
        </w:rPr>
        <w:t>商</w:t>
      </w:r>
      <w:r>
        <w:rPr>
          <w:sz w:val="24"/>
          <w:szCs w:val="24"/>
          <w:lang w:eastAsia="zh-CN"/>
        </w:rPr>
        <w:t>（也称“申请人”）：</w:t>
      </w:r>
      <w:r>
        <w:rPr>
          <w:rFonts w:asciiTheme="minorEastAsia" w:hAnsiTheme="minorEastAsia" w:eastAsiaTheme="minorEastAsia"/>
          <w:sz w:val="24"/>
          <w:szCs w:val="24"/>
          <w:lang w:eastAsia="zh-CN"/>
        </w:rPr>
        <w:t>指向采购</w:t>
      </w:r>
      <w:r>
        <w:rPr>
          <w:rFonts w:asciiTheme="minorEastAsia" w:hAnsiTheme="minorEastAsia" w:eastAsiaTheme="minorEastAsia"/>
          <w:sz w:val="24"/>
          <w:lang w:eastAsia="zh-CN"/>
        </w:rPr>
        <w:t>人提供货物</w:t>
      </w:r>
      <w:r>
        <w:rPr>
          <w:rFonts w:asciiTheme="minorEastAsia" w:hAnsiTheme="minorEastAsia" w:eastAsiaTheme="minorEastAsia"/>
          <w:spacing w:val="-15"/>
          <w:sz w:val="24"/>
          <w:lang w:eastAsia="zh-CN"/>
        </w:rPr>
        <w:t>、</w:t>
      </w:r>
      <w:r>
        <w:rPr>
          <w:rFonts w:asciiTheme="minorEastAsia" w:hAnsiTheme="minorEastAsia" w:eastAsiaTheme="minorEastAsia"/>
          <w:sz w:val="24"/>
          <w:lang w:eastAsia="zh-CN"/>
        </w:rPr>
        <w:t>工程或者服务的法</w:t>
      </w:r>
      <w:r>
        <w:rPr>
          <w:rFonts w:asciiTheme="minorEastAsia" w:hAnsiTheme="minorEastAsia" w:eastAsiaTheme="minorEastAsia"/>
          <w:spacing w:val="2"/>
          <w:sz w:val="24"/>
          <w:lang w:eastAsia="zh-CN"/>
        </w:rPr>
        <w:t>人</w:t>
      </w:r>
      <w:r>
        <w:rPr>
          <w:rFonts w:asciiTheme="minorEastAsia" w:hAnsiTheme="minorEastAsia" w:eastAsiaTheme="minorEastAsia"/>
          <w:spacing w:val="-15"/>
          <w:sz w:val="24"/>
          <w:lang w:eastAsia="zh-CN"/>
        </w:rPr>
        <w:t>、</w:t>
      </w:r>
      <w:r>
        <w:rPr>
          <w:rFonts w:asciiTheme="minorEastAsia" w:hAnsiTheme="minorEastAsia" w:eastAsiaTheme="minorEastAsia"/>
          <w:sz w:val="24"/>
          <w:lang w:eastAsia="zh-CN"/>
        </w:rPr>
        <w:t>其他组织或者自然人。</w:t>
      </w:r>
    </w:p>
    <w:p>
      <w:pPr>
        <w:pStyle w:val="29"/>
        <w:numPr>
          <w:ilvl w:val="1"/>
          <w:numId w:val="4"/>
        </w:numPr>
        <w:tabs>
          <w:tab w:val="left" w:pos="1202"/>
        </w:tabs>
        <w:spacing w:before="58" w:line="333" w:lineRule="auto"/>
        <w:ind w:left="1201" w:right="111"/>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联合体：指两个以上的自然人、法人或者其他组织组成一个联合体，以一</w:t>
      </w:r>
      <w:r>
        <w:rPr>
          <w:rFonts w:asciiTheme="minorEastAsia" w:hAnsiTheme="minorEastAsia" w:eastAsiaTheme="minorEastAsia"/>
          <w:sz w:val="24"/>
          <w:lang w:eastAsia="zh-CN"/>
        </w:rPr>
        <w:t>个供应商的身份共同参加政府采购。</w:t>
      </w:r>
    </w:p>
    <w:p>
      <w:pPr>
        <w:pStyle w:val="29"/>
        <w:numPr>
          <w:ilvl w:val="0"/>
          <w:numId w:val="4"/>
        </w:numPr>
        <w:tabs>
          <w:tab w:val="left" w:pos="476"/>
          <w:tab w:val="left" w:pos="477"/>
        </w:tabs>
        <w:ind w:hanging="355"/>
        <w:rPr>
          <w:rFonts w:asciiTheme="minorEastAsia" w:hAnsiTheme="minorEastAsia" w:eastAsiaTheme="minorEastAsia"/>
          <w:sz w:val="24"/>
          <w:lang w:eastAsia="zh-CN"/>
        </w:rPr>
      </w:pPr>
      <w:r>
        <w:rPr>
          <w:rFonts w:asciiTheme="minorEastAsia" w:hAnsiTheme="minorEastAsia" w:eastAsiaTheme="minorEastAsia"/>
          <w:sz w:val="24"/>
          <w:lang w:eastAsia="zh-CN"/>
        </w:rPr>
        <w:t>资金来源、项目属性、科研仪器设备采购</w:t>
      </w:r>
    </w:p>
    <w:p>
      <w:pPr>
        <w:pStyle w:val="29"/>
        <w:numPr>
          <w:ilvl w:val="1"/>
          <w:numId w:val="4"/>
        </w:numPr>
        <w:tabs>
          <w:tab w:val="left" w:pos="1202"/>
        </w:tabs>
        <w:spacing w:before="133" w:line="336" w:lineRule="auto"/>
        <w:ind w:left="1201" w:right="113"/>
        <w:jc w:val="both"/>
        <w:rPr>
          <w:rFonts w:asciiTheme="minorEastAsia" w:hAnsiTheme="minorEastAsia" w:eastAsiaTheme="minorEastAsia"/>
          <w:sz w:val="24"/>
          <w:lang w:eastAsia="zh-CN"/>
        </w:rPr>
      </w:pPr>
      <w:r>
        <w:rPr>
          <w:rFonts w:asciiTheme="minorEastAsia" w:hAnsiTheme="minorEastAsia" w:eastAsiaTheme="minorEastAsia"/>
          <w:spacing w:val="7"/>
          <w:sz w:val="24"/>
          <w:lang w:eastAsia="zh-CN"/>
        </w:rPr>
        <w:t>资金来源为财政性资金和</w:t>
      </w:r>
      <w:r>
        <w:rPr>
          <w:rFonts w:asciiTheme="minorEastAsia" w:hAnsiTheme="minorEastAsia" w:eastAsiaTheme="minorEastAsia"/>
          <w:spacing w:val="5"/>
          <w:w w:val="120"/>
          <w:sz w:val="24"/>
          <w:lang w:eastAsia="zh-CN"/>
        </w:rPr>
        <w:t>/</w:t>
      </w:r>
      <w:r>
        <w:rPr>
          <w:rFonts w:asciiTheme="minorEastAsia" w:hAnsiTheme="minorEastAsia" w:eastAsiaTheme="minorEastAsia"/>
          <w:spacing w:val="7"/>
          <w:sz w:val="24"/>
          <w:lang w:eastAsia="zh-CN"/>
        </w:rPr>
        <w:t>或本项目采购中无法与财政性资金分割的非财</w:t>
      </w:r>
      <w:r>
        <w:rPr>
          <w:rFonts w:asciiTheme="minorEastAsia" w:hAnsiTheme="minorEastAsia" w:eastAsiaTheme="minorEastAsia"/>
          <w:sz w:val="24"/>
          <w:lang w:eastAsia="zh-CN"/>
        </w:rPr>
        <w:t>政性资金。</w:t>
      </w:r>
    </w:p>
    <w:p>
      <w:pPr>
        <w:pStyle w:val="29"/>
        <w:numPr>
          <w:ilvl w:val="1"/>
          <w:numId w:val="4"/>
        </w:numPr>
        <w:tabs>
          <w:tab w:val="left" w:pos="1201"/>
          <w:tab w:val="left" w:pos="1202"/>
        </w:tabs>
        <w:spacing w:before="55"/>
        <w:ind w:left="1201"/>
        <w:rPr>
          <w:rFonts w:asciiTheme="minorEastAsia" w:hAnsiTheme="minorEastAsia" w:eastAsiaTheme="minorEastAsia"/>
          <w:sz w:val="24"/>
          <w:lang w:eastAsia="zh-CN"/>
        </w:rPr>
      </w:pPr>
      <w:r>
        <w:rPr>
          <w:rFonts w:asciiTheme="minorEastAsia" w:hAnsiTheme="minorEastAsia" w:eastAsiaTheme="minorEastAsia"/>
          <w:sz w:val="24"/>
          <w:lang w:eastAsia="zh-CN"/>
        </w:rPr>
        <w:t>项目属性见《供应商须知资料表</w:t>
      </w:r>
      <w:r>
        <w:rPr>
          <w:rFonts w:asciiTheme="minorEastAsia" w:hAnsiTheme="minorEastAsia" w:eastAsiaTheme="minorEastAsia"/>
          <w:spacing w:val="-120"/>
          <w:sz w:val="24"/>
          <w:lang w:eastAsia="zh-CN"/>
        </w:rPr>
        <w:t>》</w:t>
      </w:r>
      <w:r>
        <w:rPr>
          <w:rFonts w:asciiTheme="minorEastAsia" w:hAnsiTheme="minorEastAsia" w:eastAsiaTheme="minorEastAsia"/>
          <w:sz w:val="24"/>
          <w:lang w:eastAsia="zh-CN"/>
        </w:rPr>
        <w:t>。</w:t>
      </w:r>
    </w:p>
    <w:p>
      <w:pPr>
        <w:pStyle w:val="29"/>
        <w:numPr>
          <w:ilvl w:val="1"/>
          <w:numId w:val="4"/>
        </w:numPr>
        <w:tabs>
          <w:tab w:val="left" w:pos="1201"/>
          <w:tab w:val="left" w:pos="1202"/>
        </w:tabs>
        <w:spacing w:before="133"/>
        <w:ind w:left="1201"/>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是否属于科研仪器设备采购见《供应商须知资料表》。</w:t>
      </w:r>
    </w:p>
    <w:p>
      <w:pPr>
        <w:pStyle w:val="29"/>
        <w:numPr>
          <w:ilvl w:val="0"/>
          <w:numId w:val="4"/>
        </w:numPr>
        <w:tabs>
          <w:tab w:val="left" w:pos="476"/>
          <w:tab w:val="left" w:pos="477"/>
        </w:tabs>
        <w:spacing w:before="120" w:beforeLines="50"/>
        <w:ind w:left="389"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现场考察、磋商前答疑会</w:t>
      </w:r>
    </w:p>
    <w:p>
      <w:pPr>
        <w:pStyle w:val="29"/>
        <w:numPr>
          <w:ilvl w:val="1"/>
          <w:numId w:val="4"/>
        </w:numPr>
        <w:tabs>
          <w:tab w:val="left" w:pos="1202"/>
        </w:tabs>
        <w:spacing w:before="133" w:line="333" w:lineRule="auto"/>
        <w:ind w:left="1201" w:right="111"/>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若《供应商须知</w:t>
      </w:r>
      <w:r>
        <w:rPr>
          <w:rFonts w:asciiTheme="minorEastAsia" w:hAnsiTheme="minorEastAsia" w:eastAsiaTheme="minorEastAsia"/>
          <w:sz w:val="24"/>
          <w:lang w:eastAsia="zh-CN"/>
        </w:rPr>
        <w:t>资</w:t>
      </w:r>
      <w:r>
        <w:rPr>
          <w:rFonts w:asciiTheme="minorEastAsia" w:hAnsiTheme="minorEastAsia" w:eastAsiaTheme="minorEastAsia"/>
          <w:spacing w:val="2"/>
          <w:sz w:val="24"/>
          <w:lang w:eastAsia="zh-CN"/>
        </w:rPr>
        <w:t>料表》中规定了组织现场考察、召</w:t>
      </w:r>
      <w:r>
        <w:rPr>
          <w:rFonts w:asciiTheme="minorEastAsia" w:hAnsiTheme="minorEastAsia" w:eastAsiaTheme="minorEastAsia"/>
          <w:sz w:val="24"/>
          <w:lang w:eastAsia="zh-CN"/>
        </w:rPr>
        <w:t>开</w:t>
      </w:r>
      <w:r>
        <w:rPr>
          <w:rFonts w:asciiTheme="minorEastAsia" w:hAnsiTheme="minorEastAsia" w:eastAsiaTheme="minorEastAsia"/>
          <w:spacing w:val="2"/>
          <w:sz w:val="24"/>
          <w:lang w:eastAsia="zh-CN"/>
        </w:rPr>
        <w:t>磋商前答疑会，则</w:t>
      </w:r>
      <w:r>
        <w:rPr>
          <w:rFonts w:asciiTheme="minorEastAsia" w:hAnsiTheme="minorEastAsia" w:eastAsiaTheme="minorEastAsia"/>
          <w:sz w:val="24"/>
          <w:lang w:eastAsia="zh-CN"/>
        </w:rPr>
        <w:t>供应商应按要求在规定的时间和地点参加。</w:t>
      </w:r>
    </w:p>
    <w:p>
      <w:pPr>
        <w:pStyle w:val="29"/>
        <w:numPr>
          <w:ilvl w:val="1"/>
          <w:numId w:val="4"/>
        </w:numPr>
        <w:tabs>
          <w:tab w:val="left" w:pos="1202"/>
        </w:tabs>
        <w:spacing w:before="60" w:line="345" w:lineRule="auto"/>
        <w:ind w:left="1201" w:right="111"/>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由于未参加现场</w:t>
      </w:r>
      <w:r>
        <w:rPr>
          <w:rFonts w:asciiTheme="minorEastAsia" w:hAnsiTheme="minorEastAsia" w:eastAsiaTheme="minorEastAsia"/>
          <w:sz w:val="24"/>
          <w:lang w:eastAsia="zh-CN"/>
        </w:rPr>
        <w:t>考</w:t>
      </w:r>
      <w:r>
        <w:rPr>
          <w:rFonts w:asciiTheme="minorEastAsia" w:hAnsiTheme="minorEastAsia" w:eastAsiaTheme="minorEastAsia"/>
          <w:spacing w:val="2"/>
          <w:sz w:val="24"/>
          <w:lang w:eastAsia="zh-CN"/>
        </w:rPr>
        <w:t>察或磋商前答疑会而导致对项目实</w:t>
      </w:r>
      <w:r>
        <w:rPr>
          <w:rFonts w:asciiTheme="minorEastAsia" w:hAnsiTheme="minorEastAsia" w:eastAsiaTheme="minorEastAsia"/>
          <w:sz w:val="24"/>
          <w:lang w:eastAsia="zh-CN"/>
        </w:rPr>
        <w:t>际</w:t>
      </w:r>
      <w:r>
        <w:rPr>
          <w:rFonts w:asciiTheme="minorEastAsia" w:hAnsiTheme="minorEastAsia" w:eastAsiaTheme="minorEastAsia"/>
          <w:spacing w:val="2"/>
          <w:sz w:val="24"/>
          <w:lang w:eastAsia="zh-CN"/>
        </w:rPr>
        <w:t>情况不了解，影响</w:t>
      </w:r>
      <w:r>
        <w:rPr>
          <w:rFonts w:asciiTheme="minorEastAsia" w:hAnsiTheme="minorEastAsia" w:eastAsiaTheme="minorEastAsia"/>
          <w:sz w:val="24"/>
          <w:lang w:eastAsia="zh-CN"/>
        </w:rPr>
        <w:t>响</w:t>
      </w:r>
      <w:r>
        <w:rPr>
          <w:rFonts w:asciiTheme="minorEastAsia" w:hAnsiTheme="minorEastAsia" w:eastAsiaTheme="minorEastAsia"/>
          <w:spacing w:val="2"/>
          <w:sz w:val="24"/>
          <w:lang w:eastAsia="zh-CN"/>
        </w:rPr>
        <w:t>应文件编制、报</w:t>
      </w:r>
      <w:r>
        <w:rPr>
          <w:rFonts w:asciiTheme="minorEastAsia" w:hAnsiTheme="minorEastAsia" w:eastAsiaTheme="minorEastAsia"/>
          <w:sz w:val="24"/>
          <w:lang w:eastAsia="zh-CN"/>
        </w:rPr>
        <w:t>价</w:t>
      </w:r>
      <w:r>
        <w:rPr>
          <w:rFonts w:asciiTheme="minorEastAsia" w:hAnsiTheme="minorEastAsia" w:eastAsiaTheme="minorEastAsia"/>
          <w:spacing w:val="2"/>
          <w:sz w:val="24"/>
          <w:lang w:eastAsia="zh-CN"/>
        </w:rPr>
        <w:t>准确性、综合因素响应不全面等问</w:t>
      </w:r>
      <w:r>
        <w:rPr>
          <w:rFonts w:asciiTheme="minorEastAsia" w:hAnsiTheme="minorEastAsia" w:eastAsiaTheme="minorEastAsia"/>
          <w:sz w:val="24"/>
          <w:lang w:eastAsia="zh-CN"/>
        </w:rPr>
        <w:t>题</w:t>
      </w:r>
      <w:r>
        <w:rPr>
          <w:rFonts w:asciiTheme="minorEastAsia" w:hAnsiTheme="minorEastAsia" w:eastAsiaTheme="minorEastAsia"/>
          <w:spacing w:val="2"/>
          <w:sz w:val="24"/>
          <w:lang w:eastAsia="zh-CN"/>
        </w:rPr>
        <w:t>的，由供应商自行</w:t>
      </w:r>
      <w:r>
        <w:rPr>
          <w:rFonts w:asciiTheme="minorEastAsia" w:hAnsiTheme="minorEastAsia" w:eastAsiaTheme="minorEastAsia"/>
          <w:sz w:val="24"/>
          <w:lang w:eastAsia="zh-CN"/>
        </w:rPr>
        <w:t>承担不利评审后果。</w:t>
      </w:r>
    </w:p>
    <w:p>
      <w:pPr>
        <w:pStyle w:val="29"/>
        <w:numPr>
          <w:ilvl w:val="0"/>
          <w:numId w:val="4"/>
        </w:numPr>
        <w:tabs>
          <w:tab w:val="left" w:pos="476"/>
          <w:tab w:val="left" w:pos="477"/>
        </w:tabs>
        <w:spacing w:before="120" w:beforeLines="50"/>
        <w:ind w:left="389"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政府采购政策（包括但不限于下列具体政策要求）</w:t>
      </w:r>
    </w:p>
    <w:p>
      <w:pPr>
        <w:pStyle w:val="29"/>
        <w:numPr>
          <w:ilvl w:val="1"/>
          <w:numId w:val="4"/>
        </w:numPr>
        <w:tabs>
          <w:tab w:val="left" w:pos="1201"/>
          <w:tab w:val="left" w:pos="1202"/>
        </w:tabs>
        <w:spacing w:before="133"/>
        <w:ind w:left="1201"/>
        <w:rPr>
          <w:rFonts w:asciiTheme="minorEastAsia" w:hAnsiTheme="minorEastAsia" w:eastAsiaTheme="minorEastAsia"/>
          <w:sz w:val="24"/>
          <w:lang w:eastAsia="zh-CN"/>
        </w:rPr>
      </w:pPr>
      <w:r>
        <w:rPr>
          <w:rFonts w:asciiTheme="minorEastAsia" w:hAnsiTheme="minorEastAsia" w:eastAsiaTheme="minorEastAsia"/>
          <w:sz w:val="24"/>
          <w:lang w:eastAsia="zh-CN"/>
        </w:rPr>
        <w:t>采购本国货物、工程和服务</w:t>
      </w:r>
    </w:p>
    <w:p>
      <w:pPr>
        <w:pStyle w:val="29"/>
        <w:numPr>
          <w:ilvl w:val="2"/>
          <w:numId w:val="4"/>
        </w:numPr>
        <w:tabs>
          <w:tab w:val="left" w:pos="2101"/>
          <w:tab w:val="left" w:pos="2102"/>
        </w:tabs>
        <w:spacing w:before="133" w:line="333" w:lineRule="auto"/>
        <w:ind w:right="104" w:hanging="900"/>
        <w:rPr>
          <w:rFonts w:asciiTheme="minorEastAsia" w:hAnsiTheme="minorEastAsia" w:eastAsiaTheme="minorEastAsia"/>
          <w:sz w:val="24"/>
          <w:lang w:eastAsia="zh-CN"/>
        </w:rPr>
      </w:pPr>
      <w:r>
        <w:rPr>
          <w:rFonts w:asciiTheme="minorEastAsia" w:hAnsiTheme="minorEastAsia" w:eastAsiaTheme="minorEastAsia"/>
          <w:sz w:val="24"/>
          <w:lang w:eastAsia="zh-CN"/>
        </w:rPr>
        <w:t>政府采</w:t>
      </w:r>
      <w:r>
        <w:rPr>
          <w:rFonts w:asciiTheme="minorEastAsia" w:hAnsiTheme="minorEastAsia" w:eastAsiaTheme="minorEastAsia"/>
          <w:spacing w:val="2"/>
          <w:sz w:val="24"/>
          <w:lang w:eastAsia="zh-CN"/>
        </w:rPr>
        <w:t>购</w:t>
      </w:r>
      <w:r>
        <w:rPr>
          <w:rFonts w:asciiTheme="minorEastAsia" w:hAnsiTheme="minorEastAsia" w:eastAsiaTheme="minorEastAsia"/>
          <w:sz w:val="24"/>
          <w:lang w:eastAsia="zh-CN"/>
        </w:rPr>
        <w:t>应当采购本国货物</w:t>
      </w:r>
      <w:r>
        <w:rPr>
          <w:rFonts w:asciiTheme="minorEastAsia" w:hAnsiTheme="minorEastAsia" w:eastAsiaTheme="minorEastAsia"/>
          <w:spacing w:val="-39"/>
          <w:sz w:val="24"/>
          <w:lang w:eastAsia="zh-CN"/>
        </w:rPr>
        <w:t>、</w:t>
      </w:r>
      <w:r>
        <w:rPr>
          <w:rFonts w:asciiTheme="minorEastAsia" w:hAnsiTheme="minorEastAsia" w:eastAsiaTheme="minorEastAsia"/>
          <w:sz w:val="24"/>
          <w:lang w:eastAsia="zh-CN"/>
        </w:rPr>
        <w:t>工程和</w:t>
      </w:r>
      <w:r>
        <w:rPr>
          <w:rFonts w:asciiTheme="minorEastAsia" w:hAnsiTheme="minorEastAsia" w:eastAsiaTheme="minorEastAsia"/>
          <w:spacing w:val="2"/>
          <w:sz w:val="24"/>
          <w:lang w:eastAsia="zh-CN"/>
        </w:rPr>
        <w:t>服</w:t>
      </w:r>
      <w:r>
        <w:rPr>
          <w:rFonts w:asciiTheme="minorEastAsia" w:hAnsiTheme="minorEastAsia" w:eastAsiaTheme="minorEastAsia"/>
          <w:sz w:val="24"/>
          <w:lang w:eastAsia="zh-CN"/>
        </w:rPr>
        <w:t>务</w:t>
      </w:r>
      <w:r>
        <w:rPr>
          <w:rFonts w:asciiTheme="minorEastAsia" w:hAnsiTheme="minorEastAsia" w:eastAsiaTheme="minorEastAsia"/>
          <w:spacing w:val="-39"/>
          <w:sz w:val="24"/>
          <w:lang w:eastAsia="zh-CN"/>
        </w:rPr>
        <w:t>。</w:t>
      </w:r>
      <w:r>
        <w:rPr>
          <w:rFonts w:asciiTheme="minorEastAsia" w:hAnsiTheme="minorEastAsia" w:eastAsiaTheme="minorEastAsia"/>
          <w:sz w:val="24"/>
          <w:lang w:eastAsia="zh-CN"/>
        </w:rPr>
        <w:t>但</w:t>
      </w:r>
      <w:r>
        <w:rPr>
          <w:rFonts w:asciiTheme="minorEastAsia" w:hAnsiTheme="minorEastAsia" w:eastAsiaTheme="minorEastAsia"/>
          <w:spacing w:val="-39"/>
          <w:sz w:val="24"/>
          <w:lang w:eastAsia="zh-CN"/>
        </w:rPr>
        <w:t>有</w:t>
      </w:r>
      <w:r>
        <w:rPr>
          <w:rFonts w:asciiTheme="minorEastAsia" w:hAnsiTheme="minorEastAsia" w:eastAsiaTheme="minorEastAsia"/>
          <w:b/>
          <w:spacing w:val="-1"/>
          <w:sz w:val="24"/>
          <w:lang w:eastAsia="zh-CN"/>
        </w:rPr>
        <w:t>《</w:t>
      </w:r>
      <w:r>
        <w:rPr>
          <w:rFonts w:asciiTheme="minorEastAsia" w:hAnsiTheme="minorEastAsia" w:eastAsiaTheme="minorEastAsia"/>
          <w:b/>
          <w:spacing w:val="2"/>
          <w:sz w:val="24"/>
          <w:lang w:eastAsia="zh-CN"/>
        </w:rPr>
        <w:t>中</w:t>
      </w:r>
      <w:r>
        <w:rPr>
          <w:rFonts w:asciiTheme="minorEastAsia" w:hAnsiTheme="minorEastAsia" w:eastAsiaTheme="minorEastAsia"/>
          <w:b/>
          <w:sz w:val="24"/>
          <w:lang w:eastAsia="zh-CN"/>
        </w:rPr>
        <w:t>华</w:t>
      </w:r>
      <w:r>
        <w:rPr>
          <w:rFonts w:asciiTheme="minorEastAsia" w:hAnsiTheme="minorEastAsia" w:eastAsiaTheme="minorEastAsia"/>
          <w:b/>
          <w:spacing w:val="2"/>
          <w:sz w:val="24"/>
          <w:lang w:eastAsia="zh-CN"/>
        </w:rPr>
        <w:t>人</w:t>
      </w:r>
      <w:r>
        <w:rPr>
          <w:rFonts w:asciiTheme="minorEastAsia" w:hAnsiTheme="minorEastAsia" w:eastAsiaTheme="minorEastAsia"/>
          <w:b/>
          <w:sz w:val="24"/>
          <w:lang w:eastAsia="zh-CN"/>
        </w:rPr>
        <w:t>民</w:t>
      </w:r>
      <w:r>
        <w:rPr>
          <w:rFonts w:asciiTheme="minorEastAsia" w:hAnsiTheme="minorEastAsia" w:eastAsiaTheme="minorEastAsia"/>
          <w:b/>
          <w:spacing w:val="2"/>
          <w:sz w:val="24"/>
          <w:lang w:eastAsia="zh-CN"/>
        </w:rPr>
        <w:t>共</w:t>
      </w:r>
      <w:r>
        <w:rPr>
          <w:rFonts w:asciiTheme="minorEastAsia" w:hAnsiTheme="minorEastAsia" w:eastAsiaTheme="minorEastAsia"/>
          <w:b/>
          <w:sz w:val="24"/>
          <w:lang w:eastAsia="zh-CN"/>
        </w:rPr>
        <w:t>和</w:t>
      </w:r>
      <w:r>
        <w:rPr>
          <w:rFonts w:asciiTheme="minorEastAsia" w:hAnsiTheme="minorEastAsia" w:eastAsiaTheme="minorEastAsia"/>
          <w:b/>
          <w:spacing w:val="2"/>
          <w:sz w:val="24"/>
          <w:lang w:eastAsia="zh-CN"/>
        </w:rPr>
        <w:t>国</w:t>
      </w:r>
      <w:r>
        <w:rPr>
          <w:rFonts w:asciiTheme="minorEastAsia" w:hAnsiTheme="minorEastAsia" w:eastAsiaTheme="minorEastAsia"/>
          <w:b/>
          <w:sz w:val="24"/>
          <w:lang w:eastAsia="zh-CN"/>
        </w:rPr>
        <w:t>政府</w:t>
      </w:r>
      <w:r>
        <w:rPr>
          <w:rFonts w:asciiTheme="minorEastAsia" w:hAnsiTheme="minorEastAsia" w:eastAsiaTheme="minorEastAsia"/>
          <w:b/>
          <w:spacing w:val="2"/>
          <w:sz w:val="24"/>
          <w:lang w:eastAsia="zh-CN"/>
        </w:rPr>
        <w:t>采</w:t>
      </w:r>
      <w:r>
        <w:rPr>
          <w:rFonts w:asciiTheme="minorEastAsia" w:hAnsiTheme="minorEastAsia" w:eastAsiaTheme="minorEastAsia"/>
          <w:b/>
          <w:sz w:val="24"/>
          <w:lang w:eastAsia="zh-CN"/>
        </w:rPr>
        <w:t>购</w:t>
      </w:r>
      <w:r>
        <w:rPr>
          <w:rFonts w:asciiTheme="minorEastAsia" w:hAnsiTheme="minorEastAsia" w:eastAsiaTheme="minorEastAsia"/>
          <w:b/>
          <w:spacing w:val="-1"/>
          <w:sz w:val="24"/>
          <w:lang w:eastAsia="zh-CN"/>
        </w:rPr>
        <w:t>法</w:t>
      </w:r>
      <w:r>
        <w:rPr>
          <w:rFonts w:asciiTheme="minorEastAsia" w:hAnsiTheme="minorEastAsia" w:eastAsiaTheme="minorEastAsia"/>
          <w:b/>
          <w:sz w:val="24"/>
          <w:lang w:eastAsia="zh-CN"/>
        </w:rPr>
        <w:t>》</w:t>
      </w:r>
      <w:r>
        <w:rPr>
          <w:rFonts w:asciiTheme="minorEastAsia" w:hAnsiTheme="minorEastAsia" w:eastAsiaTheme="minorEastAsia"/>
          <w:sz w:val="24"/>
          <w:lang w:eastAsia="zh-CN"/>
        </w:rPr>
        <w:t>第十条规定情形的除外。</w:t>
      </w:r>
    </w:p>
    <w:p>
      <w:pPr>
        <w:pStyle w:val="29"/>
        <w:numPr>
          <w:ilvl w:val="2"/>
          <w:numId w:val="4"/>
        </w:numPr>
        <w:tabs>
          <w:tab w:val="left" w:pos="2101"/>
          <w:tab w:val="left" w:pos="2102"/>
        </w:tabs>
        <w:spacing w:before="58" w:line="336" w:lineRule="auto"/>
        <w:ind w:right="110" w:hanging="900"/>
        <w:rPr>
          <w:rFonts w:asciiTheme="minorEastAsia" w:hAnsiTheme="minorEastAsia" w:eastAsiaTheme="minorEastAsia"/>
          <w:sz w:val="24"/>
          <w:lang w:eastAsia="zh-CN"/>
        </w:rPr>
      </w:pPr>
      <w:r>
        <w:rPr>
          <w:rFonts w:asciiTheme="minorEastAsia" w:hAnsiTheme="minorEastAsia" w:eastAsiaTheme="minorEastAsia"/>
          <w:sz w:val="24"/>
          <w:lang w:eastAsia="zh-CN"/>
        </w:rPr>
        <w:t>本项目如接受非本国货物</w:t>
      </w:r>
      <w:r>
        <w:rPr>
          <w:rFonts w:asciiTheme="minorEastAsia" w:hAnsiTheme="minorEastAsia" w:eastAsiaTheme="minorEastAsia"/>
          <w:spacing w:val="-36"/>
          <w:sz w:val="24"/>
          <w:lang w:eastAsia="zh-CN"/>
        </w:rPr>
        <w:t>、</w:t>
      </w:r>
      <w:r>
        <w:rPr>
          <w:rFonts w:asciiTheme="minorEastAsia" w:hAnsiTheme="minorEastAsia" w:eastAsiaTheme="minorEastAsia"/>
          <w:sz w:val="24"/>
          <w:lang w:eastAsia="zh-CN"/>
        </w:rPr>
        <w:t>工程</w:t>
      </w:r>
      <w:r>
        <w:rPr>
          <w:rFonts w:asciiTheme="minorEastAsia" w:hAnsiTheme="minorEastAsia" w:eastAsiaTheme="minorEastAsia"/>
          <w:spacing w:val="-36"/>
          <w:sz w:val="24"/>
          <w:lang w:eastAsia="zh-CN"/>
        </w:rPr>
        <w:t>、</w:t>
      </w:r>
      <w:r>
        <w:rPr>
          <w:rFonts w:asciiTheme="minorEastAsia" w:hAnsiTheme="minorEastAsia" w:eastAsiaTheme="minorEastAsia"/>
          <w:sz w:val="24"/>
          <w:lang w:eastAsia="zh-CN"/>
        </w:rPr>
        <w:t>服务参与投标</w:t>
      </w:r>
      <w:r>
        <w:rPr>
          <w:rFonts w:asciiTheme="minorEastAsia" w:hAnsiTheme="minorEastAsia" w:eastAsiaTheme="minorEastAsia"/>
          <w:spacing w:val="-36"/>
          <w:sz w:val="24"/>
          <w:lang w:eastAsia="zh-CN"/>
        </w:rPr>
        <w:t>，</w:t>
      </w:r>
      <w:r>
        <w:rPr>
          <w:rFonts w:asciiTheme="minorEastAsia" w:hAnsiTheme="minorEastAsia" w:eastAsiaTheme="minorEastAsia"/>
          <w:sz w:val="24"/>
          <w:lang w:eastAsia="zh-CN"/>
        </w:rPr>
        <w:t>则具体要求见</w:t>
      </w:r>
      <w:r>
        <w:rPr>
          <w:rFonts w:hint="eastAsia" w:asciiTheme="minorEastAsia" w:hAnsiTheme="minorEastAsia" w:eastAsiaTheme="minorEastAsia"/>
          <w:sz w:val="24"/>
          <w:lang w:eastAsia="zh-CN"/>
        </w:rPr>
        <w:t>供应商须知资料表及</w:t>
      </w:r>
      <w:r>
        <w:rPr>
          <w:rFonts w:asciiTheme="minorEastAsia" w:hAnsiTheme="minorEastAsia" w:eastAsiaTheme="minorEastAsia"/>
          <w:sz w:val="24"/>
          <w:lang w:eastAsia="zh-CN"/>
        </w:rPr>
        <w:t>第四章《采购需求</w:t>
      </w:r>
      <w:r>
        <w:rPr>
          <w:rFonts w:asciiTheme="minorEastAsia" w:hAnsiTheme="minorEastAsia" w:eastAsiaTheme="minorEastAsia"/>
          <w:spacing w:val="-120"/>
          <w:sz w:val="24"/>
          <w:lang w:eastAsia="zh-CN"/>
        </w:rPr>
        <w:t>》</w:t>
      </w:r>
      <w:r>
        <w:rPr>
          <w:rFonts w:asciiTheme="minorEastAsia" w:hAnsiTheme="minorEastAsia" w:eastAsiaTheme="minorEastAsia"/>
          <w:sz w:val="24"/>
          <w:lang w:eastAsia="zh-CN"/>
        </w:rPr>
        <w:t>。</w:t>
      </w:r>
    </w:p>
    <w:p>
      <w:pPr>
        <w:pStyle w:val="29"/>
        <w:numPr>
          <w:ilvl w:val="2"/>
          <w:numId w:val="4"/>
        </w:numPr>
        <w:tabs>
          <w:tab w:val="left" w:pos="2101"/>
          <w:tab w:val="left" w:pos="2102"/>
        </w:tabs>
        <w:spacing w:before="58" w:line="336" w:lineRule="auto"/>
        <w:ind w:right="94" w:hanging="900"/>
        <w:rPr>
          <w:rFonts w:asciiTheme="minorEastAsia" w:hAnsiTheme="minorEastAsia" w:eastAsiaTheme="minorEastAsia"/>
          <w:sz w:val="24"/>
          <w:lang w:eastAsia="zh-CN"/>
        </w:rPr>
      </w:pPr>
      <w:r>
        <w:rPr>
          <w:rFonts w:asciiTheme="minorEastAsia" w:hAnsiTheme="minorEastAsia" w:eastAsiaTheme="minorEastAsia"/>
          <w:sz w:val="24"/>
          <w:lang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pStyle w:val="29"/>
        <w:numPr>
          <w:ilvl w:val="1"/>
          <w:numId w:val="4"/>
        </w:numPr>
        <w:tabs>
          <w:tab w:val="left" w:pos="1201"/>
          <w:tab w:val="left" w:pos="1202"/>
          <w:tab w:val="left" w:pos="2101"/>
          <w:tab w:val="left" w:pos="2102"/>
        </w:tabs>
        <w:spacing w:before="58" w:line="360" w:lineRule="auto"/>
        <w:ind w:right="94"/>
        <w:rPr>
          <w:sz w:val="24"/>
          <w:szCs w:val="24"/>
          <w:lang w:eastAsia="zh-CN"/>
        </w:rPr>
      </w:pPr>
      <w:r>
        <w:rPr>
          <w:rFonts w:asciiTheme="minorEastAsia" w:hAnsiTheme="minorEastAsia" w:eastAsiaTheme="minorEastAsia"/>
          <w:sz w:val="24"/>
          <w:lang w:eastAsia="zh-CN"/>
        </w:rPr>
        <w:t>中小企业、监狱企业及残疾人福利性单位</w:t>
      </w:r>
    </w:p>
    <w:p>
      <w:pPr>
        <w:pStyle w:val="29"/>
        <w:numPr>
          <w:ilvl w:val="2"/>
          <w:numId w:val="4"/>
        </w:numPr>
        <w:tabs>
          <w:tab w:val="left" w:pos="1201"/>
          <w:tab w:val="left" w:pos="1202"/>
          <w:tab w:val="left" w:pos="2101"/>
          <w:tab w:val="left" w:pos="2102"/>
        </w:tabs>
        <w:spacing w:before="58" w:line="360" w:lineRule="auto"/>
        <w:ind w:left="500" w:right="94" w:firstLine="0"/>
        <w:rPr>
          <w:sz w:val="24"/>
          <w:szCs w:val="24"/>
        </w:rPr>
      </w:pPr>
      <w:r>
        <w:rPr>
          <w:rFonts w:asciiTheme="minorEastAsia" w:hAnsiTheme="minorEastAsia" w:eastAsiaTheme="minorEastAsia"/>
          <w:sz w:val="24"/>
          <w:lang w:eastAsia="zh-CN"/>
        </w:rPr>
        <w:t>中小企业定义：</w:t>
      </w:r>
    </w:p>
    <w:p>
      <w:pPr>
        <w:pStyle w:val="29"/>
        <w:numPr>
          <w:ilvl w:val="3"/>
          <w:numId w:val="4"/>
        </w:numPr>
        <w:tabs>
          <w:tab w:val="left" w:pos="2101"/>
          <w:tab w:val="left" w:pos="2102"/>
        </w:tabs>
        <w:spacing w:before="58" w:line="360" w:lineRule="auto"/>
        <w:ind w:left="1985" w:right="96" w:hanging="851"/>
        <w:rPr>
          <w:lang w:eastAsia="zh-CN"/>
        </w:rPr>
      </w:pPr>
      <w:r>
        <w:rPr>
          <w:rFonts w:asciiTheme="minorEastAsia" w:hAnsiTheme="minorEastAsia" w:eastAsiaTheme="minorEastAsia"/>
          <w:sz w:val="24"/>
          <w:lang w:eastAsia="zh-CN"/>
        </w:rPr>
        <w:t>中小企业是指在中华人民共和国境内依法设立，依据国务院批</w:t>
      </w:r>
      <w:r>
        <w:rPr>
          <w:sz w:val="24"/>
          <w:szCs w:val="24"/>
          <w:lang w:eastAsia="zh-CN"/>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号）、《关于印发中小企业划型标准规定的通知》（工信部联企业〔2011〕300号）。</w:t>
      </w:r>
    </w:p>
    <w:p>
      <w:pPr>
        <w:pStyle w:val="29"/>
        <w:numPr>
          <w:ilvl w:val="3"/>
          <w:numId w:val="4"/>
        </w:numPr>
        <w:tabs>
          <w:tab w:val="left" w:pos="2127"/>
        </w:tabs>
        <w:spacing w:before="58" w:line="360" w:lineRule="auto"/>
        <w:ind w:left="2127" w:right="96"/>
        <w:rPr>
          <w:sz w:val="24"/>
          <w:lang w:eastAsia="zh-CN"/>
        </w:rPr>
      </w:pPr>
      <w:r>
        <w:rPr>
          <w:sz w:val="24"/>
          <w:lang w:eastAsia="zh-CN"/>
        </w:rPr>
        <w:t>供应商提供的货物、工程或者服务符合下列情形的，享受中小企业扶持政策：</w:t>
      </w:r>
    </w:p>
    <w:p>
      <w:pPr>
        <w:pStyle w:val="29"/>
        <w:tabs>
          <w:tab w:val="left" w:pos="2101"/>
          <w:tab w:val="left" w:pos="2102"/>
        </w:tabs>
        <w:spacing w:before="58" w:line="360" w:lineRule="auto"/>
        <w:ind w:left="1985" w:right="96" w:firstLine="0"/>
        <w:rPr>
          <w:sz w:val="24"/>
          <w:szCs w:val="24"/>
          <w:lang w:eastAsia="zh-CN"/>
        </w:rPr>
      </w:pPr>
      <w:r>
        <w:rPr>
          <w:sz w:val="24"/>
          <w:szCs w:val="24"/>
          <w:lang w:eastAsia="zh-CN"/>
        </w:rPr>
        <w:t>（1）在货物采购项目中，货物由中小企业制造，即货物由中小企业生产且使用该中小企业商号或者注册商标；</w:t>
      </w:r>
    </w:p>
    <w:p>
      <w:pPr>
        <w:pStyle w:val="29"/>
        <w:tabs>
          <w:tab w:val="left" w:pos="2101"/>
          <w:tab w:val="left" w:pos="2102"/>
        </w:tabs>
        <w:spacing w:before="58" w:line="360" w:lineRule="auto"/>
        <w:ind w:left="1985" w:right="96" w:firstLine="0"/>
        <w:rPr>
          <w:sz w:val="24"/>
          <w:szCs w:val="24"/>
          <w:lang w:eastAsia="zh-CN"/>
        </w:rPr>
      </w:pPr>
      <w:r>
        <w:rPr>
          <w:sz w:val="24"/>
          <w:szCs w:val="24"/>
          <w:lang w:eastAsia="zh-CN"/>
        </w:rPr>
        <w:t>（2）在工程采购项目中，工程由中小企业承建，即工程施工单位为中小企业；</w:t>
      </w:r>
    </w:p>
    <w:p>
      <w:pPr>
        <w:pStyle w:val="29"/>
        <w:tabs>
          <w:tab w:val="left" w:pos="2101"/>
          <w:tab w:val="left" w:pos="2102"/>
        </w:tabs>
        <w:spacing w:before="58" w:line="360" w:lineRule="auto"/>
        <w:ind w:left="1985" w:right="96" w:firstLine="0"/>
        <w:rPr>
          <w:sz w:val="24"/>
          <w:szCs w:val="24"/>
          <w:lang w:eastAsia="zh-CN"/>
        </w:rPr>
      </w:pPr>
      <w:r>
        <w:rPr>
          <w:sz w:val="24"/>
          <w:szCs w:val="24"/>
          <w:lang w:eastAsia="zh-CN"/>
        </w:rPr>
        <w:t>（3）在服务采购项目中，服务由中小企业承接，即提供服务的人员为中小企业依照《中华人民共和国劳动合同法》订立劳动合同的从业人员。</w:t>
      </w:r>
    </w:p>
    <w:p>
      <w:pPr>
        <w:pStyle w:val="29"/>
        <w:numPr>
          <w:ilvl w:val="3"/>
          <w:numId w:val="4"/>
        </w:numPr>
        <w:tabs>
          <w:tab w:val="left" w:pos="2127"/>
        </w:tabs>
        <w:spacing w:before="58" w:line="360" w:lineRule="auto"/>
        <w:ind w:left="2127" w:right="96"/>
        <w:rPr>
          <w:sz w:val="24"/>
          <w:lang w:eastAsia="zh-CN"/>
        </w:rPr>
      </w:pPr>
      <w:r>
        <w:rPr>
          <w:sz w:val="24"/>
          <w:lang w:eastAsia="zh-CN"/>
        </w:rPr>
        <w:t>在货物采购项目中，供应商提供的货物既有中小企业制造货物，也有大型企业制造货物的，不享受中小企业扶持政策。</w:t>
      </w:r>
    </w:p>
    <w:p>
      <w:pPr>
        <w:pStyle w:val="29"/>
        <w:numPr>
          <w:ilvl w:val="3"/>
          <w:numId w:val="4"/>
        </w:numPr>
        <w:tabs>
          <w:tab w:val="left" w:pos="2127"/>
        </w:tabs>
        <w:spacing w:before="58" w:line="360" w:lineRule="auto"/>
        <w:ind w:left="1985" w:right="96" w:hanging="567"/>
        <w:rPr>
          <w:sz w:val="24"/>
          <w:lang w:eastAsia="zh-CN"/>
        </w:rPr>
      </w:pPr>
      <w:r>
        <w:rPr>
          <w:sz w:val="24"/>
          <w:lang w:eastAsia="zh-CN"/>
        </w:rPr>
        <w:t>以联合体形式参加政府采购活动，联合体各方均为中小企业的，联合体视同中小企业。其中，联合体各方均为小微企业的，联合体视同小微企业。</w:t>
      </w:r>
    </w:p>
    <w:p>
      <w:pPr>
        <w:pStyle w:val="29"/>
        <w:numPr>
          <w:ilvl w:val="2"/>
          <w:numId w:val="4"/>
        </w:numPr>
        <w:tabs>
          <w:tab w:val="left" w:pos="426"/>
          <w:tab w:val="left" w:pos="1201"/>
          <w:tab w:val="left" w:pos="1202"/>
        </w:tabs>
        <w:spacing w:before="26" w:line="358" w:lineRule="auto"/>
        <w:ind w:left="425" w:right="94" w:firstLine="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在政府采购活动中，监狱企业视同小型、微型企业，享受预留份额、评审中价格扣除等政府采购促进中小企业发展的政府采购政策</w:t>
      </w:r>
      <w:r>
        <w:rPr>
          <w:rFonts w:asciiTheme="minorEastAsia" w:hAnsiTheme="minorEastAsia" w:eastAsiaTheme="minorEastAsia"/>
          <w:spacing w:val="-108"/>
          <w:sz w:val="24"/>
          <w:szCs w:val="24"/>
          <w:lang w:eastAsia="zh-CN"/>
        </w:rPr>
        <w:t>。</w:t>
      </w:r>
      <w:r>
        <w:rPr>
          <w:rFonts w:asciiTheme="minorEastAsia" w:hAnsiTheme="minorEastAsia" w:eastAsiaTheme="minorEastAsia"/>
          <w:sz w:val="24"/>
          <w:szCs w:val="24"/>
          <w:lang w:eastAsia="zh-CN"/>
        </w:rPr>
        <w:t>监狱企业定义</w:t>
      </w:r>
      <w:r>
        <w:rPr>
          <w:rFonts w:asciiTheme="minorEastAsia" w:hAnsiTheme="minorEastAsia" w:eastAsiaTheme="minorEastAsia"/>
          <w:spacing w:val="-56"/>
          <w:sz w:val="24"/>
          <w:szCs w:val="24"/>
          <w:lang w:eastAsia="zh-CN"/>
        </w:rPr>
        <w:t>：</w:t>
      </w:r>
      <w:r>
        <w:rPr>
          <w:rFonts w:asciiTheme="minorEastAsia" w:hAnsiTheme="minorEastAsia" w:eastAsiaTheme="minorEastAsia"/>
          <w:sz w:val="24"/>
          <w:szCs w:val="24"/>
          <w:lang w:eastAsia="zh-CN"/>
        </w:rPr>
        <w:t>是指由司法部认定的为罪犯</w:t>
      </w:r>
      <w:r>
        <w:rPr>
          <w:rFonts w:asciiTheme="minorEastAsia" w:hAnsiTheme="minorEastAsia" w:eastAsiaTheme="minorEastAsia"/>
          <w:spacing w:val="-53"/>
          <w:sz w:val="24"/>
          <w:szCs w:val="24"/>
          <w:lang w:eastAsia="zh-CN"/>
        </w:rPr>
        <w:t>、</w:t>
      </w:r>
      <w:r>
        <w:rPr>
          <w:rFonts w:asciiTheme="minorEastAsia" w:hAnsiTheme="minorEastAsia" w:eastAsiaTheme="minorEastAsia"/>
          <w:sz w:val="24"/>
          <w:szCs w:val="24"/>
          <w:lang w:eastAsia="zh-CN"/>
        </w:rPr>
        <w:t>戒毒人员提供生产项目和劳动对象</w:t>
      </w:r>
      <w:r>
        <w:rPr>
          <w:rFonts w:asciiTheme="minorEastAsia" w:hAnsiTheme="minorEastAsia" w:eastAsiaTheme="minorEastAsia"/>
          <w:spacing w:val="-36"/>
          <w:sz w:val="24"/>
          <w:szCs w:val="24"/>
          <w:lang w:eastAsia="zh-CN"/>
        </w:rPr>
        <w:t>，</w:t>
      </w:r>
      <w:r>
        <w:rPr>
          <w:rFonts w:asciiTheme="minorEastAsia" w:hAnsiTheme="minorEastAsia" w:eastAsiaTheme="minorEastAsia"/>
          <w:sz w:val="24"/>
          <w:szCs w:val="24"/>
          <w:lang w:eastAsia="zh-CN"/>
        </w:rPr>
        <w:t>且全部产权属于司法部监狱管理局</w:t>
      </w:r>
      <w:r>
        <w:rPr>
          <w:rFonts w:asciiTheme="minorEastAsia" w:hAnsiTheme="minorEastAsia" w:eastAsiaTheme="minorEastAsia"/>
          <w:spacing w:val="-36"/>
          <w:sz w:val="24"/>
          <w:szCs w:val="24"/>
          <w:lang w:eastAsia="zh-CN"/>
        </w:rPr>
        <w:t>、</w:t>
      </w:r>
      <w:r>
        <w:rPr>
          <w:rFonts w:asciiTheme="minorEastAsia" w:hAnsiTheme="minorEastAsia" w:eastAsiaTheme="minorEastAsia"/>
          <w:sz w:val="24"/>
          <w:szCs w:val="24"/>
          <w:lang w:eastAsia="zh-CN"/>
        </w:rPr>
        <w:t>戒毒管理局</w:t>
      </w:r>
      <w:r>
        <w:rPr>
          <w:rFonts w:asciiTheme="minorEastAsia" w:hAnsiTheme="minorEastAsia" w:eastAsiaTheme="minorEastAsia"/>
          <w:spacing w:val="-36"/>
          <w:sz w:val="24"/>
          <w:szCs w:val="24"/>
          <w:lang w:eastAsia="zh-CN"/>
        </w:rPr>
        <w:t>、</w:t>
      </w:r>
      <w:r>
        <w:rPr>
          <w:rFonts w:asciiTheme="minorEastAsia" w:hAnsiTheme="minorEastAsia" w:eastAsiaTheme="minorEastAsia"/>
          <w:sz w:val="24"/>
          <w:szCs w:val="24"/>
          <w:lang w:eastAsia="zh-CN"/>
        </w:rPr>
        <w:t>直属煤矿管理局</w:t>
      </w:r>
      <w:r>
        <w:rPr>
          <w:rFonts w:asciiTheme="minorEastAsia" w:hAnsiTheme="minorEastAsia" w:eastAsiaTheme="minorEastAsia"/>
          <w:spacing w:val="-19"/>
          <w:sz w:val="24"/>
          <w:szCs w:val="24"/>
          <w:lang w:eastAsia="zh-CN"/>
        </w:rPr>
        <w:t>，</w:t>
      </w:r>
      <w:r>
        <w:rPr>
          <w:rFonts w:asciiTheme="minorEastAsia" w:hAnsiTheme="minorEastAsia" w:eastAsiaTheme="minorEastAsia"/>
          <w:sz w:val="24"/>
          <w:szCs w:val="24"/>
          <w:lang w:eastAsia="zh-CN"/>
        </w:rPr>
        <w:t>各省</w:t>
      </w:r>
      <w:r>
        <w:rPr>
          <w:rFonts w:asciiTheme="minorEastAsia" w:hAnsiTheme="minorEastAsia" w:eastAsiaTheme="minorEastAsia"/>
          <w:spacing w:val="-17"/>
          <w:sz w:val="24"/>
          <w:szCs w:val="24"/>
          <w:lang w:eastAsia="zh-CN"/>
        </w:rPr>
        <w:t>、</w:t>
      </w:r>
      <w:r>
        <w:rPr>
          <w:rFonts w:asciiTheme="minorEastAsia" w:hAnsiTheme="minorEastAsia" w:eastAsiaTheme="minorEastAsia"/>
          <w:sz w:val="24"/>
          <w:szCs w:val="24"/>
          <w:lang w:eastAsia="zh-CN"/>
        </w:rPr>
        <w:t>自治区</w:t>
      </w:r>
      <w:r>
        <w:rPr>
          <w:rFonts w:asciiTheme="minorEastAsia" w:hAnsiTheme="minorEastAsia" w:eastAsiaTheme="minorEastAsia"/>
          <w:spacing w:val="-20"/>
          <w:sz w:val="24"/>
          <w:szCs w:val="24"/>
          <w:lang w:eastAsia="zh-CN"/>
        </w:rPr>
        <w:t>、</w:t>
      </w:r>
      <w:r>
        <w:rPr>
          <w:rFonts w:asciiTheme="minorEastAsia" w:hAnsiTheme="minorEastAsia" w:eastAsiaTheme="minorEastAsia"/>
          <w:sz w:val="24"/>
          <w:szCs w:val="24"/>
          <w:lang w:eastAsia="zh-CN"/>
        </w:rPr>
        <w:t>直辖市监狱管理局</w:t>
      </w:r>
      <w:r>
        <w:rPr>
          <w:rFonts w:asciiTheme="minorEastAsia" w:hAnsiTheme="minorEastAsia" w:eastAsiaTheme="minorEastAsia"/>
          <w:spacing w:val="-17"/>
          <w:sz w:val="24"/>
          <w:szCs w:val="24"/>
          <w:lang w:eastAsia="zh-CN"/>
        </w:rPr>
        <w:t>、</w:t>
      </w:r>
      <w:r>
        <w:rPr>
          <w:rFonts w:asciiTheme="minorEastAsia" w:hAnsiTheme="minorEastAsia" w:eastAsiaTheme="minorEastAsia"/>
          <w:sz w:val="24"/>
          <w:szCs w:val="24"/>
          <w:lang w:eastAsia="zh-CN"/>
        </w:rPr>
        <w:t>戒毒管理局</w:t>
      </w:r>
      <w:r>
        <w:rPr>
          <w:rFonts w:asciiTheme="minorEastAsia" w:hAnsiTheme="minorEastAsia" w:eastAsiaTheme="minorEastAsia"/>
          <w:spacing w:val="-19"/>
          <w:sz w:val="24"/>
          <w:szCs w:val="24"/>
          <w:lang w:eastAsia="zh-CN"/>
        </w:rPr>
        <w:t>，</w:t>
      </w:r>
      <w:r>
        <w:rPr>
          <w:rFonts w:asciiTheme="minorEastAsia" w:hAnsiTheme="minorEastAsia" w:eastAsiaTheme="minorEastAsia"/>
          <w:sz w:val="24"/>
          <w:szCs w:val="24"/>
          <w:lang w:eastAsia="zh-CN"/>
        </w:rPr>
        <w:t>各</w:t>
      </w:r>
      <w:r>
        <w:rPr>
          <w:rFonts w:asciiTheme="minorEastAsia" w:hAnsiTheme="minorEastAsia" w:eastAsiaTheme="minorEastAsia"/>
          <w:spacing w:val="-17"/>
          <w:sz w:val="24"/>
          <w:szCs w:val="24"/>
          <w:lang w:eastAsia="zh-CN"/>
        </w:rPr>
        <w:t>地</w:t>
      </w:r>
      <w:r>
        <w:rPr>
          <w:rFonts w:asciiTheme="minorEastAsia" w:hAnsiTheme="minorEastAsia" w:eastAsiaTheme="minorEastAsia"/>
          <w:sz w:val="24"/>
          <w:szCs w:val="24"/>
          <w:lang w:eastAsia="zh-CN"/>
        </w:rPr>
        <w:t>（设区的市</w:t>
      </w:r>
      <w:r>
        <w:rPr>
          <w:rFonts w:asciiTheme="minorEastAsia" w:hAnsiTheme="minorEastAsia" w:eastAsiaTheme="minorEastAsia"/>
          <w:spacing w:val="-29"/>
          <w:sz w:val="24"/>
          <w:szCs w:val="24"/>
          <w:lang w:eastAsia="zh-CN"/>
        </w:rPr>
        <w:t>）</w:t>
      </w:r>
      <w:r>
        <w:rPr>
          <w:rFonts w:asciiTheme="minorEastAsia" w:hAnsiTheme="minorEastAsia" w:eastAsiaTheme="minorEastAsia"/>
          <w:sz w:val="24"/>
          <w:szCs w:val="24"/>
          <w:lang w:eastAsia="zh-CN"/>
        </w:rPr>
        <w:t>监狱</w:t>
      </w:r>
      <w:r>
        <w:rPr>
          <w:rFonts w:asciiTheme="minorEastAsia" w:hAnsiTheme="minorEastAsia" w:eastAsiaTheme="minorEastAsia"/>
          <w:spacing w:val="-27"/>
          <w:sz w:val="24"/>
          <w:szCs w:val="24"/>
          <w:lang w:eastAsia="zh-CN"/>
        </w:rPr>
        <w:t>、</w:t>
      </w:r>
      <w:r>
        <w:rPr>
          <w:rFonts w:asciiTheme="minorEastAsia" w:hAnsiTheme="minorEastAsia" w:eastAsiaTheme="minorEastAsia"/>
          <w:sz w:val="24"/>
          <w:szCs w:val="24"/>
          <w:lang w:eastAsia="zh-CN"/>
        </w:rPr>
        <w:t>强制隔离戒毒所</w:t>
      </w:r>
      <w:r>
        <w:rPr>
          <w:rFonts w:asciiTheme="minorEastAsia" w:hAnsiTheme="minorEastAsia" w:eastAsiaTheme="minorEastAsia"/>
          <w:spacing w:val="-27"/>
          <w:sz w:val="24"/>
          <w:szCs w:val="24"/>
          <w:lang w:eastAsia="zh-CN"/>
        </w:rPr>
        <w:t>、</w:t>
      </w:r>
      <w:r>
        <w:rPr>
          <w:rFonts w:asciiTheme="minorEastAsia" w:hAnsiTheme="minorEastAsia" w:eastAsiaTheme="minorEastAsia"/>
          <w:sz w:val="24"/>
          <w:szCs w:val="24"/>
          <w:lang w:eastAsia="zh-CN"/>
        </w:rPr>
        <w:t>戒毒康复所</w:t>
      </w:r>
      <w:r>
        <w:rPr>
          <w:rFonts w:asciiTheme="minorEastAsia" w:hAnsiTheme="minorEastAsia" w:eastAsiaTheme="minorEastAsia"/>
          <w:spacing w:val="-27"/>
          <w:sz w:val="24"/>
          <w:szCs w:val="24"/>
          <w:lang w:eastAsia="zh-CN"/>
        </w:rPr>
        <w:t>，</w:t>
      </w:r>
      <w:r>
        <w:rPr>
          <w:rFonts w:asciiTheme="minorEastAsia" w:hAnsiTheme="minorEastAsia" w:eastAsiaTheme="minorEastAsia"/>
          <w:sz w:val="24"/>
          <w:szCs w:val="24"/>
          <w:lang w:eastAsia="zh-CN"/>
        </w:rPr>
        <w:t>以及新疆生产建设兵团监狱管理局、戒毒管理局的企业。</w:t>
      </w:r>
    </w:p>
    <w:p>
      <w:pPr>
        <w:pStyle w:val="29"/>
        <w:numPr>
          <w:ilvl w:val="2"/>
          <w:numId w:val="4"/>
        </w:numPr>
        <w:tabs>
          <w:tab w:val="left" w:pos="426"/>
          <w:tab w:val="left" w:pos="1201"/>
          <w:tab w:val="left" w:pos="1202"/>
        </w:tabs>
        <w:spacing w:before="26" w:line="358" w:lineRule="auto"/>
        <w:ind w:left="425" w:right="94" w:firstLine="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29"/>
        <w:numPr>
          <w:ilvl w:val="3"/>
          <w:numId w:val="4"/>
        </w:numPr>
        <w:tabs>
          <w:tab w:val="left" w:pos="2127"/>
        </w:tabs>
        <w:spacing w:before="58" w:line="360" w:lineRule="auto"/>
        <w:ind w:left="1985" w:right="-45" w:hanging="567"/>
        <w:rPr>
          <w:sz w:val="24"/>
          <w:lang w:eastAsia="zh-CN"/>
        </w:rPr>
      </w:pPr>
      <w:r>
        <w:rPr>
          <w:sz w:val="24"/>
          <w:lang w:eastAsia="zh-CN"/>
        </w:rPr>
        <w:t>安置的残疾人占本单位在职职工人数的比例不低于 25%（含 25%），并且安置的残疾人人数不少于 10  人（含 10人）；</w:t>
      </w:r>
    </w:p>
    <w:p>
      <w:pPr>
        <w:pStyle w:val="29"/>
        <w:numPr>
          <w:ilvl w:val="3"/>
          <w:numId w:val="4"/>
        </w:numPr>
        <w:tabs>
          <w:tab w:val="left" w:pos="2127"/>
        </w:tabs>
        <w:spacing w:before="58" w:line="360" w:lineRule="auto"/>
        <w:ind w:left="1985" w:right="-45" w:hanging="567"/>
        <w:rPr>
          <w:sz w:val="24"/>
          <w:lang w:eastAsia="zh-CN"/>
        </w:rPr>
      </w:pPr>
      <w:r>
        <w:rPr>
          <w:sz w:val="24"/>
          <w:lang w:eastAsia="zh-CN"/>
        </w:rPr>
        <w:t>依法与安置的每位残疾人签订了一年以上（含一年）的劳动合同或服务协议；</w:t>
      </w:r>
    </w:p>
    <w:p>
      <w:pPr>
        <w:pStyle w:val="29"/>
        <w:numPr>
          <w:ilvl w:val="3"/>
          <w:numId w:val="4"/>
        </w:numPr>
        <w:tabs>
          <w:tab w:val="left" w:pos="2127"/>
        </w:tabs>
        <w:spacing w:before="58" w:line="360" w:lineRule="auto"/>
        <w:ind w:left="1985" w:right="-45" w:hanging="567"/>
        <w:rPr>
          <w:sz w:val="24"/>
          <w:lang w:eastAsia="zh-CN"/>
        </w:rPr>
      </w:pPr>
      <w:r>
        <w:rPr>
          <w:sz w:val="24"/>
          <w:lang w:eastAsia="zh-CN"/>
        </w:rPr>
        <w:t>为安置的每位残疾人按月足额缴纳了基本养老保险、基本医疗保险、失业保险、工伤保险和生育保险等社会保险费；</w:t>
      </w:r>
    </w:p>
    <w:p>
      <w:pPr>
        <w:pStyle w:val="29"/>
        <w:numPr>
          <w:ilvl w:val="3"/>
          <w:numId w:val="4"/>
        </w:numPr>
        <w:tabs>
          <w:tab w:val="left" w:pos="2127"/>
        </w:tabs>
        <w:spacing w:before="58" w:line="360" w:lineRule="auto"/>
        <w:ind w:left="1985" w:right="-45" w:hanging="567"/>
        <w:rPr>
          <w:sz w:val="24"/>
          <w:lang w:eastAsia="zh-CN"/>
        </w:rPr>
      </w:pPr>
      <w:r>
        <w:rPr>
          <w:sz w:val="24"/>
          <w:lang w:eastAsia="zh-CN"/>
        </w:rPr>
        <w:t>通过银行等金融机构向安置的每位残疾人，按月支付了不低于单位所在区县适用的经省级人民政府批准的月最低工资标准的工资；</w:t>
      </w:r>
    </w:p>
    <w:p>
      <w:pPr>
        <w:pStyle w:val="29"/>
        <w:numPr>
          <w:ilvl w:val="3"/>
          <w:numId w:val="4"/>
        </w:numPr>
        <w:tabs>
          <w:tab w:val="left" w:pos="2127"/>
        </w:tabs>
        <w:spacing w:before="4" w:line="360" w:lineRule="auto"/>
        <w:ind w:left="1985" w:right="-45" w:hanging="567"/>
        <w:rPr>
          <w:rFonts w:asciiTheme="minorEastAsia" w:hAnsiTheme="minorEastAsia" w:eastAsiaTheme="minorEastAsia"/>
          <w:sz w:val="18"/>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pPr>
        <w:pStyle w:val="29"/>
        <w:numPr>
          <w:ilvl w:val="3"/>
          <w:numId w:val="4"/>
        </w:numPr>
        <w:tabs>
          <w:tab w:val="left" w:pos="2127"/>
        </w:tabs>
        <w:spacing w:before="58" w:line="360" w:lineRule="auto"/>
        <w:ind w:left="1985" w:right="-45" w:hanging="567"/>
        <w:rPr>
          <w:sz w:val="24"/>
          <w:lang w:eastAsia="zh-CN"/>
        </w:rPr>
      </w:pPr>
      <w:r>
        <w:rPr>
          <w:sz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29"/>
        <w:numPr>
          <w:ilvl w:val="2"/>
          <w:numId w:val="4"/>
        </w:numPr>
        <w:tabs>
          <w:tab w:val="left" w:pos="2101"/>
          <w:tab w:val="left" w:pos="2102"/>
        </w:tabs>
        <w:spacing w:line="485" w:lineRule="exact"/>
        <w:ind w:hanging="900"/>
        <w:rPr>
          <w:rFonts w:asciiTheme="minorEastAsia" w:hAnsiTheme="minorEastAsia" w:eastAsiaTheme="minorEastAsia"/>
          <w:sz w:val="24"/>
          <w:lang w:eastAsia="zh-CN"/>
        </w:rPr>
      </w:pPr>
      <w:r>
        <w:rPr>
          <w:rFonts w:asciiTheme="minorEastAsia" w:hAnsiTheme="minorEastAsia" w:eastAsiaTheme="minorEastAsia"/>
          <w:sz w:val="24"/>
          <w:lang w:eastAsia="zh-CN"/>
        </w:rPr>
        <w:t>本项目是否专门面向中小企业预留采购份额见第一章《采购邀请</w:t>
      </w:r>
      <w:r>
        <w:rPr>
          <w:rFonts w:asciiTheme="minorEastAsia" w:hAnsiTheme="minorEastAsia" w:eastAsiaTheme="minorEastAsia"/>
          <w:spacing w:val="-120"/>
          <w:sz w:val="24"/>
          <w:lang w:eastAsia="zh-CN"/>
        </w:rPr>
        <w:t>》</w:t>
      </w:r>
      <w:r>
        <w:rPr>
          <w:rFonts w:asciiTheme="minorEastAsia" w:hAnsiTheme="minorEastAsia" w:eastAsiaTheme="minorEastAsia"/>
          <w:sz w:val="24"/>
          <w:lang w:eastAsia="zh-CN"/>
        </w:rPr>
        <w:t>。</w:t>
      </w:r>
    </w:p>
    <w:p>
      <w:pPr>
        <w:pStyle w:val="29"/>
        <w:numPr>
          <w:ilvl w:val="2"/>
          <w:numId w:val="4"/>
        </w:numPr>
        <w:tabs>
          <w:tab w:val="left" w:pos="2101"/>
          <w:tab w:val="left" w:pos="2102"/>
        </w:tabs>
        <w:spacing w:line="485" w:lineRule="exact"/>
        <w:ind w:hanging="900"/>
        <w:rPr>
          <w:rFonts w:asciiTheme="minorEastAsia" w:hAnsiTheme="minorEastAsia" w:eastAsiaTheme="minorEastAsia"/>
          <w:sz w:val="24"/>
          <w:lang w:eastAsia="zh-CN"/>
        </w:rPr>
      </w:pPr>
      <w:r>
        <w:rPr>
          <w:rFonts w:asciiTheme="minorEastAsia" w:hAnsiTheme="minorEastAsia" w:eastAsiaTheme="minorEastAsia"/>
          <w:sz w:val="24"/>
          <w:lang w:eastAsia="zh-CN"/>
        </w:rPr>
        <w:t>采购标的对应的中小企业划分标准所属行业见《供应商须知资料表》。</w:t>
      </w:r>
    </w:p>
    <w:p>
      <w:pPr>
        <w:pStyle w:val="29"/>
        <w:numPr>
          <w:ilvl w:val="2"/>
          <w:numId w:val="4"/>
        </w:numPr>
        <w:tabs>
          <w:tab w:val="left" w:pos="2101"/>
          <w:tab w:val="left" w:pos="2102"/>
        </w:tabs>
        <w:spacing w:before="43"/>
        <w:ind w:hanging="900"/>
        <w:rPr>
          <w:rFonts w:asciiTheme="minorEastAsia" w:hAnsiTheme="minorEastAsia" w:eastAsiaTheme="minorEastAsia"/>
          <w:sz w:val="24"/>
          <w:lang w:eastAsia="zh-CN"/>
        </w:rPr>
      </w:pPr>
      <w:r>
        <w:rPr>
          <w:rFonts w:asciiTheme="minorEastAsia" w:hAnsiTheme="minorEastAsia" w:eastAsiaTheme="minorEastAsia"/>
          <w:sz w:val="24"/>
          <w:lang w:eastAsia="zh-CN"/>
        </w:rPr>
        <w:t>小微企业价格评审优惠的政策调整：见第三章《评审方法和评审标准》。</w:t>
      </w:r>
    </w:p>
    <w:p>
      <w:pPr>
        <w:pStyle w:val="29"/>
        <w:numPr>
          <w:ilvl w:val="1"/>
          <w:numId w:val="4"/>
        </w:numPr>
        <w:tabs>
          <w:tab w:val="left" w:pos="1201"/>
          <w:tab w:val="left" w:pos="1202"/>
          <w:tab w:val="left" w:pos="2101"/>
          <w:tab w:val="left" w:pos="2102"/>
        </w:tabs>
        <w:spacing w:before="58" w:line="360" w:lineRule="auto"/>
        <w:ind w:right="94"/>
        <w:rPr>
          <w:rFonts w:asciiTheme="minorEastAsia" w:hAnsiTheme="minorEastAsia" w:eastAsiaTheme="minorEastAsia"/>
          <w:sz w:val="24"/>
          <w:lang w:eastAsia="zh-CN"/>
        </w:rPr>
      </w:pPr>
      <w:r>
        <w:rPr>
          <w:rFonts w:asciiTheme="minorEastAsia" w:hAnsiTheme="minorEastAsia" w:eastAsiaTheme="minorEastAsia"/>
          <w:sz w:val="24"/>
          <w:lang w:eastAsia="zh-CN"/>
        </w:rPr>
        <w:t>政府采购节能产品、环境标志产品</w:t>
      </w:r>
    </w:p>
    <w:p>
      <w:pPr>
        <w:pStyle w:val="29"/>
        <w:numPr>
          <w:ilvl w:val="2"/>
          <w:numId w:val="4"/>
        </w:numPr>
        <w:tabs>
          <w:tab w:val="left" w:pos="2102"/>
        </w:tabs>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政府采购节能产品、环境标志产品实施品目清单管理。财政部、发展改革委</w:t>
      </w:r>
      <w:r>
        <w:rPr>
          <w:rFonts w:asciiTheme="minorEastAsia" w:hAnsiTheme="minorEastAsia" w:eastAsiaTheme="minorEastAsia"/>
          <w:spacing w:val="-56"/>
          <w:sz w:val="24"/>
          <w:lang w:eastAsia="zh-CN"/>
        </w:rPr>
        <w:t>、</w:t>
      </w:r>
      <w:r>
        <w:rPr>
          <w:rFonts w:asciiTheme="minorEastAsia" w:hAnsiTheme="minorEastAsia" w:eastAsiaTheme="minorEastAsia"/>
          <w:sz w:val="24"/>
          <w:lang w:eastAsia="zh-CN"/>
        </w:rPr>
        <w:t>生态环境部等部门根据产品节能环保性能</w:t>
      </w:r>
      <w:r>
        <w:rPr>
          <w:rFonts w:asciiTheme="minorEastAsia" w:hAnsiTheme="minorEastAsia" w:eastAsiaTheme="minorEastAsia"/>
          <w:spacing w:val="-53"/>
          <w:sz w:val="24"/>
          <w:lang w:eastAsia="zh-CN"/>
        </w:rPr>
        <w:t>、</w:t>
      </w:r>
      <w:r>
        <w:rPr>
          <w:rFonts w:asciiTheme="minorEastAsia" w:hAnsiTheme="minorEastAsia" w:eastAsiaTheme="minorEastAsia"/>
          <w:sz w:val="24"/>
          <w:lang w:eastAsia="zh-CN"/>
        </w:rPr>
        <w:t>技术水平和市场成熟程度等因素</w:t>
      </w:r>
      <w:r>
        <w:rPr>
          <w:rFonts w:asciiTheme="minorEastAsia" w:hAnsiTheme="minorEastAsia" w:eastAsiaTheme="minorEastAsia"/>
          <w:spacing w:val="-108"/>
          <w:sz w:val="24"/>
          <w:lang w:eastAsia="zh-CN"/>
        </w:rPr>
        <w:t>，</w:t>
      </w:r>
      <w:r>
        <w:rPr>
          <w:rFonts w:asciiTheme="minorEastAsia" w:hAnsiTheme="minorEastAsia" w:eastAsiaTheme="minorEastAsia"/>
          <w:sz w:val="24"/>
          <w:lang w:eastAsia="zh-CN"/>
        </w:rPr>
        <w:t>确定实施政府优先采购和强制采购的产品类别及所依据的相关标准规范</w:t>
      </w:r>
      <w:r>
        <w:rPr>
          <w:rFonts w:asciiTheme="minorEastAsia" w:hAnsiTheme="minorEastAsia" w:eastAsiaTheme="minorEastAsia"/>
          <w:spacing w:val="-56"/>
          <w:sz w:val="24"/>
          <w:lang w:eastAsia="zh-CN"/>
        </w:rPr>
        <w:t>，</w:t>
      </w:r>
      <w:r>
        <w:rPr>
          <w:rFonts w:asciiTheme="minorEastAsia" w:hAnsiTheme="minorEastAsia" w:eastAsiaTheme="minorEastAsia"/>
          <w:sz w:val="24"/>
          <w:lang w:eastAsia="zh-CN"/>
        </w:rPr>
        <w:t>以品目清单的形式发布并适时调整</w:t>
      </w:r>
      <w:r>
        <w:rPr>
          <w:rFonts w:asciiTheme="minorEastAsia" w:hAnsiTheme="minorEastAsia" w:eastAsiaTheme="minorEastAsia"/>
          <w:spacing w:val="-53"/>
          <w:sz w:val="24"/>
          <w:lang w:eastAsia="zh-CN"/>
        </w:rPr>
        <w:t>。</w:t>
      </w:r>
      <w:r>
        <w:rPr>
          <w:rFonts w:asciiTheme="minorEastAsia" w:hAnsiTheme="minorEastAsia" w:eastAsiaTheme="minorEastAsia"/>
          <w:sz w:val="24"/>
          <w:lang w:eastAsia="zh-CN"/>
        </w:rPr>
        <w:t>依据品目清单和认证证书实施政府优先采购和强制采购。</w:t>
      </w:r>
    </w:p>
    <w:p>
      <w:pPr>
        <w:pStyle w:val="29"/>
        <w:numPr>
          <w:ilvl w:val="2"/>
          <w:numId w:val="4"/>
        </w:numPr>
        <w:tabs>
          <w:tab w:val="left" w:pos="2102"/>
        </w:tabs>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pPr>
        <w:pStyle w:val="29"/>
        <w:numPr>
          <w:ilvl w:val="2"/>
          <w:numId w:val="4"/>
        </w:numPr>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如本项目采购产品属于实施政府强制采购品目清单范围的节能产品，则供应商所报产品必须获得国家确定的认证机构出具的、处于有效期之内的节能产品认证证书，否则</w:t>
      </w:r>
      <w:r>
        <w:rPr>
          <w:rFonts w:asciiTheme="minorEastAsia" w:hAnsiTheme="minorEastAsia" w:eastAsiaTheme="minorEastAsia"/>
          <w:b/>
          <w:sz w:val="24"/>
          <w:lang w:eastAsia="zh-CN"/>
        </w:rPr>
        <w:t>响应无效</w:t>
      </w:r>
      <w:r>
        <w:rPr>
          <w:rFonts w:asciiTheme="minorEastAsia" w:hAnsiTheme="minorEastAsia" w:eastAsiaTheme="minorEastAsia"/>
          <w:sz w:val="24"/>
          <w:lang w:eastAsia="zh-CN"/>
        </w:rPr>
        <w:t>；</w:t>
      </w:r>
    </w:p>
    <w:p>
      <w:pPr>
        <w:pStyle w:val="29"/>
        <w:numPr>
          <w:ilvl w:val="2"/>
          <w:numId w:val="4"/>
        </w:numPr>
        <w:tabs>
          <w:tab w:val="left" w:pos="2102"/>
        </w:tabs>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非政府强制采购的节能产品或环境标志产品，依据品目清单和认证证书实施政府优先采购。优先采购的具体规定见第三章《评审方法和评审标准》（如涉及）。</w:t>
      </w:r>
    </w:p>
    <w:p>
      <w:pPr>
        <w:pStyle w:val="29"/>
        <w:numPr>
          <w:ilvl w:val="1"/>
          <w:numId w:val="4"/>
        </w:numPr>
        <w:tabs>
          <w:tab w:val="left" w:pos="1201"/>
          <w:tab w:val="left" w:pos="1202"/>
          <w:tab w:val="left" w:pos="2101"/>
          <w:tab w:val="left" w:pos="2102"/>
        </w:tabs>
        <w:spacing w:before="58" w:line="360" w:lineRule="auto"/>
        <w:ind w:right="94"/>
        <w:rPr>
          <w:rFonts w:asciiTheme="minorEastAsia" w:hAnsiTheme="minorEastAsia" w:eastAsiaTheme="minorEastAsia"/>
          <w:sz w:val="24"/>
          <w:lang w:eastAsia="zh-CN"/>
        </w:rPr>
      </w:pPr>
      <w:r>
        <w:rPr>
          <w:rFonts w:asciiTheme="minorEastAsia" w:hAnsiTheme="minorEastAsia" w:eastAsiaTheme="minorEastAsia"/>
          <w:sz w:val="24"/>
          <w:lang w:eastAsia="zh-CN"/>
        </w:rPr>
        <w:t>正版软件</w:t>
      </w:r>
    </w:p>
    <w:p>
      <w:pPr>
        <w:pStyle w:val="29"/>
        <w:numPr>
          <w:ilvl w:val="2"/>
          <w:numId w:val="4"/>
        </w:numPr>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pStyle w:val="29"/>
        <w:numPr>
          <w:ilvl w:val="2"/>
          <w:numId w:val="4"/>
        </w:numPr>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pStyle w:val="29"/>
        <w:numPr>
          <w:ilvl w:val="1"/>
          <w:numId w:val="4"/>
        </w:numPr>
        <w:tabs>
          <w:tab w:val="left" w:pos="1201"/>
          <w:tab w:val="left" w:pos="1202"/>
          <w:tab w:val="left" w:pos="2101"/>
          <w:tab w:val="left" w:pos="2102"/>
        </w:tabs>
        <w:spacing w:before="58" w:line="360" w:lineRule="auto"/>
        <w:ind w:right="94"/>
        <w:rPr>
          <w:rFonts w:asciiTheme="minorEastAsia" w:hAnsiTheme="minorEastAsia" w:eastAsiaTheme="minorEastAsia"/>
          <w:sz w:val="24"/>
          <w:lang w:eastAsia="zh-CN"/>
        </w:rPr>
      </w:pPr>
      <w:r>
        <w:rPr>
          <w:rFonts w:asciiTheme="minorEastAsia" w:hAnsiTheme="minorEastAsia" w:eastAsiaTheme="minorEastAsia"/>
          <w:sz w:val="24"/>
          <w:lang w:eastAsia="zh-CN"/>
        </w:rPr>
        <w:t>网络安全专用产品</w:t>
      </w:r>
    </w:p>
    <w:p>
      <w:pPr>
        <w:pStyle w:val="29"/>
        <w:numPr>
          <w:ilvl w:val="2"/>
          <w:numId w:val="4"/>
        </w:numPr>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pStyle w:val="29"/>
        <w:numPr>
          <w:ilvl w:val="1"/>
          <w:numId w:val="4"/>
        </w:numPr>
        <w:tabs>
          <w:tab w:val="left" w:pos="1201"/>
          <w:tab w:val="left" w:pos="1202"/>
          <w:tab w:val="left" w:pos="2101"/>
          <w:tab w:val="left" w:pos="2102"/>
        </w:tabs>
        <w:spacing w:before="58" w:line="360" w:lineRule="auto"/>
        <w:ind w:right="94"/>
        <w:rPr>
          <w:rFonts w:asciiTheme="minorEastAsia" w:hAnsiTheme="minorEastAsia" w:eastAsiaTheme="minorEastAsia"/>
          <w:sz w:val="24"/>
          <w:lang w:eastAsia="zh-CN"/>
        </w:rPr>
      </w:pPr>
      <w:r>
        <w:rPr>
          <w:rFonts w:asciiTheme="minorEastAsia" w:hAnsiTheme="minorEastAsia" w:eastAsiaTheme="minorEastAsia"/>
          <w:sz w:val="24"/>
          <w:lang w:eastAsia="zh-CN"/>
        </w:rPr>
        <w:t>推广使用低挥发性有机化合物（VOCs）</w:t>
      </w:r>
    </w:p>
    <w:p>
      <w:pPr>
        <w:pStyle w:val="29"/>
        <w:numPr>
          <w:ilvl w:val="2"/>
          <w:numId w:val="4"/>
        </w:numPr>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含量限制标准（具体标准见第四章《采购需求》），否则</w:t>
      </w:r>
      <w:r>
        <w:rPr>
          <w:rFonts w:asciiTheme="minorEastAsia" w:hAnsiTheme="minorEastAsia" w:eastAsiaTheme="minorEastAsia"/>
          <w:b/>
          <w:sz w:val="24"/>
          <w:lang w:eastAsia="zh-CN"/>
        </w:rPr>
        <w:t>响应无效</w:t>
      </w:r>
      <w:r>
        <w:rPr>
          <w:rFonts w:asciiTheme="minorEastAsia" w:hAnsiTheme="minorEastAsia" w:eastAsiaTheme="minorEastAsia"/>
          <w:sz w:val="24"/>
          <w:lang w:eastAsia="zh-CN"/>
        </w:rPr>
        <w:t>；属于推荐性标准的，优先采购，具体见第三章《评审方法和评审标准》。</w:t>
      </w:r>
    </w:p>
    <w:p>
      <w:pPr>
        <w:pStyle w:val="29"/>
        <w:numPr>
          <w:ilvl w:val="1"/>
          <w:numId w:val="4"/>
        </w:numPr>
        <w:tabs>
          <w:tab w:val="left" w:pos="1202"/>
          <w:tab w:val="left" w:pos="2101"/>
          <w:tab w:val="left" w:pos="2102"/>
        </w:tabs>
        <w:spacing w:before="58" w:line="360" w:lineRule="auto"/>
        <w:ind w:right="94"/>
        <w:rPr>
          <w:rFonts w:asciiTheme="minorEastAsia" w:hAnsiTheme="minorEastAsia" w:eastAsiaTheme="minorEastAsia"/>
          <w:sz w:val="24"/>
          <w:lang w:eastAsia="zh-CN"/>
        </w:rPr>
      </w:pPr>
      <w:r>
        <w:rPr>
          <w:rFonts w:asciiTheme="minorEastAsia" w:hAnsiTheme="minorEastAsia" w:eastAsiaTheme="minorEastAsia"/>
          <w:sz w:val="24"/>
          <w:lang w:eastAsia="zh-CN"/>
        </w:rPr>
        <w:t>采购需求标准</w:t>
      </w:r>
    </w:p>
    <w:p>
      <w:pPr>
        <w:pStyle w:val="29"/>
        <w:numPr>
          <w:ilvl w:val="2"/>
          <w:numId w:val="4"/>
        </w:numPr>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商品包装、快递包装政府采购需求标准（试行）</w:t>
      </w:r>
    </w:p>
    <w:p>
      <w:pPr>
        <w:pStyle w:val="12"/>
        <w:spacing w:before="134" w:line="350" w:lineRule="auto"/>
        <w:ind w:left="2106" w:right="228"/>
        <w:jc w:val="both"/>
        <w:rPr>
          <w:rFonts w:asciiTheme="minorEastAsia" w:hAnsiTheme="minorEastAsia" w:eastAsiaTheme="minorEastAsia"/>
          <w:szCs w:val="22"/>
          <w:lang w:eastAsia="zh-CN"/>
        </w:rPr>
      </w:pPr>
      <w:r>
        <w:rPr>
          <w:rFonts w:asciiTheme="minorEastAsia" w:hAnsiTheme="minorEastAsia" w:eastAsiaTheme="minorEastAsia"/>
          <w:szCs w:val="22"/>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pPr>
        <w:pStyle w:val="29"/>
        <w:numPr>
          <w:ilvl w:val="2"/>
          <w:numId w:val="4"/>
        </w:numPr>
        <w:spacing w:before="133" w:line="350" w:lineRule="auto"/>
        <w:ind w:right="-45" w:hanging="9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绿色数据中心政府采购需求标准（试行）</w:t>
      </w:r>
    </w:p>
    <w:p>
      <w:pPr>
        <w:pStyle w:val="12"/>
        <w:spacing w:before="134" w:line="350" w:lineRule="auto"/>
        <w:ind w:left="2106" w:right="228"/>
        <w:jc w:val="both"/>
        <w:rPr>
          <w:rFonts w:asciiTheme="minorEastAsia" w:hAnsiTheme="minorEastAsia" w:eastAsiaTheme="minorEastAsia"/>
          <w:szCs w:val="22"/>
          <w:lang w:eastAsia="zh-CN"/>
        </w:rPr>
      </w:pPr>
      <w:r>
        <w:rPr>
          <w:rFonts w:asciiTheme="minorEastAsia" w:hAnsiTheme="minorEastAsia" w:eastAsiaTheme="minorEastAsia"/>
          <w:szCs w:val="22"/>
          <w:lang w:eastAsia="zh-CN"/>
        </w:rPr>
        <w:t>为加快数据中心绿色转型，根据财政部 生态环境部 工业和信息化部关于印发《绿色数据中心政府采购需求标准（试行）》的通知（财库〔2023〕7 号），本项目如涉及绿色数据中心，则具体要求见第四章《采购需求》。</w:t>
      </w:r>
    </w:p>
    <w:p>
      <w:pPr>
        <w:pStyle w:val="29"/>
        <w:numPr>
          <w:ilvl w:val="0"/>
          <w:numId w:val="4"/>
        </w:numPr>
        <w:tabs>
          <w:tab w:val="left" w:pos="476"/>
          <w:tab w:val="left" w:pos="477"/>
        </w:tabs>
        <w:spacing w:before="120" w:beforeLines="50" w:line="355" w:lineRule="auto"/>
        <w:ind w:left="389" w:right="230" w:hanging="388" w:hangingChars="162"/>
        <w:rPr>
          <w:rFonts w:asciiTheme="minorEastAsia" w:hAnsiTheme="minorEastAsia" w:eastAsiaTheme="minorEastAsia"/>
          <w:lang w:eastAsia="zh-CN"/>
        </w:rPr>
      </w:pPr>
      <w:r>
        <w:rPr>
          <w:rFonts w:asciiTheme="minorEastAsia" w:hAnsiTheme="minorEastAsia" w:eastAsiaTheme="minorEastAsia"/>
          <w:sz w:val="24"/>
          <w:lang w:eastAsia="zh-CN"/>
        </w:rPr>
        <w:t>响应费用</w:t>
      </w:r>
    </w:p>
    <w:p>
      <w:pPr>
        <w:pStyle w:val="29"/>
        <w:numPr>
          <w:ilvl w:val="1"/>
          <w:numId w:val="4"/>
        </w:numPr>
        <w:tabs>
          <w:tab w:val="left" w:pos="2101"/>
          <w:tab w:val="left" w:pos="2102"/>
        </w:tabs>
        <w:spacing w:before="1" w:line="360" w:lineRule="auto"/>
        <w:ind w:right="94"/>
        <w:rPr>
          <w:rFonts w:asciiTheme="minorEastAsia" w:hAnsiTheme="minorEastAsia" w:eastAsiaTheme="minorEastAsia"/>
          <w:sz w:val="20"/>
          <w:lang w:eastAsia="zh-CN"/>
        </w:rPr>
      </w:pPr>
      <w:r>
        <w:rPr>
          <w:rFonts w:asciiTheme="minorEastAsia" w:hAnsiTheme="minorEastAsia" w:eastAsiaTheme="minorEastAsia"/>
          <w:sz w:val="24"/>
          <w:lang w:eastAsia="zh-CN"/>
        </w:rPr>
        <w:t>供应商应自行承担所有与准备和参加磋商有关的费用，无论磋商的结果如何，采购人或采购代理机构在任何情况下均无承担这些费用的义务和责任。</w:t>
      </w:r>
    </w:p>
    <w:p>
      <w:pPr>
        <w:pStyle w:val="5"/>
        <w:rPr>
          <w:rFonts w:asciiTheme="minorEastAsia" w:hAnsiTheme="minorEastAsia" w:eastAsiaTheme="minorEastAsia"/>
          <w:b/>
          <w:lang w:eastAsia="zh-CN"/>
        </w:rPr>
      </w:pPr>
      <w:bookmarkStart w:id="14" w:name="_Toc164263453"/>
      <w:r>
        <w:rPr>
          <w:rFonts w:asciiTheme="minorEastAsia" w:hAnsiTheme="minorEastAsia" w:eastAsiaTheme="minorEastAsia"/>
          <w:b/>
          <w:lang w:eastAsia="zh-CN"/>
        </w:rPr>
        <w:t>二</w:t>
      </w:r>
      <w:r>
        <w:rPr>
          <w:rFonts w:hint="eastAsia" w:asciiTheme="minorEastAsia" w:hAnsiTheme="minorEastAsia" w:eastAsiaTheme="minorEastAsia"/>
          <w:b/>
          <w:lang w:eastAsia="zh-CN"/>
        </w:rPr>
        <w:t xml:space="preserve">  </w:t>
      </w:r>
      <w:r>
        <w:rPr>
          <w:rFonts w:asciiTheme="minorEastAsia" w:hAnsiTheme="minorEastAsia" w:eastAsiaTheme="minorEastAsia"/>
          <w:b/>
          <w:lang w:eastAsia="zh-CN"/>
        </w:rPr>
        <w:t>竞争性磋商文件</w:t>
      </w:r>
      <w:bookmarkEnd w:id="14"/>
    </w:p>
    <w:p>
      <w:pPr>
        <w:pStyle w:val="29"/>
        <w:numPr>
          <w:ilvl w:val="0"/>
          <w:numId w:val="4"/>
        </w:numPr>
        <w:tabs>
          <w:tab w:val="left" w:pos="476"/>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竞争性磋商文件构成</w:t>
      </w:r>
    </w:p>
    <w:p>
      <w:pPr>
        <w:pStyle w:val="29"/>
        <w:numPr>
          <w:ilvl w:val="1"/>
          <w:numId w:val="4"/>
        </w:numPr>
        <w:tabs>
          <w:tab w:val="left" w:pos="1201"/>
          <w:tab w:val="left" w:pos="1202"/>
          <w:tab w:val="left" w:pos="2641"/>
        </w:tabs>
        <w:spacing w:before="137" w:line="338" w:lineRule="auto"/>
        <w:ind w:left="1566" w:right="2079" w:hanging="1085"/>
        <w:rPr>
          <w:rFonts w:asciiTheme="minorEastAsia" w:hAnsiTheme="minorEastAsia" w:eastAsiaTheme="minorEastAsia"/>
          <w:sz w:val="24"/>
          <w:lang w:eastAsia="zh-CN"/>
        </w:rPr>
      </w:pPr>
      <w:r>
        <w:rPr>
          <w:rFonts w:asciiTheme="minorEastAsia" w:hAnsiTheme="minorEastAsia" w:eastAsiaTheme="minorEastAsia"/>
          <w:sz w:val="24"/>
          <w:lang w:eastAsia="zh-CN"/>
        </w:rPr>
        <w:t>竞争性磋商文件包括以下部分：</w:t>
      </w:r>
    </w:p>
    <w:p>
      <w:pPr>
        <w:pStyle w:val="29"/>
        <w:tabs>
          <w:tab w:val="left" w:pos="1201"/>
          <w:tab w:val="left" w:pos="1202"/>
          <w:tab w:val="left" w:pos="2641"/>
        </w:tabs>
        <w:spacing w:before="137" w:line="360" w:lineRule="auto"/>
        <w:ind w:left="1565" w:right="2079" w:firstLine="0"/>
        <w:rPr>
          <w:rFonts w:asciiTheme="minorEastAsia" w:hAnsiTheme="minorEastAsia" w:eastAsiaTheme="minorEastAsia"/>
          <w:sz w:val="24"/>
          <w:lang w:eastAsia="zh-CN"/>
        </w:rPr>
      </w:pPr>
      <w:r>
        <w:rPr>
          <w:rFonts w:asciiTheme="minorEastAsia" w:hAnsiTheme="minorEastAsia" w:eastAsiaTheme="minorEastAsia"/>
          <w:sz w:val="24"/>
          <w:lang w:eastAsia="zh-CN"/>
        </w:rPr>
        <w:t>第一章</w:t>
      </w:r>
      <w:r>
        <w:rPr>
          <w:rFonts w:hint="eastAsia" w:asciiTheme="minorEastAsia" w:hAnsiTheme="minorEastAsia" w:eastAsiaTheme="minorEastAsia"/>
          <w:sz w:val="24"/>
          <w:lang w:eastAsia="zh-CN"/>
        </w:rPr>
        <w:t xml:space="preserve">   </w:t>
      </w:r>
      <w:r>
        <w:rPr>
          <w:rFonts w:asciiTheme="minorEastAsia" w:hAnsiTheme="minorEastAsia" w:eastAsiaTheme="minorEastAsia"/>
          <w:sz w:val="24"/>
          <w:lang w:eastAsia="zh-CN"/>
        </w:rPr>
        <w:t>采购邀请</w:t>
      </w:r>
    </w:p>
    <w:p>
      <w:pPr>
        <w:pStyle w:val="12"/>
        <w:tabs>
          <w:tab w:val="left" w:pos="2641"/>
        </w:tabs>
        <w:spacing w:before="55" w:line="360" w:lineRule="auto"/>
        <w:ind w:left="1565"/>
        <w:rPr>
          <w:rFonts w:asciiTheme="minorEastAsia" w:hAnsiTheme="minorEastAsia" w:eastAsiaTheme="minorEastAsia"/>
          <w:lang w:eastAsia="zh-CN"/>
        </w:rPr>
      </w:pPr>
      <w:r>
        <w:rPr>
          <w:rFonts w:asciiTheme="minorEastAsia" w:hAnsiTheme="minorEastAsia" w:eastAsiaTheme="minorEastAsia"/>
          <w:lang w:eastAsia="zh-CN"/>
        </w:rPr>
        <w:t>第二章</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供应商须知</w:t>
      </w:r>
    </w:p>
    <w:p>
      <w:pPr>
        <w:pStyle w:val="12"/>
        <w:tabs>
          <w:tab w:val="left" w:pos="2641"/>
        </w:tabs>
        <w:spacing w:before="154" w:line="360" w:lineRule="auto"/>
        <w:ind w:left="1565" w:right="3071"/>
        <w:rPr>
          <w:rFonts w:asciiTheme="minorEastAsia" w:hAnsiTheme="minorEastAsia" w:eastAsiaTheme="minorEastAsia"/>
          <w:lang w:eastAsia="zh-CN"/>
        </w:rPr>
      </w:pPr>
      <w:r>
        <w:rPr>
          <w:rFonts w:asciiTheme="minorEastAsia" w:hAnsiTheme="minorEastAsia" w:eastAsiaTheme="minorEastAsia"/>
          <w:lang w:eastAsia="zh-CN"/>
        </w:rPr>
        <w:t xml:space="preserve">第三章 </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评审方法和评审标准</w:t>
      </w:r>
    </w:p>
    <w:p>
      <w:pPr>
        <w:pStyle w:val="12"/>
        <w:tabs>
          <w:tab w:val="left" w:pos="2641"/>
        </w:tabs>
        <w:spacing w:before="154" w:line="360" w:lineRule="auto"/>
        <w:ind w:left="1565" w:right="3071"/>
        <w:rPr>
          <w:rFonts w:asciiTheme="minorEastAsia" w:hAnsiTheme="minorEastAsia" w:eastAsiaTheme="minorEastAsia"/>
          <w:lang w:eastAsia="zh-CN"/>
        </w:rPr>
      </w:pPr>
      <w:r>
        <w:rPr>
          <w:rFonts w:asciiTheme="minorEastAsia" w:hAnsiTheme="minorEastAsia" w:eastAsiaTheme="minorEastAsia"/>
          <w:lang w:eastAsia="zh-CN"/>
        </w:rPr>
        <w:t xml:space="preserve">第四章 </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采购需求</w:t>
      </w:r>
    </w:p>
    <w:p>
      <w:pPr>
        <w:pStyle w:val="12"/>
        <w:tabs>
          <w:tab w:val="left" w:pos="2641"/>
        </w:tabs>
        <w:spacing w:before="36" w:line="360" w:lineRule="auto"/>
        <w:ind w:left="1565" w:right="3354"/>
        <w:rPr>
          <w:rFonts w:asciiTheme="minorEastAsia" w:hAnsiTheme="minorEastAsia" w:eastAsiaTheme="minorEastAsia"/>
          <w:lang w:eastAsia="zh-CN"/>
        </w:rPr>
      </w:pPr>
      <w:r>
        <w:rPr>
          <w:rFonts w:asciiTheme="minorEastAsia" w:hAnsiTheme="minorEastAsia" w:eastAsiaTheme="minorEastAsia"/>
          <w:lang w:eastAsia="zh-CN"/>
        </w:rPr>
        <w:t>第五章</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 xml:space="preserve"> 合同草案条款</w:t>
      </w:r>
    </w:p>
    <w:p>
      <w:pPr>
        <w:pStyle w:val="12"/>
        <w:tabs>
          <w:tab w:val="left" w:pos="2641"/>
        </w:tabs>
        <w:spacing w:before="36" w:line="360" w:lineRule="auto"/>
        <w:ind w:left="1565" w:right="3354"/>
        <w:rPr>
          <w:rFonts w:asciiTheme="minorEastAsia" w:hAnsiTheme="minorEastAsia" w:eastAsiaTheme="minorEastAsia"/>
          <w:lang w:eastAsia="zh-CN"/>
        </w:rPr>
      </w:pPr>
      <w:r>
        <w:rPr>
          <w:rFonts w:asciiTheme="minorEastAsia" w:hAnsiTheme="minorEastAsia" w:eastAsiaTheme="minorEastAsia"/>
          <w:lang w:eastAsia="zh-CN"/>
        </w:rPr>
        <w:t>第六章</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 xml:space="preserve"> 响应文件格式</w:t>
      </w:r>
    </w:p>
    <w:p>
      <w:pPr>
        <w:pStyle w:val="29"/>
        <w:numPr>
          <w:ilvl w:val="1"/>
          <w:numId w:val="4"/>
        </w:numPr>
        <w:tabs>
          <w:tab w:val="left" w:pos="1202"/>
        </w:tabs>
        <w:spacing w:before="36" w:line="348" w:lineRule="auto"/>
        <w:ind w:left="1201" w:right="231"/>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供应商应认真阅</w:t>
      </w:r>
      <w:r>
        <w:rPr>
          <w:rFonts w:asciiTheme="minorEastAsia" w:hAnsiTheme="minorEastAsia" w:eastAsiaTheme="minorEastAsia"/>
          <w:sz w:val="24"/>
          <w:lang w:eastAsia="zh-CN"/>
        </w:rPr>
        <w:t>读</w:t>
      </w:r>
      <w:r>
        <w:rPr>
          <w:rFonts w:asciiTheme="minorEastAsia" w:hAnsiTheme="minorEastAsia" w:eastAsiaTheme="minorEastAsia"/>
          <w:spacing w:val="2"/>
          <w:sz w:val="24"/>
          <w:lang w:eastAsia="zh-CN"/>
        </w:rPr>
        <w:t>竞争性磋商文件的全部内容。供应</w:t>
      </w:r>
      <w:r>
        <w:rPr>
          <w:rFonts w:asciiTheme="minorEastAsia" w:hAnsiTheme="minorEastAsia" w:eastAsiaTheme="minorEastAsia"/>
          <w:sz w:val="24"/>
          <w:lang w:eastAsia="zh-CN"/>
        </w:rPr>
        <w:t>商</w:t>
      </w:r>
      <w:r>
        <w:rPr>
          <w:rFonts w:asciiTheme="minorEastAsia" w:hAnsiTheme="minorEastAsia" w:eastAsiaTheme="minorEastAsia"/>
          <w:spacing w:val="2"/>
          <w:sz w:val="24"/>
          <w:lang w:eastAsia="zh-CN"/>
        </w:rPr>
        <w:t>应按照竞争性磋商</w:t>
      </w:r>
      <w:r>
        <w:rPr>
          <w:rFonts w:asciiTheme="minorEastAsia" w:hAnsiTheme="minorEastAsia" w:eastAsiaTheme="minorEastAsia"/>
          <w:sz w:val="24"/>
          <w:lang w:eastAsia="zh-CN"/>
        </w:rPr>
        <w:t>文</w:t>
      </w:r>
      <w:r>
        <w:rPr>
          <w:rFonts w:asciiTheme="minorEastAsia" w:hAnsiTheme="minorEastAsia" w:eastAsiaTheme="minorEastAsia"/>
          <w:spacing w:val="2"/>
          <w:sz w:val="24"/>
          <w:lang w:eastAsia="zh-CN"/>
        </w:rPr>
        <w:t>件要求提交响应</w:t>
      </w:r>
      <w:r>
        <w:rPr>
          <w:rFonts w:asciiTheme="minorEastAsia" w:hAnsiTheme="minorEastAsia" w:eastAsiaTheme="minorEastAsia"/>
          <w:sz w:val="24"/>
          <w:lang w:eastAsia="zh-CN"/>
        </w:rPr>
        <w:t>文</w:t>
      </w:r>
      <w:r>
        <w:rPr>
          <w:rFonts w:asciiTheme="minorEastAsia" w:hAnsiTheme="minorEastAsia" w:eastAsiaTheme="minorEastAsia"/>
          <w:spacing w:val="2"/>
          <w:sz w:val="24"/>
          <w:lang w:eastAsia="zh-CN"/>
        </w:rPr>
        <w:t>件并保证所提供的全部资料的真实</w:t>
      </w:r>
      <w:r>
        <w:rPr>
          <w:rFonts w:asciiTheme="minorEastAsia" w:hAnsiTheme="minorEastAsia" w:eastAsiaTheme="minorEastAsia"/>
          <w:sz w:val="24"/>
          <w:lang w:eastAsia="zh-CN"/>
        </w:rPr>
        <w:t>性</w:t>
      </w:r>
      <w:r>
        <w:rPr>
          <w:rFonts w:asciiTheme="minorEastAsia" w:hAnsiTheme="minorEastAsia" w:eastAsiaTheme="minorEastAsia"/>
          <w:spacing w:val="2"/>
          <w:sz w:val="24"/>
          <w:lang w:eastAsia="zh-CN"/>
        </w:rPr>
        <w:t>，并对竞争性磋商</w:t>
      </w:r>
      <w:r>
        <w:rPr>
          <w:rFonts w:asciiTheme="minorEastAsia" w:hAnsiTheme="minorEastAsia" w:eastAsiaTheme="minorEastAsia"/>
          <w:sz w:val="24"/>
          <w:lang w:eastAsia="zh-CN"/>
        </w:rPr>
        <w:t>文件做出实质性响应，否</w:t>
      </w:r>
      <w:r>
        <w:rPr>
          <w:rFonts w:asciiTheme="minorEastAsia" w:hAnsiTheme="minorEastAsia" w:eastAsiaTheme="minorEastAsia"/>
          <w:spacing w:val="-1"/>
          <w:sz w:val="24"/>
          <w:lang w:eastAsia="zh-CN"/>
        </w:rPr>
        <w:t>则</w:t>
      </w:r>
      <w:r>
        <w:rPr>
          <w:rFonts w:asciiTheme="minorEastAsia" w:hAnsiTheme="minorEastAsia" w:eastAsiaTheme="minorEastAsia"/>
          <w:b/>
          <w:sz w:val="24"/>
          <w:lang w:eastAsia="zh-CN"/>
        </w:rPr>
        <w:t>响</w:t>
      </w:r>
      <w:r>
        <w:rPr>
          <w:rFonts w:asciiTheme="minorEastAsia" w:hAnsiTheme="minorEastAsia" w:eastAsiaTheme="minorEastAsia"/>
          <w:b/>
          <w:spacing w:val="2"/>
          <w:sz w:val="24"/>
          <w:lang w:eastAsia="zh-CN"/>
        </w:rPr>
        <w:t>应</w:t>
      </w:r>
      <w:r>
        <w:rPr>
          <w:rFonts w:asciiTheme="minorEastAsia" w:hAnsiTheme="minorEastAsia" w:eastAsiaTheme="minorEastAsia"/>
          <w:b/>
          <w:sz w:val="24"/>
          <w:lang w:eastAsia="zh-CN"/>
        </w:rPr>
        <w:t>无</w:t>
      </w:r>
      <w:r>
        <w:rPr>
          <w:rFonts w:asciiTheme="minorEastAsia" w:hAnsiTheme="minorEastAsia" w:eastAsiaTheme="minorEastAsia"/>
          <w:b/>
          <w:spacing w:val="-1"/>
          <w:sz w:val="24"/>
          <w:lang w:eastAsia="zh-CN"/>
        </w:rPr>
        <w:t>效</w:t>
      </w:r>
      <w:r>
        <w:rPr>
          <w:rFonts w:asciiTheme="minorEastAsia" w:hAnsiTheme="minorEastAsia" w:eastAsiaTheme="minorEastAsia"/>
          <w:sz w:val="24"/>
          <w:lang w:eastAsia="zh-CN"/>
        </w:rPr>
        <w:t>。</w:t>
      </w:r>
    </w:p>
    <w:p>
      <w:pPr>
        <w:pStyle w:val="29"/>
        <w:numPr>
          <w:ilvl w:val="0"/>
          <w:numId w:val="4"/>
        </w:numPr>
        <w:tabs>
          <w:tab w:val="left" w:pos="476"/>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对竞争性磋商文件的澄清或修改</w:t>
      </w:r>
    </w:p>
    <w:p>
      <w:pPr>
        <w:pStyle w:val="29"/>
        <w:numPr>
          <w:ilvl w:val="1"/>
          <w:numId w:val="4"/>
        </w:numPr>
        <w:tabs>
          <w:tab w:val="left" w:pos="1202"/>
        </w:tabs>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上述书面通知，按照获取竞争性磋商文件的潜在供应商提供的联系方式发出，因提供的信息有误导致通知延迟或无法通知的，采购人或采购代理机构不承担责任。</w:t>
      </w:r>
    </w:p>
    <w:p>
      <w:pPr>
        <w:pStyle w:val="29"/>
        <w:numPr>
          <w:ilvl w:val="1"/>
          <w:numId w:val="4"/>
        </w:numPr>
        <w:spacing w:before="36" w:line="348" w:lineRule="auto"/>
        <w:ind w:left="1201" w:right="231"/>
        <w:jc w:val="both"/>
        <w:rPr>
          <w:rFonts w:asciiTheme="minorEastAsia" w:hAnsiTheme="minorEastAsia" w:eastAsiaTheme="minorEastAsia"/>
          <w:lang w:eastAsia="zh-CN"/>
        </w:rPr>
      </w:pPr>
      <w:r>
        <w:rPr>
          <w:rFonts w:asciiTheme="minorEastAsia" w:hAnsiTheme="minorEastAsia" w:eastAsiaTheme="minorEastAsia"/>
          <w:spacing w:val="2"/>
          <w:sz w:val="24"/>
          <w:lang w:eastAsia="zh-CN"/>
        </w:rPr>
        <w:t>澄清或者修改的内容为竞争性磋商文件的组成部分，并对所有获取竞争性磋商文件的潜在供应商具有约束力。澄清或者修改的内容可能影响响应文件编制的，将在提交首次响应文件截止之日 3 个工作日前，以书面形式通知所有获取磋商文件的供应商；不足上述时间的，将顺延提交响应文件截止时间。</w:t>
      </w:r>
    </w:p>
    <w:p>
      <w:pPr>
        <w:pStyle w:val="5"/>
        <w:rPr>
          <w:rFonts w:asciiTheme="minorEastAsia" w:hAnsiTheme="minorEastAsia" w:eastAsiaTheme="minorEastAsia"/>
          <w:b/>
          <w:lang w:eastAsia="zh-CN"/>
        </w:rPr>
      </w:pPr>
      <w:bookmarkStart w:id="15" w:name="_Toc164263454"/>
      <w:r>
        <w:rPr>
          <w:rFonts w:asciiTheme="minorEastAsia" w:hAnsiTheme="minorEastAsia" w:eastAsiaTheme="minorEastAsia"/>
          <w:b/>
          <w:lang w:eastAsia="zh-CN"/>
        </w:rPr>
        <w:t>三</w:t>
      </w:r>
      <w:r>
        <w:rPr>
          <w:rFonts w:hint="eastAsia" w:asciiTheme="minorEastAsia" w:hAnsiTheme="minorEastAsia" w:eastAsiaTheme="minorEastAsia"/>
          <w:b/>
          <w:lang w:eastAsia="zh-CN"/>
        </w:rPr>
        <w:t xml:space="preserve">  </w:t>
      </w:r>
      <w:r>
        <w:rPr>
          <w:rFonts w:asciiTheme="minorEastAsia" w:hAnsiTheme="minorEastAsia" w:eastAsiaTheme="minorEastAsia"/>
          <w:b/>
          <w:lang w:eastAsia="zh-CN"/>
        </w:rPr>
        <w:t>响应文件的编制</w:t>
      </w:r>
      <w:bookmarkEnd w:id="15"/>
    </w:p>
    <w:p>
      <w:pPr>
        <w:pStyle w:val="29"/>
        <w:numPr>
          <w:ilvl w:val="0"/>
          <w:numId w:val="4"/>
        </w:numPr>
        <w:tabs>
          <w:tab w:val="left" w:pos="476"/>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响应范围、竞争性磋商文件中计量单位的使用及磋商语言</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除竞争性磋商文件有特殊要求外，本项目磋商所使用的计量单位，应采用中华人民共和国法定计量单位。</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pStyle w:val="29"/>
        <w:numPr>
          <w:ilvl w:val="0"/>
          <w:numId w:val="4"/>
        </w:numPr>
        <w:tabs>
          <w:tab w:val="left" w:pos="476"/>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响应文件构成</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供应商应当按照竞争性磋商文件的要求编制响应文件，并对其提交的响应文件的真实性、合法性承担法律责任。响应文件的部分格式要求，见第六章《响应文件格式》。</w:t>
      </w:r>
    </w:p>
    <w:p>
      <w:pPr>
        <w:spacing w:before="36" w:line="348" w:lineRule="auto"/>
        <w:ind w:left="1276" w:leftChars="580" w:right="231"/>
        <w:jc w:val="both"/>
        <w:rPr>
          <w:rFonts w:asciiTheme="minorEastAsia" w:hAnsiTheme="minorEastAsia" w:eastAsiaTheme="minorEastAsia"/>
          <w:spacing w:val="2"/>
          <w:sz w:val="24"/>
          <w:lang w:eastAsia="zh-CN"/>
        </w:rPr>
      </w:pPr>
      <w:r>
        <w:rPr>
          <w:rFonts w:hint="eastAsia" w:asciiTheme="minorEastAsia" w:hAnsiTheme="minorEastAsia" w:eastAsiaTheme="minorEastAsia"/>
          <w:spacing w:val="2"/>
          <w:sz w:val="24"/>
          <w:lang w:eastAsia="zh-CN"/>
        </w:rPr>
        <w:t>如供应商须知资料表要求递交纸质版响应文件，则响应文件为上传至平台系统电子版的打印件，左侧胶装装订。纸质版响应文件按照环保节约原则，具备条件的文档建议可双面打印。副本（如要求）可以是正本的复印件（如复印件时副本封皮需加盖公章）。</w:t>
      </w:r>
    </w:p>
    <w:p>
      <w:pPr>
        <w:spacing w:before="36" w:line="348" w:lineRule="auto"/>
        <w:ind w:left="1276" w:leftChars="580" w:right="231"/>
        <w:jc w:val="both"/>
        <w:rPr>
          <w:rFonts w:asciiTheme="minorEastAsia" w:hAnsiTheme="minorEastAsia" w:eastAsiaTheme="minorEastAsia"/>
          <w:spacing w:val="2"/>
          <w:sz w:val="24"/>
          <w:lang w:eastAsia="zh-CN"/>
        </w:rPr>
      </w:pPr>
      <w:r>
        <w:rPr>
          <w:rFonts w:hint="eastAsia" w:asciiTheme="minorEastAsia" w:hAnsiTheme="minorEastAsia" w:eastAsiaTheme="minorEastAsia"/>
          <w:spacing w:val="2"/>
          <w:sz w:val="24"/>
          <w:lang w:eastAsia="zh-CN"/>
        </w:rPr>
        <w:t>响应文件正本、副本（如要求）应装袋密封，封口处加盖投标人公章。封皮上写明：①响应文件正本</w:t>
      </w:r>
      <w:r>
        <w:rPr>
          <w:rFonts w:asciiTheme="minorEastAsia" w:hAnsiTheme="minorEastAsia" w:eastAsiaTheme="minorEastAsia"/>
          <w:spacing w:val="2"/>
          <w:sz w:val="24"/>
          <w:lang w:eastAsia="zh-CN"/>
        </w:rPr>
        <w:t>/副本</w:t>
      </w:r>
      <w:r>
        <w:rPr>
          <w:rFonts w:hint="eastAsia" w:asciiTheme="minorEastAsia" w:hAnsiTheme="minorEastAsia" w:eastAsiaTheme="minorEastAsia"/>
          <w:spacing w:val="2"/>
          <w:sz w:val="24"/>
          <w:lang w:eastAsia="zh-CN"/>
        </w:rPr>
        <w:t>（如要求）</w:t>
      </w:r>
      <w:r>
        <w:rPr>
          <w:rFonts w:asciiTheme="minorEastAsia" w:hAnsiTheme="minorEastAsia" w:eastAsiaTheme="minorEastAsia"/>
          <w:spacing w:val="2"/>
          <w:sz w:val="24"/>
          <w:lang w:eastAsia="zh-CN"/>
        </w:rPr>
        <w:t>、②采购编号、③项目名称、④包号（如有分包的项目填写）、⑤投标人名称、⑥开标时启封。</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asciiTheme="minorEastAsia" w:hAnsiTheme="minorEastAsia" w:eastAsiaTheme="minorEastAsia"/>
          <w:b/>
          <w:spacing w:val="2"/>
          <w:sz w:val="24"/>
          <w:lang w:eastAsia="zh-CN"/>
        </w:rPr>
        <w:t>响应无效</w:t>
      </w:r>
      <w:r>
        <w:rPr>
          <w:rFonts w:asciiTheme="minorEastAsia" w:hAnsiTheme="minorEastAsia" w:eastAsiaTheme="minorEastAsia"/>
          <w:spacing w:val="2"/>
          <w:sz w:val="24"/>
          <w:lang w:eastAsia="zh-CN"/>
        </w:rPr>
        <w:t>。未标记“实质性格式”的文件和竞争性磋商文件未提供格式的内容，可由供应商自行编写。</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第三章《评审方法和评审标准》中涉及的证明文件。</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明文件。</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供应商认为应附的其他材料。</w:t>
      </w:r>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报价</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所有响应均以人民币报价。</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pPr>
        <w:pStyle w:val="29"/>
        <w:numPr>
          <w:ilvl w:val="2"/>
          <w:numId w:val="4"/>
        </w:numPr>
        <w:tabs>
          <w:tab w:val="left" w:pos="2102"/>
        </w:tabs>
        <w:spacing w:before="160" w:line="357" w:lineRule="auto"/>
        <w:ind w:left="2101" w:right="123" w:hanging="9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响应货物及标准附件</w:t>
      </w:r>
      <w:r>
        <w:rPr>
          <w:rFonts w:asciiTheme="minorEastAsia" w:hAnsiTheme="minorEastAsia" w:eastAsiaTheme="minorEastAsia"/>
          <w:spacing w:val="-36"/>
          <w:sz w:val="24"/>
          <w:szCs w:val="24"/>
          <w:lang w:eastAsia="zh-CN"/>
        </w:rPr>
        <w:t>、</w:t>
      </w:r>
      <w:r>
        <w:rPr>
          <w:rFonts w:asciiTheme="minorEastAsia" w:hAnsiTheme="minorEastAsia" w:eastAsiaTheme="minorEastAsia"/>
          <w:sz w:val="24"/>
          <w:szCs w:val="24"/>
          <w:lang w:eastAsia="zh-CN"/>
        </w:rPr>
        <w:t>备品备件</w:t>
      </w:r>
      <w:r>
        <w:rPr>
          <w:rFonts w:asciiTheme="minorEastAsia" w:hAnsiTheme="minorEastAsia" w:eastAsiaTheme="minorEastAsia"/>
          <w:spacing w:val="-36"/>
          <w:sz w:val="24"/>
          <w:szCs w:val="24"/>
          <w:lang w:eastAsia="zh-CN"/>
        </w:rPr>
        <w:t>、</w:t>
      </w:r>
      <w:r>
        <w:rPr>
          <w:rFonts w:asciiTheme="minorEastAsia" w:hAnsiTheme="minorEastAsia" w:eastAsiaTheme="minorEastAsia"/>
          <w:sz w:val="24"/>
          <w:szCs w:val="24"/>
          <w:lang w:eastAsia="zh-CN"/>
        </w:rPr>
        <w:t>专用工具等的出厂</w:t>
      </w:r>
      <w:r>
        <w:rPr>
          <w:rFonts w:asciiTheme="minorEastAsia" w:hAnsiTheme="minorEastAsia" w:eastAsiaTheme="minorEastAsia"/>
          <w:spacing w:val="-36"/>
          <w:sz w:val="24"/>
          <w:szCs w:val="24"/>
          <w:lang w:eastAsia="zh-CN"/>
        </w:rPr>
        <w:t>价</w:t>
      </w:r>
      <w:r>
        <w:rPr>
          <w:rFonts w:asciiTheme="minorEastAsia" w:hAnsiTheme="minorEastAsia" w:eastAsiaTheme="minorEastAsia"/>
          <w:sz w:val="24"/>
          <w:szCs w:val="24"/>
          <w:lang w:eastAsia="zh-CN"/>
        </w:rPr>
        <w:t>（包括已在中国国内的进口货物完税后的仓库交货价、展室交货价或货架交货价）和运至最终目的地的运输费和保险费，安装调试、检验、技术服务、培训、质量保证、售后服务、税费等；</w:t>
      </w:r>
    </w:p>
    <w:p>
      <w:pPr>
        <w:pStyle w:val="29"/>
        <w:numPr>
          <w:ilvl w:val="2"/>
          <w:numId w:val="4"/>
        </w:numPr>
        <w:tabs>
          <w:tab w:val="left" w:pos="2102"/>
        </w:tabs>
        <w:spacing w:before="160" w:line="357" w:lineRule="auto"/>
        <w:ind w:left="2101" w:right="123" w:hanging="90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按照竞争性磋商文件要求完成本项目的全部相关费用。</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采购人不得向供应商索要或者接受其给予的赠品、回扣或者与采购无关的其他商品、服务。</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供应商不能提供任何有选择性或可调整的最后报价（竞争性磋商文件另有规定的除外），否则其</w:t>
      </w:r>
      <w:r>
        <w:rPr>
          <w:rFonts w:asciiTheme="minorEastAsia" w:hAnsiTheme="minorEastAsia" w:eastAsiaTheme="minorEastAsia"/>
          <w:b/>
          <w:spacing w:val="2"/>
          <w:sz w:val="24"/>
          <w:lang w:eastAsia="zh-CN"/>
        </w:rPr>
        <w:t>响应无效</w:t>
      </w:r>
      <w:r>
        <w:rPr>
          <w:rFonts w:asciiTheme="minorEastAsia" w:hAnsiTheme="minorEastAsia" w:eastAsiaTheme="minorEastAsia"/>
          <w:spacing w:val="2"/>
          <w:sz w:val="24"/>
          <w:lang w:eastAsia="zh-CN"/>
        </w:rPr>
        <w:t>。</w:t>
      </w:r>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磋商保证金</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供应商应按《供应商须知资料表》中规定的金额及要求交纳磋商保证金。</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交纳磋商保证金可采用的形式：政府采购法律法规接受的支票、汇票、本票、网上银行支付或者金融机构、担保机构出具的保函等非现金形式。</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响应无效。</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磋商保证金有效期同响应有效期。</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供应商为联合体的，可以由联合体中的一方或者多方共同交纳磋商保证金，其交纳的保证金对联合体各方均具有约束力。</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lang w:eastAsia="zh-CN"/>
        </w:rPr>
      </w:pPr>
      <w:r>
        <w:rPr>
          <w:rFonts w:asciiTheme="minorEastAsia" w:hAnsiTheme="minorEastAsia" w:eastAsiaTheme="minorEastAsia"/>
          <w:spacing w:val="-4"/>
          <w:sz w:val="24"/>
          <w:lang w:eastAsia="zh-CN"/>
        </w:rPr>
        <w:t>已提交响应文件的供应商，在提交最后报价之前，可以根据磋商情况</w:t>
      </w:r>
      <w:r>
        <w:rPr>
          <w:rFonts w:asciiTheme="minorEastAsia" w:hAnsiTheme="minorEastAsia" w:eastAsiaTheme="minorEastAsia"/>
          <w:lang w:eastAsia="zh-CN"/>
        </w:rPr>
        <w:t>退出磋商</w:t>
      </w:r>
      <w:r>
        <w:rPr>
          <w:rFonts w:asciiTheme="minorEastAsia" w:hAnsiTheme="minorEastAsia" w:eastAsiaTheme="minorEastAsia"/>
          <w:spacing w:val="-56"/>
          <w:lang w:eastAsia="zh-CN"/>
        </w:rPr>
        <w:t>。</w:t>
      </w:r>
      <w:r>
        <w:rPr>
          <w:rFonts w:asciiTheme="minorEastAsia" w:hAnsiTheme="minorEastAsia" w:eastAsiaTheme="minorEastAsia"/>
          <w:lang w:eastAsia="zh-CN"/>
        </w:rPr>
        <w:t>采购人</w:t>
      </w:r>
      <w:r>
        <w:rPr>
          <w:rFonts w:asciiTheme="minorEastAsia" w:hAnsiTheme="minorEastAsia" w:eastAsiaTheme="minorEastAsia"/>
          <w:spacing w:val="-53"/>
          <w:lang w:eastAsia="zh-CN"/>
        </w:rPr>
        <w:t>、</w:t>
      </w:r>
      <w:r>
        <w:rPr>
          <w:rFonts w:asciiTheme="minorEastAsia" w:hAnsiTheme="minorEastAsia" w:eastAsiaTheme="minorEastAsia"/>
          <w:lang w:eastAsia="zh-CN"/>
        </w:rPr>
        <w:t>采购代理机构将退还退出磋商的供应商的磋商保证金；</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spacing w:val="-4"/>
          <w:sz w:val="24"/>
          <w:lang w:eastAsia="zh-CN"/>
        </w:rPr>
      </w:pPr>
      <w:r>
        <w:rPr>
          <w:rFonts w:asciiTheme="minorEastAsia" w:hAnsiTheme="minorEastAsia" w:eastAsiaTheme="minorEastAsia"/>
          <w:spacing w:val="-4"/>
          <w:sz w:val="24"/>
          <w:lang w:eastAsia="zh-CN"/>
        </w:rPr>
        <w:t>成交供应商的磋商保证金，在采购合同签订后 5 个工作日内退还成交供应商；</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spacing w:val="-4"/>
          <w:sz w:val="24"/>
          <w:lang w:eastAsia="zh-CN"/>
        </w:rPr>
      </w:pPr>
      <w:r>
        <w:rPr>
          <w:rFonts w:asciiTheme="minorEastAsia" w:hAnsiTheme="minorEastAsia" w:eastAsiaTheme="minorEastAsia"/>
          <w:spacing w:val="-4"/>
          <w:sz w:val="24"/>
          <w:lang w:eastAsia="zh-CN"/>
        </w:rPr>
        <w:t>未成交供应商的磋商保证金，在成交通知书发出后 5 个工作日内退还。</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有下列情形之一的，采购人或采购代理机构不予退还磋商保证金：</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spacing w:val="-4"/>
          <w:sz w:val="24"/>
          <w:lang w:eastAsia="zh-CN"/>
        </w:rPr>
      </w:pPr>
      <w:r>
        <w:rPr>
          <w:rFonts w:asciiTheme="minorEastAsia" w:hAnsiTheme="minorEastAsia" w:eastAsiaTheme="minorEastAsia"/>
          <w:spacing w:val="-4"/>
          <w:sz w:val="24"/>
          <w:lang w:eastAsia="zh-CN"/>
        </w:rPr>
        <w:t>供应商在提交响应文件截止时间后撤回响应文件的；</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spacing w:val="-4"/>
          <w:sz w:val="24"/>
          <w:lang w:eastAsia="zh-CN"/>
        </w:rPr>
      </w:pPr>
      <w:r>
        <w:rPr>
          <w:rFonts w:asciiTheme="minorEastAsia" w:hAnsiTheme="minorEastAsia" w:eastAsiaTheme="minorEastAsia"/>
          <w:spacing w:val="-4"/>
          <w:sz w:val="24"/>
          <w:lang w:eastAsia="zh-CN"/>
        </w:rPr>
        <w:t>供应商在响应文件中提供虚假材料的；</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spacing w:val="-4"/>
          <w:sz w:val="24"/>
          <w:lang w:eastAsia="zh-CN"/>
        </w:rPr>
      </w:pPr>
      <w:r>
        <w:rPr>
          <w:rFonts w:asciiTheme="minorEastAsia" w:hAnsiTheme="minorEastAsia" w:eastAsiaTheme="minorEastAsia"/>
          <w:spacing w:val="-4"/>
          <w:sz w:val="24"/>
          <w:lang w:eastAsia="zh-CN"/>
        </w:rPr>
        <w:t>除因不可抗力或磋商文件认可的情形以外，成交供应商不与采购人签订合同的；</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spacing w:val="-4"/>
          <w:sz w:val="24"/>
          <w:lang w:eastAsia="zh-CN"/>
        </w:rPr>
      </w:pPr>
      <w:r>
        <w:rPr>
          <w:rFonts w:asciiTheme="minorEastAsia" w:hAnsiTheme="minorEastAsia" w:eastAsiaTheme="minorEastAsia"/>
          <w:spacing w:val="-4"/>
          <w:sz w:val="24"/>
          <w:lang w:eastAsia="zh-CN"/>
        </w:rPr>
        <w:t>供应商与采购人、其他供应商或者采购代理机构恶意串通的；</w:t>
      </w:r>
    </w:p>
    <w:p>
      <w:pPr>
        <w:pStyle w:val="29"/>
        <w:numPr>
          <w:ilvl w:val="2"/>
          <w:numId w:val="4"/>
        </w:numPr>
        <w:tabs>
          <w:tab w:val="left" w:pos="2102"/>
        </w:tabs>
        <w:spacing w:before="26" w:line="355" w:lineRule="auto"/>
        <w:ind w:left="2101" w:right="230" w:hanging="900"/>
        <w:jc w:val="both"/>
        <w:rPr>
          <w:rFonts w:asciiTheme="minorEastAsia" w:hAnsiTheme="minorEastAsia" w:eastAsiaTheme="minorEastAsia"/>
          <w:spacing w:val="-4"/>
          <w:sz w:val="24"/>
          <w:lang w:eastAsia="zh-CN"/>
        </w:rPr>
      </w:pPr>
      <w:r>
        <w:rPr>
          <w:rFonts w:asciiTheme="minorEastAsia" w:hAnsiTheme="minorEastAsia" w:eastAsiaTheme="minorEastAsia"/>
          <w:spacing w:val="-4"/>
          <w:sz w:val="24"/>
          <w:lang w:eastAsia="zh-CN"/>
        </w:rPr>
        <w:t>《供应商须知资料表》规定的其他情形。</w:t>
      </w:r>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响应有效期</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响应文件应在本竞争性磋商文件《供应商须知资料表》中规定的响应有效期内保持有效，响应有效期少于竞争性磋商文件规定期限的，其</w:t>
      </w:r>
      <w:r>
        <w:rPr>
          <w:rFonts w:asciiTheme="minorEastAsia" w:hAnsiTheme="minorEastAsia" w:eastAsiaTheme="minorEastAsia"/>
          <w:b/>
          <w:spacing w:val="2"/>
          <w:sz w:val="24"/>
          <w:lang w:eastAsia="zh-CN"/>
        </w:rPr>
        <w:t>响应无效</w:t>
      </w:r>
      <w:r>
        <w:rPr>
          <w:rFonts w:asciiTheme="minorEastAsia" w:hAnsiTheme="minorEastAsia" w:eastAsiaTheme="minorEastAsia"/>
          <w:spacing w:val="2"/>
          <w:sz w:val="24"/>
          <w:lang w:eastAsia="zh-CN"/>
        </w:rPr>
        <w:t>。</w:t>
      </w:r>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响应文件的签署、盖章</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pPr>
        <w:pStyle w:val="29"/>
        <w:numPr>
          <w:ilvl w:val="1"/>
          <w:numId w:val="4"/>
        </w:numPr>
        <w:spacing w:before="10" w:line="348" w:lineRule="auto"/>
        <w:ind w:left="1201" w:right="231"/>
        <w:jc w:val="both"/>
        <w:rPr>
          <w:rFonts w:asciiTheme="minorEastAsia" w:hAnsiTheme="minorEastAsia" w:eastAsiaTheme="minorEastAsia"/>
          <w:sz w:val="16"/>
          <w:lang w:eastAsia="zh-CN"/>
        </w:rPr>
      </w:pPr>
      <w:r>
        <w:rPr>
          <w:rFonts w:asciiTheme="minorEastAsia" w:hAnsiTheme="minorEastAsia" w:eastAsiaTheme="minorEastAsia"/>
          <w:spacing w:val="2"/>
          <w:sz w:val="24"/>
          <w:lang w:eastAsia="zh-CN"/>
        </w:rPr>
        <w:t>竞争性磋商文件要求盖章的内容，一般通过投标文件编制工具加盖电子签章。</w:t>
      </w:r>
    </w:p>
    <w:p>
      <w:pPr>
        <w:pStyle w:val="5"/>
        <w:rPr>
          <w:rFonts w:asciiTheme="minorEastAsia" w:hAnsiTheme="minorEastAsia" w:eastAsiaTheme="minorEastAsia"/>
          <w:b/>
          <w:lang w:eastAsia="zh-CN"/>
        </w:rPr>
      </w:pPr>
      <w:bookmarkStart w:id="16" w:name="_Toc164263455"/>
      <w:r>
        <w:rPr>
          <w:rFonts w:asciiTheme="minorEastAsia" w:hAnsiTheme="minorEastAsia" w:eastAsiaTheme="minorEastAsia"/>
          <w:b/>
          <w:lang w:eastAsia="zh-CN"/>
        </w:rPr>
        <w:t>四</w:t>
      </w:r>
      <w:r>
        <w:rPr>
          <w:rFonts w:hint="eastAsia" w:asciiTheme="minorEastAsia" w:hAnsiTheme="minorEastAsia" w:eastAsiaTheme="minorEastAsia"/>
          <w:b/>
          <w:lang w:eastAsia="zh-CN"/>
        </w:rPr>
        <w:t xml:space="preserve">  </w:t>
      </w:r>
      <w:r>
        <w:rPr>
          <w:rFonts w:asciiTheme="minorEastAsia" w:hAnsiTheme="minorEastAsia" w:eastAsiaTheme="minorEastAsia"/>
          <w:b/>
          <w:lang w:eastAsia="zh-CN"/>
        </w:rPr>
        <w:t>响应文件的提交</w:t>
      </w:r>
      <w:bookmarkEnd w:id="16"/>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响应文件的提交</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本项目使用北京市政府采购电子交易平台。供应商根据竞争性磋商文件及电子交易平台供应商操作手册要求编制、生成并提交电子响应文件。</w:t>
      </w:r>
    </w:p>
    <w:p>
      <w:pPr>
        <w:pStyle w:val="29"/>
        <w:numPr>
          <w:ilvl w:val="1"/>
          <w:numId w:val="4"/>
        </w:numPr>
        <w:spacing w:before="36" w:line="348" w:lineRule="auto"/>
        <w:ind w:left="1201" w:right="231"/>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采购人及采购代理机构拒绝接受通过电子交易平台以外任何形式提交的响应文件，磋商保证金</w:t>
      </w:r>
      <w:r>
        <w:rPr>
          <w:rFonts w:hint="eastAsia" w:asciiTheme="minorEastAsia" w:hAnsiTheme="minorEastAsia" w:eastAsiaTheme="minorEastAsia"/>
          <w:spacing w:val="2"/>
          <w:sz w:val="24"/>
          <w:lang w:eastAsia="zh-CN"/>
        </w:rPr>
        <w:t>及</w:t>
      </w:r>
      <w:r>
        <w:rPr>
          <w:rFonts w:hint="eastAsia"/>
          <w:color w:val="000000"/>
          <w:sz w:val="24"/>
          <w:lang w:eastAsia="zh-CN"/>
        </w:rPr>
        <w:t>现场递交的纸质版响应文件（如要求）</w:t>
      </w:r>
      <w:r>
        <w:rPr>
          <w:rFonts w:asciiTheme="minorEastAsia" w:hAnsiTheme="minorEastAsia" w:eastAsiaTheme="minorEastAsia"/>
          <w:spacing w:val="2"/>
          <w:sz w:val="24"/>
          <w:lang w:eastAsia="zh-CN"/>
        </w:rPr>
        <w:t>除外。</w:t>
      </w:r>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响应文件提交截止时间</w:t>
      </w:r>
    </w:p>
    <w:p>
      <w:pPr>
        <w:pStyle w:val="29"/>
        <w:numPr>
          <w:ilvl w:val="1"/>
          <w:numId w:val="4"/>
        </w:numPr>
        <w:tabs>
          <w:tab w:val="left" w:pos="1197"/>
        </w:tabs>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供应商应在竞争性磋商文件要求响应文件提交截</w:t>
      </w:r>
      <w:r>
        <w:rPr>
          <w:rFonts w:asciiTheme="minorEastAsia" w:hAnsiTheme="minorEastAsia" w:eastAsiaTheme="minorEastAsia"/>
          <w:sz w:val="24"/>
          <w:lang w:eastAsia="zh-CN"/>
        </w:rPr>
        <w:t>止</w:t>
      </w:r>
      <w:r>
        <w:rPr>
          <w:rFonts w:asciiTheme="minorEastAsia" w:hAnsiTheme="minorEastAsia" w:eastAsiaTheme="minorEastAsia"/>
          <w:spacing w:val="2"/>
          <w:sz w:val="24"/>
          <w:lang w:eastAsia="zh-CN"/>
        </w:rPr>
        <w:t>时间前，将电子响应文</w:t>
      </w:r>
      <w:r>
        <w:rPr>
          <w:rFonts w:asciiTheme="minorEastAsia" w:hAnsiTheme="minorEastAsia" w:eastAsiaTheme="minorEastAsia"/>
          <w:sz w:val="24"/>
          <w:lang w:eastAsia="zh-CN"/>
        </w:rPr>
        <w:t>件提交至电子交易平台。</w:t>
      </w:r>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响应文件的修改与撤回</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pPr>
        <w:pStyle w:val="29"/>
        <w:numPr>
          <w:ilvl w:val="1"/>
          <w:numId w:val="4"/>
        </w:numPr>
        <w:tabs>
          <w:tab w:val="left" w:pos="1197"/>
        </w:tabs>
        <w:spacing w:before="43" w:line="338" w:lineRule="auto"/>
        <w:ind w:right="113"/>
        <w:jc w:val="both"/>
        <w:rPr>
          <w:rFonts w:asciiTheme="minorEastAsia" w:hAnsiTheme="minorEastAsia" w:eastAsiaTheme="minorEastAsia"/>
          <w:sz w:val="20"/>
          <w:lang w:eastAsia="zh-CN"/>
        </w:rPr>
      </w:pPr>
      <w:r>
        <w:rPr>
          <w:rFonts w:asciiTheme="minorEastAsia" w:hAnsiTheme="minorEastAsia" w:eastAsiaTheme="minorEastAsia"/>
          <w:spacing w:val="2"/>
          <w:sz w:val="24"/>
          <w:lang w:eastAsia="zh-CN"/>
        </w:rPr>
        <w:t>供应商对响应文件的补充、修改的内容应当按照竞争性磋商文件要求签署、盖章，作为响应文件的组成部分。补充、修改的内容与响应文件不一致的，以补充、修改的内容为准。</w:t>
      </w:r>
    </w:p>
    <w:p>
      <w:pPr>
        <w:pStyle w:val="12"/>
        <w:spacing w:before="11"/>
        <w:rPr>
          <w:rFonts w:asciiTheme="minorEastAsia" w:hAnsiTheme="minorEastAsia" w:eastAsiaTheme="minorEastAsia"/>
          <w:sz w:val="13"/>
          <w:lang w:eastAsia="zh-CN"/>
        </w:rPr>
      </w:pPr>
    </w:p>
    <w:p>
      <w:pPr>
        <w:pStyle w:val="5"/>
        <w:rPr>
          <w:rFonts w:asciiTheme="minorEastAsia" w:hAnsiTheme="minorEastAsia" w:eastAsiaTheme="minorEastAsia"/>
          <w:b/>
          <w:lang w:eastAsia="zh-CN"/>
        </w:rPr>
      </w:pPr>
      <w:bookmarkStart w:id="17" w:name="_Toc164263456"/>
      <w:r>
        <w:rPr>
          <w:rFonts w:asciiTheme="minorEastAsia" w:hAnsiTheme="minorEastAsia" w:eastAsiaTheme="minorEastAsia"/>
          <w:b/>
          <w:lang w:eastAsia="zh-CN"/>
        </w:rPr>
        <w:t>五</w:t>
      </w:r>
      <w:r>
        <w:rPr>
          <w:rFonts w:hint="eastAsia" w:asciiTheme="minorEastAsia" w:hAnsiTheme="minorEastAsia" w:eastAsiaTheme="minorEastAsia"/>
          <w:b/>
          <w:lang w:eastAsia="zh-CN"/>
        </w:rPr>
        <w:t xml:space="preserve">  </w:t>
      </w:r>
      <w:r>
        <w:rPr>
          <w:rFonts w:asciiTheme="minorEastAsia" w:hAnsiTheme="minorEastAsia" w:eastAsiaTheme="minorEastAsia"/>
          <w:b/>
          <w:lang w:eastAsia="zh-CN"/>
        </w:rPr>
        <w:t>评审</w:t>
      </w:r>
      <w:bookmarkEnd w:id="17"/>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响应文件的解密与开启</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采购人或采购代理机构将按竞争性磋商文件的规定，在响应文件提交截止时间的同一时间和竞争性磋商文件预先确定的地点开启响应文件。</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本项目解密使用北京市政府采购电子交易平台。供应商应在规定的时间内对响应文件进行解密，因非系统原因导致的解密失败，视为</w:t>
      </w:r>
      <w:r>
        <w:rPr>
          <w:rFonts w:asciiTheme="minorEastAsia" w:hAnsiTheme="minorEastAsia" w:eastAsiaTheme="minorEastAsia"/>
          <w:b/>
          <w:spacing w:val="2"/>
          <w:sz w:val="24"/>
          <w:lang w:eastAsia="zh-CN"/>
        </w:rPr>
        <w:t>无效响应</w:t>
      </w:r>
      <w:r>
        <w:rPr>
          <w:rFonts w:asciiTheme="minorEastAsia" w:hAnsiTheme="minorEastAsia" w:eastAsiaTheme="minorEastAsia"/>
          <w:spacing w:val="2"/>
          <w:sz w:val="24"/>
          <w:lang w:eastAsia="zh-CN"/>
        </w:rPr>
        <w:t>。</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供应商不足 3 家的，不予解密。</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本项目不公开报价。</w:t>
      </w:r>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磋商小组</w:t>
      </w:r>
    </w:p>
    <w:p>
      <w:pPr>
        <w:pStyle w:val="29"/>
        <w:numPr>
          <w:ilvl w:val="1"/>
          <w:numId w:val="4"/>
        </w:numPr>
        <w:tabs>
          <w:tab w:val="left" w:pos="1197"/>
        </w:tabs>
        <w:spacing w:before="43" w:line="338" w:lineRule="auto"/>
        <w:ind w:right="113"/>
        <w:jc w:val="both"/>
        <w:rPr>
          <w:rFonts w:asciiTheme="minorEastAsia" w:hAnsiTheme="minorEastAsia" w:eastAsiaTheme="minorEastAsia"/>
          <w:b/>
          <w:spacing w:val="2"/>
          <w:sz w:val="24"/>
          <w:lang w:eastAsia="zh-CN"/>
        </w:rPr>
      </w:pPr>
      <w:r>
        <w:rPr>
          <w:rFonts w:asciiTheme="minorEastAsia" w:hAnsiTheme="minorEastAsia" w:eastAsiaTheme="minorEastAsia"/>
          <w:spacing w:val="2"/>
          <w:sz w:val="24"/>
          <w:lang w:eastAsia="zh-CN"/>
        </w:rPr>
        <w:t>磋商小组根据政府采购有关规定和本次采购项目的特点进行组建，并负责具体评审与磋商事务，独立履行职责。</w:t>
      </w:r>
      <w:r>
        <w:rPr>
          <w:rFonts w:hint="eastAsia" w:asciiTheme="minorEastAsia" w:hAnsiTheme="minorEastAsia" w:eastAsiaTheme="minorEastAsia"/>
          <w:b/>
          <w:spacing w:val="2"/>
          <w:sz w:val="24"/>
          <w:lang w:eastAsia="zh-CN"/>
        </w:rPr>
        <w:t>评标委员会由采购人代表和评审专家共</w:t>
      </w:r>
      <w:r>
        <w:rPr>
          <w:rFonts w:asciiTheme="minorEastAsia" w:hAnsiTheme="minorEastAsia" w:eastAsiaTheme="minorEastAsia"/>
          <w:b/>
          <w:spacing w:val="2"/>
          <w:sz w:val="24"/>
          <w:lang w:eastAsia="zh-CN"/>
        </w:rPr>
        <w:t>3人组成，甲方代表1人，北京市专家库系统随机抽取专家2人。</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pPr>
        <w:pStyle w:val="29"/>
        <w:numPr>
          <w:ilvl w:val="0"/>
          <w:numId w:val="4"/>
        </w:numPr>
        <w:tabs>
          <w:tab w:val="left" w:pos="482"/>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评审方法和评审标准</w:t>
      </w:r>
    </w:p>
    <w:p>
      <w:pPr>
        <w:pStyle w:val="29"/>
        <w:numPr>
          <w:ilvl w:val="1"/>
          <w:numId w:val="4"/>
        </w:numPr>
        <w:tabs>
          <w:tab w:val="left" w:pos="1197"/>
        </w:tabs>
        <w:spacing w:before="43" w:line="338" w:lineRule="auto"/>
        <w:ind w:right="113"/>
        <w:jc w:val="both"/>
        <w:rPr>
          <w:rFonts w:asciiTheme="minorEastAsia" w:hAnsiTheme="minorEastAsia" w:eastAsiaTheme="minorEastAsia"/>
          <w:sz w:val="20"/>
          <w:lang w:eastAsia="zh-CN"/>
        </w:rPr>
      </w:pPr>
      <w:r>
        <w:rPr>
          <w:rFonts w:asciiTheme="minorEastAsia" w:hAnsiTheme="minorEastAsia" w:eastAsiaTheme="minorEastAsia"/>
          <w:spacing w:val="2"/>
          <w:sz w:val="24"/>
          <w:lang w:eastAsia="zh-CN"/>
        </w:rPr>
        <w:t>见第三章《评审方法和评审标准》。</w:t>
      </w:r>
    </w:p>
    <w:p>
      <w:pPr>
        <w:pStyle w:val="5"/>
        <w:rPr>
          <w:rFonts w:asciiTheme="minorEastAsia" w:hAnsiTheme="minorEastAsia" w:eastAsiaTheme="minorEastAsia"/>
          <w:b/>
          <w:lang w:eastAsia="zh-CN"/>
        </w:rPr>
      </w:pPr>
      <w:bookmarkStart w:id="18" w:name="_Toc164263457"/>
      <w:r>
        <w:rPr>
          <w:rFonts w:asciiTheme="minorEastAsia" w:hAnsiTheme="minorEastAsia" w:eastAsiaTheme="minorEastAsia"/>
          <w:b/>
          <w:lang w:eastAsia="zh-CN"/>
        </w:rPr>
        <w:t>六</w:t>
      </w:r>
      <w:r>
        <w:rPr>
          <w:rFonts w:hint="eastAsia" w:asciiTheme="minorEastAsia" w:hAnsiTheme="minorEastAsia" w:eastAsiaTheme="minorEastAsia"/>
          <w:b/>
          <w:lang w:eastAsia="zh-CN"/>
        </w:rPr>
        <w:t xml:space="preserve">  </w:t>
      </w:r>
      <w:r>
        <w:rPr>
          <w:rFonts w:asciiTheme="minorEastAsia" w:hAnsiTheme="minorEastAsia" w:eastAsiaTheme="minorEastAsia"/>
          <w:b/>
          <w:lang w:eastAsia="zh-CN"/>
        </w:rPr>
        <w:t>确定成交</w:t>
      </w:r>
      <w:bookmarkEnd w:id="18"/>
    </w:p>
    <w:p>
      <w:pPr>
        <w:pStyle w:val="29"/>
        <w:numPr>
          <w:ilvl w:val="0"/>
          <w:numId w:val="4"/>
        </w:numPr>
        <w:tabs>
          <w:tab w:val="left" w:pos="477"/>
        </w:tabs>
        <w:spacing w:before="120" w:beforeLines="50" w:line="355" w:lineRule="auto"/>
        <w:ind w:left="389" w:right="230" w:hanging="388" w:hangingChars="162"/>
        <w:rPr>
          <w:rFonts w:asciiTheme="minorEastAsia" w:hAnsiTheme="minorEastAsia" w:eastAsiaTheme="minorEastAsia"/>
          <w:sz w:val="24"/>
          <w:lang w:eastAsia="zh-CN"/>
        </w:rPr>
      </w:pPr>
      <w:r>
        <w:rPr>
          <w:rFonts w:asciiTheme="minorEastAsia" w:hAnsiTheme="minorEastAsia" w:eastAsiaTheme="minorEastAsia"/>
          <w:sz w:val="24"/>
          <w:lang w:eastAsia="zh-CN"/>
        </w:rPr>
        <w:t>确定成交供应商</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pStyle w:val="29"/>
        <w:numPr>
          <w:ilvl w:val="0"/>
          <w:numId w:val="4"/>
        </w:numPr>
        <w:tabs>
          <w:tab w:val="left" w:pos="477"/>
        </w:tabs>
        <w:spacing w:line="482" w:lineRule="exact"/>
        <w:ind w:right="6306" w:hanging="355"/>
        <w:rPr>
          <w:rFonts w:asciiTheme="minorEastAsia" w:hAnsiTheme="minorEastAsia" w:eastAsiaTheme="minorEastAsia"/>
          <w:sz w:val="24"/>
        </w:rPr>
      </w:pPr>
      <w:r>
        <w:rPr>
          <w:rFonts w:asciiTheme="minorEastAsia" w:hAnsiTheme="minorEastAsia" w:eastAsiaTheme="minorEastAsia"/>
          <w:sz w:val="24"/>
          <w:lang w:eastAsia="zh-CN"/>
        </w:rPr>
        <w:t>成交公告与成</w:t>
      </w:r>
      <w:r>
        <w:rPr>
          <w:rFonts w:asciiTheme="minorEastAsia" w:hAnsiTheme="minorEastAsia" w:eastAsiaTheme="minorEastAsia"/>
          <w:sz w:val="24"/>
        </w:rPr>
        <w:t>交通知书</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采购人或采购代理机构将在成交供应商确定后 2 个工作日内，在北京市政府采购网公告成交结果，同时向成交供应商发出成交通知书，成交公告期限为 1个工作日。</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成交通知书对采购人和成交供应商均具有法律效力。成交通知书发出后，采购人改变成交结果的，或者成交供应商放弃成交项目的，应当依法承担法律责任。</w:t>
      </w:r>
    </w:p>
    <w:p>
      <w:pPr>
        <w:pStyle w:val="12"/>
        <w:spacing w:before="6"/>
        <w:rPr>
          <w:rFonts w:asciiTheme="minorEastAsia" w:hAnsiTheme="minorEastAsia" w:eastAsiaTheme="minorEastAsia"/>
          <w:sz w:val="8"/>
          <w:lang w:eastAsia="zh-CN"/>
        </w:rPr>
      </w:pPr>
    </w:p>
    <w:p>
      <w:pPr>
        <w:pStyle w:val="29"/>
        <w:numPr>
          <w:ilvl w:val="0"/>
          <w:numId w:val="4"/>
        </w:numPr>
        <w:tabs>
          <w:tab w:val="left" w:pos="477"/>
        </w:tabs>
        <w:spacing w:line="492" w:lineRule="exact"/>
        <w:ind w:hanging="355"/>
        <w:rPr>
          <w:rFonts w:asciiTheme="minorEastAsia" w:hAnsiTheme="minorEastAsia" w:eastAsiaTheme="minorEastAsia"/>
          <w:sz w:val="24"/>
          <w:lang w:eastAsia="zh-CN"/>
        </w:rPr>
      </w:pPr>
      <w:r>
        <w:rPr>
          <w:rFonts w:asciiTheme="minorEastAsia" w:hAnsiTheme="minorEastAsia" w:eastAsiaTheme="minorEastAsia"/>
          <w:sz w:val="24"/>
          <w:lang w:eastAsia="zh-CN"/>
        </w:rPr>
        <w:t>终止</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出现下列情形之一的，采购人或采购代理机构将终止竞争性磋商采购活动，发布项目终止公告并说明原因，重新开展采购活动：</w:t>
      </w:r>
    </w:p>
    <w:p>
      <w:pPr>
        <w:pStyle w:val="29"/>
        <w:numPr>
          <w:ilvl w:val="2"/>
          <w:numId w:val="4"/>
        </w:numPr>
        <w:tabs>
          <w:tab w:val="left" w:pos="1197"/>
        </w:tabs>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因情况变化，不再符合规定的竞争性磋商采购方式适用</w:t>
      </w:r>
      <w:r>
        <w:rPr>
          <w:rFonts w:asciiTheme="minorEastAsia" w:hAnsiTheme="minorEastAsia" w:eastAsiaTheme="minorEastAsia"/>
          <w:sz w:val="24"/>
          <w:lang w:eastAsia="zh-CN"/>
        </w:rPr>
        <w:t>情形的；</w:t>
      </w:r>
    </w:p>
    <w:p>
      <w:pPr>
        <w:pStyle w:val="29"/>
        <w:numPr>
          <w:ilvl w:val="2"/>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出现影响采购公正的违法、违规行为的；</w:t>
      </w:r>
    </w:p>
    <w:p>
      <w:pPr>
        <w:pStyle w:val="29"/>
        <w:numPr>
          <w:ilvl w:val="2"/>
          <w:numId w:val="4"/>
        </w:numPr>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pPr>
        <w:pStyle w:val="29"/>
        <w:numPr>
          <w:ilvl w:val="0"/>
          <w:numId w:val="4"/>
        </w:numPr>
        <w:tabs>
          <w:tab w:val="left" w:pos="477"/>
        </w:tabs>
        <w:spacing w:line="492" w:lineRule="exact"/>
        <w:ind w:hanging="355"/>
        <w:rPr>
          <w:rFonts w:asciiTheme="minorEastAsia" w:hAnsiTheme="minorEastAsia" w:eastAsiaTheme="minorEastAsia"/>
          <w:sz w:val="24"/>
          <w:lang w:eastAsia="zh-CN"/>
        </w:rPr>
      </w:pPr>
      <w:r>
        <w:rPr>
          <w:rFonts w:asciiTheme="minorEastAsia" w:hAnsiTheme="minorEastAsia" w:eastAsiaTheme="minorEastAsia"/>
          <w:sz w:val="24"/>
          <w:lang w:eastAsia="zh-CN"/>
        </w:rPr>
        <w:t>签订合同</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采购人与成交供应商应当在成交通知书发出之日起 30 日内，按照磋商文件确定的合同文本以及采购标的、规格型号、采购金额、采购数量、技术和服务要求等事项签订政府采购合同。</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联合体成交的，联合体各方应当共同与采购人签订合同，就采购合同约定的事项向采购人承担连带责任。</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政府采购合同不能转包。</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Theme="minorEastAsia" w:hAnsiTheme="minorEastAsia" w:eastAsiaTheme="minorEastAsia"/>
          <w:b/>
          <w:spacing w:val="2"/>
          <w:sz w:val="24"/>
          <w:lang w:eastAsia="zh-CN"/>
        </w:rPr>
        <w:t>响应无效</w:t>
      </w:r>
      <w:r>
        <w:rPr>
          <w:rFonts w:asciiTheme="minorEastAsia" w:hAnsiTheme="minorEastAsia" w:eastAsiaTheme="minorEastAsia"/>
          <w:spacing w:val="2"/>
          <w:sz w:val="24"/>
          <w:lang w:eastAsia="zh-CN"/>
        </w:rPr>
        <w:t>。成交供应商就采购项目和分包项目向采购人负责，分包供应商就分包项目承担责任。</w:t>
      </w:r>
    </w:p>
    <w:p>
      <w:pPr>
        <w:pStyle w:val="29"/>
        <w:numPr>
          <w:ilvl w:val="0"/>
          <w:numId w:val="4"/>
        </w:numPr>
        <w:tabs>
          <w:tab w:val="left" w:pos="477"/>
        </w:tabs>
        <w:spacing w:line="492" w:lineRule="exact"/>
        <w:ind w:hanging="355"/>
        <w:rPr>
          <w:rFonts w:asciiTheme="minorEastAsia" w:hAnsiTheme="minorEastAsia" w:eastAsiaTheme="minorEastAsia"/>
          <w:sz w:val="24"/>
          <w:lang w:eastAsia="zh-CN"/>
        </w:rPr>
      </w:pPr>
      <w:r>
        <w:rPr>
          <w:rFonts w:asciiTheme="minorEastAsia" w:hAnsiTheme="minorEastAsia" w:eastAsiaTheme="minorEastAsia"/>
          <w:sz w:val="24"/>
          <w:lang w:eastAsia="zh-CN"/>
        </w:rPr>
        <w:t>询问与质疑</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询问</w:t>
      </w:r>
    </w:p>
    <w:p>
      <w:pPr>
        <w:pStyle w:val="29"/>
        <w:numPr>
          <w:ilvl w:val="2"/>
          <w:numId w:val="4"/>
        </w:numPr>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供应商对政府采购活动事项有疑问的，可依法提出询问，并按《供应商须知资料表》载明的形式送达采购人或采购代理机构。</w:t>
      </w:r>
    </w:p>
    <w:p>
      <w:pPr>
        <w:pStyle w:val="29"/>
        <w:numPr>
          <w:ilvl w:val="2"/>
          <w:numId w:val="4"/>
        </w:numPr>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采购人或采购代理机构对供应商依法提出的询问，在 3 个工作日内作出答复，但答复的内容不得涉及商业秘密。</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质疑</w:t>
      </w:r>
    </w:p>
    <w:p>
      <w:pPr>
        <w:pStyle w:val="29"/>
        <w:numPr>
          <w:ilvl w:val="2"/>
          <w:numId w:val="4"/>
        </w:numPr>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供应商认为竞争性磋商文件、采购过程、成交结果使自己的权益受到损害的，可以在知道或者应知其权益受到损害之日起 7 个工作日内，以书面形式向采购人、采购代理机构提出质疑。采购人、采购代理机构在收到质疑函后 7 个工作日内作出答复。</w:t>
      </w:r>
    </w:p>
    <w:p>
      <w:pPr>
        <w:pStyle w:val="29"/>
        <w:numPr>
          <w:ilvl w:val="2"/>
          <w:numId w:val="4"/>
        </w:numPr>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质疑函须使用财政部制定的范本文件。供应商为自然人的，质疑函应当由本人签字；供应商为法人或者其他组织的，质疑函应当由法定代表人、主要负责人，或者其授权代表签字或者盖章，并加盖公章。</w:t>
      </w:r>
    </w:p>
    <w:p>
      <w:pPr>
        <w:pStyle w:val="29"/>
        <w:numPr>
          <w:ilvl w:val="2"/>
          <w:numId w:val="4"/>
        </w:numPr>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pStyle w:val="29"/>
        <w:numPr>
          <w:ilvl w:val="2"/>
          <w:numId w:val="4"/>
        </w:numPr>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供应商应在法定质疑期内一次性提出针对同一采购程序环节的质疑，法定质疑期内针对同一采购程序环节再次提出的质疑，采购人、采购代理机构有权不予答复。</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接收询问和质疑的联系部门、联系电话和通讯地址见《供应商须知资料表》。</w:t>
      </w:r>
    </w:p>
    <w:p>
      <w:pPr>
        <w:pStyle w:val="29"/>
        <w:numPr>
          <w:ilvl w:val="0"/>
          <w:numId w:val="4"/>
        </w:numPr>
        <w:tabs>
          <w:tab w:val="left" w:pos="477"/>
        </w:tabs>
        <w:spacing w:line="492" w:lineRule="exact"/>
        <w:ind w:hanging="355"/>
        <w:rPr>
          <w:rFonts w:asciiTheme="minorEastAsia" w:hAnsiTheme="minorEastAsia" w:eastAsiaTheme="minorEastAsia"/>
          <w:sz w:val="24"/>
          <w:lang w:eastAsia="zh-CN"/>
        </w:rPr>
      </w:pPr>
      <w:r>
        <w:rPr>
          <w:rFonts w:asciiTheme="minorEastAsia" w:hAnsiTheme="minorEastAsia" w:eastAsiaTheme="minorEastAsia"/>
          <w:sz w:val="24"/>
          <w:lang w:eastAsia="zh-CN"/>
        </w:rPr>
        <w:t>代理费</w:t>
      </w:r>
    </w:p>
    <w:p>
      <w:pPr>
        <w:pStyle w:val="29"/>
        <w:numPr>
          <w:ilvl w:val="1"/>
          <w:numId w:val="4"/>
        </w:numPr>
        <w:tabs>
          <w:tab w:val="left" w:pos="119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收费对象、收费标准及缴纳时间见《供应商须知资料表》。由成交供应商支付的，成交供应商须一次性向采购代理机构缴纳代理费，报价应包含代理费用。</w:t>
      </w:r>
    </w:p>
    <w:p>
      <w:pPr>
        <w:pStyle w:val="29"/>
        <w:tabs>
          <w:tab w:val="left" w:pos="1197"/>
        </w:tabs>
        <w:spacing w:before="43" w:line="338" w:lineRule="auto"/>
        <w:ind w:left="992" w:right="113" w:firstLine="0"/>
        <w:jc w:val="both"/>
        <w:rPr>
          <w:rFonts w:asciiTheme="minorEastAsia" w:hAnsiTheme="minorEastAsia" w:eastAsiaTheme="minorEastAsia"/>
          <w:spacing w:val="2"/>
          <w:sz w:val="24"/>
          <w:lang w:eastAsia="zh-CN"/>
        </w:rPr>
      </w:pPr>
    </w:p>
    <w:p>
      <w:pPr>
        <w:spacing w:line="185" w:lineRule="exact"/>
        <w:rPr>
          <w:rFonts w:asciiTheme="minorEastAsia" w:hAnsiTheme="minorEastAsia" w:eastAsiaTheme="minorEastAsia"/>
          <w:lang w:eastAsia="zh-CN"/>
        </w:rPr>
        <w:sectPr>
          <w:footerReference r:id="rId5" w:type="default"/>
          <w:pgSz w:w="11910" w:h="16840"/>
          <w:pgMar w:top="1440" w:right="1797" w:bottom="1440" w:left="1797" w:header="879" w:footer="892" w:gutter="0"/>
          <w:cols w:space="720" w:num="1"/>
        </w:sectPr>
      </w:pPr>
    </w:p>
    <w:p>
      <w:pPr>
        <w:pStyle w:val="3"/>
        <w:tabs>
          <w:tab w:val="left" w:pos="1670"/>
        </w:tabs>
        <w:spacing w:before="246"/>
        <w:ind w:left="48"/>
        <w:jc w:val="center"/>
        <w:rPr>
          <w:rFonts w:asciiTheme="minorEastAsia" w:hAnsiTheme="minorEastAsia" w:eastAsiaTheme="minorEastAsia"/>
          <w:b/>
          <w:lang w:eastAsia="zh-CN"/>
        </w:rPr>
      </w:pPr>
      <w:bookmarkStart w:id="19" w:name="_TOC_250003"/>
      <w:bookmarkEnd w:id="19"/>
      <w:bookmarkStart w:id="20" w:name="_Toc164263458"/>
      <w:r>
        <w:rPr>
          <w:rFonts w:asciiTheme="minorEastAsia" w:hAnsiTheme="minorEastAsia" w:eastAsiaTheme="minorEastAsia"/>
          <w:b/>
          <w:lang w:eastAsia="zh-CN"/>
        </w:rPr>
        <w:t>第三章评审方法和评审标准</w:t>
      </w:r>
      <w:bookmarkEnd w:id="20"/>
    </w:p>
    <w:p>
      <w:pPr>
        <w:pStyle w:val="5"/>
        <w:rPr>
          <w:rFonts w:asciiTheme="minorEastAsia" w:hAnsiTheme="minorEastAsia" w:eastAsiaTheme="minorEastAsia"/>
          <w:sz w:val="33"/>
        </w:rPr>
      </w:pPr>
      <w:bookmarkStart w:id="21" w:name="_Toc164263459"/>
      <w:r>
        <w:rPr>
          <w:rFonts w:asciiTheme="minorEastAsia" w:hAnsiTheme="minorEastAsia" w:eastAsiaTheme="minorEastAsia"/>
          <w:b/>
          <w:lang w:eastAsia="zh-CN"/>
        </w:rPr>
        <w:t>一、资格审查程序</w:t>
      </w:r>
      <w:bookmarkEnd w:id="21"/>
    </w:p>
    <w:p>
      <w:pPr>
        <w:pStyle w:val="29"/>
        <w:numPr>
          <w:ilvl w:val="0"/>
          <w:numId w:val="5"/>
        </w:numPr>
        <w:tabs>
          <w:tab w:val="left" w:pos="477"/>
        </w:tabs>
        <w:spacing w:line="492" w:lineRule="exact"/>
        <w:rPr>
          <w:rFonts w:asciiTheme="minorEastAsia" w:hAnsiTheme="minorEastAsia" w:eastAsiaTheme="minorEastAsia"/>
          <w:sz w:val="24"/>
          <w:lang w:eastAsia="zh-CN"/>
        </w:rPr>
      </w:pPr>
      <w:r>
        <w:rPr>
          <w:rFonts w:asciiTheme="minorEastAsia" w:hAnsiTheme="minorEastAsia" w:eastAsiaTheme="minorEastAsia"/>
          <w:sz w:val="24"/>
          <w:lang w:eastAsia="zh-CN"/>
        </w:rPr>
        <w:t>响应文件的资格审查和符合性审查</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hAnsiTheme="minorEastAsia" w:eastAsiaTheme="minorEastAsia"/>
          <w:b/>
          <w:spacing w:val="2"/>
          <w:sz w:val="24"/>
          <w:lang w:eastAsia="zh-CN"/>
        </w:rPr>
        <w:t>无效响应</w:t>
      </w:r>
      <w:r>
        <w:rPr>
          <w:rFonts w:asciiTheme="minorEastAsia" w:hAnsiTheme="minorEastAsia" w:eastAsiaTheme="minorEastAsia"/>
          <w:spacing w:val="2"/>
          <w:sz w:val="24"/>
          <w:lang w:eastAsia="zh-CN"/>
        </w:rPr>
        <w:t>处理，磋商小组应当告知提交响应文件的供应商。</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《资格审查要求》中对格式有要求的，除竞争性磋商文件另有规定外，均为“实质性格式”文件。</w:t>
      </w:r>
    </w:p>
    <w:p>
      <w:pPr>
        <w:pStyle w:val="29"/>
        <w:numPr>
          <w:ilvl w:val="1"/>
          <w:numId w:val="6"/>
        </w:numPr>
        <w:tabs>
          <w:tab w:val="left" w:pos="477"/>
        </w:tabs>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《资格审查要求》见下表：</w:t>
      </w:r>
    </w:p>
    <w:p>
      <w:pPr>
        <w:pStyle w:val="5"/>
        <w:rPr>
          <w:rFonts w:asciiTheme="minorEastAsia" w:hAnsiTheme="minorEastAsia" w:eastAsiaTheme="minorEastAsia"/>
          <w:b/>
          <w:lang w:eastAsia="zh-CN"/>
        </w:rPr>
      </w:pPr>
      <w:bookmarkStart w:id="22" w:name="_Toc164263460"/>
      <w:r>
        <w:rPr>
          <w:rFonts w:asciiTheme="minorEastAsia" w:hAnsiTheme="minorEastAsia" w:eastAsiaTheme="minorEastAsia"/>
          <w:b/>
          <w:lang w:eastAsia="zh-CN"/>
        </w:rPr>
        <w:t>资格审查要求</w:t>
      </w:r>
      <w:bookmarkEnd w:id="22"/>
    </w:p>
    <w:p>
      <w:pPr>
        <w:pStyle w:val="12"/>
        <w:spacing w:before="5" w:after="1"/>
        <w:rPr>
          <w:rFonts w:asciiTheme="minorEastAsia" w:hAnsiTheme="minorEastAsia" w:eastAsiaTheme="minorEastAsia"/>
          <w:sz w:val="14"/>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57"/>
        <w:gridCol w:w="1562"/>
        <w:gridCol w:w="4295"/>
        <w:gridCol w:w="17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8" w:hRule="exact"/>
        </w:trPr>
        <w:tc>
          <w:tcPr>
            <w:tcW w:w="455" w:type="pct"/>
            <w:vAlign w:val="center"/>
          </w:tcPr>
          <w:p>
            <w:pPr>
              <w:jc w:val="center"/>
              <w:rPr>
                <w:rFonts w:asciiTheme="minorEastAsia" w:hAnsiTheme="minorEastAsia" w:eastAsiaTheme="minorEastAsia"/>
                <w:b/>
              </w:rPr>
            </w:pPr>
            <w:r>
              <w:rPr>
                <w:rFonts w:asciiTheme="minorEastAsia" w:hAnsiTheme="minorEastAsia" w:eastAsiaTheme="minorEastAsia"/>
                <w:b/>
              </w:rPr>
              <w:t>序号</w:t>
            </w:r>
          </w:p>
        </w:tc>
        <w:tc>
          <w:tcPr>
            <w:tcW w:w="938" w:type="pct"/>
            <w:vAlign w:val="center"/>
          </w:tcPr>
          <w:p>
            <w:pPr>
              <w:jc w:val="center"/>
              <w:rPr>
                <w:rFonts w:asciiTheme="minorEastAsia" w:hAnsiTheme="minorEastAsia" w:eastAsiaTheme="minorEastAsia"/>
                <w:b/>
              </w:rPr>
            </w:pPr>
            <w:r>
              <w:rPr>
                <w:rFonts w:asciiTheme="minorEastAsia" w:hAnsiTheme="minorEastAsia" w:eastAsiaTheme="minorEastAsia"/>
                <w:b/>
              </w:rPr>
              <w:t>检查因素</w:t>
            </w:r>
          </w:p>
        </w:tc>
        <w:tc>
          <w:tcPr>
            <w:tcW w:w="2579" w:type="pct"/>
            <w:vAlign w:val="center"/>
          </w:tcPr>
          <w:p>
            <w:pPr>
              <w:jc w:val="center"/>
              <w:rPr>
                <w:rFonts w:asciiTheme="minorEastAsia" w:hAnsiTheme="minorEastAsia" w:eastAsiaTheme="minorEastAsia"/>
                <w:b/>
              </w:rPr>
            </w:pPr>
            <w:r>
              <w:rPr>
                <w:rFonts w:asciiTheme="minorEastAsia" w:hAnsiTheme="minorEastAsia" w:eastAsiaTheme="minorEastAsia"/>
                <w:b/>
              </w:rPr>
              <w:t>检查内容</w:t>
            </w:r>
          </w:p>
        </w:tc>
        <w:tc>
          <w:tcPr>
            <w:tcW w:w="1028" w:type="pct"/>
            <w:vAlign w:val="center"/>
          </w:tcPr>
          <w:p>
            <w:pPr>
              <w:jc w:val="center"/>
              <w:rPr>
                <w:rFonts w:asciiTheme="minorEastAsia" w:hAnsiTheme="minorEastAsia" w:eastAsiaTheme="minorEastAsia"/>
                <w:b/>
              </w:rPr>
            </w:pPr>
            <w:r>
              <w:rPr>
                <w:rFonts w:asciiTheme="minorEastAsia" w:hAnsiTheme="minorEastAsia" w:eastAsiaTheme="minorEastAsia"/>
                <w:b/>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5" w:hRule="exact"/>
        </w:trPr>
        <w:tc>
          <w:tcPr>
            <w:tcW w:w="455" w:type="pct"/>
            <w:vAlign w:val="center"/>
          </w:tcPr>
          <w:p>
            <w:pPr>
              <w:pStyle w:val="27"/>
              <w:jc w:val="center"/>
              <w:rPr>
                <w:rFonts w:asciiTheme="minorEastAsia" w:hAnsiTheme="minorEastAsia" w:eastAsiaTheme="minorEastAsia"/>
              </w:rPr>
            </w:pPr>
            <w:r>
              <w:rPr>
                <w:rFonts w:asciiTheme="minorEastAsia" w:hAnsiTheme="minorEastAsia" w:eastAsiaTheme="minorEastAsia"/>
                <w:w w:val="114"/>
              </w:rPr>
              <w:t>1</w:t>
            </w:r>
          </w:p>
        </w:tc>
        <w:tc>
          <w:tcPr>
            <w:tcW w:w="938" w:type="pct"/>
            <w:vAlign w:val="center"/>
          </w:tcPr>
          <w:p>
            <w:pPr>
              <w:pStyle w:val="27"/>
              <w:spacing w:line="275" w:lineRule="exact"/>
              <w:ind w:left="102"/>
              <w:jc w:val="both"/>
              <w:rPr>
                <w:rFonts w:asciiTheme="minorEastAsia" w:hAnsiTheme="minorEastAsia" w:eastAsiaTheme="minorEastAsia"/>
                <w:lang w:eastAsia="zh-CN"/>
              </w:rPr>
            </w:pPr>
            <w:r>
              <w:rPr>
                <w:rFonts w:asciiTheme="minorEastAsia" w:hAnsiTheme="minorEastAsia" w:eastAsiaTheme="minorEastAsia"/>
                <w:lang w:eastAsia="zh-CN"/>
              </w:rPr>
              <w:t>满足《中华人民共和国政府采购法》第二十二条规定</w:t>
            </w:r>
          </w:p>
        </w:tc>
        <w:tc>
          <w:tcPr>
            <w:tcW w:w="2579" w:type="pct"/>
            <w:vAlign w:val="center"/>
          </w:tcPr>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具体规定见第一章《采购邀请》</w:t>
            </w:r>
          </w:p>
        </w:tc>
        <w:tc>
          <w:tcPr>
            <w:tcW w:w="1028" w:type="pct"/>
            <w:vAlign w:val="center"/>
          </w:tcPr>
          <w:p>
            <w:pPr>
              <w:jc w:val="center"/>
              <w:rPr>
                <w:rFonts w:asciiTheme="minorEastAsia" w:hAnsiTheme="minorEastAsia" w:eastAsiaTheme="minor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22" w:hRule="exact"/>
        </w:trPr>
        <w:tc>
          <w:tcPr>
            <w:tcW w:w="455" w:type="pct"/>
            <w:vAlign w:val="center"/>
          </w:tcPr>
          <w:p>
            <w:pPr>
              <w:pStyle w:val="27"/>
              <w:jc w:val="center"/>
              <w:rPr>
                <w:rFonts w:asciiTheme="minorEastAsia" w:hAnsiTheme="minorEastAsia" w:eastAsiaTheme="minorEastAsia"/>
                <w:w w:val="114"/>
              </w:rPr>
            </w:pPr>
            <w:r>
              <w:rPr>
                <w:rFonts w:asciiTheme="minorEastAsia" w:hAnsiTheme="minorEastAsia" w:eastAsiaTheme="minorEastAsia"/>
                <w:w w:val="114"/>
              </w:rPr>
              <w:t>1-1</w:t>
            </w:r>
          </w:p>
        </w:tc>
        <w:tc>
          <w:tcPr>
            <w:tcW w:w="938" w:type="pct"/>
            <w:vAlign w:val="center"/>
          </w:tcPr>
          <w:p>
            <w:pPr>
              <w:pStyle w:val="27"/>
              <w:spacing w:line="312" w:lineRule="exact"/>
              <w:jc w:val="center"/>
              <w:rPr>
                <w:rFonts w:asciiTheme="minorEastAsia" w:hAnsiTheme="minorEastAsia" w:eastAsiaTheme="minorEastAsia"/>
                <w:w w:val="114"/>
              </w:rPr>
            </w:pPr>
            <w:r>
              <w:rPr>
                <w:rFonts w:cs="宋体" w:asciiTheme="minorEastAsia" w:hAnsiTheme="minorEastAsia" w:eastAsiaTheme="minorEastAsia"/>
                <w:lang w:eastAsia="zh-CN"/>
              </w:rPr>
              <w:t>营业执照等证明文件</w:t>
            </w:r>
          </w:p>
        </w:tc>
        <w:tc>
          <w:tcPr>
            <w:tcW w:w="2579" w:type="pct"/>
            <w:vAlign w:val="center"/>
          </w:tcPr>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供应商为企业（包括合伙企业）的，应提供有效的“营业执照”；</w:t>
            </w:r>
          </w:p>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供应商为事业单位的，应提供有效的“事业单位法人证书”；</w:t>
            </w:r>
          </w:p>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供应商是非企业机构的，应提供有效的“执业许可证”、“登记证书”等证明文件；</w:t>
            </w:r>
          </w:p>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供应商是个体工商户的，应提供有效的“个体工商户营业执照”；</w:t>
            </w:r>
          </w:p>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供应商是自然人的，应提供有效的自然人身份证明。</w:t>
            </w:r>
          </w:p>
          <w:p>
            <w:pPr>
              <w:pStyle w:val="27"/>
              <w:ind w:left="103"/>
              <w:jc w:val="both"/>
              <w:rPr>
                <w:rFonts w:asciiTheme="minorEastAsia" w:hAnsiTheme="minorEastAsia" w:eastAsiaTheme="minorEastAsia"/>
                <w:w w:val="114"/>
                <w:lang w:eastAsia="zh-CN"/>
              </w:rPr>
            </w:pPr>
            <w:r>
              <w:rPr>
                <w:rFonts w:asciiTheme="minorEastAsia" w:hAnsiTheme="minorEastAsia" w:eastAsiaTheme="minorEastAsia"/>
                <w:lang w:eastAsia="zh-CN"/>
              </w:rPr>
              <w:t>分支机构参加响</w:t>
            </w:r>
            <w:r>
              <w:rPr>
                <w:rFonts w:asciiTheme="minorEastAsia" w:hAnsiTheme="minorEastAsia" w:eastAsiaTheme="minorEastAsia"/>
                <w:u w:val="single"/>
                <w:lang w:eastAsia="zh-CN"/>
              </w:rPr>
              <w:t>应的，应提供该分支机构或其所属法人/其他组织的相应证明文件；同时还应提供其所属法人/其他组</w:t>
            </w:r>
            <w:r>
              <w:rPr>
                <w:rFonts w:asciiTheme="minorEastAsia" w:hAnsiTheme="minorEastAsia" w:eastAsiaTheme="minorEastAsia"/>
                <w:lang w:eastAsia="zh-CN"/>
              </w:rPr>
              <w:t>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028" w:type="pct"/>
            <w:vAlign w:val="center"/>
          </w:tcPr>
          <w:p>
            <w:pPr>
              <w:pStyle w:val="27"/>
              <w:ind w:left="103"/>
              <w:jc w:val="both"/>
              <w:rPr>
                <w:rFonts w:asciiTheme="minorEastAsia" w:hAnsiTheme="minorEastAsia" w:eastAsiaTheme="minorEastAsia"/>
                <w:w w:val="114"/>
                <w:lang w:eastAsia="zh-CN"/>
              </w:rPr>
            </w:pPr>
            <w:r>
              <w:rPr>
                <w:rFonts w:asciiTheme="minorEastAsia" w:hAnsiTheme="minorEastAsia" w:eastAsiaTheme="minorEastAsia"/>
                <w:lang w:eastAsia="zh-CN"/>
              </w:rPr>
              <w:t>提供证明文件的电子件或电子证照</w:t>
            </w:r>
          </w:p>
        </w:tc>
      </w:tr>
    </w:tbl>
    <w:p>
      <w:pPr>
        <w:pStyle w:val="12"/>
        <w:rPr>
          <w:rFonts w:asciiTheme="minorEastAsia" w:hAnsiTheme="minorEastAsia" w:eastAsiaTheme="minorEastAsia"/>
          <w:sz w:val="26"/>
          <w:lang w:eastAsia="zh-CN"/>
        </w:rPr>
      </w:pPr>
    </w:p>
    <w:tbl>
      <w:tblPr>
        <w:tblStyle w:val="28"/>
        <w:tblW w:w="564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8"/>
        <w:gridCol w:w="826"/>
        <w:gridCol w:w="22"/>
        <w:gridCol w:w="1480"/>
        <w:gridCol w:w="260"/>
        <w:gridCol w:w="3978"/>
        <w:gridCol w:w="812"/>
        <w:gridCol w:w="842"/>
        <w:gridCol w:w="10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wAfter w:w="569" w:type="pct"/>
          <w:trHeight w:val="633" w:hRule="exact"/>
        </w:trPr>
        <w:tc>
          <w:tcPr>
            <w:tcW w:w="495" w:type="pct"/>
            <w:gridSpan w:val="2"/>
          </w:tcPr>
          <w:p>
            <w:pPr>
              <w:pStyle w:val="27"/>
              <w:spacing w:before="169"/>
              <w:ind w:left="158" w:right="157"/>
              <w:jc w:val="center"/>
              <w:rPr>
                <w:rFonts w:asciiTheme="minorEastAsia" w:hAnsiTheme="minorEastAsia" w:eastAsiaTheme="minorEastAsia"/>
              </w:rPr>
            </w:pPr>
            <w:r>
              <w:rPr>
                <w:rFonts w:asciiTheme="minorEastAsia" w:hAnsiTheme="minorEastAsia" w:eastAsiaTheme="minorEastAsia"/>
                <w:w w:val="115"/>
              </w:rPr>
              <w:t>1-2</w:t>
            </w:r>
          </w:p>
        </w:tc>
        <w:tc>
          <w:tcPr>
            <w:tcW w:w="800" w:type="pct"/>
            <w:gridSpan w:val="2"/>
          </w:tcPr>
          <w:p>
            <w:pPr>
              <w:pStyle w:val="27"/>
              <w:spacing w:line="276" w:lineRule="exact"/>
              <w:ind w:left="102"/>
              <w:rPr>
                <w:rFonts w:asciiTheme="minorEastAsia" w:hAnsiTheme="minorEastAsia" w:eastAsiaTheme="minorEastAsia"/>
              </w:rPr>
            </w:pPr>
            <w:r>
              <w:rPr>
                <w:rFonts w:asciiTheme="minorEastAsia" w:hAnsiTheme="minorEastAsia" w:eastAsiaTheme="minorEastAsia"/>
              </w:rPr>
              <w:t>供应商资格声明书</w:t>
            </w:r>
          </w:p>
        </w:tc>
        <w:tc>
          <w:tcPr>
            <w:tcW w:w="2256" w:type="pct"/>
            <w:gridSpan w:val="2"/>
          </w:tcPr>
          <w:p>
            <w:pPr>
              <w:rPr>
                <w:lang w:eastAsia="zh-CN"/>
              </w:rPr>
            </w:pPr>
            <w:r>
              <w:rPr>
                <w:lang w:eastAsia="zh-CN"/>
              </w:rPr>
              <w:t>提供了符合竞争性磋商文件要求的《供应商</w:t>
            </w:r>
          </w:p>
          <w:p>
            <w:r>
              <w:t>资格声明书》。</w:t>
            </w:r>
          </w:p>
        </w:tc>
        <w:tc>
          <w:tcPr>
            <w:tcW w:w="880" w:type="pct"/>
            <w:gridSpan w:val="2"/>
          </w:tcPr>
          <w:p>
            <w:pPr>
              <w:pStyle w:val="27"/>
              <w:spacing w:line="276" w:lineRule="exact"/>
              <w:ind w:left="102"/>
              <w:rPr>
                <w:rFonts w:asciiTheme="minorEastAsia" w:hAnsiTheme="minorEastAsia" w:eastAsiaTheme="minorEastAsia"/>
                <w:lang w:eastAsia="zh-CN"/>
              </w:rPr>
            </w:pPr>
            <w:r>
              <w:rPr>
                <w:rFonts w:asciiTheme="minorEastAsia" w:hAnsiTheme="minorEastAsia" w:eastAsiaTheme="minorEastAsia"/>
                <w:lang w:eastAsia="zh-CN"/>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569" w:type="pct"/>
          <w:trHeight w:val="4669" w:hRule="atLeast"/>
        </w:trPr>
        <w:tc>
          <w:tcPr>
            <w:tcW w:w="495" w:type="pct"/>
            <w:gridSpan w:val="2"/>
            <w:vAlign w:val="center"/>
          </w:tcPr>
          <w:p>
            <w:pPr>
              <w:pStyle w:val="27"/>
              <w:ind w:left="158" w:right="157"/>
              <w:jc w:val="both"/>
              <w:rPr>
                <w:rFonts w:asciiTheme="minorEastAsia" w:hAnsiTheme="minorEastAsia" w:eastAsiaTheme="minorEastAsia"/>
                <w:lang w:eastAsia="zh-CN"/>
              </w:rPr>
            </w:pPr>
            <w:r>
              <w:rPr>
                <w:rFonts w:asciiTheme="minorEastAsia" w:hAnsiTheme="minorEastAsia" w:eastAsiaTheme="minorEastAsia"/>
                <w:w w:val="115"/>
              </w:rPr>
              <w:t>1-3</w:t>
            </w:r>
          </w:p>
        </w:tc>
        <w:tc>
          <w:tcPr>
            <w:tcW w:w="800" w:type="pct"/>
            <w:gridSpan w:val="2"/>
            <w:vAlign w:val="center"/>
          </w:tcPr>
          <w:p>
            <w:pPr>
              <w:pStyle w:val="27"/>
              <w:spacing w:before="181" w:line="312" w:lineRule="exact"/>
              <w:ind w:left="102" w:right="101"/>
              <w:jc w:val="both"/>
              <w:rPr>
                <w:rFonts w:asciiTheme="minorEastAsia" w:hAnsiTheme="minorEastAsia" w:eastAsiaTheme="minorEastAsia"/>
                <w:lang w:eastAsia="zh-CN"/>
              </w:rPr>
            </w:pPr>
            <w:r>
              <w:rPr>
                <w:rFonts w:asciiTheme="minorEastAsia" w:hAnsiTheme="minorEastAsia" w:eastAsiaTheme="minorEastAsia"/>
                <w:spacing w:val="16"/>
              </w:rPr>
              <w:t>供应</w:t>
            </w:r>
            <w:r>
              <w:rPr>
                <w:rFonts w:asciiTheme="minorEastAsia" w:hAnsiTheme="minorEastAsia" w:eastAsiaTheme="minorEastAsia"/>
                <w:spacing w:val="19"/>
              </w:rPr>
              <w:t>商</w:t>
            </w:r>
            <w:r>
              <w:rPr>
                <w:rFonts w:asciiTheme="minorEastAsia" w:hAnsiTheme="minorEastAsia" w:eastAsiaTheme="minorEastAsia"/>
                <w:spacing w:val="16"/>
              </w:rPr>
              <w:t>信用</w:t>
            </w:r>
            <w:r>
              <w:rPr>
                <w:rFonts w:asciiTheme="minorEastAsia" w:hAnsiTheme="minorEastAsia" w:eastAsiaTheme="minorEastAsia"/>
              </w:rPr>
              <w:t>记录</w:t>
            </w:r>
          </w:p>
        </w:tc>
        <w:tc>
          <w:tcPr>
            <w:tcW w:w="2256" w:type="pct"/>
            <w:gridSpan w:val="2"/>
          </w:tcPr>
          <w:p>
            <w:pPr>
              <w:rPr>
                <w:lang w:eastAsia="zh-CN"/>
              </w:rPr>
            </w:pPr>
            <w:r>
              <w:rPr>
                <w:lang w:eastAsia="zh-CN"/>
              </w:rPr>
              <w:t>查询渠道：信用中国网站和中国政府采购网</w:t>
            </w:r>
          </w:p>
          <w:p>
            <w:r>
              <w:t>（</w:t>
            </w:r>
            <w:r>
              <w:fldChar w:fldCharType="begin"/>
            </w:r>
            <w:r>
              <w:instrText xml:space="preserve"> HYPERLINK "http://www.creditchina.gov.cn/" \h </w:instrText>
            </w:r>
            <w:r>
              <w:fldChar w:fldCharType="separate"/>
            </w:r>
            <w:r>
              <w:t>www.creditchina.gov.cn</w:t>
            </w:r>
            <w:r>
              <w:fldChar w:fldCharType="end"/>
            </w:r>
            <w:r>
              <w:t>、</w:t>
            </w:r>
            <w:r>
              <w:fldChar w:fldCharType="begin"/>
            </w:r>
            <w:r>
              <w:instrText xml:space="preserve"> HYPERLINK "http://www.ccgp.gov.cn/" \h </w:instrText>
            </w:r>
            <w:r>
              <w:fldChar w:fldCharType="separate"/>
            </w:r>
            <w:r>
              <w:t>www.ccgp.gov.cn</w:t>
            </w:r>
            <w:r>
              <w:fldChar w:fldCharType="end"/>
            </w:r>
            <w:r>
              <w:t>）；</w:t>
            </w:r>
          </w:p>
          <w:p>
            <w:pPr>
              <w:rPr>
                <w:lang w:eastAsia="zh-CN"/>
              </w:rPr>
            </w:pPr>
            <w:r>
              <w:rPr>
                <w:lang w:eastAsia="zh-CN"/>
              </w:rPr>
              <w:t>截止时点：首次响应文件提交截止时间以后、资格审查阶段采购人或采购代理机构的实际查询时间；</w:t>
            </w:r>
          </w:p>
          <w:p>
            <w:pPr>
              <w:rPr>
                <w:lang w:eastAsia="zh-CN"/>
              </w:rPr>
            </w:pPr>
            <w:r>
              <w:rPr>
                <w:lang w:eastAsia="zh-CN"/>
              </w:rPr>
              <w:t>信用信息查询记录和证据留存具体方式：查询结果网页打印页作为查询记录和证据，与其他竞争性磋商文件一并保存；</w:t>
            </w:r>
          </w:p>
          <w:p>
            <w:pPr>
              <w:rPr>
                <w:lang w:eastAsia="zh-CN"/>
              </w:rPr>
            </w:pPr>
            <w:r>
              <w:rPr>
                <w:lang w:eastAsia="zh-CN"/>
              </w:rPr>
              <w:t>信用信息的使用原则：经认定的被列入失信</w:t>
            </w:r>
          </w:p>
          <w:p>
            <w:pPr>
              <w:rPr>
                <w:rFonts w:asciiTheme="minorEastAsia" w:hAnsiTheme="minorEastAsia" w:eastAsiaTheme="minorEastAsia"/>
                <w:lang w:eastAsia="zh-CN"/>
              </w:rPr>
            </w:pPr>
            <w:r>
              <w:rPr>
                <w:lang w:eastAsia="zh-CN"/>
              </w:rPr>
              <w:t>被执行人、重大税收违法案件当事人名单、政府采购严重违法失信行为记录名单的供应商，其</w:t>
            </w:r>
            <w:r>
              <w:rPr>
                <w:b/>
                <w:lang w:eastAsia="zh-CN"/>
              </w:rPr>
              <w:t>响应无效</w:t>
            </w:r>
            <w:r>
              <w:rPr>
                <w:lang w:eastAsia="zh-CN"/>
              </w:rPr>
              <w:t>。联合体形式磋商的，联合体成员存在不良信用记录，视同联合体存在不良信用记录。</w:t>
            </w:r>
          </w:p>
        </w:tc>
        <w:tc>
          <w:tcPr>
            <w:tcW w:w="880" w:type="pct"/>
            <w:gridSpan w:val="2"/>
            <w:vAlign w:val="center"/>
          </w:tcPr>
          <w:p>
            <w:pPr>
              <w:jc w:val="both"/>
              <w:rPr>
                <w:rFonts w:asciiTheme="minorEastAsia" w:hAnsiTheme="minorEastAsia" w:eastAsiaTheme="minorEastAsia"/>
                <w:lang w:eastAsia="zh-CN"/>
              </w:rPr>
            </w:pPr>
            <w:r>
              <w:rPr>
                <w:lang w:eastAsia="zh-CN"/>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wAfter w:w="569" w:type="pct"/>
          <w:trHeight w:val="944" w:hRule="exact"/>
        </w:trPr>
        <w:tc>
          <w:tcPr>
            <w:tcW w:w="495" w:type="pct"/>
            <w:gridSpan w:val="2"/>
            <w:vAlign w:val="center"/>
          </w:tcPr>
          <w:p>
            <w:pPr>
              <w:pStyle w:val="27"/>
              <w:ind w:left="158" w:right="157"/>
              <w:jc w:val="center"/>
              <w:rPr>
                <w:rFonts w:asciiTheme="minorEastAsia" w:hAnsiTheme="minorEastAsia" w:eastAsiaTheme="minorEastAsia"/>
              </w:rPr>
            </w:pPr>
            <w:r>
              <w:rPr>
                <w:rFonts w:asciiTheme="minorEastAsia" w:hAnsiTheme="minorEastAsia" w:eastAsiaTheme="minorEastAsia"/>
                <w:w w:val="115"/>
              </w:rPr>
              <w:t>1-4</w:t>
            </w:r>
          </w:p>
        </w:tc>
        <w:tc>
          <w:tcPr>
            <w:tcW w:w="800" w:type="pct"/>
            <w:gridSpan w:val="2"/>
            <w:vAlign w:val="center"/>
          </w:tcPr>
          <w:p>
            <w:pPr>
              <w:pStyle w:val="27"/>
              <w:spacing w:line="275" w:lineRule="exact"/>
              <w:ind w:left="102"/>
              <w:jc w:val="both"/>
              <w:rPr>
                <w:rFonts w:asciiTheme="minorEastAsia" w:hAnsiTheme="minorEastAsia" w:eastAsiaTheme="minorEastAsia"/>
                <w:lang w:eastAsia="zh-CN"/>
              </w:rPr>
            </w:pPr>
            <w:r>
              <w:rPr>
                <w:rFonts w:asciiTheme="minorEastAsia" w:hAnsiTheme="minorEastAsia" w:eastAsiaTheme="minorEastAsia"/>
                <w:lang w:eastAsia="zh-CN"/>
              </w:rPr>
              <w:t>法律、行政法</w:t>
            </w:r>
            <w:r>
              <w:rPr>
                <w:rFonts w:asciiTheme="minorEastAsia" w:hAnsiTheme="minorEastAsia" w:eastAsiaTheme="minorEastAsia"/>
                <w:spacing w:val="16"/>
                <w:lang w:eastAsia="zh-CN"/>
              </w:rPr>
              <w:t>规规</w:t>
            </w:r>
            <w:r>
              <w:rPr>
                <w:rFonts w:asciiTheme="minorEastAsia" w:hAnsiTheme="minorEastAsia" w:eastAsiaTheme="minorEastAsia"/>
                <w:spacing w:val="19"/>
                <w:lang w:eastAsia="zh-CN"/>
              </w:rPr>
              <w:t>定</w:t>
            </w:r>
            <w:r>
              <w:rPr>
                <w:rFonts w:asciiTheme="minorEastAsia" w:hAnsiTheme="minorEastAsia" w:eastAsiaTheme="minorEastAsia"/>
                <w:spacing w:val="16"/>
                <w:lang w:eastAsia="zh-CN"/>
              </w:rPr>
              <w:t>的其</w:t>
            </w:r>
            <w:r>
              <w:rPr>
                <w:rFonts w:asciiTheme="minorEastAsia" w:hAnsiTheme="minorEastAsia" w:eastAsiaTheme="minorEastAsia"/>
                <w:lang w:eastAsia="zh-CN"/>
              </w:rPr>
              <w:t>他条件</w:t>
            </w:r>
          </w:p>
        </w:tc>
        <w:tc>
          <w:tcPr>
            <w:tcW w:w="2256" w:type="pct"/>
            <w:gridSpan w:val="2"/>
            <w:vAlign w:val="center"/>
          </w:tcPr>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法律、行政法规规定的其他条件</w:t>
            </w:r>
          </w:p>
        </w:tc>
        <w:tc>
          <w:tcPr>
            <w:tcW w:w="880" w:type="pct"/>
            <w:gridSpan w:val="2"/>
            <w:vAlign w:val="center"/>
          </w:tcPr>
          <w:p>
            <w:pPr>
              <w:pStyle w:val="27"/>
              <w:ind w:right="1"/>
              <w:jc w:val="center"/>
              <w:rPr>
                <w:rFonts w:asciiTheme="minorEastAsia" w:hAnsiTheme="minorEastAsia" w:eastAsiaTheme="minorEastAsia"/>
              </w:rPr>
            </w:pPr>
            <w:r>
              <w:rPr>
                <w:rFonts w:asciiTheme="minorEastAsia" w:hAnsiTheme="minorEastAsia" w:eastAsiaTheme="minorEastAsia"/>
                <w:w w:val="12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wAfter w:w="569" w:type="pct"/>
          <w:trHeight w:val="944" w:hRule="exact"/>
        </w:trPr>
        <w:tc>
          <w:tcPr>
            <w:tcW w:w="495" w:type="pct"/>
            <w:gridSpan w:val="2"/>
            <w:vAlign w:val="center"/>
          </w:tcPr>
          <w:p>
            <w:pPr>
              <w:pStyle w:val="27"/>
              <w:jc w:val="center"/>
              <w:rPr>
                <w:rFonts w:asciiTheme="minorEastAsia" w:hAnsiTheme="minorEastAsia" w:eastAsiaTheme="minorEastAsia"/>
              </w:rPr>
            </w:pPr>
            <w:r>
              <w:rPr>
                <w:rFonts w:asciiTheme="minorEastAsia" w:hAnsiTheme="minorEastAsia" w:eastAsiaTheme="minorEastAsia"/>
                <w:w w:val="114"/>
              </w:rPr>
              <w:t>2</w:t>
            </w:r>
          </w:p>
        </w:tc>
        <w:tc>
          <w:tcPr>
            <w:tcW w:w="800" w:type="pct"/>
            <w:gridSpan w:val="2"/>
            <w:vAlign w:val="center"/>
          </w:tcPr>
          <w:p>
            <w:pPr>
              <w:pStyle w:val="27"/>
              <w:spacing w:line="275" w:lineRule="exact"/>
              <w:ind w:left="102"/>
              <w:jc w:val="center"/>
              <w:rPr>
                <w:rFonts w:asciiTheme="minorEastAsia" w:hAnsiTheme="minorEastAsia" w:eastAsiaTheme="minorEastAsia"/>
                <w:lang w:eastAsia="zh-CN"/>
              </w:rPr>
            </w:pPr>
            <w:r>
              <w:rPr>
                <w:rFonts w:asciiTheme="minorEastAsia" w:hAnsiTheme="minorEastAsia" w:eastAsiaTheme="minorEastAsia"/>
                <w:lang w:eastAsia="zh-CN"/>
              </w:rPr>
              <w:t>落实政府采购政策需满足的资格要求</w:t>
            </w:r>
          </w:p>
        </w:tc>
        <w:tc>
          <w:tcPr>
            <w:tcW w:w="2256" w:type="pct"/>
            <w:gridSpan w:val="2"/>
            <w:vAlign w:val="center"/>
          </w:tcPr>
          <w:p>
            <w:pPr>
              <w:pStyle w:val="27"/>
              <w:ind w:left="103"/>
              <w:jc w:val="both"/>
              <w:rPr>
                <w:rFonts w:asciiTheme="minorEastAsia" w:hAnsiTheme="minorEastAsia" w:eastAsiaTheme="minorEastAsia"/>
                <w:lang w:eastAsia="zh-CN"/>
              </w:rPr>
            </w:pPr>
            <w:r>
              <w:rPr>
                <w:rFonts w:asciiTheme="minorEastAsia" w:hAnsiTheme="minorEastAsia" w:eastAsiaTheme="minorEastAsia"/>
                <w:lang w:eastAsia="zh-CN"/>
              </w:rPr>
              <w:t>具体要求见第一章《采购邀请》</w:t>
            </w:r>
          </w:p>
        </w:tc>
        <w:tc>
          <w:tcPr>
            <w:tcW w:w="880" w:type="pct"/>
            <w:gridSpan w:val="2"/>
            <w:vAlign w:val="center"/>
          </w:tcPr>
          <w:p>
            <w:pPr>
              <w:jc w:val="center"/>
              <w:rPr>
                <w:rFonts w:asciiTheme="minorEastAsia" w:hAnsiTheme="minorEastAsia" w:eastAsiaTheme="minor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wAfter w:w="569" w:type="pct"/>
          <w:trHeight w:val="478" w:hRule="exact"/>
        </w:trPr>
        <w:tc>
          <w:tcPr>
            <w:tcW w:w="495" w:type="pct"/>
            <w:gridSpan w:val="2"/>
            <w:vAlign w:val="center"/>
          </w:tcPr>
          <w:p>
            <w:pPr>
              <w:pStyle w:val="27"/>
              <w:spacing w:before="94"/>
              <w:ind w:left="158" w:right="157"/>
              <w:jc w:val="center"/>
              <w:rPr>
                <w:rFonts w:asciiTheme="minorEastAsia" w:hAnsiTheme="minorEastAsia" w:eastAsiaTheme="minorEastAsia"/>
              </w:rPr>
            </w:pPr>
            <w:r>
              <w:rPr>
                <w:rFonts w:asciiTheme="minorEastAsia" w:hAnsiTheme="minorEastAsia" w:eastAsiaTheme="minorEastAsia"/>
                <w:w w:val="115"/>
              </w:rPr>
              <w:t>2-1</w:t>
            </w:r>
          </w:p>
        </w:tc>
        <w:tc>
          <w:tcPr>
            <w:tcW w:w="800" w:type="pct"/>
            <w:gridSpan w:val="2"/>
            <w:vAlign w:val="center"/>
          </w:tcPr>
          <w:p>
            <w:pPr>
              <w:pStyle w:val="27"/>
              <w:spacing w:before="39"/>
              <w:ind w:left="102"/>
              <w:jc w:val="center"/>
              <w:rPr>
                <w:rFonts w:asciiTheme="minorEastAsia" w:hAnsiTheme="minorEastAsia" w:eastAsiaTheme="minorEastAsia"/>
              </w:rPr>
            </w:pPr>
            <w:r>
              <w:rPr>
                <w:rFonts w:asciiTheme="minorEastAsia" w:hAnsiTheme="minorEastAsia" w:eastAsiaTheme="minorEastAsia"/>
              </w:rPr>
              <w:t>中小企业政策</w:t>
            </w:r>
          </w:p>
        </w:tc>
        <w:tc>
          <w:tcPr>
            <w:tcW w:w="2256" w:type="pct"/>
            <w:gridSpan w:val="2"/>
            <w:vAlign w:val="center"/>
          </w:tcPr>
          <w:p>
            <w:pPr>
              <w:pStyle w:val="27"/>
              <w:spacing w:before="39"/>
              <w:ind w:left="103"/>
              <w:jc w:val="both"/>
              <w:rPr>
                <w:rFonts w:asciiTheme="minorEastAsia" w:hAnsiTheme="minorEastAsia" w:eastAsiaTheme="minorEastAsia"/>
                <w:lang w:eastAsia="zh-CN"/>
              </w:rPr>
            </w:pPr>
            <w:r>
              <w:rPr>
                <w:rFonts w:asciiTheme="minorEastAsia" w:hAnsiTheme="minorEastAsia" w:eastAsiaTheme="minorEastAsia"/>
                <w:lang w:eastAsia="zh-CN"/>
              </w:rPr>
              <w:t>具体要求见第一章《采购邀请》</w:t>
            </w:r>
          </w:p>
        </w:tc>
        <w:tc>
          <w:tcPr>
            <w:tcW w:w="880" w:type="pct"/>
            <w:gridSpan w:val="2"/>
            <w:vAlign w:val="center"/>
          </w:tcPr>
          <w:p>
            <w:pPr>
              <w:jc w:val="center"/>
              <w:rPr>
                <w:rFonts w:asciiTheme="minorEastAsia" w:hAnsiTheme="minorEastAsia" w:eastAsiaTheme="minor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wAfter w:w="569" w:type="pct"/>
          <w:trHeight w:val="4983" w:hRule="atLeast"/>
        </w:trPr>
        <w:tc>
          <w:tcPr>
            <w:tcW w:w="495" w:type="pct"/>
            <w:gridSpan w:val="2"/>
            <w:vAlign w:val="center"/>
          </w:tcPr>
          <w:p>
            <w:pPr>
              <w:pStyle w:val="27"/>
              <w:spacing w:before="38"/>
              <w:ind w:left="158" w:right="156"/>
              <w:jc w:val="center"/>
              <w:rPr>
                <w:rFonts w:asciiTheme="minorEastAsia" w:hAnsiTheme="minorEastAsia" w:eastAsiaTheme="minorEastAsia"/>
                <w:lang w:eastAsia="zh-CN"/>
              </w:rPr>
            </w:pPr>
            <w:r>
              <w:rPr>
                <w:rFonts w:asciiTheme="minorEastAsia" w:hAnsiTheme="minorEastAsia" w:eastAsiaTheme="minorEastAsia"/>
                <w:w w:val="110"/>
              </w:rPr>
              <w:t>2-1-</w:t>
            </w:r>
            <w:r>
              <w:rPr>
                <w:rFonts w:asciiTheme="minorEastAsia" w:hAnsiTheme="minorEastAsia" w:eastAsiaTheme="minorEastAsia"/>
                <w:w w:val="114"/>
              </w:rPr>
              <w:t>1</w:t>
            </w:r>
          </w:p>
        </w:tc>
        <w:tc>
          <w:tcPr>
            <w:tcW w:w="800" w:type="pct"/>
            <w:gridSpan w:val="2"/>
            <w:vAlign w:val="center"/>
          </w:tcPr>
          <w:p>
            <w:pPr>
              <w:pStyle w:val="27"/>
              <w:spacing w:line="283" w:lineRule="exact"/>
              <w:ind w:left="102"/>
              <w:jc w:val="center"/>
              <w:rPr>
                <w:rFonts w:asciiTheme="minorEastAsia" w:hAnsiTheme="minorEastAsia" w:eastAsiaTheme="minorEastAsia"/>
                <w:lang w:eastAsia="zh-CN"/>
              </w:rPr>
            </w:pPr>
            <w:r>
              <w:rPr>
                <w:rFonts w:asciiTheme="minorEastAsia" w:hAnsiTheme="minorEastAsia" w:eastAsiaTheme="minorEastAsia"/>
              </w:rPr>
              <w:t>中小企业证明文件</w:t>
            </w:r>
          </w:p>
        </w:tc>
        <w:tc>
          <w:tcPr>
            <w:tcW w:w="2256" w:type="pct"/>
            <w:gridSpan w:val="2"/>
            <w:vAlign w:val="center"/>
          </w:tcPr>
          <w:p>
            <w:pPr>
              <w:pStyle w:val="27"/>
              <w:spacing w:line="276"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当本项目（包）涉及预留份额专门面向中小</w:t>
            </w:r>
          </w:p>
          <w:p>
            <w:pPr>
              <w:pStyle w:val="27"/>
              <w:spacing w:line="275"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企业采购，提供如下资料：</w:t>
            </w:r>
          </w:p>
          <w:p>
            <w:pPr>
              <w:pStyle w:val="27"/>
              <w:spacing w:line="305"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1、供应商单独响应的，应提供《中小企业</w:t>
            </w:r>
          </w:p>
          <w:p>
            <w:pPr>
              <w:pStyle w:val="27"/>
              <w:spacing w:line="265"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声明函》或《残疾人福利性单位声明函》或</w:t>
            </w:r>
          </w:p>
          <w:p>
            <w:pPr>
              <w:pStyle w:val="27"/>
              <w:spacing w:line="276"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由省级以上监狱管理局、戒毒管理局（含新</w:t>
            </w:r>
          </w:p>
          <w:p>
            <w:pPr>
              <w:pStyle w:val="27"/>
              <w:spacing w:line="275"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疆生产建设兵团）出具的属于监狱企业的证</w:t>
            </w:r>
          </w:p>
          <w:p>
            <w:pPr>
              <w:pStyle w:val="27"/>
              <w:spacing w:line="276"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明文件。</w:t>
            </w:r>
          </w:p>
          <w:p>
            <w:pPr>
              <w:pStyle w:val="27"/>
              <w:spacing w:line="303"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2、如磋商文件要求以联合体形式参加或者要求合同分包的，且供应商为联合体或拟进</w:t>
            </w:r>
          </w:p>
          <w:p>
            <w:pPr>
              <w:pStyle w:val="27"/>
              <w:spacing w:line="274"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行合同分包的，则联合体中的中小企业、签</w:t>
            </w:r>
          </w:p>
          <w:p>
            <w:pPr>
              <w:pStyle w:val="27"/>
              <w:spacing w:line="276"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订分包意向协议的中小企业具体情况须在《中小企业声明函》或《残疾人福利性单位</w:t>
            </w:r>
          </w:p>
          <w:p>
            <w:pPr>
              <w:pStyle w:val="27"/>
              <w:spacing w:line="276"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声明函》或由省级以上监狱管理局、戒毒管</w:t>
            </w:r>
          </w:p>
          <w:p>
            <w:pPr>
              <w:pStyle w:val="27"/>
              <w:spacing w:line="276"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理局（含新疆生产建设兵团）出具的属于监</w:t>
            </w:r>
          </w:p>
          <w:p>
            <w:pPr>
              <w:pStyle w:val="27"/>
              <w:spacing w:line="275"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狱企业的证明文件中如实填报，且满足采购</w:t>
            </w:r>
          </w:p>
          <w:p>
            <w:pPr>
              <w:pStyle w:val="27"/>
              <w:spacing w:line="276" w:lineRule="exact"/>
              <w:ind w:left="103"/>
              <w:jc w:val="both"/>
              <w:rPr>
                <w:rFonts w:asciiTheme="minorEastAsia" w:hAnsiTheme="minorEastAsia" w:eastAsiaTheme="minorEastAsia"/>
                <w:lang w:eastAsia="zh-CN"/>
              </w:rPr>
            </w:pPr>
            <w:r>
              <w:rPr>
                <w:rFonts w:asciiTheme="minorEastAsia" w:hAnsiTheme="minorEastAsia" w:eastAsiaTheme="minorEastAsia"/>
                <w:lang w:eastAsia="zh-CN"/>
              </w:rPr>
              <w:t>文件关于预留份额的要求。</w:t>
            </w:r>
          </w:p>
        </w:tc>
        <w:tc>
          <w:tcPr>
            <w:tcW w:w="880" w:type="pct"/>
            <w:gridSpan w:val="2"/>
            <w:vAlign w:val="center"/>
          </w:tcPr>
          <w:p>
            <w:pPr>
              <w:pStyle w:val="27"/>
              <w:spacing w:line="283" w:lineRule="exact"/>
              <w:ind w:left="102"/>
              <w:jc w:val="center"/>
              <w:rPr>
                <w:rFonts w:asciiTheme="minorEastAsia" w:hAnsiTheme="minorEastAsia" w:eastAsiaTheme="minorEastAsia"/>
                <w:lang w:eastAsia="zh-CN"/>
              </w:rPr>
            </w:pPr>
            <w:r>
              <w:rPr>
                <w:rFonts w:asciiTheme="minorEastAsia" w:hAnsiTheme="minorEastAsia" w:eastAsiaTheme="minorEastAsia"/>
                <w:lang w:eastAsia="zh-CN"/>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After w:val="1"/>
          <w:wAfter w:w="569" w:type="pct"/>
          <w:trHeight w:val="620" w:hRule="atLeast"/>
        </w:trPr>
        <w:tc>
          <w:tcPr>
            <w:tcW w:w="495" w:type="pct"/>
            <w:gridSpan w:val="2"/>
            <w:vAlign w:val="center"/>
          </w:tcPr>
          <w:p>
            <w:pPr>
              <w:pStyle w:val="27"/>
              <w:spacing w:before="31"/>
              <w:ind w:left="158" w:right="156"/>
              <w:jc w:val="center"/>
              <w:rPr>
                <w:rFonts w:asciiTheme="minorEastAsia" w:hAnsiTheme="minorEastAsia" w:eastAsiaTheme="minorEastAsia"/>
              </w:rPr>
            </w:pPr>
            <w:r>
              <w:rPr>
                <w:rFonts w:asciiTheme="minorEastAsia" w:hAnsiTheme="minorEastAsia" w:eastAsiaTheme="minorEastAsia"/>
                <w:w w:val="110"/>
              </w:rPr>
              <w:t>2-1-</w:t>
            </w:r>
            <w:r>
              <w:rPr>
                <w:rFonts w:asciiTheme="minorEastAsia" w:hAnsiTheme="minorEastAsia" w:eastAsiaTheme="minorEastAsia"/>
                <w:w w:val="114"/>
              </w:rPr>
              <w:t>2</w:t>
            </w:r>
          </w:p>
        </w:tc>
        <w:tc>
          <w:tcPr>
            <w:tcW w:w="800" w:type="pct"/>
            <w:gridSpan w:val="2"/>
            <w:vAlign w:val="center"/>
          </w:tcPr>
          <w:p>
            <w:pPr>
              <w:pStyle w:val="27"/>
              <w:spacing w:line="276" w:lineRule="exact"/>
              <w:ind w:left="102"/>
              <w:jc w:val="center"/>
              <w:rPr>
                <w:rFonts w:asciiTheme="minorEastAsia" w:hAnsiTheme="minorEastAsia" w:eastAsiaTheme="minorEastAsia"/>
                <w:lang w:eastAsia="zh-CN"/>
              </w:rPr>
            </w:pPr>
            <w:r>
              <w:rPr>
                <w:rFonts w:asciiTheme="minorEastAsia" w:hAnsiTheme="minorEastAsia" w:eastAsiaTheme="minorEastAsia"/>
                <w:lang w:eastAsia="zh-CN"/>
              </w:rPr>
              <w:t>拟分包情况说明及分包意向</w:t>
            </w:r>
          </w:p>
        </w:tc>
        <w:tc>
          <w:tcPr>
            <w:tcW w:w="2256" w:type="pct"/>
            <w:gridSpan w:val="2"/>
            <w:vAlign w:val="center"/>
          </w:tcPr>
          <w:p>
            <w:pPr>
              <w:pStyle w:val="27"/>
              <w:spacing w:line="276" w:lineRule="exact"/>
              <w:ind w:left="103"/>
              <w:jc w:val="center"/>
              <w:rPr>
                <w:rFonts w:asciiTheme="minorEastAsia" w:hAnsiTheme="minorEastAsia" w:eastAsiaTheme="minorEastAsia"/>
                <w:lang w:eastAsia="zh-CN"/>
              </w:rPr>
            </w:pPr>
            <w:r>
              <w:rPr>
                <w:rFonts w:asciiTheme="minorEastAsia" w:hAnsiTheme="minorEastAsia" w:eastAsiaTheme="minorEastAsia"/>
                <w:lang w:eastAsia="zh-CN"/>
              </w:rPr>
              <w:t>如本项目（包）要求通过分包措施预留部分采购份额面向中小企业采购、且供应商因落</w:t>
            </w:r>
          </w:p>
        </w:tc>
        <w:tc>
          <w:tcPr>
            <w:tcW w:w="880" w:type="pct"/>
            <w:gridSpan w:val="2"/>
            <w:vAlign w:val="center"/>
          </w:tcPr>
          <w:p>
            <w:pPr>
              <w:pStyle w:val="27"/>
              <w:spacing w:line="276" w:lineRule="exact"/>
              <w:ind w:left="102"/>
              <w:jc w:val="center"/>
              <w:rPr>
                <w:rFonts w:asciiTheme="minorEastAsia" w:hAnsiTheme="minorEastAsia" w:eastAsiaTheme="minorEastAsia"/>
                <w:lang w:eastAsia="zh-CN"/>
              </w:rPr>
            </w:pPr>
            <w:r>
              <w:rPr>
                <w:rFonts w:asciiTheme="minorEastAsia" w:hAnsiTheme="minorEastAsia" w:eastAsiaTheme="minorEastAsia"/>
                <w:lang w:eastAsia="zh-CN"/>
              </w:rPr>
              <w:t>格式见《响应文</w:t>
            </w:r>
          </w:p>
          <w:p>
            <w:pPr>
              <w:pStyle w:val="27"/>
              <w:spacing w:line="278" w:lineRule="exact"/>
              <w:ind w:left="102"/>
              <w:jc w:val="center"/>
              <w:rPr>
                <w:rFonts w:asciiTheme="minorEastAsia" w:hAnsiTheme="minorEastAsia" w:eastAsiaTheme="minorEastAsia"/>
                <w:lang w:eastAsia="zh-CN"/>
              </w:rPr>
            </w:pPr>
            <w:r>
              <w:rPr>
                <w:rFonts w:asciiTheme="minorEastAsia" w:hAnsiTheme="minorEastAsia" w:eastAsiaTheme="minorEastAsia"/>
                <w:lang w:eastAsia="zh-CN"/>
              </w:rPr>
              <w:t>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Before w:val="1"/>
          <w:wBefore w:w="57" w:type="pct"/>
          <w:trHeight w:val="1878" w:hRule="exact"/>
        </w:trPr>
        <w:tc>
          <w:tcPr>
            <w:tcW w:w="450" w:type="pct"/>
            <w:gridSpan w:val="2"/>
            <w:vAlign w:val="center"/>
          </w:tcPr>
          <w:p>
            <w:pPr>
              <w:jc w:val="center"/>
              <w:rPr>
                <w:rFonts w:asciiTheme="minorEastAsia" w:hAnsiTheme="minorEastAsia" w:eastAsiaTheme="minorEastAsia"/>
                <w:lang w:eastAsia="zh-CN"/>
              </w:rPr>
            </w:pPr>
          </w:p>
        </w:tc>
        <w:tc>
          <w:tcPr>
            <w:tcW w:w="927" w:type="pct"/>
            <w:gridSpan w:val="2"/>
            <w:vAlign w:val="center"/>
          </w:tcPr>
          <w:p>
            <w:pPr>
              <w:pStyle w:val="27"/>
              <w:spacing w:line="278" w:lineRule="exact"/>
              <w:ind w:left="102"/>
              <w:jc w:val="center"/>
              <w:rPr>
                <w:rFonts w:asciiTheme="minorEastAsia" w:hAnsiTheme="minorEastAsia" w:eastAsiaTheme="minorEastAsia"/>
                <w:sz w:val="24"/>
              </w:rPr>
            </w:pPr>
            <w:r>
              <w:rPr>
                <w:rFonts w:asciiTheme="minorEastAsia" w:hAnsiTheme="minorEastAsia" w:eastAsiaTheme="minorEastAsia"/>
                <w:sz w:val="24"/>
              </w:rPr>
              <w:t>协议</w:t>
            </w:r>
          </w:p>
        </w:tc>
        <w:tc>
          <w:tcPr>
            <w:tcW w:w="2549" w:type="pct"/>
            <w:gridSpan w:val="2"/>
            <w:vAlign w:val="center"/>
          </w:tcPr>
          <w:p>
            <w:pPr>
              <w:jc w:val="both"/>
              <w:rPr>
                <w:lang w:eastAsia="zh-CN"/>
              </w:rPr>
            </w:pPr>
            <w:r>
              <w:rPr>
                <w:lang w:eastAsia="zh-CN"/>
              </w:rPr>
              <w:t>实政府采购政策拟进行分包的，必须提供；否则无须提供。</w:t>
            </w:r>
          </w:p>
          <w:p>
            <w:pPr>
              <w:jc w:val="both"/>
              <w:rPr>
                <w:lang w:eastAsia="zh-CN"/>
              </w:rPr>
            </w:pPr>
            <w:r>
              <w:rPr>
                <w:lang w:eastAsia="zh-CN"/>
              </w:rPr>
              <w:t>对于预留份额专门面向中小企业采购的项目（包），组成联合体或者接受分包合同的中小企业与联合体内其他企业、分包企业之间不得存在直接控股、管理关系。</w:t>
            </w:r>
          </w:p>
        </w:tc>
        <w:tc>
          <w:tcPr>
            <w:tcW w:w="1017" w:type="pct"/>
            <w:gridSpan w:val="2"/>
            <w:vAlign w:val="center"/>
          </w:tcPr>
          <w:p>
            <w:pPr>
              <w:jc w:val="center"/>
              <w:rPr>
                <w:rFonts w:asciiTheme="minorEastAsia" w:hAnsiTheme="minorEastAsia" w:eastAsiaTheme="minor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Before w:val="1"/>
          <w:wBefore w:w="57" w:type="pct"/>
          <w:trHeight w:val="943" w:hRule="exact"/>
        </w:trPr>
        <w:tc>
          <w:tcPr>
            <w:tcW w:w="450" w:type="pct"/>
            <w:gridSpan w:val="2"/>
            <w:vAlign w:val="center"/>
          </w:tcPr>
          <w:p>
            <w:pPr>
              <w:pStyle w:val="27"/>
              <w:ind w:left="158" w:right="157"/>
              <w:jc w:val="center"/>
              <w:rPr>
                <w:rFonts w:asciiTheme="minorEastAsia" w:hAnsiTheme="minorEastAsia" w:eastAsiaTheme="minorEastAsia"/>
                <w:sz w:val="24"/>
              </w:rPr>
            </w:pPr>
            <w:r>
              <w:rPr>
                <w:rFonts w:asciiTheme="minorEastAsia" w:hAnsiTheme="minorEastAsia" w:eastAsiaTheme="minorEastAsia"/>
                <w:w w:val="105"/>
                <w:sz w:val="24"/>
              </w:rPr>
              <w:t>2-2</w:t>
            </w:r>
          </w:p>
        </w:tc>
        <w:tc>
          <w:tcPr>
            <w:tcW w:w="927" w:type="pct"/>
            <w:gridSpan w:val="2"/>
            <w:vAlign w:val="center"/>
          </w:tcPr>
          <w:p>
            <w:pPr>
              <w:pStyle w:val="27"/>
              <w:spacing w:line="275" w:lineRule="exact"/>
              <w:ind w:left="102"/>
              <w:jc w:val="center"/>
              <w:rPr>
                <w:rFonts w:asciiTheme="minorEastAsia" w:hAnsiTheme="minorEastAsia" w:eastAsiaTheme="minorEastAsia"/>
                <w:sz w:val="24"/>
                <w:lang w:eastAsia="zh-CN"/>
              </w:rPr>
            </w:pPr>
            <w:r>
              <w:rPr>
                <w:rFonts w:asciiTheme="minorEastAsia" w:hAnsiTheme="minorEastAsia" w:eastAsiaTheme="minorEastAsia"/>
                <w:sz w:val="24"/>
                <w:lang w:eastAsia="zh-CN"/>
              </w:rPr>
              <w:t>其它落实政府采购政策的资格要求</w:t>
            </w:r>
          </w:p>
        </w:tc>
        <w:tc>
          <w:tcPr>
            <w:tcW w:w="2549" w:type="pct"/>
            <w:gridSpan w:val="2"/>
            <w:vAlign w:val="center"/>
          </w:tcPr>
          <w:p>
            <w:pPr>
              <w:pStyle w:val="27"/>
              <w:ind w:left="103"/>
              <w:jc w:val="both"/>
              <w:rPr>
                <w:rFonts w:asciiTheme="minorEastAsia" w:hAnsiTheme="minorEastAsia" w:eastAsiaTheme="minorEastAsia"/>
                <w:sz w:val="24"/>
                <w:lang w:eastAsia="zh-CN"/>
              </w:rPr>
            </w:pPr>
            <w:r>
              <w:rPr>
                <w:rFonts w:asciiTheme="minorEastAsia" w:hAnsiTheme="minorEastAsia" w:eastAsiaTheme="minorEastAsia"/>
                <w:sz w:val="24"/>
                <w:lang w:eastAsia="zh-CN"/>
              </w:rPr>
              <w:t>如有，见第一章《采购邀请》</w:t>
            </w:r>
          </w:p>
        </w:tc>
        <w:tc>
          <w:tcPr>
            <w:tcW w:w="1017" w:type="pct"/>
            <w:gridSpan w:val="2"/>
            <w:vAlign w:val="center"/>
          </w:tcPr>
          <w:p>
            <w:pPr>
              <w:pStyle w:val="27"/>
              <w:spacing w:line="275" w:lineRule="exact"/>
              <w:ind w:left="102"/>
              <w:jc w:val="center"/>
              <w:rPr>
                <w:rFonts w:asciiTheme="minorEastAsia" w:hAnsiTheme="minorEastAsia" w:eastAsiaTheme="minorEastAsia"/>
                <w:sz w:val="24"/>
                <w:lang w:eastAsia="zh-CN"/>
              </w:rPr>
            </w:pPr>
            <w:r>
              <w:rPr>
                <w:rFonts w:asciiTheme="minorEastAsia" w:hAnsiTheme="minorEastAsia" w:eastAsiaTheme="minorEastAsia"/>
                <w:sz w:val="24"/>
                <w:lang w:eastAsia="zh-CN"/>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Before w:val="1"/>
          <w:wBefore w:w="57" w:type="pct"/>
          <w:trHeight w:val="633" w:hRule="exact"/>
        </w:trPr>
        <w:tc>
          <w:tcPr>
            <w:tcW w:w="450" w:type="pct"/>
            <w:gridSpan w:val="2"/>
            <w:vAlign w:val="center"/>
          </w:tcPr>
          <w:p>
            <w:pPr>
              <w:pStyle w:val="27"/>
              <w:spacing w:before="162"/>
              <w:jc w:val="center"/>
              <w:rPr>
                <w:rFonts w:asciiTheme="minorEastAsia" w:hAnsiTheme="minorEastAsia" w:eastAsiaTheme="minorEastAsia"/>
                <w:sz w:val="24"/>
              </w:rPr>
            </w:pPr>
            <w:r>
              <w:rPr>
                <w:rFonts w:asciiTheme="minorEastAsia" w:hAnsiTheme="minorEastAsia" w:eastAsiaTheme="minorEastAsia"/>
                <w:sz w:val="24"/>
              </w:rPr>
              <w:t>3</w:t>
            </w:r>
          </w:p>
        </w:tc>
        <w:tc>
          <w:tcPr>
            <w:tcW w:w="927" w:type="pct"/>
            <w:gridSpan w:val="2"/>
            <w:vAlign w:val="center"/>
          </w:tcPr>
          <w:p>
            <w:pPr>
              <w:pStyle w:val="27"/>
              <w:spacing w:line="276" w:lineRule="exact"/>
              <w:ind w:left="102"/>
              <w:jc w:val="both"/>
              <w:rPr>
                <w:rFonts w:asciiTheme="minorEastAsia" w:hAnsiTheme="minorEastAsia" w:eastAsiaTheme="minorEastAsia"/>
                <w:sz w:val="24"/>
                <w:lang w:eastAsia="zh-CN"/>
              </w:rPr>
            </w:pPr>
            <w:r>
              <w:rPr>
                <w:rFonts w:asciiTheme="minorEastAsia" w:hAnsiTheme="minorEastAsia" w:eastAsiaTheme="minorEastAsia"/>
                <w:sz w:val="24"/>
                <w:lang w:eastAsia="zh-CN"/>
              </w:rPr>
              <w:t>本项目的特定资格要求</w:t>
            </w:r>
          </w:p>
        </w:tc>
        <w:tc>
          <w:tcPr>
            <w:tcW w:w="2549" w:type="pct"/>
            <w:gridSpan w:val="2"/>
            <w:vAlign w:val="center"/>
          </w:tcPr>
          <w:p>
            <w:pPr>
              <w:pStyle w:val="27"/>
              <w:spacing w:before="119"/>
              <w:ind w:left="103"/>
              <w:jc w:val="both"/>
              <w:rPr>
                <w:rFonts w:asciiTheme="minorEastAsia" w:hAnsiTheme="minorEastAsia" w:eastAsiaTheme="minorEastAsia"/>
                <w:sz w:val="24"/>
                <w:lang w:eastAsia="zh-CN"/>
              </w:rPr>
            </w:pPr>
            <w:r>
              <w:rPr>
                <w:rFonts w:asciiTheme="minorEastAsia" w:hAnsiTheme="minorEastAsia" w:eastAsiaTheme="minorEastAsia"/>
                <w:sz w:val="24"/>
                <w:lang w:eastAsia="zh-CN"/>
              </w:rPr>
              <w:t>如有，见第一章《采购邀请》</w:t>
            </w:r>
          </w:p>
        </w:tc>
        <w:tc>
          <w:tcPr>
            <w:tcW w:w="1017" w:type="pct"/>
            <w:gridSpan w:val="2"/>
            <w:vAlign w:val="center"/>
          </w:tcPr>
          <w:p>
            <w:pPr>
              <w:jc w:val="both"/>
              <w:rPr>
                <w:rFonts w:asciiTheme="minorEastAsia" w:hAnsiTheme="minorEastAsia" w:eastAsiaTheme="minorEastAsia"/>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Before w:val="1"/>
          <w:wBefore w:w="57" w:type="pct"/>
          <w:trHeight w:val="7791" w:hRule="exact"/>
        </w:trPr>
        <w:tc>
          <w:tcPr>
            <w:tcW w:w="450" w:type="pct"/>
            <w:gridSpan w:val="2"/>
            <w:vAlign w:val="center"/>
          </w:tcPr>
          <w:p>
            <w:pPr>
              <w:jc w:val="center"/>
            </w:pPr>
            <w:r>
              <w:t>3-1</w:t>
            </w:r>
          </w:p>
        </w:tc>
        <w:tc>
          <w:tcPr>
            <w:tcW w:w="927" w:type="pct"/>
            <w:gridSpan w:val="2"/>
            <w:vAlign w:val="center"/>
          </w:tcPr>
          <w:p>
            <w:pPr>
              <w:jc w:val="center"/>
              <w:rPr>
                <w:lang w:eastAsia="zh-CN"/>
              </w:rPr>
            </w:pPr>
            <w:r>
              <w:rPr>
                <w:lang w:eastAsia="zh-CN"/>
              </w:rPr>
              <w:t>本项目对于联合体的要求</w:t>
            </w:r>
          </w:p>
        </w:tc>
        <w:tc>
          <w:tcPr>
            <w:tcW w:w="2549" w:type="pct"/>
            <w:gridSpan w:val="2"/>
            <w:vAlign w:val="center"/>
          </w:tcPr>
          <w:p>
            <w:pPr>
              <w:jc w:val="both"/>
              <w:rPr>
                <w:lang w:eastAsia="zh-CN"/>
              </w:rPr>
            </w:pPr>
            <w:r>
              <w:rPr>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pPr>
              <w:jc w:val="both"/>
              <w:rPr>
                <w:lang w:eastAsia="zh-CN"/>
              </w:rPr>
            </w:pPr>
            <w:r>
              <w:rPr>
                <w:lang w:eastAsia="zh-CN"/>
              </w:rPr>
              <w:t>2、联合体各成员单位均须提供本表中序号1-1、1-2 的证明文件。联合体各成员单位均应满足本表3-2 及 3-3项规定。</w:t>
            </w:r>
          </w:p>
          <w:p>
            <w:pPr>
              <w:jc w:val="both"/>
              <w:rPr>
                <w:lang w:eastAsia="zh-CN"/>
              </w:rPr>
            </w:pPr>
            <w:r>
              <w:rPr>
                <w:lang w:eastAsia="zh-CN"/>
              </w:rPr>
              <w:t>3、本表序号 3-4 项规定的其他特定资格要求中的每一小项要求，联合体各方中至少应当有一方符合本表中其他资格要求并提供证明文件。</w:t>
            </w:r>
          </w:p>
          <w:p>
            <w:pPr>
              <w:jc w:val="both"/>
              <w:rPr>
                <w:lang w:eastAsia="zh-CN"/>
              </w:rPr>
            </w:pPr>
            <w:r>
              <w:rPr>
                <w:lang w:eastAsia="zh-CN"/>
              </w:rPr>
              <w:t>4、联合体中有同类资质的供应商按照联合体分工承担相同工作的，应当按照资质等级较低的供应商确定资质等级。</w:t>
            </w:r>
          </w:p>
          <w:p>
            <w:pPr>
              <w:jc w:val="both"/>
              <w:rPr>
                <w:lang w:eastAsia="zh-CN"/>
              </w:rPr>
            </w:pPr>
            <w:r>
              <w:rPr>
                <w:lang w:eastAsia="zh-CN"/>
              </w:rPr>
              <w:t>5、以联合体形式参加政府采购活动的，联合体各方不得再单独参加或者与其他供应商另外组成联合体参加同一合同项下的政府采购活动。</w:t>
            </w:r>
          </w:p>
          <w:p>
            <w:pPr>
              <w:jc w:val="both"/>
              <w:rPr>
                <w:lang w:eastAsia="zh-CN"/>
              </w:rPr>
            </w:pPr>
            <w:r>
              <w:rPr>
                <w:lang w:eastAsia="zh-CN"/>
              </w:rPr>
              <w:t>6、若联合体中任一成员单位中途退出，则该联合体的</w:t>
            </w:r>
            <w:r>
              <w:rPr>
                <w:b/>
                <w:lang w:eastAsia="zh-CN"/>
              </w:rPr>
              <w:t>响应无效</w:t>
            </w:r>
            <w:r>
              <w:rPr>
                <w:lang w:eastAsia="zh-CN"/>
              </w:rPr>
              <w:t>。</w:t>
            </w:r>
          </w:p>
          <w:p>
            <w:pPr>
              <w:jc w:val="both"/>
              <w:rPr>
                <w:lang w:eastAsia="zh-CN"/>
              </w:rPr>
            </w:pPr>
            <w:r>
              <w:rPr>
                <w:lang w:eastAsia="zh-CN"/>
              </w:rPr>
              <w:t>7、本项目不接受联合体响应时，供应商不得为联合体。</w:t>
            </w:r>
          </w:p>
        </w:tc>
        <w:tc>
          <w:tcPr>
            <w:tcW w:w="1017" w:type="pct"/>
            <w:gridSpan w:val="2"/>
            <w:vAlign w:val="center"/>
          </w:tcPr>
          <w:p>
            <w:pPr>
              <w:jc w:val="center"/>
              <w:rPr>
                <w:rFonts w:asciiTheme="minorEastAsia" w:hAnsiTheme="minorEastAsia" w:eastAsiaTheme="minorEastAsia"/>
                <w:sz w:val="24"/>
                <w:lang w:eastAsia="zh-CN"/>
              </w:rPr>
            </w:pPr>
            <w:r>
              <w:rPr>
                <w:lang w:eastAsia="zh-CN"/>
              </w:rPr>
              <w:t>提供《联合协议》原件的电子件格式见《响应文件格式》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Before w:val="1"/>
          <w:wBefore w:w="57" w:type="pct"/>
          <w:trHeight w:val="944" w:hRule="exact"/>
        </w:trPr>
        <w:tc>
          <w:tcPr>
            <w:tcW w:w="450" w:type="pct"/>
            <w:gridSpan w:val="2"/>
            <w:vAlign w:val="center"/>
          </w:tcPr>
          <w:p>
            <w:pPr>
              <w:pStyle w:val="27"/>
              <w:ind w:left="158" w:right="157"/>
              <w:jc w:val="center"/>
              <w:rPr>
                <w:rFonts w:asciiTheme="minorEastAsia" w:hAnsiTheme="minorEastAsia" w:eastAsiaTheme="minorEastAsia"/>
                <w:sz w:val="24"/>
              </w:rPr>
            </w:pPr>
            <w:r>
              <w:rPr>
                <w:rFonts w:asciiTheme="minorEastAsia" w:hAnsiTheme="minorEastAsia" w:eastAsiaTheme="minorEastAsia"/>
                <w:w w:val="105"/>
                <w:sz w:val="24"/>
              </w:rPr>
              <w:t>3-2</w:t>
            </w:r>
          </w:p>
        </w:tc>
        <w:tc>
          <w:tcPr>
            <w:tcW w:w="927" w:type="pct"/>
            <w:gridSpan w:val="2"/>
            <w:vAlign w:val="center"/>
          </w:tcPr>
          <w:p>
            <w:pPr>
              <w:pStyle w:val="27"/>
              <w:spacing w:line="276" w:lineRule="exact"/>
              <w:ind w:left="102"/>
              <w:jc w:val="center"/>
              <w:rPr>
                <w:rFonts w:asciiTheme="minorEastAsia" w:hAnsiTheme="minorEastAsia" w:eastAsiaTheme="minorEastAsia"/>
                <w:sz w:val="24"/>
                <w:lang w:eastAsia="zh-CN"/>
              </w:rPr>
            </w:pPr>
            <w:r>
              <w:rPr>
                <w:rFonts w:asciiTheme="minorEastAsia" w:hAnsiTheme="minorEastAsia" w:eastAsiaTheme="minorEastAsia"/>
                <w:sz w:val="24"/>
                <w:lang w:eastAsia="zh-CN"/>
              </w:rPr>
              <w:t>政府购买服务</w:t>
            </w:r>
            <w:r>
              <w:rPr>
                <w:rFonts w:asciiTheme="minorEastAsia" w:hAnsiTheme="minorEastAsia" w:eastAsiaTheme="minorEastAsia"/>
                <w:spacing w:val="16"/>
                <w:sz w:val="24"/>
                <w:lang w:eastAsia="zh-CN"/>
              </w:rPr>
              <w:t>承接</w:t>
            </w:r>
            <w:r>
              <w:rPr>
                <w:rFonts w:asciiTheme="minorEastAsia" w:hAnsiTheme="minorEastAsia" w:eastAsiaTheme="minorEastAsia"/>
                <w:spacing w:val="19"/>
                <w:sz w:val="24"/>
                <w:lang w:eastAsia="zh-CN"/>
              </w:rPr>
              <w:t>主</w:t>
            </w:r>
            <w:r>
              <w:rPr>
                <w:rFonts w:asciiTheme="minorEastAsia" w:hAnsiTheme="minorEastAsia" w:eastAsiaTheme="minorEastAsia"/>
                <w:spacing w:val="16"/>
                <w:sz w:val="24"/>
                <w:lang w:eastAsia="zh-CN"/>
              </w:rPr>
              <w:t>体的</w:t>
            </w:r>
            <w:r>
              <w:rPr>
                <w:rFonts w:asciiTheme="minorEastAsia" w:hAnsiTheme="minorEastAsia" w:eastAsiaTheme="minorEastAsia"/>
                <w:sz w:val="24"/>
                <w:lang w:eastAsia="zh-CN"/>
              </w:rPr>
              <w:t>要求</w:t>
            </w:r>
          </w:p>
        </w:tc>
        <w:tc>
          <w:tcPr>
            <w:tcW w:w="2549" w:type="pct"/>
            <w:gridSpan w:val="2"/>
            <w:vAlign w:val="center"/>
          </w:tcPr>
          <w:p>
            <w:pPr>
              <w:pStyle w:val="27"/>
              <w:spacing w:line="276" w:lineRule="exact"/>
              <w:ind w:left="103"/>
              <w:jc w:val="both"/>
              <w:rPr>
                <w:rFonts w:asciiTheme="minorEastAsia" w:hAnsiTheme="minorEastAsia" w:eastAsiaTheme="minorEastAsia"/>
                <w:sz w:val="24"/>
                <w:lang w:eastAsia="zh-CN"/>
              </w:rPr>
            </w:pPr>
            <w:r>
              <w:rPr>
                <w:rFonts w:asciiTheme="minorEastAsia" w:hAnsiTheme="minorEastAsia" w:eastAsiaTheme="minorEastAsia"/>
                <w:sz w:val="24"/>
                <w:lang w:eastAsia="zh-CN"/>
              </w:rPr>
              <w:t>如本项目属于政府购买服务，供应商不属于公</w:t>
            </w:r>
            <w:r>
              <w:rPr>
                <w:rFonts w:asciiTheme="minorEastAsia" w:hAnsiTheme="minorEastAsia" w:eastAsiaTheme="minorEastAsia"/>
                <w:spacing w:val="2"/>
                <w:sz w:val="24"/>
                <w:lang w:eastAsia="zh-CN"/>
              </w:rPr>
              <w:t>益</w:t>
            </w:r>
            <w:r>
              <w:rPr>
                <w:rFonts w:asciiTheme="minorEastAsia" w:hAnsiTheme="minorEastAsia" w:eastAsiaTheme="minorEastAsia"/>
                <w:sz w:val="24"/>
                <w:lang w:eastAsia="zh-CN"/>
              </w:rPr>
              <w:t>一类</w:t>
            </w:r>
            <w:r>
              <w:rPr>
                <w:rFonts w:asciiTheme="minorEastAsia" w:hAnsiTheme="minorEastAsia" w:eastAsiaTheme="minorEastAsia"/>
                <w:spacing w:val="2"/>
                <w:sz w:val="24"/>
                <w:lang w:eastAsia="zh-CN"/>
              </w:rPr>
              <w:t>事</w:t>
            </w:r>
            <w:r>
              <w:rPr>
                <w:rFonts w:asciiTheme="minorEastAsia" w:hAnsiTheme="minorEastAsia" w:eastAsiaTheme="minorEastAsia"/>
                <w:sz w:val="24"/>
                <w:lang w:eastAsia="zh-CN"/>
              </w:rPr>
              <w:t>业单</w:t>
            </w:r>
            <w:r>
              <w:rPr>
                <w:rFonts w:asciiTheme="minorEastAsia" w:hAnsiTheme="minorEastAsia" w:eastAsiaTheme="minorEastAsia"/>
                <w:spacing w:val="2"/>
                <w:sz w:val="24"/>
                <w:lang w:eastAsia="zh-CN"/>
              </w:rPr>
              <w:t>位</w:t>
            </w:r>
            <w:r>
              <w:rPr>
                <w:rFonts w:asciiTheme="minorEastAsia" w:hAnsiTheme="minorEastAsia" w:eastAsiaTheme="minorEastAsia"/>
                <w:sz w:val="24"/>
                <w:lang w:eastAsia="zh-CN"/>
              </w:rPr>
              <w:t>、使</w:t>
            </w:r>
            <w:r>
              <w:rPr>
                <w:rFonts w:asciiTheme="minorEastAsia" w:hAnsiTheme="minorEastAsia" w:eastAsiaTheme="minorEastAsia"/>
                <w:spacing w:val="2"/>
                <w:sz w:val="24"/>
                <w:lang w:eastAsia="zh-CN"/>
              </w:rPr>
              <w:t>用</w:t>
            </w:r>
            <w:r>
              <w:rPr>
                <w:rFonts w:asciiTheme="minorEastAsia" w:hAnsiTheme="minorEastAsia" w:eastAsiaTheme="minorEastAsia"/>
                <w:sz w:val="24"/>
                <w:lang w:eastAsia="zh-CN"/>
              </w:rPr>
              <w:t>事</w:t>
            </w:r>
            <w:r>
              <w:rPr>
                <w:rFonts w:asciiTheme="minorEastAsia" w:hAnsiTheme="minorEastAsia" w:eastAsiaTheme="minorEastAsia"/>
                <w:spacing w:val="2"/>
                <w:sz w:val="24"/>
                <w:lang w:eastAsia="zh-CN"/>
              </w:rPr>
              <w:t>业</w:t>
            </w:r>
            <w:r>
              <w:rPr>
                <w:rFonts w:asciiTheme="minorEastAsia" w:hAnsiTheme="minorEastAsia" w:eastAsiaTheme="minorEastAsia"/>
                <w:sz w:val="24"/>
                <w:lang w:eastAsia="zh-CN"/>
              </w:rPr>
              <w:t>编制</w:t>
            </w:r>
            <w:r>
              <w:rPr>
                <w:rFonts w:asciiTheme="minorEastAsia" w:hAnsiTheme="minorEastAsia" w:eastAsiaTheme="minorEastAsia"/>
                <w:spacing w:val="2"/>
                <w:sz w:val="24"/>
                <w:lang w:eastAsia="zh-CN"/>
              </w:rPr>
              <w:t>且</w:t>
            </w:r>
            <w:r>
              <w:rPr>
                <w:rFonts w:asciiTheme="minorEastAsia" w:hAnsiTheme="minorEastAsia" w:eastAsiaTheme="minorEastAsia"/>
                <w:sz w:val="24"/>
                <w:lang w:eastAsia="zh-CN"/>
              </w:rPr>
              <w:t>由财政拨款保障的群团组织。</w:t>
            </w:r>
          </w:p>
        </w:tc>
        <w:tc>
          <w:tcPr>
            <w:tcW w:w="1017" w:type="pct"/>
            <w:gridSpan w:val="2"/>
            <w:vAlign w:val="center"/>
          </w:tcPr>
          <w:p>
            <w:pPr>
              <w:pStyle w:val="27"/>
              <w:spacing w:before="151" w:line="310" w:lineRule="exact"/>
              <w:ind w:left="102" w:right="102"/>
              <w:jc w:val="center"/>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格式见《响</w:t>
            </w:r>
            <w:r>
              <w:rPr>
                <w:rFonts w:asciiTheme="minorEastAsia" w:hAnsiTheme="minorEastAsia" w:eastAsiaTheme="minorEastAsia"/>
                <w:sz w:val="24"/>
                <w:lang w:eastAsia="zh-CN"/>
              </w:rPr>
              <w:t>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gridBefore w:val="1"/>
          <w:wBefore w:w="57" w:type="pct"/>
          <w:trHeight w:val="942" w:hRule="exact"/>
        </w:trPr>
        <w:tc>
          <w:tcPr>
            <w:tcW w:w="450" w:type="pct"/>
            <w:gridSpan w:val="2"/>
            <w:vAlign w:val="center"/>
          </w:tcPr>
          <w:p>
            <w:pPr>
              <w:pStyle w:val="27"/>
              <w:spacing w:before="1"/>
              <w:ind w:left="158" w:right="157"/>
              <w:jc w:val="center"/>
              <w:rPr>
                <w:rFonts w:asciiTheme="minorEastAsia" w:hAnsiTheme="minorEastAsia" w:eastAsiaTheme="minorEastAsia"/>
                <w:sz w:val="24"/>
              </w:rPr>
            </w:pPr>
            <w:r>
              <w:rPr>
                <w:rFonts w:asciiTheme="minorEastAsia" w:hAnsiTheme="minorEastAsia" w:eastAsiaTheme="minorEastAsia"/>
                <w:w w:val="105"/>
                <w:sz w:val="24"/>
              </w:rPr>
              <w:t>3-3</w:t>
            </w:r>
          </w:p>
        </w:tc>
        <w:tc>
          <w:tcPr>
            <w:tcW w:w="927" w:type="pct"/>
            <w:gridSpan w:val="2"/>
            <w:vAlign w:val="center"/>
          </w:tcPr>
          <w:p>
            <w:pPr>
              <w:pStyle w:val="27"/>
              <w:spacing w:before="146" w:line="312" w:lineRule="exact"/>
              <w:ind w:left="102" w:right="101"/>
              <w:jc w:val="center"/>
              <w:rPr>
                <w:rFonts w:asciiTheme="minorEastAsia" w:hAnsiTheme="minorEastAsia" w:eastAsiaTheme="minorEastAsia"/>
                <w:sz w:val="24"/>
              </w:rPr>
            </w:pPr>
            <w:r>
              <w:rPr>
                <w:rFonts w:asciiTheme="minorEastAsia" w:hAnsiTheme="minorEastAsia" w:eastAsiaTheme="minorEastAsia"/>
                <w:spacing w:val="16"/>
                <w:sz w:val="24"/>
              </w:rPr>
              <w:t>其他</w:t>
            </w:r>
            <w:r>
              <w:rPr>
                <w:rFonts w:asciiTheme="minorEastAsia" w:hAnsiTheme="minorEastAsia" w:eastAsiaTheme="minorEastAsia"/>
                <w:spacing w:val="19"/>
                <w:sz w:val="24"/>
              </w:rPr>
              <w:t>特</w:t>
            </w:r>
            <w:r>
              <w:rPr>
                <w:rFonts w:asciiTheme="minorEastAsia" w:hAnsiTheme="minorEastAsia" w:eastAsiaTheme="minorEastAsia"/>
                <w:spacing w:val="16"/>
                <w:sz w:val="24"/>
              </w:rPr>
              <w:t>定资</w:t>
            </w:r>
            <w:r>
              <w:rPr>
                <w:rFonts w:asciiTheme="minorEastAsia" w:hAnsiTheme="minorEastAsia" w:eastAsiaTheme="minorEastAsia"/>
                <w:sz w:val="24"/>
              </w:rPr>
              <w:t>格要求</w:t>
            </w:r>
          </w:p>
        </w:tc>
        <w:tc>
          <w:tcPr>
            <w:tcW w:w="2549" w:type="pct"/>
            <w:gridSpan w:val="2"/>
            <w:vAlign w:val="center"/>
          </w:tcPr>
          <w:p>
            <w:pPr>
              <w:pStyle w:val="27"/>
              <w:ind w:left="103"/>
              <w:jc w:val="both"/>
              <w:rPr>
                <w:rFonts w:asciiTheme="minorEastAsia" w:hAnsiTheme="minorEastAsia" w:eastAsiaTheme="minorEastAsia"/>
                <w:sz w:val="24"/>
                <w:lang w:eastAsia="zh-CN"/>
              </w:rPr>
            </w:pPr>
            <w:r>
              <w:rPr>
                <w:rFonts w:asciiTheme="minorEastAsia" w:hAnsiTheme="minorEastAsia" w:eastAsiaTheme="minorEastAsia"/>
                <w:sz w:val="24"/>
                <w:lang w:eastAsia="zh-CN"/>
              </w:rPr>
              <w:t>如有，见第一章《采购邀请》</w:t>
            </w:r>
          </w:p>
        </w:tc>
        <w:tc>
          <w:tcPr>
            <w:tcW w:w="1017" w:type="pct"/>
            <w:gridSpan w:val="2"/>
            <w:vAlign w:val="center"/>
          </w:tcPr>
          <w:p>
            <w:pPr>
              <w:pStyle w:val="27"/>
              <w:spacing w:line="274" w:lineRule="exact"/>
              <w:ind w:left="102"/>
              <w:jc w:val="center"/>
              <w:rPr>
                <w:rFonts w:asciiTheme="minorEastAsia" w:hAnsiTheme="minorEastAsia" w:eastAsiaTheme="minorEastAsia"/>
                <w:sz w:val="24"/>
                <w:lang w:eastAsia="zh-CN"/>
              </w:rPr>
            </w:pPr>
            <w:r>
              <w:rPr>
                <w:rFonts w:asciiTheme="minorEastAsia" w:hAnsiTheme="minorEastAsia" w:eastAsiaTheme="minorEastAsia"/>
                <w:sz w:val="24"/>
                <w:lang w:eastAsia="zh-CN"/>
              </w:rPr>
              <w:t>提供证明文件的</w:t>
            </w:r>
            <w:r>
              <w:rPr>
                <w:rFonts w:asciiTheme="minorEastAsia" w:hAnsiTheme="minorEastAsia" w:eastAsiaTheme="minorEastAsia"/>
                <w:spacing w:val="2"/>
                <w:sz w:val="24"/>
                <w:lang w:eastAsia="zh-CN"/>
              </w:rPr>
              <w:t>电子件或电</w:t>
            </w:r>
            <w:r>
              <w:rPr>
                <w:rFonts w:asciiTheme="minorEastAsia" w:hAnsiTheme="minorEastAsia" w:eastAsiaTheme="minorEastAsia"/>
                <w:sz w:val="24"/>
                <w:lang w:eastAsia="zh-CN"/>
              </w:rPr>
              <w:t>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wBefore w:w="57" w:type="pct"/>
          <w:trHeight w:val="633" w:hRule="exact"/>
        </w:trPr>
        <w:tc>
          <w:tcPr>
            <w:tcW w:w="450" w:type="pct"/>
            <w:gridSpan w:val="2"/>
            <w:vAlign w:val="center"/>
          </w:tcPr>
          <w:p>
            <w:pPr>
              <w:jc w:val="center"/>
            </w:pPr>
            <w:r>
              <w:t>4</w:t>
            </w:r>
          </w:p>
        </w:tc>
        <w:tc>
          <w:tcPr>
            <w:tcW w:w="927" w:type="pct"/>
            <w:gridSpan w:val="2"/>
            <w:vAlign w:val="center"/>
          </w:tcPr>
          <w:p>
            <w:pPr>
              <w:jc w:val="center"/>
            </w:pPr>
            <w:r>
              <w:t>磋商保证金</w:t>
            </w:r>
          </w:p>
        </w:tc>
        <w:tc>
          <w:tcPr>
            <w:tcW w:w="2549" w:type="pct"/>
            <w:gridSpan w:val="2"/>
            <w:vAlign w:val="center"/>
          </w:tcPr>
          <w:p>
            <w:pPr>
              <w:jc w:val="center"/>
              <w:rPr>
                <w:lang w:eastAsia="zh-CN"/>
              </w:rPr>
            </w:pPr>
            <w:r>
              <w:rPr>
                <w:lang w:eastAsia="zh-CN"/>
              </w:rPr>
              <w:t>按照竞争性磋商文件的要求提交磋商保证金。</w:t>
            </w:r>
          </w:p>
        </w:tc>
        <w:tc>
          <w:tcPr>
            <w:tcW w:w="1016" w:type="pct"/>
            <w:gridSpan w:val="2"/>
            <w:vAlign w:val="center"/>
          </w:tcPr>
          <w:p>
            <w:pPr>
              <w:jc w:val="center"/>
              <w:rPr>
                <w:lang w:eastAsia="zh-CN"/>
              </w:rPr>
            </w:pPr>
          </w:p>
        </w:tc>
      </w:tr>
    </w:tbl>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《符合性审查要求》见下表：</w:t>
      </w:r>
    </w:p>
    <w:p>
      <w:pPr>
        <w:pStyle w:val="5"/>
        <w:rPr>
          <w:rFonts w:asciiTheme="minorEastAsia" w:hAnsiTheme="minorEastAsia" w:eastAsiaTheme="minorEastAsia"/>
          <w:b/>
          <w:lang w:eastAsia="zh-CN"/>
        </w:rPr>
      </w:pPr>
      <w:bookmarkStart w:id="23" w:name="_Toc164263461"/>
      <w:r>
        <w:rPr>
          <w:rFonts w:asciiTheme="minorEastAsia" w:hAnsiTheme="minorEastAsia" w:eastAsiaTheme="minorEastAsia"/>
          <w:b/>
          <w:lang w:eastAsia="zh-CN"/>
        </w:rPr>
        <w:t>符合性审查要求</w:t>
      </w:r>
      <w:bookmarkEnd w:id="23"/>
    </w:p>
    <w:p>
      <w:pPr>
        <w:pStyle w:val="12"/>
        <w:spacing w:before="7"/>
        <w:rPr>
          <w:rFonts w:asciiTheme="minorEastAsia" w:hAnsiTheme="minorEastAsia" w:eastAsiaTheme="minorEastAsia"/>
          <w:sz w:val="14"/>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07"/>
        <w:gridCol w:w="1534"/>
        <w:gridCol w:w="2636"/>
        <w:gridCol w:w="32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5" w:hRule="exact"/>
        </w:trPr>
        <w:tc>
          <w:tcPr>
            <w:tcW w:w="545" w:type="pct"/>
            <w:vAlign w:val="center"/>
          </w:tcPr>
          <w:p>
            <w:pPr>
              <w:jc w:val="center"/>
              <w:rPr>
                <w:b/>
              </w:rPr>
            </w:pPr>
            <w:r>
              <w:rPr>
                <w:b/>
              </w:rPr>
              <w:t>序号</w:t>
            </w:r>
          </w:p>
        </w:tc>
        <w:tc>
          <w:tcPr>
            <w:tcW w:w="921" w:type="pct"/>
            <w:vAlign w:val="center"/>
          </w:tcPr>
          <w:p>
            <w:pPr>
              <w:jc w:val="center"/>
              <w:rPr>
                <w:b/>
              </w:rPr>
            </w:pPr>
            <w:r>
              <w:rPr>
                <w:b/>
              </w:rPr>
              <w:t>检查因素</w:t>
            </w:r>
          </w:p>
        </w:tc>
        <w:tc>
          <w:tcPr>
            <w:tcW w:w="1583" w:type="pct"/>
            <w:vAlign w:val="center"/>
          </w:tcPr>
          <w:p>
            <w:pPr>
              <w:jc w:val="center"/>
              <w:rPr>
                <w:b/>
              </w:rPr>
            </w:pPr>
            <w:r>
              <w:rPr>
                <w:b/>
              </w:rPr>
              <w:t>检查内容</w:t>
            </w:r>
          </w:p>
        </w:tc>
        <w:tc>
          <w:tcPr>
            <w:tcW w:w="1951" w:type="pct"/>
            <w:vAlign w:val="center"/>
          </w:tcPr>
          <w:p>
            <w:pPr>
              <w:jc w:val="center"/>
              <w:rPr>
                <w:b/>
                <w:lang w:eastAsia="zh-CN"/>
              </w:rPr>
            </w:pPr>
            <w:r>
              <w:rPr>
                <w:b/>
                <w:lang w:eastAsia="zh-CN"/>
              </w:rPr>
              <w:t>是否允许澄清、说明或者更正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exact"/>
        </w:trPr>
        <w:tc>
          <w:tcPr>
            <w:tcW w:w="545" w:type="pct"/>
            <w:vAlign w:val="center"/>
          </w:tcPr>
          <w:p>
            <w:pPr>
              <w:widowControl/>
              <w:jc w:val="center"/>
              <w:rPr>
                <w:color w:val="000000"/>
                <w:sz w:val="24"/>
              </w:rPr>
            </w:pPr>
            <w:r>
              <w:rPr>
                <w:color w:val="000000"/>
                <w:sz w:val="24"/>
              </w:rPr>
              <w:t>1</w:t>
            </w:r>
          </w:p>
        </w:tc>
        <w:tc>
          <w:tcPr>
            <w:tcW w:w="921" w:type="pct"/>
            <w:vAlign w:val="center"/>
          </w:tcPr>
          <w:p>
            <w:pPr>
              <w:widowControl/>
              <w:rPr>
                <w:color w:val="000000"/>
                <w:sz w:val="24"/>
              </w:rPr>
            </w:pPr>
            <w:r>
              <w:rPr>
                <w:color w:val="000000"/>
                <w:sz w:val="24"/>
              </w:rPr>
              <w:t>授权委托书</w:t>
            </w:r>
          </w:p>
        </w:tc>
        <w:tc>
          <w:tcPr>
            <w:tcW w:w="1583" w:type="pct"/>
            <w:vAlign w:val="center"/>
          </w:tcPr>
          <w:p>
            <w:pPr>
              <w:widowControl/>
              <w:rPr>
                <w:color w:val="000000"/>
                <w:sz w:val="24"/>
                <w:lang w:eastAsia="zh-CN"/>
              </w:rPr>
            </w:pPr>
            <w:r>
              <w:rPr>
                <w:color w:val="000000"/>
                <w:sz w:val="24"/>
                <w:lang w:eastAsia="zh-CN"/>
              </w:rPr>
              <w:t>按磋商文件要求提供授权委托书；</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5" w:hRule="exact"/>
        </w:trPr>
        <w:tc>
          <w:tcPr>
            <w:tcW w:w="545" w:type="pct"/>
            <w:vAlign w:val="center"/>
          </w:tcPr>
          <w:p>
            <w:pPr>
              <w:widowControl/>
              <w:jc w:val="center"/>
              <w:rPr>
                <w:color w:val="000000"/>
                <w:sz w:val="24"/>
              </w:rPr>
            </w:pPr>
            <w:r>
              <w:rPr>
                <w:color w:val="000000"/>
                <w:sz w:val="24"/>
              </w:rPr>
              <w:t>2</w:t>
            </w:r>
          </w:p>
        </w:tc>
        <w:tc>
          <w:tcPr>
            <w:tcW w:w="921" w:type="pct"/>
            <w:vAlign w:val="center"/>
          </w:tcPr>
          <w:p>
            <w:pPr>
              <w:widowControl/>
              <w:rPr>
                <w:color w:val="000000"/>
                <w:sz w:val="24"/>
              </w:rPr>
            </w:pPr>
            <w:r>
              <w:rPr>
                <w:color w:val="000000"/>
                <w:sz w:val="24"/>
              </w:rPr>
              <w:t>投标完整性</w:t>
            </w:r>
          </w:p>
        </w:tc>
        <w:tc>
          <w:tcPr>
            <w:tcW w:w="1583" w:type="pct"/>
            <w:vAlign w:val="center"/>
          </w:tcPr>
          <w:p>
            <w:pPr>
              <w:widowControl/>
              <w:rPr>
                <w:color w:val="000000"/>
                <w:sz w:val="24"/>
                <w:lang w:eastAsia="zh-CN"/>
              </w:rPr>
            </w:pPr>
            <w:r>
              <w:rPr>
                <w:rFonts w:hint="eastAsia"/>
                <w:sz w:val="24"/>
                <w:lang w:eastAsia="zh-CN"/>
              </w:rPr>
              <w:t>未</w:t>
            </w:r>
            <w:r>
              <w:rPr>
                <w:sz w:val="24"/>
                <w:lang w:eastAsia="zh-CN"/>
              </w:rPr>
              <w:t>将一个采购包中的内容拆开投标；</w:t>
            </w:r>
          </w:p>
        </w:tc>
        <w:tc>
          <w:tcPr>
            <w:tcW w:w="1951" w:type="pct"/>
            <w:vAlign w:val="center"/>
          </w:tcPr>
          <w:p>
            <w:pPr>
              <w:widowControl/>
              <w:jc w:val="center"/>
              <w:rPr>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61" w:hRule="exact"/>
        </w:trPr>
        <w:tc>
          <w:tcPr>
            <w:tcW w:w="545" w:type="pct"/>
            <w:vAlign w:val="center"/>
          </w:tcPr>
          <w:p>
            <w:pPr>
              <w:widowControl/>
              <w:jc w:val="center"/>
              <w:rPr>
                <w:color w:val="000000"/>
                <w:sz w:val="24"/>
              </w:rPr>
            </w:pPr>
            <w:r>
              <w:rPr>
                <w:color w:val="000000"/>
                <w:sz w:val="24"/>
              </w:rPr>
              <w:t>3</w:t>
            </w:r>
          </w:p>
        </w:tc>
        <w:tc>
          <w:tcPr>
            <w:tcW w:w="921" w:type="pct"/>
            <w:vAlign w:val="center"/>
          </w:tcPr>
          <w:p>
            <w:pPr>
              <w:widowControl/>
              <w:rPr>
                <w:color w:val="000000"/>
                <w:sz w:val="24"/>
              </w:rPr>
            </w:pPr>
            <w:r>
              <w:rPr>
                <w:color w:val="000000"/>
                <w:sz w:val="24"/>
              </w:rPr>
              <w:t>报价</w:t>
            </w:r>
          </w:p>
        </w:tc>
        <w:tc>
          <w:tcPr>
            <w:tcW w:w="1583" w:type="pct"/>
            <w:vAlign w:val="center"/>
          </w:tcPr>
          <w:p>
            <w:pPr>
              <w:widowControl/>
              <w:rPr>
                <w:color w:val="000000"/>
                <w:sz w:val="24"/>
                <w:lang w:eastAsia="zh-CN"/>
              </w:rPr>
            </w:pPr>
            <w:r>
              <w:rPr>
                <w:color w:val="000000"/>
                <w:sz w:val="24"/>
                <w:lang w:eastAsia="zh-CN"/>
              </w:rPr>
              <w:t>报价</w:t>
            </w:r>
            <w:r>
              <w:rPr>
                <w:rFonts w:hint="eastAsia"/>
                <w:color w:val="000000"/>
                <w:sz w:val="24"/>
                <w:lang w:eastAsia="zh-CN"/>
              </w:rPr>
              <w:t>未</w:t>
            </w:r>
            <w:r>
              <w:rPr>
                <w:color w:val="000000"/>
                <w:sz w:val="24"/>
                <w:lang w:eastAsia="zh-CN"/>
              </w:rPr>
              <w:t>超过磋商文件中规定的项目/采购包预算金额或者项目/采购包最高限价；</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17" w:hRule="exact"/>
        </w:trPr>
        <w:tc>
          <w:tcPr>
            <w:tcW w:w="545" w:type="pct"/>
            <w:vAlign w:val="center"/>
          </w:tcPr>
          <w:p>
            <w:pPr>
              <w:widowControl/>
              <w:jc w:val="center"/>
              <w:rPr>
                <w:color w:val="000000"/>
                <w:sz w:val="24"/>
              </w:rPr>
            </w:pPr>
            <w:r>
              <w:rPr>
                <w:color w:val="000000"/>
                <w:sz w:val="24"/>
              </w:rPr>
              <w:t>4</w:t>
            </w:r>
          </w:p>
        </w:tc>
        <w:tc>
          <w:tcPr>
            <w:tcW w:w="921" w:type="pct"/>
            <w:vAlign w:val="center"/>
          </w:tcPr>
          <w:p>
            <w:pPr>
              <w:widowControl/>
              <w:rPr>
                <w:color w:val="000000"/>
                <w:sz w:val="24"/>
              </w:rPr>
            </w:pPr>
            <w:r>
              <w:rPr>
                <w:color w:val="000000"/>
                <w:sz w:val="24"/>
              </w:rPr>
              <w:t>报价唯一性</w:t>
            </w:r>
          </w:p>
        </w:tc>
        <w:tc>
          <w:tcPr>
            <w:tcW w:w="1583" w:type="pct"/>
            <w:vAlign w:val="center"/>
          </w:tcPr>
          <w:p>
            <w:pPr>
              <w:widowControl/>
              <w:rPr>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61" w:hRule="exact"/>
        </w:trPr>
        <w:tc>
          <w:tcPr>
            <w:tcW w:w="545" w:type="pct"/>
            <w:vAlign w:val="center"/>
          </w:tcPr>
          <w:p>
            <w:pPr>
              <w:widowControl/>
              <w:jc w:val="center"/>
              <w:rPr>
                <w:color w:val="000000"/>
                <w:sz w:val="24"/>
              </w:rPr>
            </w:pPr>
            <w:r>
              <w:rPr>
                <w:color w:val="000000"/>
                <w:sz w:val="24"/>
              </w:rPr>
              <w:t>5</w:t>
            </w:r>
          </w:p>
        </w:tc>
        <w:tc>
          <w:tcPr>
            <w:tcW w:w="921" w:type="pct"/>
            <w:vAlign w:val="center"/>
          </w:tcPr>
          <w:p>
            <w:pPr>
              <w:widowControl/>
              <w:rPr>
                <w:color w:val="000000"/>
                <w:sz w:val="24"/>
              </w:rPr>
            </w:pPr>
            <w:r>
              <w:rPr>
                <w:rFonts w:hint="eastAsia"/>
                <w:color w:val="000000"/>
                <w:sz w:val="24"/>
                <w:lang w:eastAsia="zh-CN"/>
              </w:rPr>
              <w:t>响应</w:t>
            </w:r>
            <w:r>
              <w:rPr>
                <w:color w:val="000000"/>
                <w:sz w:val="24"/>
              </w:rPr>
              <w:t>有效期</w:t>
            </w:r>
          </w:p>
        </w:tc>
        <w:tc>
          <w:tcPr>
            <w:tcW w:w="1583" w:type="pct"/>
            <w:vAlign w:val="center"/>
          </w:tcPr>
          <w:p>
            <w:pPr>
              <w:widowControl/>
              <w:rPr>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64" w:hRule="exact"/>
        </w:trPr>
        <w:tc>
          <w:tcPr>
            <w:tcW w:w="545" w:type="pct"/>
            <w:vAlign w:val="center"/>
          </w:tcPr>
          <w:p>
            <w:pPr>
              <w:widowControl/>
              <w:jc w:val="center"/>
              <w:rPr>
                <w:color w:val="000000"/>
                <w:sz w:val="24"/>
              </w:rPr>
            </w:pPr>
            <w:r>
              <w:rPr>
                <w:color w:val="000000"/>
                <w:sz w:val="24"/>
              </w:rPr>
              <w:t>6</w:t>
            </w:r>
          </w:p>
        </w:tc>
        <w:tc>
          <w:tcPr>
            <w:tcW w:w="921" w:type="pct"/>
            <w:vAlign w:val="center"/>
          </w:tcPr>
          <w:p>
            <w:pPr>
              <w:widowControl/>
              <w:rPr>
                <w:color w:val="000000"/>
                <w:sz w:val="24"/>
              </w:rPr>
            </w:pPr>
            <w:r>
              <w:rPr>
                <w:color w:val="000000"/>
                <w:sz w:val="24"/>
              </w:rPr>
              <w:t>签署、盖章</w:t>
            </w:r>
          </w:p>
        </w:tc>
        <w:tc>
          <w:tcPr>
            <w:tcW w:w="1583" w:type="pct"/>
            <w:vAlign w:val="center"/>
          </w:tcPr>
          <w:p>
            <w:pPr>
              <w:widowControl/>
              <w:rPr>
                <w:color w:val="000000"/>
                <w:sz w:val="24"/>
                <w:lang w:eastAsia="zh-CN"/>
              </w:rPr>
            </w:pPr>
            <w:r>
              <w:rPr>
                <w:color w:val="000000"/>
                <w:sz w:val="24"/>
                <w:lang w:eastAsia="zh-CN"/>
              </w:rPr>
              <w:t>按照磋商文件要求签署、盖章的；</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7" w:hRule="exact"/>
        </w:trPr>
        <w:tc>
          <w:tcPr>
            <w:tcW w:w="545" w:type="pct"/>
            <w:vAlign w:val="center"/>
          </w:tcPr>
          <w:p>
            <w:pPr>
              <w:widowControl/>
              <w:jc w:val="center"/>
              <w:rPr>
                <w:color w:val="000000"/>
                <w:sz w:val="24"/>
              </w:rPr>
            </w:pPr>
            <w:r>
              <w:rPr>
                <w:rFonts w:hint="eastAsia"/>
                <w:color w:val="000000"/>
                <w:sz w:val="24"/>
              </w:rPr>
              <w:t>7</w:t>
            </w:r>
          </w:p>
        </w:tc>
        <w:tc>
          <w:tcPr>
            <w:tcW w:w="921" w:type="pct"/>
            <w:vAlign w:val="center"/>
          </w:tcPr>
          <w:p>
            <w:pPr>
              <w:widowControl/>
              <w:rPr>
                <w:color w:val="000000"/>
                <w:sz w:val="24"/>
              </w:rPr>
            </w:pPr>
            <w:r>
              <w:rPr>
                <w:rFonts w:hint="eastAsia"/>
                <w:color w:val="000000"/>
                <w:sz w:val="24"/>
              </w:rPr>
              <w:t>实质性格式</w:t>
            </w:r>
          </w:p>
        </w:tc>
        <w:tc>
          <w:tcPr>
            <w:tcW w:w="1583" w:type="pct"/>
            <w:vAlign w:val="center"/>
          </w:tcPr>
          <w:p>
            <w:pPr>
              <w:widowControl/>
              <w:rPr>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1951" w:type="pct"/>
            <w:vAlign w:val="center"/>
          </w:tcPr>
          <w:p>
            <w:pPr>
              <w:widowControl/>
              <w:jc w:val="center"/>
              <w:rPr>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61" w:hRule="exact"/>
        </w:trPr>
        <w:tc>
          <w:tcPr>
            <w:tcW w:w="545" w:type="pct"/>
            <w:vAlign w:val="center"/>
          </w:tcPr>
          <w:p>
            <w:pPr>
              <w:widowControl/>
              <w:jc w:val="center"/>
              <w:rPr>
                <w:color w:val="000000"/>
                <w:sz w:val="24"/>
              </w:rPr>
            </w:pPr>
            <w:r>
              <w:rPr>
                <w:color w:val="000000"/>
                <w:sz w:val="24"/>
              </w:rPr>
              <w:t>8</w:t>
            </w:r>
          </w:p>
        </w:tc>
        <w:tc>
          <w:tcPr>
            <w:tcW w:w="921" w:type="pct"/>
            <w:vAlign w:val="center"/>
          </w:tcPr>
          <w:p>
            <w:pPr>
              <w:widowControl/>
              <w:rPr>
                <w:color w:val="000000"/>
                <w:sz w:val="24"/>
              </w:rPr>
            </w:pPr>
            <w:r>
              <w:rPr>
                <w:rFonts w:ascii="Segoe UI Symbol" w:hAnsi="Segoe UI Symbol" w:cs="Segoe UI Symbol"/>
                <w:color w:val="000000"/>
                <w:sz w:val="24"/>
              </w:rPr>
              <w:t>★</w:t>
            </w:r>
            <w:r>
              <w:rPr>
                <w:color w:val="000000"/>
                <w:sz w:val="24"/>
              </w:rPr>
              <w:t>号条款响应</w:t>
            </w:r>
          </w:p>
        </w:tc>
        <w:tc>
          <w:tcPr>
            <w:tcW w:w="1583" w:type="pct"/>
            <w:vAlign w:val="center"/>
          </w:tcPr>
          <w:p>
            <w:pPr>
              <w:widowControl/>
              <w:rPr>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57" w:hRule="exact"/>
        </w:trPr>
        <w:tc>
          <w:tcPr>
            <w:tcW w:w="545" w:type="pct"/>
            <w:vAlign w:val="center"/>
          </w:tcPr>
          <w:p>
            <w:pPr>
              <w:widowControl/>
              <w:jc w:val="center"/>
              <w:rPr>
                <w:color w:val="000000"/>
                <w:sz w:val="24"/>
              </w:rPr>
            </w:pPr>
            <w:r>
              <w:rPr>
                <w:color w:val="000000"/>
                <w:sz w:val="24"/>
              </w:rPr>
              <w:t>9</w:t>
            </w:r>
          </w:p>
        </w:tc>
        <w:tc>
          <w:tcPr>
            <w:tcW w:w="921" w:type="pct"/>
            <w:vAlign w:val="center"/>
          </w:tcPr>
          <w:p>
            <w:pPr>
              <w:widowControl/>
              <w:rPr>
                <w:color w:val="000000"/>
                <w:sz w:val="24"/>
                <w:lang w:eastAsia="zh-CN"/>
              </w:rPr>
            </w:pPr>
            <w:r>
              <w:rPr>
                <w:color w:val="000000"/>
                <w:sz w:val="24"/>
                <w:lang w:eastAsia="zh-CN"/>
              </w:rPr>
              <w:t>分包承担主体资质（如有）</w:t>
            </w:r>
          </w:p>
        </w:tc>
        <w:tc>
          <w:tcPr>
            <w:tcW w:w="1583" w:type="pct"/>
            <w:vAlign w:val="center"/>
          </w:tcPr>
          <w:p>
            <w:pPr>
              <w:widowControl/>
              <w:rPr>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1951" w:type="pct"/>
            <w:vAlign w:val="center"/>
          </w:tcPr>
          <w:p>
            <w:pPr>
              <w:widowControl/>
              <w:jc w:val="center"/>
              <w:rPr>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31" w:hRule="exact"/>
        </w:trPr>
        <w:tc>
          <w:tcPr>
            <w:tcW w:w="545" w:type="pct"/>
            <w:vAlign w:val="center"/>
          </w:tcPr>
          <w:p>
            <w:pPr>
              <w:widowControl/>
              <w:jc w:val="center"/>
              <w:rPr>
                <w:color w:val="000000"/>
                <w:sz w:val="24"/>
              </w:rPr>
            </w:pPr>
            <w:r>
              <w:rPr>
                <w:color w:val="000000"/>
                <w:sz w:val="24"/>
              </w:rPr>
              <w:t>10</w:t>
            </w:r>
          </w:p>
        </w:tc>
        <w:tc>
          <w:tcPr>
            <w:tcW w:w="921" w:type="pct"/>
            <w:vAlign w:val="center"/>
          </w:tcPr>
          <w:p>
            <w:pPr>
              <w:widowControl/>
              <w:rPr>
                <w:color w:val="000000"/>
                <w:sz w:val="24"/>
                <w:lang w:eastAsia="zh-CN"/>
              </w:rPr>
            </w:pPr>
            <w:r>
              <w:rPr>
                <w:color w:val="000000"/>
                <w:sz w:val="24"/>
                <w:lang w:eastAsia="zh-CN"/>
              </w:rPr>
              <w:t>分包意向协议</w:t>
            </w:r>
          </w:p>
          <w:p>
            <w:pPr>
              <w:widowControl/>
              <w:rPr>
                <w:color w:val="000000"/>
                <w:sz w:val="24"/>
                <w:lang w:eastAsia="zh-CN"/>
              </w:rPr>
            </w:pPr>
            <w:r>
              <w:rPr>
                <w:color w:val="000000"/>
                <w:sz w:val="24"/>
                <w:lang w:eastAsia="zh-CN"/>
              </w:rPr>
              <w:t>（如有）</w:t>
            </w:r>
          </w:p>
        </w:tc>
        <w:tc>
          <w:tcPr>
            <w:tcW w:w="1583" w:type="pct"/>
            <w:vAlign w:val="center"/>
          </w:tcPr>
          <w:p>
            <w:pPr>
              <w:widowControl/>
              <w:rPr>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18" w:hRule="exact"/>
        </w:trPr>
        <w:tc>
          <w:tcPr>
            <w:tcW w:w="545" w:type="pct"/>
            <w:vAlign w:val="center"/>
          </w:tcPr>
          <w:p>
            <w:pPr>
              <w:widowControl/>
              <w:jc w:val="center"/>
              <w:rPr>
                <w:color w:val="000000"/>
                <w:sz w:val="24"/>
              </w:rPr>
            </w:pPr>
            <w:r>
              <w:rPr>
                <w:rFonts w:hint="eastAsia"/>
                <w:color w:val="000000"/>
                <w:sz w:val="24"/>
              </w:rPr>
              <w:t>11</w:t>
            </w:r>
          </w:p>
        </w:tc>
        <w:tc>
          <w:tcPr>
            <w:tcW w:w="921" w:type="pct"/>
            <w:vAlign w:val="center"/>
          </w:tcPr>
          <w:p>
            <w:pPr>
              <w:widowControl/>
              <w:rPr>
                <w:color w:val="000000"/>
                <w:sz w:val="24"/>
              </w:rPr>
            </w:pPr>
            <w:r>
              <w:rPr>
                <w:color w:val="000000"/>
                <w:sz w:val="24"/>
              </w:rPr>
              <w:t>报价合理性</w:t>
            </w:r>
          </w:p>
        </w:tc>
        <w:tc>
          <w:tcPr>
            <w:tcW w:w="1583" w:type="pct"/>
            <w:vAlign w:val="center"/>
          </w:tcPr>
          <w:p>
            <w:pPr>
              <w:widowControl/>
              <w:rPr>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87" w:hRule="exact"/>
        </w:trPr>
        <w:tc>
          <w:tcPr>
            <w:tcW w:w="545" w:type="pct"/>
            <w:vAlign w:val="center"/>
          </w:tcPr>
          <w:p>
            <w:pPr>
              <w:widowControl/>
              <w:jc w:val="center"/>
              <w:rPr>
                <w:color w:val="000000"/>
                <w:sz w:val="24"/>
              </w:rPr>
            </w:pPr>
            <w:r>
              <w:rPr>
                <w:rFonts w:hint="eastAsia"/>
                <w:color w:val="000000"/>
                <w:sz w:val="24"/>
              </w:rPr>
              <w:t>12</w:t>
            </w:r>
          </w:p>
        </w:tc>
        <w:tc>
          <w:tcPr>
            <w:tcW w:w="921" w:type="pct"/>
            <w:vAlign w:val="center"/>
          </w:tcPr>
          <w:p>
            <w:pPr>
              <w:widowControl/>
              <w:rPr>
                <w:color w:val="000000"/>
                <w:sz w:val="24"/>
              </w:rPr>
            </w:pPr>
            <w:r>
              <w:rPr>
                <w:color w:val="000000"/>
                <w:sz w:val="24"/>
              </w:rPr>
              <w:t>进口产品</w:t>
            </w:r>
          </w:p>
          <w:p>
            <w:pPr>
              <w:widowControl/>
              <w:rPr>
                <w:color w:val="000000"/>
                <w:sz w:val="24"/>
              </w:rPr>
            </w:pPr>
            <w:r>
              <w:rPr>
                <w:color w:val="000000"/>
                <w:sz w:val="24"/>
              </w:rPr>
              <w:t>（如有）</w:t>
            </w:r>
          </w:p>
        </w:tc>
        <w:tc>
          <w:tcPr>
            <w:tcW w:w="1583" w:type="pct"/>
            <w:vAlign w:val="center"/>
          </w:tcPr>
          <w:p>
            <w:pPr>
              <w:widowControl/>
              <w:rPr>
                <w:color w:val="000000"/>
                <w:sz w:val="24"/>
                <w:lang w:eastAsia="zh-CN"/>
              </w:rPr>
            </w:pPr>
            <w:r>
              <w:rPr>
                <w:rFonts w:hint="eastAsia"/>
                <w:sz w:val="24"/>
                <w:lang w:eastAsia="zh-CN"/>
              </w:rPr>
              <w:t>磋商文件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投标人所投产品非进口产品的；</w:t>
            </w:r>
          </w:p>
        </w:tc>
        <w:tc>
          <w:tcPr>
            <w:tcW w:w="1951" w:type="pct"/>
            <w:vAlign w:val="center"/>
          </w:tcPr>
          <w:p>
            <w:pPr>
              <w:widowControl/>
              <w:jc w:val="center"/>
              <w:rPr>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132" w:hRule="exact"/>
        </w:trPr>
        <w:tc>
          <w:tcPr>
            <w:tcW w:w="545" w:type="pct"/>
            <w:vAlign w:val="center"/>
          </w:tcPr>
          <w:p>
            <w:pPr>
              <w:widowControl/>
              <w:jc w:val="center"/>
              <w:rPr>
                <w:color w:val="000000"/>
                <w:sz w:val="24"/>
              </w:rPr>
            </w:pPr>
            <w:r>
              <w:rPr>
                <w:rFonts w:hint="eastAsia"/>
                <w:color w:val="000000"/>
                <w:sz w:val="24"/>
              </w:rPr>
              <w:t>13</w:t>
            </w:r>
          </w:p>
        </w:tc>
        <w:tc>
          <w:tcPr>
            <w:tcW w:w="921" w:type="pct"/>
            <w:vAlign w:val="center"/>
          </w:tcPr>
          <w:p>
            <w:pPr>
              <w:widowControl/>
              <w:rPr>
                <w:color w:val="000000"/>
                <w:sz w:val="24"/>
                <w:lang w:eastAsia="zh-CN"/>
              </w:rPr>
            </w:pPr>
            <w:r>
              <w:rPr>
                <w:color w:val="000000"/>
                <w:sz w:val="24"/>
                <w:lang w:eastAsia="zh-CN"/>
              </w:rPr>
              <w:t>国家有关部门对投标人的投标产品有强制性规定或要求的</w:t>
            </w:r>
          </w:p>
        </w:tc>
        <w:tc>
          <w:tcPr>
            <w:tcW w:w="1583" w:type="pct"/>
            <w:vAlign w:val="center"/>
          </w:tcPr>
          <w:p>
            <w:pPr>
              <w:widowControl/>
              <w:rPr>
                <w:color w:val="000000"/>
                <w:lang w:eastAsia="zh-CN"/>
              </w:rPr>
            </w:pPr>
            <w:r>
              <w:rPr>
                <w:color w:val="000000"/>
                <w:lang w:eastAsia="zh-CN"/>
              </w:rPr>
              <w:t>国家有关部门对投标人的投标产品有强制性规定或要求的（如相应技术、安全、节能和环保等），投标人的投标产品</w:t>
            </w:r>
            <w:r>
              <w:rPr>
                <w:rFonts w:hint="eastAsia"/>
                <w:color w:val="000000"/>
                <w:lang w:eastAsia="zh-CN"/>
              </w:rPr>
              <w:t>应</w:t>
            </w:r>
            <w:r>
              <w:rPr>
                <w:color w:val="000000"/>
                <w:lang w:eastAsia="zh-CN"/>
              </w:rPr>
              <w:t>符合相应规定或要求</w:t>
            </w:r>
            <w:r>
              <w:rPr>
                <w:rFonts w:hint="eastAsia"/>
                <w:color w:val="000000"/>
                <w:lang w:eastAsia="zh-CN"/>
              </w:rPr>
              <w:t>，并提供证明文件：</w:t>
            </w:r>
          </w:p>
          <w:p>
            <w:pPr>
              <w:widowControl/>
              <w:rPr>
                <w:color w:val="000000"/>
                <w:lang w:eastAsia="zh-CN"/>
              </w:rPr>
            </w:pPr>
            <w:r>
              <w:rPr>
                <w:rFonts w:hint="eastAsia"/>
                <w:color w:val="000000"/>
                <w:lang w:eastAsia="zh-CN"/>
              </w:rPr>
              <w:t>1）</w:t>
            </w:r>
            <w:r>
              <w:rPr>
                <w:color w:val="000000"/>
                <w:lang w:eastAsia="zh-CN"/>
              </w:rPr>
              <w:t>采购的产品若属于《节能产品政府采购品目清单》范围中政府强制采购产品，则投标人所报产品必须获得国家确定的认证机构出具的、处于有效期之内的节能产品认证证书；</w:t>
            </w:r>
          </w:p>
          <w:p>
            <w:pPr>
              <w:widowControl/>
              <w:rPr>
                <w:color w:val="000000"/>
                <w:lang w:eastAsia="zh-CN"/>
              </w:rPr>
            </w:pPr>
            <w:r>
              <w:rPr>
                <w:rFonts w:hint="eastAsia"/>
                <w:color w:val="000000"/>
                <w:lang w:eastAsia="zh-CN"/>
              </w:rPr>
              <w:t>2）</w:t>
            </w:r>
            <w:r>
              <w:rPr>
                <w:color w:val="000000"/>
                <w:lang w:eastAsia="zh-CN"/>
              </w:rPr>
              <w:t>投标产品如涉及计算机信息系统安全专用产品的，须</w:t>
            </w:r>
            <w:r>
              <w:rPr>
                <w:rFonts w:hint="eastAsia"/>
                <w:color w:val="000000"/>
                <w:lang w:eastAsia="zh-CN"/>
              </w:rPr>
              <w:t>提供</w:t>
            </w:r>
            <w:r>
              <w:rPr>
                <w:color w:val="000000"/>
                <w:lang w:eastAsia="zh-CN"/>
              </w:rPr>
              <w:t>公安部颁发的计算机信息系统安全专用产品销售许可证；</w:t>
            </w:r>
          </w:p>
          <w:p>
            <w:pPr>
              <w:widowControl/>
              <w:rPr>
                <w:color w:val="000000"/>
                <w:lang w:eastAsia="zh-CN"/>
              </w:rPr>
            </w:pPr>
            <w:r>
              <w:rPr>
                <w:color w:val="000000"/>
                <w:lang w:eastAsia="zh-CN"/>
              </w:rPr>
              <w:t>3</w:t>
            </w:r>
            <w:r>
              <w:rPr>
                <w:rFonts w:hint="eastAsia"/>
                <w:color w:val="000000"/>
                <w:lang w:eastAsia="zh-CN"/>
              </w:rPr>
              <w:t>）</w:t>
            </w:r>
            <w:r>
              <w:rPr>
                <w:color w:val="000000"/>
                <w:lang w:eastAsia="zh-CN"/>
              </w:rPr>
              <w:t>投标产品如有属于开展国家信息安全产品认证产品范围的，须</w:t>
            </w:r>
            <w:r>
              <w:rPr>
                <w:rFonts w:hint="eastAsia"/>
                <w:color w:val="000000"/>
                <w:lang w:eastAsia="zh-CN"/>
              </w:rPr>
              <w:t>提供</w:t>
            </w:r>
            <w:r>
              <w:rPr>
                <w:color w:val="000000"/>
                <w:lang w:eastAsia="zh-CN"/>
              </w:rPr>
              <w:t>由中国网络安全审查技术与认证中心（原中国信息安全认证中心）按国家标准认证颁发的有效认证证书等）；</w:t>
            </w:r>
          </w:p>
          <w:p>
            <w:pPr>
              <w:widowControl/>
              <w:rPr>
                <w:lang w:eastAsia="zh-CN"/>
              </w:rPr>
            </w:pPr>
            <w:r>
              <w:rPr>
                <w:rFonts w:hint="eastAsia"/>
                <w:lang w:eastAsia="zh-CN"/>
              </w:rPr>
              <w:t>4）</w:t>
            </w:r>
            <w:r>
              <w:rPr>
                <w:lang w:eastAsia="zh-CN"/>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rPr>
                <w:color w:val="000000"/>
                <w:lang w:eastAsia="zh-CN"/>
              </w:rPr>
            </w:pPr>
            <w:r>
              <w:rPr>
                <w:lang w:eastAsia="zh-CN"/>
              </w:rPr>
              <w:t>5</w:t>
            </w:r>
            <w:r>
              <w:rPr>
                <w:rFonts w:hint="eastAsia"/>
                <w:lang w:eastAsia="zh-CN"/>
              </w:rPr>
              <w:t>）</w:t>
            </w:r>
            <w:r>
              <w:rPr>
                <w:lang w:eastAsia="zh-CN"/>
              </w:rPr>
              <w:t>项目中涉及涂料、胶黏剂、油墨、清洗剂等挥发性有机物产品，且属于强制性标准的，供应商应执行符合本市和国家的VOCs 含量限制标准</w:t>
            </w:r>
            <w:r>
              <w:rPr>
                <w:rFonts w:hint="eastAsia"/>
                <w:lang w:eastAsia="zh-CN"/>
              </w:rPr>
              <w:t>。</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984" w:hRule="exact"/>
        </w:trPr>
        <w:tc>
          <w:tcPr>
            <w:tcW w:w="545" w:type="pct"/>
            <w:vAlign w:val="center"/>
          </w:tcPr>
          <w:p>
            <w:pPr>
              <w:widowControl/>
              <w:jc w:val="center"/>
              <w:rPr>
                <w:color w:val="000000"/>
                <w:sz w:val="24"/>
              </w:rPr>
            </w:pPr>
            <w:r>
              <w:rPr>
                <w:rFonts w:hint="eastAsia"/>
                <w:color w:val="000000"/>
                <w:sz w:val="24"/>
              </w:rPr>
              <w:t>14</w:t>
            </w:r>
          </w:p>
        </w:tc>
        <w:tc>
          <w:tcPr>
            <w:tcW w:w="921" w:type="pct"/>
            <w:vAlign w:val="center"/>
          </w:tcPr>
          <w:p>
            <w:pPr>
              <w:widowControl/>
              <w:rPr>
                <w:color w:val="000000"/>
                <w:sz w:val="24"/>
              </w:rPr>
            </w:pPr>
            <w:r>
              <w:rPr>
                <w:color w:val="000000"/>
                <w:sz w:val="24"/>
              </w:rPr>
              <w:t>公平竞争</w:t>
            </w:r>
          </w:p>
        </w:tc>
        <w:tc>
          <w:tcPr>
            <w:tcW w:w="1583" w:type="pct"/>
            <w:vAlign w:val="center"/>
          </w:tcPr>
          <w:p>
            <w:pPr>
              <w:widowControl/>
              <w:rPr>
                <w:color w:val="000000"/>
                <w:lang w:eastAsia="zh-CN"/>
              </w:rPr>
            </w:pPr>
            <w:r>
              <w:rPr>
                <w:color w:val="000000"/>
                <w:lang w:eastAsia="zh-CN"/>
              </w:rPr>
              <w:t>投标人遵循公平竞争的原则，不存在恶意串通，妨碍其他投标人的竞争行为，不存在损害采购人或者其他投标人的合法权益情形的；</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63" w:hRule="exact"/>
        </w:trPr>
        <w:tc>
          <w:tcPr>
            <w:tcW w:w="545" w:type="pct"/>
            <w:vAlign w:val="center"/>
          </w:tcPr>
          <w:p>
            <w:pPr>
              <w:widowControl/>
              <w:jc w:val="center"/>
              <w:rPr>
                <w:color w:val="000000"/>
                <w:sz w:val="24"/>
              </w:rPr>
            </w:pPr>
            <w:r>
              <w:rPr>
                <w:rFonts w:hint="eastAsia"/>
                <w:color w:val="000000"/>
                <w:sz w:val="24"/>
              </w:rPr>
              <w:t>15</w:t>
            </w:r>
          </w:p>
        </w:tc>
        <w:tc>
          <w:tcPr>
            <w:tcW w:w="921" w:type="pct"/>
            <w:vAlign w:val="center"/>
          </w:tcPr>
          <w:p>
            <w:pPr>
              <w:widowControl/>
              <w:rPr>
                <w:color w:val="000000"/>
                <w:sz w:val="24"/>
              </w:rPr>
            </w:pPr>
            <w:r>
              <w:rPr>
                <w:color w:val="000000"/>
                <w:sz w:val="24"/>
              </w:rPr>
              <w:t>串通投标</w:t>
            </w:r>
          </w:p>
        </w:tc>
        <w:tc>
          <w:tcPr>
            <w:tcW w:w="1583" w:type="pct"/>
            <w:vAlign w:val="center"/>
          </w:tcPr>
          <w:p>
            <w:pPr>
              <w:widowControl/>
              <w:rPr>
                <w:color w:val="000000"/>
                <w:sz w:val="24"/>
                <w:lang w:eastAsia="zh-CN"/>
              </w:rPr>
            </w:pPr>
            <w:r>
              <w:rPr>
                <w:rFonts w:hint="eastAsia"/>
                <w:color w:val="000000"/>
                <w:sz w:val="24"/>
                <w:lang w:eastAsia="zh-CN"/>
              </w:rPr>
              <w:t>不存在《政府采购货物和服务招标投标管理办法》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呈规律 性差异；（五）不同投标人的响应文件相互混装；（六）不同投标人的投标保证金从同一单位或者个人的账户转出</w:t>
            </w:r>
            <w:r>
              <w:rPr>
                <w:color w:val="000000"/>
                <w:sz w:val="24"/>
                <w:lang w:eastAsia="zh-CN"/>
              </w:rPr>
              <w:t>；</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20" w:hRule="exact"/>
        </w:trPr>
        <w:tc>
          <w:tcPr>
            <w:tcW w:w="545" w:type="pct"/>
            <w:vAlign w:val="center"/>
          </w:tcPr>
          <w:p>
            <w:pPr>
              <w:widowControl/>
              <w:jc w:val="center"/>
              <w:rPr>
                <w:color w:val="000000"/>
                <w:sz w:val="24"/>
              </w:rPr>
            </w:pPr>
            <w:r>
              <w:rPr>
                <w:rFonts w:hint="eastAsia"/>
                <w:color w:val="000000"/>
                <w:sz w:val="24"/>
              </w:rPr>
              <w:t>16</w:t>
            </w:r>
          </w:p>
        </w:tc>
        <w:tc>
          <w:tcPr>
            <w:tcW w:w="921" w:type="pct"/>
            <w:vAlign w:val="center"/>
          </w:tcPr>
          <w:p>
            <w:pPr>
              <w:widowControl/>
              <w:rPr>
                <w:color w:val="000000"/>
                <w:sz w:val="24"/>
              </w:rPr>
            </w:pPr>
            <w:r>
              <w:rPr>
                <w:color w:val="000000"/>
                <w:sz w:val="24"/>
              </w:rPr>
              <w:t>附加条件</w:t>
            </w:r>
          </w:p>
        </w:tc>
        <w:tc>
          <w:tcPr>
            <w:tcW w:w="1583" w:type="pct"/>
            <w:vAlign w:val="center"/>
          </w:tcPr>
          <w:p>
            <w:pPr>
              <w:widowControl/>
              <w:rPr>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1951" w:type="pct"/>
            <w:vAlign w:val="center"/>
          </w:tcPr>
          <w:p>
            <w:pPr>
              <w:widowControl/>
              <w:jc w:val="center"/>
              <w:rPr>
                <w:color w:val="000000"/>
                <w:sz w:val="24"/>
              </w:rPr>
            </w:pPr>
            <w:r>
              <w:rPr>
                <w:rFonts w:hint="eastAsia"/>
                <w:color w:val="000000"/>
                <w:sz w:val="24"/>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814" w:hRule="exact"/>
        </w:trPr>
        <w:tc>
          <w:tcPr>
            <w:tcW w:w="545" w:type="pct"/>
            <w:vAlign w:val="center"/>
          </w:tcPr>
          <w:p>
            <w:pPr>
              <w:widowControl/>
              <w:jc w:val="center"/>
              <w:rPr>
                <w:color w:val="000000"/>
                <w:sz w:val="24"/>
              </w:rPr>
            </w:pPr>
            <w:r>
              <w:rPr>
                <w:rFonts w:hint="eastAsia"/>
                <w:color w:val="000000"/>
                <w:sz w:val="24"/>
              </w:rPr>
              <w:t>17</w:t>
            </w:r>
          </w:p>
        </w:tc>
        <w:tc>
          <w:tcPr>
            <w:tcW w:w="921" w:type="pct"/>
            <w:vAlign w:val="center"/>
          </w:tcPr>
          <w:p>
            <w:r>
              <w:t>报价的修正（如有）</w:t>
            </w:r>
          </w:p>
        </w:tc>
        <w:tc>
          <w:tcPr>
            <w:tcW w:w="1583" w:type="pct"/>
            <w:vAlign w:val="center"/>
          </w:tcPr>
          <w:p>
            <w:pPr>
              <w:widowControl/>
              <w:rPr>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1951" w:type="pct"/>
            <w:vAlign w:val="center"/>
          </w:tcPr>
          <w:p>
            <w:pPr>
              <w:widowControl/>
              <w:jc w:val="center"/>
              <w:rPr>
                <w:color w:val="000000"/>
                <w:sz w:val="24"/>
              </w:rPr>
            </w:pPr>
            <w:r>
              <w:rPr>
                <w:rFonts w:hint="eastAsia"/>
                <w:color w:val="000000"/>
                <w:sz w:val="24"/>
              </w:rPr>
              <w:t>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01" w:hRule="exact"/>
        </w:trPr>
        <w:tc>
          <w:tcPr>
            <w:tcW w:w="545" w:type="pct"/>
            <w:vAlign w:val="center"/>
          </w:tcPr>
          <w:p>
            <w:pPr>
              <w:widowControl/>
              <w:jc w:val="center"/>
              <w:rPr>
                <w:color w:val="000000"/>
                <w:sz w:val="24"/>
              </w:rPr>
            </w:pPr>
            <w:r>
              <w:rPr>
                <w:rFonts w:hint="eastAsia"/>
                <w:color w:val="000000"/>
                <w:sz w:val="24"/>
              </w:rPr>
              <w:t>1</w:t>
            </w:r>
            <w:r>
              <w:rPr>
                <w:color w:val="000000"/>
                <w:sz w:val="24"/>
              </w:rPr>
              <w:t>8</w:t>
            </w:r>
          </w:p>
        </w:tc>
        <w:tc>
          <w:tcPr>
            <w:tcW w:w="921" w:type="pct"/>
            <w:vAlign w:val="center"/>
          </w:tcPr>
          <w:p>
            <w:pPr>
              <w:widowControl/>
              <w:rPr>
                <w:color w:val="000000"/>
                <w:sz w:val="24"/>
              </w:rPr>
            </w:pPr>
            <w:r>
              <w:rPr>
                <w:color w:val="000000"/>
                <w:sz w:val="24"/>
              </w:rPr>
              <w:t>其他无效情形</w:t>
            </w:r>
          </w:p>
        </w:tc>
        <w:tc>
          <w:tcPr>
            <w:tcW w:w="1583" w:type="pct"/>
            <w:vAlign w:val="center"/>
          </w:tcPr>
          <w:p>
            <w:pPr>
              <w:widowControl/>
              <w:rPr>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1951" w:type="pct"/>
            <w:vAlign w:val="center"/>
          </w:tcPr>
          <w:p>
            <w:pPr>
              <w:widowControl/>
              <w:jc w:val="center"/>
              <w:rPr>
                <w:color w:val="000000"/>
                <w:sz w:val="24"/>
              </w:rPr>
            </w:pPr>
            <w:r>
              <w:rPr>
                <w:rFonts w:hint="eastAsia"/>
                <w:color w:val="000000"/>
                <w:sz w:val="24"/>
              </w:rPr>
              <w:t>不允许</w:t>
            </w:r>
          </w:p>
        </w:tc>
      </w:tr>
    </w:tbl>
    <w:p>
      <w:pPr>
        <w:pStyle w:val="12"/>
        <w:spacing w:before="11"/>
        <w:rPr>
          <w:rFonts w:asciiTheme="minorEastAsia" w:hAnsiTheme="minorEastAsia" w:eastAsiaTheme="minorEastAsia"/>
          <w:sz w:val="25"/>
          <w:lang w:eastAsia="zh-CN"/>
        </w:rPr>
      </w:pPr>
    </w:p>
    <w:p>
      <w:pPr>
        <w:widowControl/>
        <w:autoSpaceDE/>
        <w:autoSpaceDN/>
        <w:rPr>
          <w:rFonts w:asciiTheme="minorEastAsia" w:hAnsiTheme="minorEastAsia" w:eastAsiaTheme="minorEastAsia"/>
          <w:sz w:val="25"/>
          <w:szCs w:val="24"/>
          <w:lang w:eastAsia="zh-CN"/>
        </w:rPr>
      </w:pPr>
      <w:r>
        <w:rPr>
          <w:rFonts w:asciiTheme="minorEastAsia" w:hAnsiTheme="minorEastAsia" w:eastAsiaTheme="minorEastAsia"/>
          <w:sz w:val="25"/>
          <w:lang w:eastAsia="zh-CN"/>
        </w:rPr>
        <w:br w:type="page"/>
      </w:r>
    </w:p>
    <w:p>
      <w:pPr>
        <w:pStyle w:val="29"/>
        <w:numPr>
          <w:ilvl w:val="0"/>
          <w:numId w:val="6"/>
        </w:numPr>
        <w:tabs>
          <w:tab w:val="left" w:pos="477"/>
        </w:tabs>
        <w:spacing w:before="43" w:line="338" w:lineRule="auto"/>
        <w:ind w:right="113"/>
        <w:jc w:val="both"/>
        <w:rPr>
          <w:rFonts w:asciiTheme="minorEastAsia" w:hAnsiTheme="minorEastAsia" w:eastAsiaTheme="minorEastAsia"/>
          <w:vanish/>
          <w:spacing w:val="2"/>
          <w:sz w:val="24"/>
          <w:lang w:eastAsia="zh-CN"/>
        </w:rPr>
      </w:pPr>
      <w:r>
        <w:rPr>
          <w:rFonts w:asciiTheme="minorEastAsia" w:hAnsiTheme="minorEastAsia" w:eastAsiaTheme="minorEastAsia"/>
          <w:sz w:val="24"/>
          <w:lang w:eastAsia="zh-CN"/>
        </w:rPr>
        <w:t>磋商、响应文件有关事项的澄清、说明或者更正和最后报价</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磋商小组所有成员将集中与单一供应商分别进行磋商，并给予所有参加磋商的供应商平等的磋商机会。</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对磋商文件作出的实质性变动是磋商文件的有效组成部分，磋商小组应当及时以书面形式同时通知所有参加磋商的供应商。</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响应文件的澄清、说明或者更正：</w:t>
      </w:r>
    </w:p>
    <w:p>
      <w:pPr>
        <w:pStyle w:val="29"/>
        <w:numPr>
          <w:ilvl w:val="2"/>
          <w:numId w:val="6"/>
        </w:numPr>
        <w:tabs>
          <w:tab w:val="left" w:pos="477"/>
        </w:tabs>
        <w:spacing w:before="43" w:line="338" w:lineRule="auto"/>
        <w:ind w:left="1701" w:right="113" w:hanging="850"/>
        <w:jc w:val="both"/>
        <w:rPr>
          <w:rFonts w:asciiTheme="minorEastAsia" w:hAnsiTheme="minorEastAsia" w:eastAsiaTheme="minorEastAsia"/>
          <w:spacing w:val="2"/>
          <w:sz w:val="24"/>
          <w:lang w:eastAsia="zh-CN"/>
        </w:rPr>
      </w:pPr>
      <w:r>
        <w:rPr>
          <w:rFonts w:asciiTheme="minorEastAsia" w:hAnsiTheme="minorEastAsia" w:eastAsiaTheme="minorEastAsia"/>
          <w:sz w:val="24"/>
          <w:lang w:eastAsia="zh-CN"/>
        </w:rPr>
        <w:t>磋商小组在对响应文件的有效性</w:t>
      </w:r>
      <w:r>
        <w:rPr>
          <w:rFonts w:asciiTheme="minorEastAsia" w:hAnsiTheme="minorEastAsia" w:eastAsiaTheme="minorEastAsia"/>
          <w:spacing w:val="-55"/>
          <w:sz w:val="24"/>
          <w:lang w:eastAsia="zh-CN"/>
        </w:rPr>
        <w:t>、</w:t>
      </w:r>
      <w:r>
        <w:rPr>
          <w:rFonts w:asciiTheme="minorEastAsia" w:hAnsiTheme="minorEastAsia" w:eastAsiaTheme="minorEastAsia"/>
          <w:sz w:val="24"/>
          <w:lang w:eastAsia="zh-CN"/>
        </w:rPr>
        <w:t>完整性和响应程度进行审查时</w:t>
      </w:r>
      <w:r>
        <w:rPr>
          <w:rFonts w:asciiTheme="minorEastAsia" w:hAnsiTheme="minorEastAsia" w:eastAsiaTheme="minorEastAsia"/>
          <w:spacing w:val="-53"/>
          <w:sz w:val="24"/>
          <w:lang w:eastAsia="zh-CN"/>
        </w:rPr>
        <w:t>，</w:t>
      </w:r>
      <w:r>
        <w:rPr>
          <w:rFonts w:asciiTheme="minorEastAsia" w:hAnsiTheme="minorEastAsia" w:eastAsiaTheme="minorEastAsia"/>
          <w:sz w:val="24"/>
          <w:lang w:eastAsia="zh-CN"/>
        </w:rPr>
        <w:t>可以要求供应商对响应文件中含义不明确</w:t>
      </w:r>
      <w:r>
        <w:rPr>
          <w:rFonts w:asciiTheme="minorEastAsia" w:hAnsiTheme="minorEastAsia" w:eastAsiaTheme="minorEastAsia"/>
          <w:spacing w:val="-108"/>
          <w:sz w:val="24"/>
          <w:lang w:eastAsia="zh-CN"/>
        </w:rPr>
        <w:t>、</w:t>
      </w:r>
      <w:r>
        <w:rPr>
          <w:rFonts w:asciiTheme="minorEastAsia" w:hAnsiTheme="minorEastAsia" w:eastAsiaTheme="minorEastAsia"/>
          <w:sz w:val="24"/>
          <w:lang w:eastAsia="zh-CN"/>
        </w:rPr>
        <w:t>同类问题表述不一致或者有明显文字和计算错误的内容等作出必要的澄清、说明或者更正。</w:t>
      </w:r>
    </w:p>
    <w:p>
      <w:pPr>
        <w:pStyle w:val="29"/>
        <w:numPr>
          <w:ilvl w:val="2"/>
          <w:numId w:val="6"/>
        </w:numPr>
        <w:tabs>
          <w:tab w:val="left" w:pos="477"/>
        </w:tabs>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磋商小组对响应文件进行审查，如发现供应商提交的响应文件存在不满足《符合性审查要求》的内容，如属于表中“不允许”澄清、说明或者更正的内容，则供应商响应文件按</w:t>
      </w:r>
      <w:r>
        <w:rPr>
          <w:rFonts w:asciiTheme="minorEastAsia" w:hAnsiTheme="minorEastAsia" w:eastAsiaTheme="minorEastAsia"/>
          <w:b/>
          <w:sz w:val="24"/>
          <w:lang w:eastAsia="zh-CN"/>
        </w:rPr>
        <w:t>无效处理</w:t>
      </w:r>
      <w:r>
        <w:rPr>
          <w:rFonts w:asciiTheme="minorEastAsia" w:hAnsiTheme="minorEastAsia" w:eastAsiaTheme="minorEastAsia"/>
          <w:sz w:val="24"/>
          <w:lang w:eastAsia="zh-CN"/>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Theme="minorEastAsia" w:hAnsiTheme="minorEastAsia" w:eastAsiaTheme="minorEastAsia"/>
          <w:b/>
          <w:sz w:val="24"/>
          <w:lang w:eastAsia="zh-CN"/>
        </w:rPr>
        <w:t>无效处理</w:t>
      </w:r>
      <w:r>
        <w:rPr>
          <w:rFonts w:asciiTheme="minorEastAsia" w:hAnsiTheme="minorEastAsia" w:eastAsiaTheme="minorEastAsia"/>
          <w:sz w:val="24"/>
          <w:lang w:eastAsia="zh-CN"/>
        </w:rPr>
        <w:t>。</w:t>
      </w:r>
    </w:p>
    <w:p>
      <w:pPr>
        <w:pStyle w:val="29"/>
        <w:numPr>
          <w:ilvl w:val="2"/>
          <w:numId w:val="6"/>
        </w:numPr>
        <w:tabs>
          <w:tab w:val="left" w:pos="477"/>
        </w:tabs>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磋商结束后，磋商小组将要求所有实质性响应的供应商在规定时间内提交最后报价。最后报价时间为磋商小组指定的时间，具体时间根据磋商进度另行通知。</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 2 家的，竞争性磋商采购活动可以继续进行。</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最后报价是供应商响应文件的有效组成部分。</w:t>
      </w:r>
    </w:p>
    <w:p>
      <w:pPr>
        <w:pStyle w:val="29"/>
        <w:numPr>
          <w:ilvl w:val="1"/>
          <w:numId w:val="6"/>
        </w:numPr>
        <w:tabs>
          <w:tab w:val="left" w:pos="477"/>
        </w:tabs>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已提交响应文件的供应商，在提交最后报价之前，可以根据磋商情况退出磋商。</w:t>
      </w:r>
    </w:p>
    <w:p>
      <w:pPr>
        <w:pStyle w:val="29"/>
        <w:numPr>
          <w:ilvl w:val="0"/>
          <w:numId w:val="6"/>
        </w:numPr>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z w:val="24"/>
          <w:lang w:eastAsia="zh-CN"/>
        </w:rPr>
        <w:t>最后报价的算术修正及政策调整</w:t>
      </w:r>
    </w:p>
    <w:p>
      <w:pPr>
        <w:pStyle w:val="29"/>
        <w:numPr>
          <w:ilvl w:val="1"/>
          <w:numId w:val="6"/>
        </w:numPr>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pacing w:val="2"/>
          <w:sz w:val="24"/>
          <w:lang w:eastAsia="zh-CN"/>
        </w:rPr>
        <w:t>最后报价须包含竞争性磋商文件全部内容，如最后分项报价表有缺漏视为</w:t>
      </w:r>
      <w:r>
        <w:rPr>
          <w:rFonts w:asciiTheme="minorEastAsia" w:hAnsiTheme="minorEastAsia" w:eastAsiaTheme="minorEastAsia"/>
          <w:sz w:val="24"/>
          <w:lang w:eastAsia="zh-CN"/>
        </w:rPr>
        <w:t>已</w:t>
      </w:r>
      <w:r>
        <w:rPr>
          <w:rFonts w:asciiTheme="minorEastAsia" w:hAnsiTheme="minorEastAsia" w:eastAsiaTheme="minorEastAsia"/>
          <w:spacing w:val="2"/>
          <w:sz w:val="24"/>
          <w:lang w:eastAsia="zh-CN"/>
        </w:rPr>
        <w:t>含在其他各项报价中，将不对最后报价进行调整</w:t>
      </w:r>
      <w:r>
        <w:rPr>
          <w:rFonts w:asciiTheme="minorEastAsia" w:hAnsiTheme="minorEastAsia" w:eastAsiaTheme="minorEastAsia"/>
          <w:sz w:val="24"/>
          <w:lang w:eastAsia="zh-CN"/>
        </w:rPr>
        <w:t>。</w:t>
      </w:r>
      <w:r>
        <w:rPr>
          <w:rFonts w:asciiTheme="minorEastAsia" w:hAnsiTheme="minorEastAsia" w:eastAsiaTheme="minorEastAsia"/>
          <w:spacing w:val="2"/>
          <w:sz w:val="24"/>
          <w:lang w:eastAsia="zh-CN"/>
        </w:rPr>
        <w:t>磋商小组有权要求供应</w:t>
      </w:r>
      <w:r>
        <w:rPr>
          <w:rFonts w:asciiTheme="minorEastAsia" w:hAnsiTheme="minorEastAsia" w:eastAsiaTheme="minorEastAsia"/>
          <w:sz w:val="24"/>
          <w:lang w:eastAsia="zh-CN"/>
        </w:rPr>
        <w:t>商</w:t>
      </w:r>
      <w:r>
        <w:rPr>
          <w:rFonts w:asciiTheme="minorEastAsia" w:hAnsiTheme="minorEastAsia" w:eastAsiaTheme="minorEastAsia"/>
          <w:spacing w:val="2"/>
          <w:sz w:val="24"/>
          <w:lang w:eastAsia="zh-CN"/>
        </w:rPr>
        <w:t>在评审现场合理的时间内对此进行书面确认，供</w:t>
      </w:r>
      <w:r>
        <w:rPr>
          <w:rFonts w:asciiTheme="minorEastAsia" w:hAnsiTheme="minorEastAsia" w:eastAsiaTheme="minorEastAsia"/>
          <w:sz w:val="24"/>
          <w:lang w:eastAsia="zh-CN"/>
        </w:rPr>
        <w:t>应</w:t>
      </w:r>
      <w:r>
        <w:rPr>
          <w:rFonts w:asciiTheme="minorEastAsia" w:hAnsiTheme="minorEastAsia" w:eastAsiaTheme="minorEastAsia"/>
          <w:spacing w:val="2"/>
          <w:sz w:val="24"/>
          <w:lang w:eastAsia="zh-CN"/>
        </w:rPr>
        <w:t>商不确认的，视为将一</w:t>
      </w:r>
      <w:r>
        <w:rPr>
          <w:rFonts w:asciiTheme="minorEastAsia" w:hAnsiTheme="minorEastAsia" w:eastAsiaTheme="minorEastAsia"/>
          <w:sz w:val="24"/>
          <w:lang w:eastAsia="zh-CN"/>
        </w:rPr>
        <w:t>个采购包中的内容拆分响应，</w:t>
      </w:r>
      <w:r>
        <w:rPr>
          <w:rFonts w:asciiTheme="minorEastAsia" w:hAnsiTheme="minorEastAsia" w:eastAsiaTheme="minorEastAsia"/>
          <w:spacing w:val="-1"/>
          <w:sz w:val="24"/>
          <w:lang w:eastAsia="zh-CN"/>
        </w:rPr>
        <w:t>其</w:t>
      </w:r>
      <w:r>
        <w:rPr>
          <w:rFonts w:asciiTheme="minorEastAsia" w:hAnsiTheme="minorEastAsia" w:eastAsiaTheme="minorEastAsia"/>
          <w:sz w:val="24"/>
          <w:lang w:eastAsia="zh-CN"/>
        </w:rPr>
        <w:t>响</w:t>
      </w:r>
      <w:r>
        <w:rPr>
          <w:rFonts w:asciiTheme="minorEastAsia" w:hAnsiTheme="minorEastAsia" w:eastAsiaTheme="minorEastAsia"/>
          <w:spacing w:val="2"/>
          <w:sz w:val="24"/>
          <w:lang w:eastAsia="zh-CN"/>
        </w:rPr>
        <w:t>应</w:t>
      </w:r>
      <w:r>
        <w:rPr>
          <w:rFonts w:asciiTheme="minorEastAsia" w:hAnsiTheme="minorEastAsia" w:eastAsiaTheme="minorEastAsia"/>
          <w:sz w:val="24"/>
          <w:lang w:eastAsia="zh-CN"/>
        </w:rPr>
        <w:t>无</w:t>
      </w:r>
      <w:r>
        <w:rPr>
          <w:rFonts w:asciiTheme="minorEastAsia" w:hAnsiTheme="minorEastAsia" w:eastAsiaTheme="minorEastAsia"/>
          <w:spacing w:val="2"/>
          <w:sz w:val="24"/>
          <w:lang w:eastAsia="zh-CN"/>
        </w:rPr>
        <w:t>效</w:t>
      </w:r>
      <w:r>
        <w:rPr>
          <w:rFonts w:asciiTheme="minorEastAsia" w:hAnsiTheme="minorEastAsia" w:eastAsiaTheme="minorEastAsia"/>
          <w:sz w:val="24"/>
          <w:lang w:eastAsia="zh-CN"/>
        </w:rPr>
        <w:t>。</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最后报价出现前后不一致的，按照下列规定修正：</w:t>
      </w:r>
    </w:p>
    <w:p>
      <w:pPr>
        <w:pStyle w:val="29"/>
        <w:numPr>
          <w:ilvl w:val="2"/>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z w:val="24"/>
          <w:lang w:eastAsia="zh-CN"/>
        </w:rPr>
        <w:t>竞争性磋商文件对于报价修正是否另有规定：</w:t>
      </w:r>
    </w:p>
    <w:p>
      <w:pPr>
        <w:pStyle w:val="12"/>
        <w:tabs>
          <w:tab w:val="left" w:pos="5674"/>
        </w:tabs>
        <w:spacing w:before="137"/>
        <w:ind w:left="2156"/>
        <w:rPr>
          <w:rFonts w:asciiTheme="minorEastAsia" w:hAnsiTheme="minorEastAsia" w:eastAsiaTheme="minorEastAsia"/>
          <w:lang w:eastAsia="zh-CN"/>
        </w:rPr>
      </w:pPr>
      <w:r>
        <w:rPr>
          <w:rFonts w:asciiTheme="minorEastAsia" w:hAnsiTheme="minorEastAsia" w:eastAsiaTheme="minorEastAsia"/>
          <w:w w:val="105"/>
          <w:lang w:eastAsia="zh-CN"/>
        </w:rPr>
        <w:t>□有，具体规定为：</w:t>
      </w:r>
      <w:r>
        <w:rPr>
          <w:rFonts w:asciiTheme="minorEastAsia" w:hAnsiTheme="minorEastAsia" w:eastAsiaTheme="minorEastAsia"/>
          <w:w w:val="105"/>
          <w:u w:val="single"/>
          <w:lang w:eastAsia="zh-CN"/>
        </w:rPr>
        <w:t xml:space="preserve"> </w:t>
      </w:r>
      <w:r>
        <w:rPr>
          <w:rFonts w:hint="eastAsia" w:asciiTheme="minorEastAsia" w:hAnsiTheme="minorEastAsia" w:eastAsiaTheme="minorEastAsia"/>
          <w:w w:val="105"/>
          <w:u w:val="single"/>
          <w:lang w:eastAsia="zh-CN"/>
        </w:rPr>
        <w:t xml:space="preserve">        </w:t>
      </w:r>
    </w:p>
    <w:p>
      <w:pPr>
        <w:pStyle w:val="12"/>
        <w:spacing w:before="134"/>
        <w:ind w:left="2156"/>
        <w:rPr>
          <w:rFonts w:asciiTheme="minorEastAsia" w:hAnsiTheme="minorEastAsia" w:eastAsiaTheme="minorEastAsia"/>
          <w:lang w:eastAsia="zh-CN"/>
        </w:rPr>
      </w:pPr>
      <w:r>
        <w:rPr>
          <w:rFonts w:hint="eastAsia"/>
          <w:lang w:eastAsia="zh-CN"/>
        </w:rPr>
        <w:t>■</w:t>
      </w:r>
      <w:r>
        <w:rPr>
          <w:rFonts w:asciiTheme="minorEastAsia" w:hAnsiTheme="minorEastAsia" w:eastAsiaTheme="minorEastAsia"/>
          <w:w w:val="105"/>
          <w:lang w:eastAsia="zh-CN"/>
        </w:rPr>
        <w:t>无，按下述 3.2.2-3.2.5 项规定修正。</w:t>
      </w:r>
    </w:p>
    <w:p>
      <w:pPr>
        <w:pStyle w:val="29"/>
        <w:numPr>
          <w:ilvl w:val="2"/>
          <w:numId w:val="6"/>
        </w:numPr>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z w:val="24"/>
          <w:lang w:eastAsia="zh-CN"/>
        </w:rPr>
        <w:t>大写金额和小写金额不一致的，以大写金额为准；</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单价金额小数点或者百分比有明显错位的，以总价为准，并修改单价；</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总价金额与按单价汇总金额不一致的，以单价金额计算结果为准。</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同时出现两种以上不一致的，按照前款规定的顺序修正。修正后的报价经供应商书面确认后产生约束力，供应商不确认的，</w:t>
      </w:r>
      <w:r>
        <w:rPr>
          <w:rFonts w:asciiTheme="minorEastAsia" w:hAnsiTheme="minorEastAsia" w:eastAsiaTheme="minorEastAsia"/>
          <w:b/>
          <w:sz w:val="24"/>
          <w:lang w:eastAsia="zh-CN"/>
        </w:rPr>
        <w:t>其响应无效</w:t>
      </w:r>
      <w:r>
        <w:rPr>
          <w:rFonts w:asciiTheme="minorEastAsia" w:hAnsiTheme="minorEastAsia" w:eastAsiaTheme="minorEastAsia"/>
          <w:sz w:val="24"/>
          <w:lang w:eastAsia="zh-CN"/>
        </w:rPr>
        <w:t>。</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落实政府采购政策的价格调整：只有符合第二章《供应商须知》4.2条规定情形的，可以享受中小企业扶持政策，用扣除后的价格参加评审；否则，评审时价格不予扣除。</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对于未预留份额专门面向中小企业采购的采购项目，以及预留份额项目中的非预留部分采购包，</w:t>
      </w:r>
      <w:r>
        <w:rPr>
          <w:rFonts w:asciiTheme="minorEastAsia" w:hAnsiTheme="minorEastAsia" w:eastAsiaTheme="minorEastAsia"/>
          <w:b/>
          <w:sz w:val="24"/>
          <w:lang w:eastAsia="zh-CN"/>
        </w:rPr>
        <w:t>对小微企业报价给予</w:t>
      </w:r>
      <w:r>
        <w:rPr>
          <w:rFonts w:hint="eastAsia" w:asciiTheme="minorEastAsia" w:hAnsiTheme="minorEastAsia" w:eastAsiaTheme="minorEastAsia"/>
          <w:b/>
          <w:sz w:val="24"/>
          <w:u w:val="single"/>
          <w:lang w:eastAsia="zh-CN"/>
        </w:rPr>
        <w:t>10</w:t>
      </w:r>
      <w:r>
        <w:rPr>
          <w:rFonts w:asciiTheme="minorEastAsia" w:hAnsiTheme="minorEastAsia" w:eastAsiaTheme="minorEastAsia"/>
          <w:b/>
          <w:sz w:val="24"/>
          <w:u w:val="single"/>
          <w:lang w:eastAsia="zh-CN"/>
        </w:rPr>
        <w:t>%</w:t>
      </w:r>
      <w:r>
        <w:rPr>
          <w:rFonts w:asciiTheme="minorEastAsia" w:hAnsiTheme="minorEastAsia" w:eastAsiaTheme="minorEastAsia"/>
          <w:b/>
          <w:sz w:val="24"/>
          <w:lang w:eastAsia="zh-CN"/>
        </w:rPr>
        <w:t>的扣除</w:t>
      </w:r>
      <w:r>
        <w:rPr>
          <w:rFonts w:asciiTheme="minorEastAsia" w:hAnsiTheme="minorEastAsia" w:eastAsiaTheme="minorEastAsia"/>
          <w:sz w:val="24"/>
          <w:lang w:eastAsia="zh-CN"/>
        </w:rPr>
        <w:t>，用扣除后的价格参加评审。</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asciiTheme="minorEastAsia" w:hAnsiTheme="minorEastAsia" w:eastAsiaTheme="minorEastAsia"/>
          <w:b/>
          <w:sz w:val="24"/>
          <w:u w:val="single"/>
          <w:lang w:eastAsia="zh-CN"/>
        </w:rPr>
        <w:t>30%</w:t>
      </w:r>
      <w:r>
        <w:rPr>
          <w:rFonts w:asciiTheme="minorEastAsia" w:hAnsiTheme="minorEastAsia" w:eastAsiaTheme="minorEastAsia"/>
          <w:sz w:val="24"/>
          <w:lang w:eastAsia="zh-CN"/>
        </w:rPr>
        <w:t>以上的联合体或者大中型企业的报价给予</w:t>
      </w:r>
      <w:r>
        <w:rPr>
          <w:rFonts w:hint="eastAsia" w:asciiTheme="minorEastAsia" w:hAnsiTheme="minorEastAsia" w:eastAsiaTheme="minorEastAsia"/>
          <w:b/>
          <w:sz w:val="24"/>
          <w:u w:val="single"/>
          <w:lang w:eastAsia="zh-CN"/>
        </w:rPr>
        <w:t>3</w:t>
      </w:r>
      <w:r>
        <w:rPr>
          <w:rFonts w:asciiTheme="minorEastAsia" w:hAnsiTheme="minorEastAsia" w:eastAsiaTheme="minorEastAsia"/>
          <w:b/>
          <w:sz w:val="24"/>
          <w:u w:val="single"/>
          <w:lang w:eastAsia="zh-CN"/>
        </w:rPr>
        <w:t>%</w:t>
      </w:r>
      <w:r>
        <w:rPr>
          <w:rFonts w:asciiTheme="minorEastAsia" w:hAnsiTheme="minorEastAsia" w:eastAsiaTheme="minorEastAsia"/>
          <w:sz w:val="24"/>
          <w:lang w:eastAsia="zh-CN"/>
        </w:rPr>
        <w:t>的扣除，用扣除后的价格参加评审。</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组成联合体或者接受分包的小微企业与联合体内其他企业、分包企业之间存在直接控股、管理关系的，不享受价格扣除优惠政策。</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价格扣除比例对小型企业和微型企业同等对待，不作区分。</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中小企业参加政府采购活动，应当按照竞争性磋商文件给定的格式出具《中小企业声明函》，否则不得享受相关中小企业扶持政策。</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监狱企业提供了由省级以上监狱管理局、戒毒管理局（含新疆生产建设兵团）出具的属于监狱企业的证明文件的，视同小微企业。</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残疾人福利性单位按竞争性磋商文件要求提供了《残疾人福利性单位声明函》的，视同小微企业。</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若供应商同时属于小型或微型企业、监狱企业、残疾人福利性单位中的两种及以上，将不重复享受小微企业价格扣减的优惠政策。</w:t>
      </w:r>
    </w:p>
    <w:p>
      <w:pPr>
        <w:pStyle w:val="29"/>
        <w:numPr>
          <w:ilvl w:val="2"/>
          <w:numId w:val="6"/>
        </w:numPr>
        <w:spacing w:before="43" w:line="338" w:lineRule="auto"/>
        <w:ind w:left="1701" w:right="113" w:hanging="850"/>
        <w:jc w:val="both"/>
        <w:rPr>
          <w:rFonts w:asciiTheme="minorEastAsia" w:hAnsiTheme="minorEastAsia" w:eastAsiaTheme="minorEastAsia"/>
          <w:sz w:val="24"/>
          <w:lang w:eastAsia="zh-CN"/>
        </w:rPr>
      </w:pPr>
      <w:r>
        <w:rPr>
          <w:rFonts w:asciiTheme="minorEastAsia" w:hAnsiTheme="minorEastAsia" w:eastAsiaTheme="minorEastAsia"/>
          <w:sz w:val="24"/>
          <w:lang w:eastAsia="zh-CN"/>
        </w:rPr>
        <w:t>其他为落实政府采购政策实施的优先采购：</w:t>
      </w:r>
      <w:r>
        <w:rPr>
          <w:rFonts w:asciiTheme="minorEastAsia" w:hAnsiTheme="minorEastAsia" w:eastAsiaTheme="minorEastAsia"/>
          <w:sz w:val="24"/>
          <w:u w:val="single"/>
          <w:lang w:eastAsia="zh-CN"/>
        </w:rPr>
        <w:t xml:space="preserve"> </w:t>
      </w:r>
      <w:r>
        <w:rPr>
          <w:rFonts w:hint="eastAsia" w:asciiTheme="minorEastAsia" w:hAnsiTheme="minorEastAsia" w:eastAsiaTheme="minorEastAsia"/>
          <w:sz w:val="24"/>
          <w:u w:val="single"/>
          <w:lang w:eastAsia="zh-CN"/>
        </w:rPr>
        <w:t xml:space="preserve">     /     </w:t>
      </w:r>
      <w:r>
        <w:rPr>
          <w:rFonts w:asciiTheme="minorEastAsia" w:hAnsiTheme="minorEastAsia" w:eastAsiaTheme="minorEastAsia"/>
          <w:sz w:val="24"/>
          <w:lang w:eastAsia="zh-CN"/>
        </w:rPr>
        <w:t>。</w:t>
      </w:r>
    </w:p>
    <w:p>
      <w:pPr>
        <w:pStyle w:val="29"/>
        <w:numPr>
          <w:ilvl w:val="0"/>
          <w:numId w:val="6"/>
        </w:numPr>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z w:val="24"/>
          <w:lang w:eastAsia="zh-CN"/>
        </w:rPr>
        <w:t>磋商环节及提交最后报价后如出现以下情况的，供应商的</w:t>
      </w:r>
      <w:r>
        <w:rPr>
          <w:rFonts w:asciiTheme="minorEastAsia" w:hAnsiTheme="minorEastAsia" w:eastAsiaTheme="minorEastAsia"/>
          <w:b/>
          <w:sz w:val="24"/>
          <w:lang w:eastAsia="zh-CN"/>
        </w:rPr>
        <w:t>响应文件无效</w:t>
      </w:r>
      <w:r>
        <w:rPr>
          <w:rFonts w:asciiTheme="minorEastAsia" w:hAnsiTheme="minorEastAsia" w:eastAsiaTheme="minorEastAsia"/>
          <w:sz w:val="24"/>
          <w:lang w:eastAsia="zh-CN"/>
        </w:rPr>
        <w:t>：</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供应商对实质性变动不予确认的；</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不满足磋商文件</w:t>
      </w:r>
      <w:r>
        <w:rPr>
          <w:rFonts w:hint="eastAsia" w:asciiTheme="minorEastAsia" w:hAnsiTheme="minorEastAsia" w:eastAsiaTheme="minorEastAsia"/>
          <w:spacing w:val="2"/>
          <w:sz w:val="24"/>
          <w:lang w:eastAsia="zh-CN"/>
        </w:rPr>
        <w:t>★</w:t>
      </w:r>
      <w:r>
        <w:rPr>
          <w:rFonts w:asciiTheme="minorEastAsia" w:hAnsiTheme="minorEastAsia" w:eastAsiaTheme="minorEastAsia"/>
          <w:spacing w:val="2"/>
          <w:sz w:val="24"/>
          <w:lang w:eastAsia="zh-CN"/>
        </w:rPr>
        <w:t>号条款或磋商文件技术指标超出磋商文件《采购需求》中主要技术参数允许偏差的最大范围的（如有）；</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未按照磋商小组规定的时间、逾期提交最后报价的；</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如供应商的最后报价超过竞争性磋商文件中规定的项目/采购包预算金额或者项目/采购包最高限价的；</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响应文件中出现可选择性或可调整的报价的（竞争性磋商文件另有规定的除外）；</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最后报价出现前后不一致，供应商对修正后的报价不予确认的；</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其他：</w:t>
      </w:r>
      <w:r>
        <w:rPr>
          <w:rFonts w:hint="eastAsia" w:asciiTheme="minorEastAsia" w:hAnsiTheme="minorEastAsia" w:eastAsiaTheme="minorEastAsia"/>
          <w:spacing w:val="2"/>
          <w:sz w:val="24"/>
          <w:u w:val="single"/>
          <w:lang w:eastAsia="zh-CN"/>
        </w:rPr>
        <w:t xml:space="preserve">        /         </w:t>
      </w:r>
      <w:r>
        <w:rPr>
          <w:rFonts w:asciiTheme="minorEastAsia" w:hAnsiTheme="minorEastAsia" w:eastAsiaTheme="minorEastAsia"/>
          <w:spacing w:val="2"/>
          <w:sz w:val="24"/>
          <w:lang w:eastAsia="zh-CN"/>
        </w:rPr>
        <w:t>。</w:t>
      </w:r>
    </w:p>
    <w:p>
      <w:pPr>
        <w:pStyle w:val="29"/>
        <w:numPr>
          <w:ilvl w:val="0"/>
          <w:numId w:val="6"/>
        </w:numPr>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z w:val="24"/>
          <w:lang w:eastAsia="zh-CN"/>
        </w:rPr>
        <w:t>评审方法和评审标准</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竞争性磋商文件中没有规定的评审标准不得作为评审依据。</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非政府强制采购的节能产品或环境标志产品，依据品目清单和认证证书实施政府优先采购。优先采购的具体规定（如涉及）</w:t>
      </w:r>
      <w:r>
        <w:rPr>
          <w:rFonts w:hint="eastAsia" w:asciiTheme="minorEastAsia" w:hAnsiTheme="minorEastAsia" w:eastAsiaTheme="minorEastAsia"/>
          <w:spacing w:val="2"/>
          <w:sz w:val="24"/>
          <w:u w:val="single"/>
          <w:lang w:eastAsia="zh-CN"/>
        </w:rPr>
        <w:t xml:space="preserve">         </w:t>
      </w:r>
      <w:r>
        <w:rPr>
          <w:rFonts w:asciiTheme="minorEastAsia" w:hAnsiTheme="minorEastAsia" w:eastAsiaTheme="minorEastAsia"/>
          <w:spacing w:val="2"/>
          <w:sz w:val="24"/>
          <w:lang w:eastAsia="zh-CN"/>
        </w:rPr>
        <w:t>。</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关于无线局域网认证产品政府采购清单中的产品，优先采购的具体规定（如涉及）</w:t>
      </w:r>
      <w:r>
        <w:rPr>
          <w:rFonts w:hint="eastAsia" w:asciiTheme="minorEastAsia" w:hAnsiTheme="minorEastAsia" w:eastAsiaTheme="minorEastAsia"/>
          <w:spacing w:val="2"/>
          <w:sz w:val="24"/>
          <w:u w:val="single"/>
          <w:lang w:eastAsia="zh-CN"/>
        </w:rPr>
        <w:t xml:space="preserve">         </w:t>
      </w:r>
      <w:r>
        <w:rPr>
          <w:rFonts w:asciiTheme="minorEastAsia" w:hAnsiTheme="minorEastAsia" w:eastAsiaTheme="minorEastAsia"/>
          <w:spacing w:val="2"/>
          <w:sz w:val="24"/>
          <w:lang w:eastAsia="zh-CN"/>
        </w:rPr>
        <w:t>。</w:t>
      </w:r>
    </w:p>
    <w:p>
      <w:pPr>
        <w:pStyle w:val="29"/>
        <w:numPr>
          <w:ilvl w:val="0"/>
          <w:numId w:val="6"/>
        </w:numPr>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z w:val="24"/>
          <w:lang w:eastAsia="zh-CN"/>
        </w:rPr>
        <w:t>确定成交候选人名单</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磋商小组根据上述供应商排序，依次推荐排序前</w:t>
      </w:r>
      <w:r>
        <w:rPr>
          <w:rFonts w:hint="eastAsia" w:asciiTheme="minorEastAsia" w:hAnsiTheme="minorEastAsia" w:eastAsiaTheme="minorEastAsia"/>
          <w:b/>
          <w:spacing w:val="2"/>
          <w:sz w:val="24"/>
          <w:u w:val="single"/>
          <w:lang w:eastAsia="zh-CN"/>
        </w:rPr>
        <w:t xml:space="preserve"> 3 </w:t>
      </w:r>
      <w:r>
        <w:rPr>
          <w:rFonts w:asciiTheme="minorEastAsia" w:hAnsiTheme="minorEastAsia" w:eastAsiaTheme="minorEastAsia"/>
          <w:b/>
          <w:spacing w:val="2"/>
          <w:sz w:val="24"/>
          <w:lang w:eastAsia="zh-CN"/>
        </w:rPr>
        <w:t>名</w:t>
      </w:r>
      <w:r>
        <w:rPr>
          <w:rFonts w:asciiTheme="minorEastAsia" w:hAnsiTheme="minorEastAsia" w:eastAsiaTheme="minorEastAsia"/>
          <w:spacing w:val="2"/>
          <w:sz w:val="24"/>
          <w:lang w:eastAsia="zh-CN"/>
        </w:rPr>
        <w:t>的供应商为成交候选供应商（若在磋商文件允许的情形下提交最后报价的供应商为二家，则依次推荐二名供应商为成交候选供应商），并编写评审报告。</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磋商小组要对评分汇总情况进行复核，特别是对排名第一的、报价最低的、响应文件被认定为无效的情形进行重点复核。</w:t>
      </w:r>
    </w:p>
    <w:p>
      <w:pPr>
        <w:pStyle w:val="29"/>
        <w:numPr>
          <w:ilvl w:val="0"/>
          <w:numId w:val="6"/>
        </w:numPr>
        <w:spacing w:before="43" w:line="338" w:lineRule="auto"/>
        <w:ind w:right="113"/>
        <w:jc w:val="both"/>
        <w:rPr>
          <w:rFonts w:asciiTheme="minorEastAsia" w:hAnsiTheme="minorEastAsia" w:eastAsiaTheme="minorEastAsia"/>
          <w:sz w:val="24"/>
          <w:lang w:eastAsia="zh-CN"/>
        </w:rPr>
      </w:pPr>
      <w:r>
        <w:rPr>
          <w:rFonts w:asciiTheme="minorEastAsia" w:hAnsiTheme="minorEastAsia" w:eastAsiaTheme="minorEastAsia"/>
          <w:sz w:val="24"/>
          <w:lang w:eastAsia="zh-CN"/>
        </w:rPr>
        <w:t>报告违法行为</w:t>
      </w:r>
    </w:p>
    <w:p>
      <w:pPr>
        <w:pStyle w:val="29"/>
        <w:numPr>
          <w:ilvl w:val="1"/>
          <w:numId w:val="6"/>
        </w:numPr>
        <w:spacing w:before="43" w:line="338" w:lineRule="auto"/>
        <w:ind w:right="113"/>
        <w:jc w:val="both"/>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t>磋商小组在评审过程中发现供应商有行贿、提供虚假材料或者串通等违法行为时，有向采购人、采购代理机构或者有关部门报告的职责。</w:t>
      </w:r>
    </w:p>
    <w:p>
      <w:pPr>
        <w:widowControl/>
        <w:autoSpaceDE/>
        <w:autoSpaceDN/>
        <w:rPr>
          <w:rFonts w:asciiTheme="minorEastAsia" w:hAnsiTheme="minorEastAsia" w:eastAsiaTheme="minorEastAsia"/>
          <w:spacing w:val="2"/>
          <w:sz w:val="24"/>
          <w:lang w:eastAsia="zh-CN"/>
        </w:rPr>
      </w:pPr>
      <w:r>
        <w:rPr>
          <w:rFonts w:asciiTheme="minorEastAsia" w:hAnsiTheme="minorEastAsia" w:eastAsiaTheme="minorEastAsia"/>
          <w:spacing w:val="2"/>
          <w:sz w:val="24"/>
          <w:lang w:eastAsia="zh-CN"/>
        </w:rPr>
        <w:br w:type="page"/>
      </w:r>
    </w:p>
    <w:p>
      <w:pPr>
        <w:pStyle w:val="5"/>
        <w:rPr>
          <w:rFonts w:asciiTheme="minorEastAsia" w:hAnsiTheme="minorEastAsia" w:eastAsiaTheme="minorEastAsia"/>
          <w:sz w:val="20"/>
        </w:rPr>
      </w:pPr>
      <w:bookmarkStart w:id="24" w:name="_Toc164263462"/>
      <w:r>
        <w:rPr>
          <w:rFonts w:asciiTheme="minorEastAsia" w:hAnsiTheme="minorEastAsia" w:eastAsiaTheme="minorEastAsia"/>
          <w:b/>
          <w:lang w:eastAsia="zh-CN"/>
        </w:rPr>
        <w:t>二、评审标准</w:t>
      </w:r>
      <w:bookmarkEnd w:id="24"/>
    </w:p>
    <w:p>
      <w:pPr>
        <w:pStyle w:val="12"/>
        <w:spacing w:before="7" w:after="1"/>
        <w:rPr>
          <w:rFonts w:asciiTheme="minorEastAsia" w:hAnsiTheme="minorEastAsia" w:eastAsiaTheme="minorEastAsia"/>
          <w:sz w:val="26"/>
        </w:rPr>
      </w:pPr>
    </w:p>
    <w:p>
      <w:pPr>
        <w:widowControl/>
        <w:spacing w:line="56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1.评分因素及分值</w:t>
      </w:r>
    </w:p>
    <w:tbl>
      <w:tblPr>
        <w:tblStyle w:val="23"/>
        <w:tblW w:w="9225" w:type="dxa"/>
        <w:tblInd w:w="-40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269"/>
        <w:gridCol w:w="2266"/>
        <w:gridCol w:w="1145"/>
        <w:gridCol w:w="454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72" w:hRule="atLeast"/>
        </w:trPr>
        <w:tc>
          <w:tcPr>
            <w:tcW w:w="1269" w:type="dxa"/>
            <w:vAlign w:val="center"/>
          </w:tcPr>
          <w:p>
            <w:pPr>
              <w:snapToGrid w:val="0"/>
              <w:spacing w:line="560" w:lineRule="exact"/>
              <w:ind w:right="-28"/>
              <w:jc w:val="center"/>
              <w:rPr>
                <w:rFonts w:hint="eastAsia" w:ascii="方正仿宋_GB18030" w:hAnsi="方正仿宋_GB18030" w:eastAsia="方正仿宋_GB18030" w:cs="方正仿宋_GB18030"/>
                <w:b/>
                <w:sz w:val="28"/>
                <w:szCs w:val="28"/>
              </w:rPr>
            </w:pPr>
            <w:r>
              <w:rPr>
                <w:rFonts w:hint="eastAsia" w:ascii="方正仿宋_GB18030" w:hAnsi="方正仿宋_GB18030" w:eastAsia="方正仿宋_GB18030" w:cs="方正仿宋_GB18030"/>
                <w:b/>
                <w:sz w:val="28"/>
                <w:szCs w:val="28"/>
              </w:rPr>
              <w:t>序号</w:t>
            </w:r>
          </w:p>
        </w:tc>
        <w:tc>
          <w:tcPr>
            <w:tcW w:w="2266" w:type="dxa"/>
            <w:vAlign w:val="center"/>
          </w:tcPr>
          <w:p>
            <w:pPr>
              <w:snapToGrid w:val="0"/>
              <w:spacing w:line="560" w:lineRule="exact"/>
              <w:jc w:val="center"/>
              <w:rPr>
                <w:rFonts w:hint="eastAsia" w:ascii="方正仿宋_GB18030" w:hAnsi="方正仿宋_GB18030" w:eastAsia="方正仿宋_GB18030" w:cs="方正仿宋_GB18030"/>
                <w:b/>
                <w:sz w:val="28"/>
                <w:szCs w:val="28"/>
              </w:rPr>
            </w:pPr>
            <w:r>
              <w:rPr>
                <w:rFonts w:hint="eastAsia" w:ascii="方正仿宋_GB18030" w:hAnsi="方正仿宋_GB18030" w:eastAsia="方正仿宋_GB18030" w:cs="方正仿宋_GB18030"/>
                <w:b/>
                <w:sz w:val="28"/>
                <w:szCs w:val="28"/>
              </w:rPr>
              <w:t>评分标准</w:t>
            </w:r>
          </w:p>
        </w:tc>
        <w:tc>
          <w:tcPr>
            <w:tcW w:w="1145" w:type="dxa"/>
            <w:vAlign w:val="center"/>
          </w:tcPr>
          <w:p>
            <w:pPr>
              <w:snapToGrid w:val="0"/>
              <w:spacing w:line="560" w:lineRule="exact"/>
              <w:ind w:left="113"/>
              <w:jc w:val="center"/>
              <w:rPr>
                <w:rFonts w:hint="eastAsia" w:ascii="方正仿宋_GB18030" w:hAnsi="方正仿宋_GB18030" w:eastAsia="方正仿宋_GB18030" w:cs="方正仿宋_GB18030"/>
                <w:b/>
                <w:sz w:val="28"/>
                <w:szCs w:val="28"/>
              </w:rPr>
            </w:pPr>
            <w:r>
              <w:rPr>
                <w:rFonts w:hint="eastAsia" w:ascii="方正仿宋_GB18030" w:hAnsi="方正仿宋_GB18030" w:eastAsia="方正仿宋_GB18030" w:cs="方正仿宋_GB18030"/>
                <w:b/>
                <w:sz w:val="28"/>
                <w:szCs w:val="28"/>
              </w:rPr>
              <w:t>分值</w:t>
            </w:r>
          </w:p>
        </w:tc>
        <w:tc>
          <w:tcPr>
            <w:tcW w:w="4545" w:type="dxa"/>
            <w:vAlign w:val="center"/>
          </w:tcPr>
          <w:p>
            <w:pPr>
              <w:snapToGrid w:val="0"/>
              <w:spacing w:line="560" w:lineRule="exact"/>
              <w:ind w:left="113"/>
              <w:jc w:val="center"/>
              <w:rPr>
                <w:rFonts w:hint="eastAsia" w:ascii="方正仿宋_GB18030" w:hAnsi="方正仿宋_GB18030" w:eastAsia="方正仿宋_GB18030" w:cs="方正仿宋_GB18030"/>
                <w:b/>
                <w:sz w:val="28"/>
                <w:szCs w:val="28"/>
              </w:rPr>
            </w:pPr>
            <w:r>
              <w:rPr>
                <w:rFonts w:hint="eastAsia" w:ascii="方正仿宋_GB18030" w:hAnsi="方正仿宋_GB18030" w:eastAsia="方正仿宋_GB18030" w:cs="方正仿宋_GB18030"/>
                <w:b/>
                <w:sz w:val="28"/>
                <w:szCs w:val="28"/>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72" w:hRule="atLeast"/>
        </w:trPr>
        <w:tc>
          <w:tcPr>
            <w:tcW w:w="1269" w:type="dxa"/>
            <w:vAlign w:val="center"/>
          </w:tcPr>
          <w:p>
            <w:pPr>
              <w:spacing w:line="560" w:lineRule="exact"/>
              <w:ind w:right="-28"/>
              <w:jc w:val="center"/>
              <w:rPr>
                <w:rFonts w:hint="eastAsia" w:ascii="方正仿宋_GB18030" w:hAnsi="方正仿宋_GB18030" w:eastAsia="方正仿宋_GB18030" w:cs="方正仿宋_GB18030"/>
                <w:b/>
                <w:sz w:val="28"/>
                <w:szCs w:val="28"/>
              </w:rPr>
            </w:pPr>
            <w:r>
              <w:rPr>
                <w:rFonts w:hint="eastAsia" w:ascii="方正仿宋_GB18030" w:hAnsi="方正仿宋_GB18030" w:eastAsia="方正仿宋_GB18030" w:cs="方正仿宋_GB18030"/>
                <w:sz w:val="28"/>
                <w:szCs w:val="28"/>
              </w:rPr>
              <w:t>1</w:t>
            </w:r>
          </w:p>
        </w:tc>
        <w:tc>
          <w:tcPr>
            <w:tcW w:w="2266" w:type="dxa"/>
            <w:vAlign w:val="center"/>
          </w:tcPr>
          <w:p>
            <w:pPr>
              <w:spacing w:line="560" w:lineRule="exact"/>
              <w:ind w:firstLine="840" w:firstLineChars="300"/>
              <w:rPr>
                <w:rFonts w:hint="eastAsia" w:ascii="方正仿宋_GB18030" w:hAnsi="方正仿宋_GB18030" w:eastAsia="方正仿宋_GB18030" w:cs="方正仿宋_GB18030"/>
                <w:b/>
                <w:sz w:val="28"/>
                <w:szCs w:val="28"/>
              </w:rPr>
            </w:pPr>
            <w:r>
              <w:rPr>
                <w:rFonts w:hint="eastAsia" w:ascii="方正仿宋_GB18030" w:hAnsi="方正仿宋_GB18030" w:eastAsia="方正仿宋_GB18030" w:cs="方正仿宋_GB18030"/>
                <w:sz w:val="28"/>
                <w:szCs w:val="28"/>
              </w:rPr>
              <w:t>价格部分</w:t>
            </w:r>
          </w:p>
        </w:tc>
        <w:tc>
          <w:tcPr>
            <w:tcW w:w="1145" w:type="dxa"/>
            <w:vAlign w:val="center"/>
          </w:tcPr>
          <w:p>
            <w:pPr>
              <w:spacing w:line="360" w:lineRule="auto"/>
              <w:ind w:left="113"/>
              <w:jc w:val="center"/>
              <w:rPr>
                <w:rFonts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3</w:t>
            </w:r>
            <w:r>
              <w:rPr>
                <w:rFonts w:ascii="方正仿宋_GB18030" w:hAnsi="方正仿宋_GB18030" w:eastAsia="方正仿宋_GB18030" w:cs="方正仿宋_GB18030"/>
                <w:sz w:val="28"/>
                <w:szCs w:val="28"/>
              </w:rPr>
              <w:t>0</w:t>
            </w:r>
          </w:p>
        </w:tc>
        <w:tc>
          <w:tcPr>
            <w:tcW w:w="4545" w:type="dxa"/>
            <w:vMerge w:val="restart"/>
            <w:vAlign w:val="center"/>
          </w:tcPr>
          <w:p>
            <w:pPr>
              <w:spacing w:line="560" w:lineRule="exact"/>
              <w:ind w:left="113"/>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详细的评标内容见下述评分标准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94" w:hRule="exact"/>
        </w:trPr>
        <w:tc>
          <w:tcPr>
            <w:tcW w:w="1269" w:type="dxa"/>
            <w:vAlign w:val="center"/>
          </w:tcPr>
          <w:p>
            <w:pPr>
              <w:spacing w:line="560" w:lineRule="exact"/>
              <w:ind w:right="-28"/>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2</w:t>
            </w:r>
          </w:p>
        </w:tc>
        <w:tc>
          <w:tcPr>
            <w:tcW w:w="2266" w:type="dxa"/>
            <w:vAlign w:val="center"/>
          </w:tcPr>
          <w:p>
            <w:pPr>
              <w:spacing w:line="560" w:lineRule="exact"/>
              <w:ind w:firstLine="840" w:firstLineChars="300"/>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商务部分</w:t>
            </w:r>
          </w:p>
        </w:tc>
        <w:tc>
          <w:tcPr>
            <w:tcW w:w="1145" w:type="dxa"/>
            <w:vAlign w:val="center"/>
          </w:tcPr>
          <w:p>
            <w:pPr>
              <w:spacing w:line="360" w:lineRule="auto"/>
              <w:ind w:left="113"/>
              <w:jc w:val="center"/>
              <w:rPr>
                <w:rFonts w:hint="eastAsia" w:ascii="方正仿宋_GB18030" w:hAnsi="方正仿宋_GB18030" w:eastAsia="方正仿宋_GB18030" w:cs="方正仿宋_GB18030"/>
                <w:sz w:val="28"/>
                <w:szCs w:val="28"/>
                <w:lang w:eastAsia="zh-CN"/>
              </w:rPr>
            </w:pPr>
            <w:r>
              <w:rPr>
                <w:rFonts w:hint="eastAsia" w:ascii="方正仿宋_GB18030" w:hAnsi="方正仿宋_GB18030" w:eastAsia="方正仿宋_GB18030" w:cs="方正仿宋_GB18030"/>
                <w:sz w:val="28"/>
                <w:szCs w:val="28"/>
              </w:rPr>
              <w:t>2</w:t>
            </w:r>
            <w:r>
              <w:rPr>
                <w:rFonts w:hint="eastAsia" w:ascii="方正仿宋_GB18030" w:hAnsi="方正仿宋_GB18030" w:eastAsia="方正仿宋_GB18030" w:cs="方正仿宋_GB18030"/>
                <w:sz w:val="28"/>
                <w:szCs w:val="28"/>
                <w:lang w:val="en-US" w:eastAsia="zh-CN"/>
              </w:rPr>
              <w:t>2</w:t>
            </w:r>
          </w:p>
        </w:tc>
        <w:tc>
          <w:tcPr>
            <w:tcW w:w="4545" w:type="dxa"/>
            <w:vMerge w:val="continue"/>
            <w:vAlign w:val="center"/>
          </w:tcPr>
          <w:p>
            <w:pPr>
              <w:spacing w:line="560" w:lineRule="exact"/>
              <w:ind w:left="113"/>
              <w:jc w:val="center"/>
              <w:rPr>
                <w:rFonts w:hint="eastAsia" w:ascii="方正仿宋_GB18030" w:hAnsi="方正仿宋_GB18030" w:eastAsia="方正仿宋_GB18030" w:cs="方正仿宋_GB18030"/>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33" w:hRule="exact"/>
        </w:trPr>
        <w:tc>
          <w:tcPr>
            <w:tcW w:w="1269" w:type="dxa"/>
            <w:vAlign w:val="center"/>
          </w:tcPr>
          <w:p>
            <w:pPr>
              <w:spacing w:line="560" w:lineRule="exact"/>
              <w:ind w:right="-28"/>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3</w:t>
            </w:r>
          </w:p>
        </w:tc>
        <w:tc>
          <w:tcPr>
            <w:tcW w:w="2266" w:type="dxa"/>
            <w:vAlign w:val="center"/>
          </w:tcPr>
          <w:p>
            <w:pPr>
              <w:spacing w:line="560" w:lineRule="exact"/>
              <w:ind w:firstLine="840" w:firstLineChars="300"/>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技术部分</w:t>
            </w:r>
          </w:p>
        </w:tc>
        <w:tc>
          <w:tcPr>
            <w:tcW w:w="1145" w:type="dxa"/>
            <w:vAlign w:val="center"/>
          </w:tcPr>
          <w:p>
            <w:pPr>
              <w:spacing w:line="360" w:lineRule="auto"/>
              <w:ind w:left="113"/>
              <w:jc w:val="center"/>
              <w:rPr>
                <w:rFonts w:hint="eastAsia" w:ascii="方正仿宋_GB18030" w:hAnsi="方正仿宋_GB18030" w:eastAsia="方正仿宋_GB18030" w:cs="方正仿宋_GB18030"/>
                <w:sz w:val="28"/>
                <w:szCs w:val="28"/>
                <w:lang w:eastAsia="zh-CN"/>
              </w:rPr>
            </w:pPr>
            <w:r>
              <w:rPr>
                <w:rFonts w:hint="eastAsia" w:ascii="方正仿宋_GB18030" w:hAnsi="方正仿宋_GB18030" w:eastAsia="方正仿宋_GB18030" w:cs="方正仿宋_GB18030"/>
                <w:sz w:val="28"/>
                <w:szCs w:val="28"/>
              </w:rPr>
              <w:t>4</w:t>
            </w:r>
            <w:r>
              <w:rPr>
                <w:rFonts w:hint="eastAsia" w:ascii="方正仿宋_GB18030" w:hAnsi="方正仿宋_GB18030" w:eastAsia="方正仿宋_GB18030" w:cs="方正仿宋_GB18030"/>
                <w:sz w:val="28"/>
                <w:szCs w:val="28"/>
                <w:lang w:val="en-US" w:eastAsia="zh-CN"/>
              </w:rPr>
              <w:t>8</w:t>
            </w:r>
          </w:p>
        </w:tc>
        <w:tc>
          <w:tcPr>
            <w:tcW w:w="4545" w:type="dxa"/>
            <w:vMerge w:val="continue"/>
            <w:vAlign w:val="center"/>
          </w:tcPr>
          <w:p>
            <w:pPr>
              <w:spacing w:line="560" w:lineRule="exact"/>
              <w:rPr>
                <w:rFonts w:hint="eastAsia" w:ascii="方正仿宋_GB18030" w:hAnsi="方正仿宋_GB18030" w:eastAsia="方正仿宋_GB18030" w:cs="方正仿宋_GB18030"/>
                <w:sz w:val="28"/>
                <w:szCs w:val="2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5" w:hRule="exact"/>
        </w:trPr>
        <w:tc>
          <w:tcPr>
            <w:tcW w:w="3535" w:type="dxa"/>
            <w:gridSpan w:val="2"/>
            <w:vAlign w:val="center"/>
          </w:tcPr>
          <w:p>
            <w:pPr>
              <w:spacing w:line="560" w:lineRule="exact"/>
              <w:ind w:left="113"/>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合计</w:t>
            </w:r>
          </w:p>
        </w:tc>
        <w:tc>
          <w:tcPr>
            <w:tcW w:w="1145" w:type="dxa"/>
            <w:vAlign w:val="center"/>
          </w:tcPr>
          <w:p>
            <w:pPr>
              <w:spacing w:line="560" w:lineRule="exact"/>
              <w:ind w:left="113"/>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100</w:t>
            </w:r>
          </w:p>
        </w:tc>
        <w:tc>
          <w:tcPr>
            <w:tcW w:w="4545" w:type="dxa"/>
            <w:vMerge w:val="continue"/>
            <w:vAlign w:val="center"/>
          </w:tcPr>
          <w:p>
            <w:pPr>
              <w:spacing w:line="560" w:lineRule="exact"/>
              <w:rPr>
                <w:rFonts w:hint="eastAsia" w:ascii="方正仿宋_GB18030" w:hAnsi="方正仿宋_GB18030" w:eastAsia="方正仿宋_GB18030" w:cs="方正仿宋_GB18030"/>
                <w:sz w:val="28"/>
                <w:szCs w:val="28"/>
              </w:rPr>
            </w:pPr>
          </w:p>
        </w:tc>
      </w:tr>
    </w:tbl>
    <w:p>
      <w:pPr>
        <w:spacing w:line="56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2.1价格部分</w:t>
      </w:r>
    </w:p>
    <w:tbl>
      <w:tblPr>
        <w:tblStyle w:val="23"/>
        <w:tblpPr w:leftFromText="180" w:rightFromText="180" w:vertAnchor="text" w:tblpX="-318" w:tblpY="1"/>
        <w:tblOverlap w:val="never"/>
        <w:tblW w:w="92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3"/>
        <w:gridCol w:w="6974"/>
        <w:gridCol w:w="1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243" w:type="dxa"/>
            <w:vAlign w:val="center"/>
          </w:tcPr>
          <w:p>
            <w:pPr>
              <w:spacing w:line="560" w:lineRule="exact"/>
              <w:jc w:val="center"/>
              <w:rPr>
                <w:rFonts w:hint="eastAsia" w:ascii="方正仿宋_GB18030" w:hAnsi="方正仿宋_GB18030" w:eastAsia="方正仿宋_GB18030" w:cs="方正仿宋_GB18030"/>
                <w:b/>
                <w:sz w:val="28"/>
                <w:szCs w:val="28"/>
              </w:rPr>
            </w:pPr>
            <w:r>
              <w:rPr>
                <w:rFonts w:hint="eastAsia" w:ascii="方正仿宋_GB18030" w:hAnsi="方正仿宋_GB18030" w:eastAsia="方正仿宋_GB18030" w:cs="方正仿宋_GB18030"/>
                <w:b/>
                <w:sz w:val="28"/>
                <w:szCs w:val="28"/>
              </w:rPr>
              <w:t>评分点</w:t>
            </w:r>
          </w:p>
        </w:tc>
        <w:tc>
          <w:tcPr>
            <w:tcW w:w="6974" w:type="dxa"/>
            <w:vAlign w:val="center"/>
          </w:tcPr>
          <w:p>
            <w:pPr>
              <w:spacing w:line="560" w:lineRule="exact"/>
              <w:jc w:val="center"/>
              <w:rPr>
                <w:rFonts w:hint="eastAsia" w:ascii="方正仿宋_GB18030" w:hAnsi="方正仿宋_GB18030" w:eastAsia="方正仿宋_GB18030" w:cs="方正仿宋_GB18030"/>
                <w:b/>
                <w:sz w:val="28"/>
                <w:szCs w:val="28"/>
              </w:rPr>
            </w:pPr>
            <w:r>
              <w:rPr>
                <w:rFonts w:hint="eastAsia" w:ascii="方正仿宋_GB18030" w:hAnsi="方正仿宋_GB18030" w:eastAsia="方正仿宋_GB18030" w:cs="方正仿宋_GB18030"/>
                <w:b/>
                <w:sz w:val="28"/>
                <w:szCs w:val="28"/>
              </w:rPr>
              <w:t>评审内容</w:t>
            </w:r>
          </w:p>
        </w:tc>
        <w:tc>
          <w:tcPr>
            <w:tcW w:w="1031" w:type="dxa"/>
            <w:vAlign w:val="center"/>
          </w:tcPr>
          <w:p>
            <w:pPr>
              <w:spacing w:line="560" w:lineRule="exact"/>
              <w:jc w:val="center"/>
              <w:rPr>
                <w:rFonts w:hint="eastAsia" w:ascii="方正仿宋_GB18030" w:hAnsi="方正仿宋_GB18030" w:eastAsia="方正仿宋_GB18030" w:cs="方正仿宋_GB18030"/>
                <w:b/>
                <w:sz w:val="28"/>
                <w:szCs w:val="28"/>
              </w:rPr>
            </w:pPr>
            <w:r>
              <w:rPr>
                <w:rFonts w:hint="eastAsia" w:ascii="方正仿宋_GB18030" w:hAnsi="方正仿宋_GB18030" w:eastAsia="方正仿宋_GB18030" w:cs="方正仿宋_GB18030"/>
                <w:b/>
                <w:sz w:val="28"/>
                <w:szCs w:val="28"/>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9248" w:type="dxa"/>
            <w:gridSpan w:val="3"/>
            <w:vAlign w:val="center"/>
          </w:tcPr>
          <w:p>
            <w:pPr>
              <w:spacing w:line="560" w:lineRule="exact"/>
              <w:jc w:val="center"/>
              <w:rPr>
                <w:rFonts w:hint="eastAsia" w:ascii="方正仿宋_GB18030" w:hAnsi="方正仿宋_GB18030" w:eastAsia="方正仿宋_GB18030" w:cs="方正仿宋_GB18030"/>
                <w:b/>
                <w:sz w:val="28"/>
                <w:szCs w:val="28"/>
              </w:rPr>
            </w:pPr>
            <w:r>
              <w:rPr>
                <w:rFonts w:hint="eastAsia" w:ascii="方正仿宋_GB18030" w:hAnsi="方正仿宋_GB18030" w:eastAsia="方正仿宋_GB18030" w:cs="方正仿宋_GB18030"/>
                <w:b/>
                <w:sz w:val="28"/>
                <w:szCs w:val="28"/>
              </w:rPr>
              <w:t>价格部分（30分）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9" w:hRule="atLeast"/>
        </w:trPr>
        <w:tc>
          <w:tcPr>
            <w:tcW w:w="1243" w:type="dxa"/>
            <w:vAlign w:val="center"/>
          </w:tcPr>
          <w:p>
            <w:pPr>
              <w:spacing w:line="560" w:lineRule="exact"/>
              <w:jc w:val="center"/>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价格部分</w:t>
            </w:r>
          </w:p>
        </w:tc>
        <w:tc>
          <w:tcPr>
            <w:tcW w:w="6974" w:type="dxa"/>
            <w:vAlign w:val="center"/>
          </w:tcPr>
          <w:p>
            <w:pPr>
              <w:spacing w:line="56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评标基准价／评标价×100×报价分值权重；评标基准价等于有效投标单位中价格扣除后报价的最小值，评标价等于价格扣除后的报价</w:t>
            </w:r>
          </w:p>
        </w:tc>
        <w:tc>
          <w:tcPr>
            <w:tcW w:w="1031" w:type="dxa"/>
            <w:vAlign w:val="center"/>
          </w:tcPr>
          <w:p>
            <w:pPr>
              <w:spacing w:line="560" w:lineRule="exact"/>
              <w:jc w:val="center"/>
              <w:rPr>
                <w:rFonts w:hint="eastAsia" w:ascii="方正仿宋_GB18030" w:hAnsi="方正仿宋_GB18030" w:eastAsia="方正仿宋_GB18030" w:cs="方正仿宋_GB18030"/>
                <w:i/>
                <w:sz w:val="28"/>
                <w:szCs w:val="28"/>
              </w:rPr>
            </w:pPr>
            <w:r>
              <w:rPr>
                <w:rFonts w:hint="eastAsia" w:ascii="方正仿宋_GB18030" w:hAnsi="方正仿宋_GB18030" w:eastAsia="方正仿宋_GB18030" w:cs="方正仿宋_GB18030"/>
                <w:sz w:val="28"/>
                <w:szCs w:val="28"/>
              </w:rPr>
              <w:t>30分</w:t>
            </w:r>
          </w:p>
        </w:tc>
      </w:tr>
    </w:tbl>
    <w:p>
      <w:pPr>
        <w:spacing w:line="560" w:lineRule="exact"/>
        <w:rPr>
          <w:rFonts w:hint="eastAsia" w:ascii="方正仿宋_GB18030" w:hAnsi="方正仿宋_GB18030" w:eastAsia="方正仿宋_GB18030" w:cs="方正仿宋_GB18030"/>
          <w:sz w:val="28"/>
          <w:szCs w:val="28"/>
        </w:rPr>
      </w:pPr>
    </w:p>
    <w:p>
      <w:pPr>
        <w:spacing w:line="56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2.2商务部分</w:t>
      </w:r>
    </w:p>
    <w:tbl>
      <w:tblPr>
        <w:tblStyle w:val="23"/>
        <w:tblpPr w:leftFromText="180" w:rightFromText="180" w:vertAnchor="text" w:tblpX="-318" w:tblpY="1"/>
        <w:tblOverlap w:val="never"/>
        <w:tblW w:w="92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792"/>
        <w:gridCol w:w="6008"/>
        <w:gridCol w:w="7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233" w:type="dxa"/>
            <w:gridSpan w:val="4"/>
            <w:vAlign w:val="center"/>
          </w:tcPr>
          <w:p>
            <w:pPr>
              <w:spacing w:line="276" w:lineRule="auto"/>
              <w:ind w:firstLine="482"/>
              <w:jc w:val="center"/>
              <w:rPr>
                <w:rFonts w:ascii="宋体" w:hAnsi="宋体"/>
                <w:b/>
                <w:szCs w:val="18"/>
              </w:rPr>
            </w:pPr>
            <w:r>
              <w:rPr>
                <w:rFonts w:hint="eastAsia" w:ascii="方正仿宋_GB18030" w:hAnsi="方正仿宋_GB18030" w:eastAsia="方正仿宋_GB18030" w:cs="方正仿宋_GB18030"/>
                <w:b/>
                <w:sz w:val="28"/>
                <w:szCs w:val="28"/>
              </w:rPr>
              <w:t>商务部分（2</w:t>
            </w:r>
            <w:r>
              <w:rPr>
                <w:rFonts w:hint="eastAsia" w:ascii="方正仿宋_GB18030" w:hAnsi="方正仿宋_GB18030" w:eastAsia="方正仿宋_GB18030" w:cs="方正仿宋_GB18030"/>
                <w:b/>
                <w:sz w:val="28"/>
                <w:szCs w:val="28"/>
                <w:lang w:val="en-US" w:eastAsia="zh-CN"/>
              </w:rPr>
              <w:t>2</w:t>
            </w:r>
            <w:r>
              <w:rPr>
                <w:rFonts w:hint="eastAsia" w:ascii="方正仿宋_GB18030" w:hAnsi="方正仿宋_GB18030" w:eastAsia="方正仿宋_GB18030" w:cs="方正仿宋_GB18030"/>
                <w:b/>
                <w:sz w:val="28"/>
                <w:szCs w:val="28"/>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75" w:type="dxa"/>
            <w:vAlign w:val="center"/>
          </w:tcPr>
          <w:p>
            <w:pPr>
              <w:spacing w:line="276" w:lineRule="auto"/>
              <w:jc w:val="center"/>
              <w:rPr>
                <w:rFonts w:ascii="宋体" w:hAnsi="宋体"/>
                <w:sz w:val="24"/>
              </w:rPr>
            </w:pPr>
            <w:r>
              <w:rPr>
                <w:rFonts w:hint="eastAsia" w:ascii="宋体" w:hAnsi="宋体"/>
                <w:sz w:val="24"/>
              </w:rPr>
              <w:t>序号</w:t>
            </w:r>
          </w:p>
        </w:tc>
        <w:tc>
          <w:tcPr>
            <w:tcW w:w="1792" w:type="dxa"/>
            <w:vAlign w:val="center"/>
          </w:tcPr>
          <w:p>
            <w:pPr>
              <w:spacing w:line="276" w:lineRule="auto"/>
              <w:jc w:val="center"/>
              <w:rPr>
                <w:rFonts w:ascii="宋体" w:hAnsi="宋体"/>
                <w:sz w:val="24"/>
              </w:rPr>
            </w:pPr>
            <w:r>
              <w:rPr>
                <w:rFonts w:hint="eastAsia" w:ascii="宋体" w:hAnsi="宋体"/>
                <w:sz w:val="24"/>
              </w:rPr>
              <w:t>指标项</w:t>
            </w:r>
          </w:p>
        </w:tc>
        <w:tc>
          <w:tcPr>
            <w:tcW w:w="6008" w:type="dxa"/>
            <w:vAlign w:val="center"/>
          </w:tcPr>
          <w:p>
            <w:pPr>
              <w:spacing w:line="276" w:lineRule="auto"/>
              <w:jc w:val="center"/>
              <w:rPr>
                <w:rFonts w:ascii="宋体" w:hAnsi="宋体"/>
                <w:sz w:val="24"/>
              </w:rPr>
            </w:pPr>
            <w:r>
              <w:rPr>
                <w:rFonts w:hint="eastAsia" w:ascii="宋体" w:hAnsi="宋体"/>
                <w:sz w:val="24"/>
              </w:rPr>
              <w:t>评分标准</w:t>
            </w:r>
          </w:p>
        </w:tc>
        <w:tc>
          <w:tcPr>
            <w:tcW w:w="758" w:type="dxa"/>
            <w:vAlign w:val="center"/>
          </w:tcPr>
          <w:p>
            <w:pPr>
              <w:spacing w:line="276" w:lineRule="auto"/>
              <w:jc w:val="center"/>
              <w:rPr>
                <w:rFonts w:ascii="宋体" w:hAnsi="宋体"/>
                <w:sz w:val="24"/>
              </w:rPr>
            </w:pPr>
            <w:r>
              <w:rPr>
                <w:rFonts w:hint="eastAsia" w:ascii="宋体" w:hAnsi="宋体"/>
                <w:sz w:val="24"/>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5" w:hRule="atLeast"/>
        </w:trPr>
        <w:tc>
          <w:tcPr>
            <w:tcW w:w="675" w:type="dxa"/>
            <w:vMerge w:val="restart"/>
            <w:vAlign w:val="center"/>
          </w:tcPr>
          <w:p>
            <w:pPr>
              <w:spacing w:line="276" w:lineRule="auto"/>
              <w:jc w:val="center"/>
              <w:rPr>
                <w:rFonts w:ascii="宋体" w:hAnsi="宋体"/>
                <w:sz w:val="24"/>
              </w:rPr>
            </w:pPr>
            <w:r>
              <w:rPr>
                <w:rFonts w:hint="eastAsia" w:ascii="宋体" w:hAnsi="宋体"/>
                <w:sz w:val="24"/>
              </w:rPr>
              <w:t>1</w:t>
            </w:r>
          </w:p>
        </w:tc>
        <w:tc>
          <w:tcPr>
            <w:tcW w:w="1792" w:type="dxa"/>
            <w:vMerge w:val="restart"/>
            <w:vAlign w:val="center"/>
          </w:tcPr>
          <w:p>
            <w:pPr>
              <w:spacing w:line="276" w:lineRule="auto"/>
              <w:jc w:val="center"/>
              <w:rPr>
                <w:rFonts w:ascii="宋体" w:hAnsi="宋体"/>
                <w:sz w:val="24"/>
              </w:rPr>
            </w:pPr>
            <w:r>
              <w:rPr>
                <w:rFonts w:hint="eastAsia" w:ascii="宋体" w:hAnsi="宋体"/>
                <w:sz w:val="24"/>
              </w:rPr>
              <w:t>项目经理任职资格（6分）</w:t>
            </w:r>
          </w:p>
        </w:tc>
        <w:tc>
          <w:tcPr>
            <w:tcW w:w="6008" w:type="dxa"/>
            <w:vAlign w:val="center"/>
          </w:tcPr>
          <w:p>
            <w:pPr>
              <w:spacing w:line="276" w:lineRule="auto"/>
              <w:jc w:val="left"/>
              <w:rPr>
                <w:rFonts w:ascii="宋体" w:hAnsi="宋体"/>
                <w:sz w:val="24"/>
              </w:rPr>
            </w:pPr>
            <w:r>
              <w:rPr>
                <w:rFonts w:hint="eastAsia" w:ascii="宋体" w:hAnsi="宋体" w:cs="宋体"/>
                <w:sz w:val="24"/>
              </w:rPr>
              <w:t>大学专科及以上学历得3分；专科以下学历得0分</w:t>
            </w:r>
          </w:p>
        </w:tc>
        <w:tc>
          <w:tcPr>
            <w:tcW w:w="758" w:type="dxa"/>
            <w:vAlign w:val="center"/>
          </w:tcPr>
          <w:p>
            <w:pPr>
              <w:spacing w:line="276" w:lineRule="auto"/>
              <w:jc w:val="center"/>
              <w:rPr>
                <w:rFonts w:ascii="宋体" w:hAnsi="宋体"/>
                <w:sz w:val="24"/>
              </w:rPr>
            </w:pPr>
            <w:r>
              <w:rPr>
                <w:rFonts w:hint="eastAsia" w:ascii="宋体" w:hAnsi="宋体"/>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75" w:type="dxa"/>
            <w:vMerge w:val="continue"/>
            <w:vAlign w:val="center"/>
          </w:tcPr>
          <w:p>
            <w:pPr>
              <w:spacing w:line="276" w:lineRule="auto"/>
              <w:jc w:val="center"/>
              <w:rPr>
                <w:rFonts w:ascii="宋体" w:hAnsi="宋体"/>
                <w:sz w:val="24"/>
              </w:rPr>
            </w:pPr>
          </w:p>
        </w:tc>
        <w:tc>
          <w:tcPr>
            <w:tcW w:w="1792" w:type="dxa"/>
            <w:vMerge w:val="continue"/>
            <w:vAlign w:val="center"/>
          </w:tcPr>
          <w:p>
            <w:pPr>
              <w:spacing w:line="276" w:lineRule="auto"/>
              <w:jc w:val="center"/>
              <w:rPr>
                <w:rFonts w:ascii="宋体" w:hAnsi="宋体"/>
                <w:sz w:val="24"/>
              </w:rPr>
            </w:pPr>
          </w:p>
        </w:tc>
        <w:tc>
          <w:tcPr>
            <w:tcW w:w="6008" w:type="dxa"/>
            <w:vAlign w:val="center"/>
          </w:tcPr>
          <w:p>
            <w:pPr>
              <w:spacing w:line="276" w:lineRule="auto"/>
              <w:jc w:val="left"/>
              <w:rPr>
                <w:rFonts w:ascii="宋体" w:hAnsi="宋体" w:cs="宋体"/>
                <w:sz w:val="24"/>
              </w:rPr>
            </w:pPr>
            <w:r>
              <w:rPr>
                <w:rFonts w:hint="eastAsia" w:ascii="宋体" w:hAnsi="宋体" w:cs="宋体"/>
                <w:sz w:val="24"/>
              </w:rPr>
              <w:t>高级职称3分；中级职称得</w:t>
            </w:r>
            <w:r>
              <w:rPr>
                <w:rFonts w:hint="eastAsia" w:ascii="宋体" w:hAnsi="宋体" w:cs="宋体"/>
                <w:sz w:val="24"/>
                <w:lang w:val="en-US" w:eastAsia="zh-CN"/>
              </w:rPr>
              <w:t>1</w:t>
            </w:r>
            <w:r>
              <w:rPr>
                <w:rFonts w:hint="eastAsia" w:ascii="宋体" w:hAnsi="宋体" w:cs="宋体"/>
                <w:sz w:val="24"/>
              </w:rPr>
              <w:t>分，</w:t>
            </w:r>
            <w:r>
              <w:rPr>
                <w:rFonts w:ascii="宋体" w:hAnsi="宋体" w:cs="宋体"/>
                <w:sz w:val="24"/>
              </w:rPr>
              <w:t>中</w:t>
            </w:r>
            <w:r>
              <w:rPr>
                <w:rFonts w:hint="eastAsia" w:ascii="宋体" w:hAnsi="宋体" w:cs="宋体"/>
                <w:sz w:val="24"/>
              </w:rPr>
              <w:t>级</w:t>
            </w:r>
            <w:r>
              <w:rPr>
                <w:rFonts w:ascii="宋体" w:hAnsi="宋体" w:cs="宋体"/>
                <w:sz w:val="24"/>
              </w:rPr>
              <w:t>以下职称得0分</w:t>
            </w:r>
          </w:p>
        </w:tc>
        <w:tc>
          <w:tcPr>
            <w:tcW w:w="758" w:type="dxa"/>
            <w:vAlign w:val="center"/>
          </w:tcPr>
          <w:p>
            <w:pPr>
              <w:spacing w:line="276" w:lineRule="auto"/>
              <w:jc w:val="center"/>
              <w:rPr>
                <w:rFonts w:ascii="宋体" w:hAnsi="宋体"/>
                <w:sz w:val="24"/>
              </w:rPr>
            </w:pPr>
            <w:r>
              <w:rPr>
                <w:rFonts w:hint="eastAsia" w:ascii="宋体" w:hAnsi="宋体"/>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675" w:type="dxa"/>
            <w:vAlign w:val="center"/>
          </w:tcPr>
          <w:p>
            <w:pPr>
              <w:spacing w:line="276" w:lineRule="auto"/>
              <w:jc w:val="center"/>
              <w:rPr>
                <w:rFonts w:ascii="宋体" w:hAnsi="宋体"/>
                <w:sz w:val="24"/>
              </w:rPr>
            </w:pPr>
            <w:r>
              <w:rPr>
                <w:rFonts w:hint="eastAsia" w:ascii="宋体" w:hAnsi="宋体"/>
                <w:sz w:val="24"/>
              </w:rPr>
              <w:t>2</w:t>
            </w:r>
          </w:p>
        </w:tc>
        <w:tc>
          <w:tcPr>
            <w:tcW w:w="1792" w:type="dxa"/>
            <w:vAlign w:val="center"/>
          </w:tcPr>
          <w:p>
            <w:pPr>
              <w:spacing w:line="276" w:lineRule="auto"/>
              <w:jc w:val="center"/>
              <w:rPr>
                <w:rFonts w:ascii="宋体" w:hAnsi="宋体"/>
                <w:sz w:val="24"/>
              </w:rPr>
            </w:pPr>
            <w:r>
              <w:rPr>
                <w:rFonts w:hint="eastAsia" w:ascii="宋体" w:hAnsi="宋体"/>
                <w:sz w:val="24"/>
              </w:rPr>
              <w:t>技术负责人任职资格</w:t>
            </w:r>
          </w:p>
        </w:tc>
        <w:tc>
          <w:tcPr>
            <w:tcW w:w="6008" w:type="dxa"/>
            <w:vAlign w:val="center"/>
          </w:tcPr>
          <w:p>
            <w:pPr>
              <w:rPr>
                <w:sz w:val="24"/>
              </w:rPr>
            </w:pPr>
            <w:r>
              <w:rPr>
                <w:rFonts w:hint="eastAsia" w:ascii="宋体" w:hAnsi="宋体" w:cs="宋体"/>
                <w:sz w:val="24"/>
              </w:rPr>
              <w:t>高级职称得4分；中级</w:t>
            </w:r>
            <w:r>
              <w:rPr>
                <w:rFonts w:ascii="宋体" w:hAnsi="宋体" w:cs="宋体"/>
                <w:sz w:val="24"/>
              </w:rPr>
              <w:t>职称得</w:t>
            </w:r>
            <w:r>
              <w:rPr>
                <w:rFonts w:hint="eastAsia" w:ascii="宋体" w:hAnsi="宋体" w:cs="宋体"/>
                <w:sz w:val="24"/>
              </w:rPr>
              <w:t>2</w:t>
            </w:r>
            <w:r>
              <w:rPr>
                <w:rFonts w:ascii="宋体" w:hAnsi="宋体" w:cs="宋体"/>
                <w:sz w:val="24"/>
              </w:rPr>
              <w:t>分；中</w:t>
            </w:r>
            <w:r>
              <w:rPr>
                <w:rFonts w:hint="eastAsia" w:ascii="宋体" w:hAnsi="宋体" w:cs="宋体"/>
                <w:sz w:val="24"/>
              </w:rPr>
              <w:t>级</w:t>
            </w:r>
            <w:r>
              <w:rPr>
                <w:rFonts w:ascii="宋体" w:hAnsi="宋体" w:cs="宋体"/>
                <w:sz w:val="24"/>
              </w:rPr>
              <w:t>以下职称得0分</w:t>
            </w:r>
          </w:p>
        </w:tc>
        <w:tc>
          <w:tcPr>
            <w:tcW w:w="758" w:type="dxa"/>
            <w:vAlign w:val="center"/>
          </w:tcPr>
          <w:p>
            <w:pPr>
              <w:spacing w:line="276" w:lineRule="auto"/>
              <w:jc w:val="center"/>
              <w:rPr>
                <w:rFonts w:ascii="宋体" w:hAnsi="宋体"/>
                <w:sz w:val="24"/>
              </w:rPr>
            </w:pPr>
            <w:r>
              <w:rPr>
                <w:rFonts w:hint="eastAsia" w:ascii="宋体" w:hAnsi="宋体"/>
                <w:sz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75" w:type="dxa"/>
            <w:vAlign w:val="center"/>
          </w:tcPr>
          <w:p>
            <w:pPr>
              <w:spacing w:line="276" w:lineRule="auto"/>
              <w:jc w:val="center"/>
              <w:rPr>
                <w:rFonts w:ascii="宋体" w:hAnsi="宋体"/>
                <w:sz w:val="24"/>
              </w:rPr>
            </w:pPr>
            <w:r>
              <w:rPr>
                <w:rFonts w:hint="eastAsia" w:ascii="宋体" w:hAnsi="宋体"/>
                <w:sz w:val="24"/>
              </w:rPr>
              <w:t>3</w:t>
            </w:r>
          </w:p>
        </w:tc>
        <w:tc>
          <w:tcPr>
            <w:tcW w:w="1792" w:type="dxa"/>
            <w:vAlign w:val="center"/>
          </w:tcPr>
          <w:p>
            <w:pPr>
              <w:spacing w:before="60" w:beforeLines="25" w:after="60" w:afterLines="25"/>
              <w:rPr>
                <w:rFonts w:ascii="宋体" w:hAnsi="宋体"/>
                <w:sz w:val="24"/>
              </w:rPr>
            </w:pPr>
            <w:r>
              <w:rPr>
                <w:rFonts w:hint="eastAsia" w:ascii="宋体" w:hAnsi="宋体" w:cs="宋体"/>
                <w:sz w:val="24"/>
              </w:rPr>
              <w:t>拟入项目的人员配备</w:t>
            </w:r>
            <w:r>
              <w:rPr>
                <w:rFonts w:ascii="宋体" w:hAnsi="宋体" w:cs="宋体"/>
                <w:sz w:val="24"/>
              </w:rPr>
              <w:t>和专业技术力量</w:t>
            </w:r>
          </w:p>
        </w:tc>
        <w:tc>
          <w:tcPr>
            <w:tcW w:w="6008" w:type="dxa"/>
            <w:vAlign w:val="center"/>
          </w:tcPr>
          <w:p>
            <w:pPr>
              <w:spacing w:before="60" w:beforeLines="25" w:after="60" w:afterLines="25"/>
              <w:rPr>
                <w:rFonts w:ascii="宋体" w:hAnsi="宋体"/>
                <w:sz w:val="24"/>
              </w:rPr>
            </w:pPr>
            <w:r>
              <w:rPr>
                <w:rFonts w:ascii="宋体" w:hAnsi="宋体" w:cs="宋体"/>
                <w:sz w:val="24"/>
              </w:rPr>
              <w:t>较强，能满足施工需要得</w:t>
            </w:r>
            <w:r>
              <w:rPr>
                <w:rFonts w:hint="eastAsia" w:ascii="宋体" w:hAnsi="宋体" w:cs="宋体"/>
                <w:sz w:val="24"/>
                <w:lang w:val="en-US" w:eastAsia="zh-CN"/>
              </w:rPr>
              <w:t>3</w:t>
            </w:r>
            <w:r>
              <w:rPr>
                <w:rFonts w:ascii="宋体" w:hAnsi="宋体" w:cs="宋体"/>
                <w:sz w:val="24"/>
              </w:rPr>
              <w:t>分</w:t>
            </w:r>
            <w:r>
              <w:rPr>
                <w:rFonts w:hint="eastAsia" w:ascii="宋体" w:hAnsi="宋体" w:cs="宋体"/>
                <w:sz w:val="24"/>
              </w:rPr>
              <w:t>，</w:t>
            </w:r>
            <w:r>
              <w:rPr>
                <w:rFonts w:ascii="宋体" w:hAnsi="宋体" w:cs="宋体"/>
                <w:sz w:val="24"/>
              </w:rPr>
              <w:t>一般，基本满足施工需要得</w:t>
            </w:r>
            <w:r>
              <w:rPr>
                <w:rFonts w:hint="eastAsia" w:ascii="宋体" w:hAnsi="宋体" w:cs="宋体"/>
                <w:sz w:val="24"/>
                <w:lang w:val="en-US" w:eastAsia="zh-CN"/>
              </w:rPr>
              <w:t>1</w:t>
            </w:r>
            <w:r>
              <w:rPr>
                <w:rFonts w:ascii="宋体" w:hAnsi="宋体" w:cs="宋体"/>
                <w:sz w:val="24"/>
              </w:rPr>
              <w:t>分</w:t>
            </w:r>
            <w:r>
              <w:rPr>
                <w:rFonts w:hint="eastAsia" w:ascii="宋体" w:hAnsi="宋体" w:cs="宋体"/>
                <w:sz w:val="24"/>
              </w:rPr>
              <w:t>，不满足施工需要得0分</w:t>
            </w:r>
          </w:p>
        </w:tc>
        <w:tc>
          <w:tcPr>
            <w:tcW w:w="758" w:type="dxa"/>
            <w:vAlign w:val="center"/>
          </w:tcPr>
          <w:p>
            <w:pPr>
              <w:spacing w:line="276" w:lineRule="auto"/>
              <w:jc w:val="center"/>
              <w:rPr>
                <w:rFonts w:hint="eastAsia" w:ascii="宋体" w:hAnsi="宋体" w:eastAsia="宋体"/>
                <w:sz w:val="24"/>
                <w:lang w:eastAsia="zh-CN"/>
              </w:rPr>
            </w:pPr>
            <w:r>
              <w:rPr>
                <w:rFonts w:hint="eastAsia" w:ascii="宋体" w:hAnsi="宋体"/>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75" w:type="dxa"/>
            <w:vAlign w:val="center"/>
          </w:tcPr>
          <w:p>
            <w:pPr>
              <w:spacing w:line="276" w:lineRule="auto"/>
              <w:jc w:val="center"/>
              <w:rPr>
                <w:rFonts w:ascii="宋体" w:hAnsi="宋体"/>
                <w:sz w:val="24"/>
              </w:rPr>
            </w:pPr>
            <w:r>
              <w:rPr>
                <w:rFonts w:hint="eastAsia" w:ascii="宋体" w:hAnsi="宋体"/>
                <w:sz w:val="24"/>
              </w:rPr>
              <w:t>4</w:t>
            </w:r>
          </w:p>
        </w:tc>
        <w:tc>
          <w:tcPr>
            <w:tcW w:w="1792" w:type="dxa"/>
            <w:vAlign w:val="center"/>
          </w:tcPr>
          <w:p>
            <w:pPr>
              <w:spacing w:before="60" w:beforeLines="25" w:after="60" w:afterLines="25"/>
              <w:rPr>
                <w:rFonts w:ascii="宋体" w:hAnsi="宋体"/>
                <w:sz w:val="24"/>
              </w:rPr>
            </w:pPr>
            <w:r>
              <w:rPr>
                <w:rFonts w:hint="eastAsia"/>
                <w:bCs/>
                <w:sz w:val="24"/>
              </w:rPr>
              <w:t>近三年企业同类项目业绩</w:t>
            </w:r>
          </w:p>
        </w:tc>
        <w:tc>
          <w:tcPr>
            <w:tcW w:w="6008" w:type="dxa"/>
            <w:vAlign w:val="center"/>
          </w:tcPr>
          <w:p>
            <w:pPr>
              <w:spacing w:before="60" w:beforeLines="25" w:after="60" w:afterLines="25"/>
              <w:rPr>
                <w:bCs/>
                <w:sz w:val="24"/>
              </w:rPr>
            </w:pPr>
            <w:r>
              <w:rPr>
                <w:rFonts w:hint="eastAsia"/>
                <w:bCs/>
                <w:sz w:val="24"/>
              </w:rPr>
              <w:t>（20</w:t>
            </w:r>
            <w:r>
              <w:rPr>
                <w:rFonts w:hint="eastAsia"/>
                <w:bCs/>
                <w:sz w:val="24"/>
                <w:lang w:val="en-US" w:eastAsia="zh-CN"/>
              </w:rPr>
              <w:t>21</w:t>
            </w:r>
            <w:r>
              <w:rPr>
                <w:rFonts w:hint="eastAsia"/>
                <w:bCs/>
                <w:sz w:val="24"/>
              </w:rPr>
              <w:t>年1月1日起至</w:t>
            </w:r>
            <w:r>
              <w:rPr>
                <w:rFonts w:hint="eastAsia"/>
                <w:bCs/>
                <w:sz w:val="24"/>
                <w:lang w:val="en-US" w:eastAsia="zh-CN"/>
              </w:rPr>
              <w:t>2023年12月31日</w:t>
            </w:r>
            <w:r>
              <w:rPr>
                <w:rFonts w:hint="eastAsia"/>
                <w:bCs/>
                <w:sz w:val="24"/>
              </w:rPr>
              <w:t>）每提供1个</w:t>
            </w:r>
            <w:r>
              <w:rPr>
                <w:rFonts w:hint="eastAsia"/>
                <w:bCs/>
                <w:sz w:val="24"/>
                <w:lang w:eastAsia="zh-CN"/>
              </w:rPr>
              <w:t>类似</w:t>
            </w:r>
            <w:r>
              <w:rPr>
                <w:rFonts w:hint="eastAsia"/>
                <w:bCs/>
                <w:sz w:val="24"/>
              </w:rPr>
              <w:t>业绩得3分，最多得9分</w:t>
            </w:r>
          </w:p>
          <w:p>
            <w:pPr>
              <w:spacing w:before="60" w:beforeLines="25" w:after="60" w:afterLines="25"/>
              <w:rPr>
                <w:rFonts w:ascii="宋体" w:hAnsi="宋体"/>
                <w:sz w:val="24"/>
              </w:rPr>
            </w:pPr>
            <w:r>
              <w:rPr>
                <w:rFonts w:ascii="宋体" w:hAnsi="宋体" w:cs="宋体"/>
                <w:sz w:val="24"/>
              </w:rPr>
              <w:t>需提供</w:t>
            </w:r>
            <w:r>
              <w:rPr>
                <w:rFonts w:hint="eastAsia" w:ascii="宋体" w:hAnsi="宋体"/>
                <w:sz w:val="24"/>
              </w:rPr>
              <w:t>中标通知书或合同协议书（提供合同关键页）复印件</w:t>
            </w:r>
          </w:p>
        </w:tc>
        <w:tc>
          <w:tcPr>
            <w:tcW w:w="758" w:type="dxa"/>
            <w:vAlign w:val="center"/>
          </w:tcPr>
          <w:p>
            <w:pPr>
              <w:spacing w:line="276" w:lineRule="auto"/>
              <w:jc w:val="center"/>
              <w:rPr>
                <w:rFonts w:ascii="宋体" w:hAnsi="宋体"/>
                <w:sz w:val="24"/>
              </w:rPr>
            </w:pPr>
            <w:r>
              <w:rPr>
                <w:rFonts w:hint="eastAsia" w:ascii="宋体" w:hAnsi="宋体"/>
                <w:sz w:val="24"/>
              </w:rPr>
              <w:t>9</w:t>
            </w:r>
          </w:p>
        </w:tc>
      </w:tr>
    </w:tbl>
    <w:p>
      <w:pPr>
        <w:spacing w:line="560" w:lineRule="exact"/>
        <w:rPr>
          <w:rFonts w:hint="eastAsia" w:ascii="方正仿宋_GB18030" w:hAnsi="方正仿宋_GB18030" w:eastAsia="方正仿宋_GB18030" w:cs="方正仿宋_GB18030"/>
          <w:sz w:val="28"/>
          <w:szCs w:val="28"/>
        </w:rPr>
      </w:pPr>
    </w:p>
    <w:p>
      <w:pPr>
        <w:spacing w:line="560" w:lineRule="exact"/>
        <w:rPr>
          <w:rFonts w:hint="eastAsia" w:ascii="方正仿宋_GB18030" w:hAnsi="方正仿宋_GB18030" w:eastAsia="方正仿宋_GB18030" w:cs="方正仿宋_GB18030"/>
          <w:sz w:val="28"/>
          <w:szCs w:val="28"/>
        </w:rPr>
      </w:pPr>
      <w:r>
        <w:rPr>
          <w:rFonts w:hint="eastAsia" w:ascii="方正仿宋_GB18030" w:hAnsi="方正仿宋_GB18030" w:eastAsia="方正仿宋_GB18030" w:cs="方正仿宋_GB18030"/>
          <w:sz w:val="28"/>
          <w:szCs w:val="28"/>
        </w:rPr>
        <w:t>2.2技术部分</w:t>
      </w:r>
    </w:p>
    <w:tbl>
      <w:tblPr>
        <w:tblStyle w:val="23"/>
        <w:tblpPr w:leftFromText="180" w:rightFromText="180" w:vertAnchor="text" w:tblpXSpec="center" w:tblpY="1"/>
        <w:tblOverlap w:val="never"/>
        <w:tblW w:w="9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899"/>
        <w:gridCol w:w="4572"/>
        <w:gridCol w:w="1404"/>
        <w:gridCol w:w="1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exact"/>
          <w:jc w:val="center"/>
        </w:trPr>
        <w:tc>
          <w:tcPr>
            <w:tcW w:w="9654" w:type="dxa"/>
            <w:gridSpan w:val="5"/>
            <w:vAlign w:val="center"/>
          </w:tcPr>
          <w:p>
            <w:pPr>
              <w:spacing w:line="276" w:lineRule="auto"/>
              <w:jc w:val="center"/>
              <w:rPr>
                <w:rFonts w:ascii="宋体" w:hAnsi="宋体" w:cs="宋体"/>
                <w:b/>
                <w:sz w:val="24"/>
                <w:highlight w:val="yellow"/>
              </w:rPr>
            </w:pPr>
            <w:r>
              <w:rPr>
                <w:rFonts w:hint="eastAsia" w:ascii="宋体" w:hAnsi="宋体" w:cs="宋体"/>
                <w:b/>
                <w:sz w:val="24"/>
              </w:rPr>
              <w:t>技术部分（4</w:t>
            </w:r>
            <w:r>
              <w:rPr>
                <w:rFonts w:hint="eastAsia" w:ascii="宋体" w:hAnsi="宋体" w:cs="宋体"/>
                <w:b/>
                <w:sz w:val="24"/>
                <w:lang w:val="en-US" w:eastAsia="zh-CN"/>
              </w:rPr>
              <w:t>8</w:t>
            </w:r>
            <w:r>
              <w:rPr>
                <w:rFonts w:hint="eastAsia" w:ascii="宋体" w:hAnsi="宋体" w:cs="宋体"/>
                <w:b/>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5" w:type="dxa"/>
            <w:vAlign w:val="center"/>
          </w:tcPr>
          <w:p>
            <w:pPr>
              <w:spacing w:line="276" w:lineRule="auto"/>
              <w:jc w:val="center"/>
              <w:rPr>
                <w:rFonts w:ascii="宋体" w:hAnsi="宋体"/>
                <w:sz w:val="24"/>
              </w:rPr>
            </w:pPr>
            <w:r>
              <w:rPr>
                <w:rFonts w:hint="eastAsia" w:ascii="宋体" w:hAnsi="宋体"/>
                <w:sz w:val="24"/>
              </w:rPr>
              <w:t>序号</w:t>
            </w:r>
          </w:p>
        </w:tc>
        <w:tc>
          <w:tcPr>
            <w:tcW w:w="1899" w:type="dxa"/>
            <w:vAlign w:val="center"/>
          </w:tcPr>
          <w:p>
            <w:pPr>
              <w:spacing w:line="276" w:lineRule="auto"/>
              <w:jc w:val="center"/>
              <w:rPr>
                <w:rFonts w:ascii="宋体" w:hAnsi="宋体"/>
                <w:sz w:val="24"/>
              </w:rPr>
            </w:pPr>
            <w:r>
              <w:rPr>
                <w:rFonts w:hint="eastAsia" w:ascii="宋体" w:hAnsi="宋体"/>
                <w:sz w:val="24"/>
              </w:rPr>
              <w:t>指标项</w:t>
            </w:r>
          </w:p>
        </w:tc>
        <w:tc>
          <w:tcPr>
            <w:tcW w:w="5976" w:type="dxa"/>
            <w:gridSpan w:val="2"/>
            <w:vAlign w:val="center"/>
          </w:tcPr>
          <w:p>
            <w:pPr>
              <w:spacing w:line="276" w:lineRule="auto"/>
              <w:jc w:val="center"/>
              <w:rPr>
                <w:rFonts w:ascii="宋体" w:hAnsi="宋体"/>
                <w:sz w:val="24"/>
              </w:rPr>
            </w:pPr>
            <w:r>
              <w:rPr>
                <w:rFonts w:hint="eastAsia" w:ascii="宋体" w:hAnsi="宋体"/>
                <w:sz w:val="24"/>
              </w:rPr>
              <w:t>评分标准</w:t>
            </w:r>
          </w:p>
        </w:tc>
        <w:tc>
          <w:tcPr>
            <w:tcW w:w="1104" w:type="dxa"/>
            <w:vAlign w:val="center"/>
          </w:tcPr>
          <w:p>
            <w:pPr>
              <w:spacing w:line="276" w:lineRule="auto"/>
              <w:jc w:val="center"/>
              <w:rPr>
                <w:rFonts w:ascii="宋体" w:hAnsi="宋体"/>
                <w:sz w:val="24"/>
              </w:rPr>
            </w:pPr>
            <w:r>
              <w:rPr>
                <w:rFonts w:hint="eastAsia" w:ascii="宋体" w:hAnsi="宋体"/>
                <w:sz w:val="24"/>
              </w:rPr>
              <w:t>指标分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675" w:type="dxa"/>
            <w:vMerge w:val="restart"/>
            <w:vAlign w:val="center"/>
          </w:tcPr>
          <w:p>
            <w:pPr>
              <w:spacing w:line="276" w:lineRule="auto"/>
              <w:jc w:val="center"/>
              <w:rPr>
                <w:rFonts w:ascii="宋体" w:hAnsi="宋体"/>
                <w:sz w:val="24"/>
              </w:rPr>
            </w:pPr>
            <w:r>
              <w:rPr>
                <w:rFonts w:hint="eastAsia" w:ascii="宋体" w:hAnsi="宋体"/>
                <w:sz w:val="24"/>
              </w:rPr>
              <w:t>1</w:t>
            </w:r>
          </w:p>
        </w:tc>
        <w:tc>
          <w:tcPr>
            <w:tcW w:w="1899" w:type="dxa"/>
            <w:vMerge w:val="restart"/>
            <w:vAlign w:val="center"/>
          </w:tcPr>
          <w:p>
            <w:pPr>
              <w:spacing w:before="60" w:beforeLines="25" w:after="60" w:afterLines="25"/>
              <w:rPr>
                <w:rFonts w:ascii="宋体" w:hAnsi="宋体"/>
                <w:sz w:val="24"/>
              </w:rPr>
            </w:pPr>
            <w:r>
              <w:rPr>
                <w:rFonts w:hint="eastAsia" w:ascii="宋体" w:hAnsi="宋体"/>
                <w:sz w:val="24"/>
              </w:rPr>
              <w:t>施工方案与技术措施</w:t>
            </w:r>
          </w:p>
        </w:tc>
        <w:tc>
          <w:tcPr>
            <w:tcW w:w="4572" w:type="dxa"/>
            <w:vAlign w:val="center"/>
          </w:tcPr>
          <w:p>
            <w:pPr>
              <w:spacing w:before="60" w:beforeLines="25" w:after="60" w:afterLines="25"/>
              <w:jc w:val="left"/>
              <w:rPr>
                <w:rFonts w:ascii="宋体" w:hAnsi="宋体"/>
                <w:sz w:val="24"/>
              </w:rPr>
            </w:pPr>
            <w:r>
              <w:rPr>
                <w:rFonts w:hint="eastAsia" w:ascii="宋体" w:hAnsi="宋体"/>
                <w:sz w:val="24"/>
              </w:rPr>
              <w:t>科学、可行、针对性强</w:t>
            </w:r>
          </w:p>
        </w:tc>
        <w:tc>
          <w:tcPr>
            <w:tcW w:w="1404" w:type="dxa"/>
            <w:vAlign w:val="center"/>
          </w:tcPr>
          <w:p>
            <w:pPr>
              <w:jc w:val="center"/>
              <w:rPr>
                <w:rFonts w:ascii="宋体" w:hAnsi="宋体"/>
                <w:sz w:val="24"/>
              </w:rPr>
            </w:pPr>
            <w:r>
              <w:rPr>
                <w:rFonts w:hint="eastAsia"/>
                <w:sz w:val="24"/>
              </w:rPr>
              <w:t>15分</w:t>
            </w:r>
          </w:p>
        </w:tc>
        <w:tc>
          <w:tcPr>
            <w:tcW w:w="1104" w:type="dxa"/>
            <w:vMerge w:val="restart"/>
            <w:vAlign w:val="center"/>
          </w:tcPr>
          <w:p>
            <w:pPr>
              <w:spacing w:line="276" w:lineRule="auto"/>
              <w:jc w:val="center"/>
              <w:rPr>
                <w:rFonts w:ascii="宋体" w:hAnsi="宋体"/>
                <w:sz w:val="24"/>
              </w:rPr>
            </w:pPr>
            <w:r>
              <w:rPr>
                <w:rFonts w:hint="eastAsia" w:ascii="宋体" w:hAnsi="宋体"/>
                <w:sz w:val="24"/>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75" w:type="dxa"/>
            <w:vMerge w:val="continue"/>
            <w:vAlign w:val="center"/>
          </w:tcPr>
          <w:p>
            <w:pPr>
              <w:spacing w:line="276" w:lineRule="auto"/>
              <w:jc w:val="center"/>
              <w:rPr>
                <w:sz w:val="24"/>
              </w:rPr>
            </w:pPr>
          </w:p>
        </w:tc>
        <w:tc>
          <w:tcPr>
            <w:tcW w:w="1899" w:type="dxa"/>
            <w:vMerge w:val="continue"/>
            <w:vAlign w:val="center"/>
          </w:tcPr>
          <w:p>
            <w:pPr>
              <w:spacing w:line="276" w:lineRule="auto"/>
              <w:jc w:val="center"/>
              <w:rPr>
                <w:sz w:val="24"/>
              </w:rPr>
            </w:pPr>
          </w:p>
        </w:tc>
        <w:tc>
          <w:tcPr>
            <w:tcW w:w="4572" w:type="dxa"/>
            <w:vAlign w:val="center"/>
          </w:tcPr>
          <w:p>
            <w:pPr>
              <w:spacing w:before="60" w:beforeLines="25" w:after="60" w:afterLines="25"/>
              <w:jc w:val="left"/>
              <w:rPr>
                <w:rFonts w:ascii="宋体" w:hAnsi="宋体"/>
                <w:sz w:val="24"/>
              </w:rPr>
            </w:pPr>
            <w:r>
              <w:rPr>
                <w:rFonts w:hint="eastAsia" w:ascii="宋体" w:hAnsi="宋体"/>
                <w:sz w:val="24"/>
              </w:rPr>
              <w:t>合理、可行、细节待完善</w:t>
            </w:r>
          </w:p>
        </w:tc>
        <w:tc>
          <w:tcPr>
            <w:tcW w:w="1404" w:type="dxa"/>
            <w:vAlign w:val="center"/>
          </w:tcPr>
          <w:p>
            <w:pPr>
              <w:jc w:val="center"/>
              <w:rPr>
                <w:rFonts w:ascii="宋体" w:hAnsi="宋体"/>
                <w:sz w:val="24"/>
              </w:rPr>
            </w:pPr>
            <w:r>
              <w:rPr>
                <w:rFonts w:hint="eastAsia"/>
                <w:sz w:val="24"/>
              </w:rPr>
              <w:t>10分</w:t>
            </w:r>
          </w:p>
        </w:tc>
        <w:tc>
          <w:tcPr>
            <w:tcW w:w="1104" w:type="dxa"/>
            <w:vMerge w:val="continue"/>
            <w:vAlign w:val="center"/>
          </w:tcPr>
          <w:p>
            <w:pPr>
              <w:spacing w:line="276"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675" w:type="dxa"/>
            <w:vMerge w:val="continue"/>
            <w:vAlign w:val="center"/>
          </w:tcPr>
          <w:p>
            <w:pPr>
              <w:spacing w:line="276" w:lineRule="auto"/>
              <w:jc w:val="center"/>
              <w:rPr>
                <w:rFonts w:ascii="宋体" w:hAnsi="宋体"/>
                <w:sz w:val="24"/>
              </w:rPr>
            </w:pPr>
          </w:p>
        </w:tc>
        <w:tc>
          <w:tcPr>
            <w:tcW w:w="1899" w:type="dxa"/>
            <w:vMerge w:val="continue"/>
            <w:vAlign w:val="center"/>
          </w:tcPr>
          <w:p>
            <w:pPr>
              <w:spacing w:line="276" w:lineRule="auto"/>
              <w:jc w:val="center"/>
              <w:rPr>
                <w:rFonts w:ascii="宋体" w:hAnsi="宋体"/>
                <w:sz w:val="24"/>
              </w:rPr>
            </w:pPr>
          </w:p>
        </w:tc>
        <w:tc>
          <w:tcPr>
            <w:tcW w:w="4572" w:type="dxa"/>
            <w:vAlign w:val="center"/>
          </w:tcPr>
          <w:p>
            <w:pPr>
              <w:spacing w:before="60" w:beforeLines="25" w:after="60" w:afterLines="25"/>
              <w:jc w:val="left"/>
              <w:rPr>
                <w:rFonts w:ascii="宋体" w:hAnsi="宋体"/>
                <w:sz w:val="24"/>
              </w:rPr>
            </w:pPr>
            <w:r>
              <w:rPr>
                <w:rFonts w:hint="eastAsia" w:ascii="宋体" w:hAnsi="宋体"/>
                <w:sz w:val="24"/>
              </w:rPr>
              <w:t>欠合理，可行性较差，基本满足工程需要</w:t>
            </w:r>
          </w:p>
        </w:tc>
        <w:tc>
          <w:tcPr>
            <w:tcW w:w="1404" w:type="dxa"/>
            <w:vAlign w:val="center"/>
          </w:tcPr>
          <w:p>
            <w:pPr>
              <w:jc w:val="center"/>
              <w:rPr>
                <w:rFonts w:ascii="宋体" w:hAnsi="宋体"/>
                <w:sz w:val="24"/>
              </w:rPr>
            </w:pPr>
            <w:r>
              <w:rPr>
                <w:rFonts w:hint="eastAsia"/>
                <w:sz w:val="24"/>
              </w:rPr>
              <w:t>5分</w:t>
            </w:r>
          </w:p>
        </w:tc>
        <w:tc>
          <w:tcPr>
            <w:tcW w:w="1104" w:type="dxa"/>
            <w:vMerge w:val="continue"/>
            <w:vAlign w:val="center"/>
          </w:tcPr>
          <w:p>
            <w:pPr>
              <w:spacing w:line="276"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75" w:type="dxa"/>
            <w:vMerge w:val="restart"/>
            <w:vAlign w:val="center"/>
          </w:tcPr>
          <w:p>
            <w:pPr>
              <w:spacing w:line="276" w:lineRule="auto"/>
              <w:jc w:val="center"/>
              <w:rPr>
                <w:rFonts w:ascii="宋体" w:hAnsi="宋体"/>
                <w:sz w:val="24"/>
              </w:rPr>
            </w:pPr>
            <w:r>
              <w:rPr>
                <w:rFonts w:hint="eastAsia" w:ascii="宋体" w:hAnsi="宋体"/>
                <w:sz w:val="24"/>
              </w:rPr>
              <w:t>2</w:t>
            </w:r>
          </w:p>
        </w:tc>
        <w:tc>
          <w:tcPr>
            <w:tcW w:w="1899" w:type="dxa"/>
            <w:vMerge w:val="restart"/>
            <w:vAlign w:val="center"/>
          </w:tcPr>
          <w:p>
            <w:pPr>
              <w:spacing w:before="60" w:beforeLines="25" w:after="60" w:afterLines="25"/>
              <w:rPr>
                <w:rFonts w:ascii="宋体" w:hAnsi="宋体"/>
                <w:sz w:val="24"/>
              </w:rPr>
            </w:pPr>
            <w:r>
              <w:rPr>
                <w:rFonts w:hint="eastAsia" w:ascii="宋体" w:hAnsi="宋体"/>
                <w:sz w:val="24"/>
              </w:rPr>
              <w:t>质量管理体系与保证措施</w:t>
            </w:r>
          </w:p>
        </w:tc>
        <w:tc>
          <w:tcPr>
            <w:tcW w:w="4572" w:type="dxa"/>
            <w:vAlign w:val="center"/>
          </w:tcPr>
          <w:p>
            <w:pPr>
              <w:spacing w:before="60" w:beforeLines="25" w:after="60" w:afterLines="25"/>
              <w:jc w:val="left"/>
              <w:rPr>
                <w:rFonts w:ascii="宋体" w:hAnsi="宋体"/>
                <w:sz w:val="24"/>
              </w:rPr>
            </w:pPr>
            <w:r>
              <w:rPr>
                <w:rFonts w:hint="eastAsia" w:ascii="宋体" w:hAnsi="宋体"/>
                <w:sz w:val="24"/>
              </w:rPr>
              <w:t>科学、可行、针对性强</w:t>
            </w:r>
          </w:p>
        </w:tc>
        <w:tc>
          <w:tcPr>
            <w:tcW w:w="1404" w:type="dxa"/>
            <w:vAlign w:val="center"/>
          </w:tcPr>
          <w:p>
            <w:pPr>
              <w:jc w:val="center"/>
              <w:rPr>
                <w:rFonts w:ascii="宋体" w:hAnsi="宋体"/>
                <w:sz w:val="24"/>
              </w:rPr>
            </w:pPr>
            <w:r>
              <w:rPr>
                <w:rFonts w:hint="eastAsia"/>
                <w:sz w:val="24"/>
              </w:rPr>
              <w:t>15分</w:t>
            </w:r>
          </w:p>
        </w:tc>
        <w:tc>
          <w:tcPr>
            <w:tcW w:w="1104" w:type="dxa"/>
            <w:vMerge w:val="restart"/>
            <w:vAlign w:val="center"/>
          </w:tcPr>
          <w:p>
            <w:pPr>
              <w:spacing w:line="276" w:lineRule="auto"/>
              <w:jc w:val="center"/>
              <w:rPr>
                <w:rFonts w:ascii="宋体" w:hAnsi="宋体"/>
                <w:sz w:val="24"/>
              </w:rPr>
            </w:pPr>
            <w:r>
              <w:rPr>
                <w:rFonts w:hint="eastAsia" w:ascii="宋体" w:hAnsi="宋体"/>
                <w:sz w:val="24"/>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675" w:type="dxa"/>
            <w:vMerge w:val="continue"/>
            <w:vAlign w:val="center"/>
          </w:tcPr>
          <w:p>
            <w:pPr>
              <w:spacing w:line="276" w:lineRule="auto"/>
              <w:jc w:val="center"/>
              <w:rPr>
                <w:sz w:val="24"/>
              </w:rPr>
            </w:pPr>
          </w:p>
        </w:tc>
        <w:tc>
          <w:tcPr>
            <w:tcW w:w="1899" w:type="dxa"/>
            <w:vMerge w:val="continue"/>
            <w:vAlign w:val="center"/>
          </w:tcPr>
          <w:p>
            <w:pPr>
              <w:spacing w:line="276" w:lineRule="auto"/>
              <w:jc w:val="center"/>
              <w:rPr>
                <w:sz w:val="24"/>
              </w:rPr>
            </w:pPr>
          </w:p>
        </w:tc>
        <w:tc>
          <w:tcPr>
            <w:tcW w:w="4572" w:type="dxa"/>
            <w:vAlign w:val="center"/>
          </w:tcPr>
          <w:p>
            <w:pPr>
              <w:spacing w:before="60" w:beforeLines="25" w:after="60" w:afterLines="25"/>
              <w:jc w:val="left"/>
              <w:rPr>
                <w:rFonts w:ascii="宋体" w:hAnsi="宋体"/>
                <w:sz w:val="24"/>
              </w:rPr>
            </w:pPr>
            <w:r>
              <w:rPr>
                <w:rFonts w:hint="eastAsia" w:ascii="宋体" w:hAnsi="宋体"/>
                <w:sz w:val="24"/>
              </w:rPr>
              <w:t>合理、可行、细节待完善</w:t>
            </w:r>
          </w:p>
        </w:tc>
        <w:tc>
          <w:tcPr>
            <w:tcW w:w="1404" w:type="dxa"/>
            <w:vAlign w:val="center"/>
          </w:tcPr>
          <w:p>
            <w:pPr>
              <w:jc w:val="center"/>
              <w:rPr>
                <w:rFonts w:ascii="宋体" w:hAnsi="宋体"/>
                <w:sz w:val="24"/>
              </w:rPr>
            </w:pPr>
            <w:r>
              <w:rPr>
                <w:rFonts w:hint="eastAsia"/>
                <w:sz w:val="24"/>
              </w:rPr>
              <w:t>10分</w:t>
            </w:r>
          </w:p>
        </w:tc>
        <w:tc>
          <w:tcPr>
            <w:tcW w:w="1104" w:type="dxa"/>
            <w:vMerge w:val="continue"/>
            <w:vAlign w:val="center"/>
          </w:tcPr>
          <w:p>
            <w:pPr>
              <w:spacing w:line="276"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75" w:type="dxa"/>
            <w:vMerge w:val="continue"/>
            <w:vAlign w:val="center"/>
          </w:tcPr>
          <w:p>
            <w:pPr>
              <w:spacing w:line="276" w:lineRule="auto"/>
              <w:jc w:val="center"/>
              <w:rPr>
                <w:rFonts w:ascii="宋体" w:hAnsi="宋体"/>
                <w:sz w:val="24"/>
              </w:rPr>
            </w:pPr>
          </w:p>
        </w:tc>
        <w:tc>
          <w:tcPr>
            <w:tcW w:w="1899" w:type="dxa"/>
            <w:vMerge w:val="continue"/>
            <w:vAlign w:val="center"/>
          </w:tcPr>
          <w:p>
            <w:pPr>
              <w:spacing w:line="276" w:lineRule="auto"/>
              <w:jc w:val="center"/>
              <w:rPr>
                <w:rFonts w:ascii="宋体" w:hAnsi="宋体"/>
                <w:sz w:val="24"/>
              </w:rPr>
            </w:pPr>
          </w:p>
        </w:tc>
        <w:tc>
          <w:tcPr>
            <w:tcW w:w="4572" w:type="dxa"/>
            <w:vAlign w:val="center"/>
          </w:tcPr>
          <w:p>
            <w:pPr>
              <w:spacing w:before="60" w:beforeLines="25" w:after="60" w:afterLines="25"/>
              <w:jc w:val="left"/>
              <w:rPr>
                <w:rFonts w:ascii="宋体" w:hAnsi="宋体"/>
                <w:sz w:val="24"/>
              </w:rPr>
            </w:pPr>
            <w:r>
              <w:rPr>
                <w:rFonts w:hint="eastAsia" w:ascii="宋体" w:hAnsi="宋体"/>
                <w:sz w:val="24"/>
              </w:rPr>
              <w:t>欠合理，可行性较差，基本满足工程需要</w:t>
            </w:r>
          </w:p>
        </w:tc>
        <w:tc>
          <w:tcPr>
            <w:tcW w:w="1404" w:type="dxa"/>
            <w:vAlign w:val="center"/>
          </w:tcPr>
          <w:p>
            <w:pPr>
              <w:jc w:val="center"/>
              <w:rPr>
                <w:rFonts w:ascii="宋体" w:hAnsi="宋体"/>
                <w:sz w:val="24"/>
              </w:rPr>
            </w:pPr>
            <w:r>
              <w:rPr>
                <w:rFonts w:hint="eastAsia"/>
                <w:sz w:val="24"/>
              </w:rPr>
              <w:t>5分</w:t>
            </w:r>
          </w:p>
        </w:tc>
        <w:tc>
          <w:tcPr>
            <w:tcW w:w="1104" w:type="dxa"/>
            <w:vMerge w:val="continue"/>
            <w:vAlign w:val="center"/>
          </w:tcPr>
          <w:p>
            <w:pPr>
              <w:spacing w:line="276"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675" w:type="dxa"/>
            <w:vMerge w:val="restart"/>
            <w:vAlign w:val="center"/>
          </w:tcPr>
          <w:p>
            <w:pPr>
              <w:spacing w:line="276" w:lineRule="auto"/>
              <w:jc w:val="center"/>
              <w:rPr>
                <w:rFonts w:ascii="宋体" w:hAnsi="宋体"/>
                <w:sz w:val="24"/>
              </w:rPr>
            </w:pPr>
            <w:r>
              <w:rPr>
                <w:rFonts w:hint="eastAsia" w:ascii="宋体" w:hAnsi="宋体"/>
                <w:sz w:val="24"/>
              </w:rPr>
              <w:t>3</w:t>
            </w:r>
          </w:p>
        </w:tc>
        <w:tc>
          <w:tcPr>
            <w:tcW w:w="1899" w:type="dxa"/>
            <w:vMerge w:val="restart"/>
            <w:vAlign w:val="center"/>
          </w:tcPr>
          <w:p>
            <w:pPr>
              <w:spacing w:before="60" w:beforeLines="25" w:after="60" w:afterLines="25"/>
              <w:rPr>
                <w:rFonts w:ascii="宋体" w:hAnsi="宋体"/>
                <w:sz w:val="24"/>
              </w:rPr>
            </w:pPr>
            <w:r>
              <w:rPr>
                <w:rFonts w:hint="eastAsia" w:ascii="宋体" w:hAnsi="宋体"/>
                <w:sz w:val="24"/>
              </w:rPr>
              <w:t>安全</w:t>
            </w:r>
            <w:r>
              <w:rPr>
                <w:rFonts w:hint="eastAsia" w:ascii="宋体" w:hAnsi="宋体" w:cs="Arial"/>
                <w:iCs/>
                <w:sz w:val="24"/>
              </w:rPr>
              <w:t>和绿色施工保障</w:t>
            </w:r>
            <w:r>
              <w:rPr>
                <w:rFonts w:hint="eastAsia" w:ascii="宋体" w:hAnsi="宋体"/>
                <w:sz w:val="24"/>
              </w:rPr>
              <w:t>措施</w:t>
            </w:r>
          </w:p>
        </w:tc>
        <w:tc>
          <w:tcPr>
            <w:tcW w:w="4572" w:type="dxa"/>
            <w:vAlign w:val="center"/>
          </w:tcPr>
          <w:p>
            <w:pPr>
              <w:spacing w:before="60" w:beforeLines="25" w:after="60" w:afterLines="25"/>
              <w:jc w:val="left"/>
              <w:rPr>
                <w:rFonts w:ascii="宋体" w:hAnsi="宋体"/>
                <w:sz w:val="24"/>
              </w:rPr>
            </w:pPr>
            <w:r>
              <w:rPr>
                <w:rFonts w:hint="eastAsia" w:ascii="宋体" w:hAnsi="宋体"/>
                <w:sz w:val="24"/>
              </w:rPr>
              <w:t>科学、可行、针对性强</w:t>
            </w:r>
          </w:p>
        </w:tc>
        <w:tc>
          <w:tcPr>
            <w:tcW w:w="1404" w:type="dxa"/>
            <w:vAlign w:val="center"/>
          </w:tcPr>
          <w:p>
            <w:pPr>
              <w:jc w:val="center"/>
              <w:rPr>
                <w:rFonts w:ascii="宋体" w:hAnsi="宋体"/>
                <w:sz w:val="24"/>
              </w:rPr>
            </w:pPr>
            <w:r>
              <w:rPr>
                <w:rFonts w:hint="eastAsia"/>
                <w:sz w:val="24"/>
              </w:rPr>
              <w:t>10分</w:t>
            </w:r>
          </w:p>
        </w:tc>
        <w:tc>
          <w:tcPr>
            <w:tcW w:w="1104" w:type="dxa"/>
            <w:vMerge w:val="restart"/>
            <w:vAlign w:val="center"/>
          </w:tcPr>
          <w:p>
            <w:pPr>
              <w:spacing w:line="276" w:lineRule="auto"/>
              <w:jc w:val="center"/>
              <w:rPr>
                <w:rFonts w:ascii="宋体" w:hAnsi="宋体"/>
                <w:sz w:val="24"/>
              </w:rPr>
            </w:pPr>
            <w:r>
              <w:rPr>
                <w:rFonts w:hint="eastAsia" w:ascii="宋体" w:hAnsi="宋体"/>
                <w:sz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75" w:type="dxa"/>
            <w:vMerge w:val="continue"/>
            <w:vAlign w:val="center"/>
          </w:tcPr>
          <w:p>
            <w:pPr>
              <w:spacing w:line="276" w:lineRule="auto"/>
              <w:jc w:val="center"/>
              <w:rPr>
                <w:sz w:val="24"/>
              </w:rPr>
            </w:pPr>
          </w:p>
        </w:tc>
        <w:tc>
          <w:tcPr>
            <w:tcW w:w="1899" w:type="dxa"/>
            <w:vMerge w:val="continue"/>
            <w:vAlign w:val="center"/>
          </w:tcPr>
          <w:p>
            <w:pPr>
              <w:spacing w:line="276" w:lineRule="auto"/>
              <w:jc w:val="center"/>
              <w:rPr>
                <w:sz w:val="24"/>
              </w:rPr>
            </w:pPr>
          </w:p>
        </w:tc>
        <w:tc>
          <w:tcPr>
            <w:tcW w:w="4572" w:type="dxa"/>
            <w:vAlign w:val="center"/>
          </w:tcPr>
          <w:p>
            <w:pPr>
              <w:spacing w:before="60" w:beforeLines="25" w:after="60" w:afterLines="25"/>
              <w:jc w:val="left"/>
              <w:rPr>
                <w:rFonts w:ascii="宋体" w:hAnsi="宋体"/>
                <w:sz w:val="24"/>
              </w:rPr>
            </w:pPr>
            <w:r>
              <w:rPr>
                <w:rFonts w:hint="eastAsia" w:ascii="宋体" w:hAnsi="宋体"/>
                <w:sz w:val="24"/>
              </w:rPr>
              <w:t>合理、可行、细节待完善</w:t>
            </w:r>
          </w:p>
        </w:tc>
        <w:tc>
          <w:tcPr>
            <w:tcW w:w="1404" w:type="dxa"/>
            <w:vAlign w:val="center"/>
          </w:tcPr>
          <w:p>
            <w:pPr>
              <w:jc w:val="center"/>
              <w:rPr>
                <w:rFonts w:ascii="宋体" w:hAnsi="宋体"/>
                <w:sz w:val="24"/>
              </w:rPr>
            </w:pPr>
            <w:r>
              <w:rPr>
                <w:rFonts w:hint="eastAsia"/>
                <w:sz w:val="24"/>
              </w:rPr>
              <w:t>6分</w:t>
            </w:r>
          </w:p>
        </w:tc>
        <w:tc>
          <w:tcPr>
            <w:tcW w:w="1104" w:type="dxa"/>
            <w:vMerge w:val="continue"/>
            <w:vAlign w:val="center"/>
          </w:tcPr>
          <w:p>
            <w:pPr>
              <w:spacing w:line="276"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675" w:type="dxa"/>
            <w:vMerge w:val="continue"/>
            <w:vAlign w:val="center"/>
          </w:tcPr>
          <w:p>
            <w:pPr>
              <w:spacing w:line="276" w:lineRule="auto"/>
              <w:jc w:val="center"/>
              <w:rPr>
                <w:rFonts w:ascii="宋体" w:hAnsi="宋体"/>
                <w:sz w:val="24"/>
              </w:rPr>
            </w:pPr>
          </w:p>
        </w:tc>
        <w:tc>
          <w:tcPr>
            <w:tcW w:w="1899" w:type="dxa"/>
            <w:vMerge w:val="continue"/>
            <w:vAlign w:val="center"/>
          </w:tcPr>
          <w:p>
            <w:pPr>
              <w:spacing w:line="276" w:lineRule="auto"/>
              <w:jc w:val="center"/>
              <w:rPr>
                <w:rFonts w:ascii="宋体" w:hAnsi="宋体"/>
                <w:sz w:val="24"/>
              </w:rPr>
            </w:pPr>
          </w:p>
        </w:tc>
        <w:tc>
          <w:tcPr>
            <w:tcW w:w="4572" w:type="dxa"/>
            <w:vAlign w:val="center"/>
          </w:tcPr>
          <w:p>
            <w:pPr>
              <w:spacing w:before="60" w:beforeLines="25" w:after="60" w:afterLines="25"/>
              <w:jc w:val="left"/>
              <w:rPr>
                <w:rFonts w:ascii="宋体" w:hAnsi="宋体"/>
                <w:sz w:val="24"/>
              </w:rPr>
            </w:pPr>
            <w:r>
              <w:rPr>
                <w:rFonts w:hint="eastAsia" w:ascii="宋体" w:hAnsi="宋体"/>
                <w:sz w:val="24"/>
              </w:rPr>
              <w:t>欠合理，可行性较差，基本满足工程需要</w:t>
            </w:r>
          </w:p>
        </w:tc>
        <w:tc>
          <w:tcPr>
            <w:tcW w:w="1404" w:type="dxa"/>
            <w:vAlign w:val="center"/>
          </w:tcPr>
          <w:p>
            <w:pPr>
              <w:jc w:val="center"/>
              <w:rPr>
                <w:rFonts w:ascii="宋体" w:hAnsi="宋体"/>
                <w:sz w:val="24"/>
              </w:rPr>
            </w:pPr>
            <w:r>
              <w:rPr>
                <w:rFonts w:hint="eastAsia"/>
                <w:sz w:val="24"/>
              </w:rPr>
              <w:t>3分</w:t>
            </w:r>
          </w:p>
        </w:tc>
        <w:tc>
          <w:tcPr>
            <w:tcW w:w="1104" w:type="dxa"/>
            <w:vMerge w:val="continue"/>
            <w:vAlign w:val="center"/>
          </w:tcPr>
          <w:p>
            <w:pPr>
              <w:spacing w:line="276"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75" w:type="dxa"/>
            <w:vMerge w:val="restart"/>
            <w:vAlign w:val="center"/>
          </w:tcPr>
          <w:p>
            <w:pPr>
              <w:spacing w:line="276" w:lineRule="auto"/>
              <w:jc w:val="center"/>
              <w:rPr>
                <w:rFonts w:ascii="宋体" w:hAnsi="宋体"/>
                <w:sz w:val="24"/>
              </w:rPr>
            </w:pPr>
            <w:r>
              <w:rPr>
                <w:rFonts w:hint="eastAsia" w:ascii="宋体" w:hAnsi="宋体"/>
                <w:sz w:val="24"/>
              </w:rPr>
              <w:t>4</w:t>
            </w:r>
          </w:p>
        </w:tc>
        <w:tc>
          <w:tcPr>
            <w:tcW w:w="1899" w:type="dxa"/>
            <w:vMerge w:val="restart"/>
            <w:vAlign w:val="center"/>
          </w:tcPr>
          <w:p>
            <w:pPr>
              <w:spacing w:before="60" w:beforeLines="25" w:after="60" w:afterLines="25"/>
              <w:rPr>
                <w:rFonts w:ascii="宋体" w:hAnsi="宋体"/>
                <w:sz w:val="24"/>
              </w:rPr>
            </w:pPr>
            <w:r>
              <w:rPr>
                <w:rFonts w:hint="eastAsia" w:ascii="宋体" w:hAnsi="宋体"/>
                <w:sz w:val="24"/>
              </w:rPr>
              <w:t>工程进度计划与保证措施</w:t>
            </w:r>
          </w:p>
        </w:tc>
        <w:tc>
          <w:tcPr>
            <w:tcW w:w="4572" w:type="dxa"/>
            <w:vAlign w:val="center"/>
          </w:tcPr>
          <w:p>
            <w:pPr>
              <w:spacing w:before="60" w:beforeLines="25" w:after="60" w:afterLines="25"/>
              <w:jc w:val="left"/>
              <w:rPr>
                <w:rFonts w:ascii="宋体" w:hAnsi="宋体"/>
                <w:sz w:val="24"/>
              </w:rPr>
            </w:pPr>
            <w:r>
              <w:rPr>
                <w:rFonts w:hint="eastAsia" w:ascii="宋体" w:hAnsi="宋体"/>
                <w:sz w:val="24"/>
              </w:rPr>
              <w:t>科学、可行、针对性强</w:t>
            </w:r>
          </w:p>
        </w:tc>
        <w:tc>
          <w:tcPr>
            <w:tcW w:w="1404" w:type="dxa"/>
            <w:vAlign w:val="center"/>
          </w:tcPr>
          <w:p>
            <w:pPr>
              <w:jc w:val="center"/>
              <w:rPr>
                <w:rFonts w:ascii="宋体" w:hAnsi="宋体"/>
                <w:sz w:val="24"/>
              </w:rPr>
            </w:pPr>
            <w:r>
              <w:rPr>
                <w:rFonts w:hint="eastAsia"/>
                <w:sz w:val="24"/>
                <w:lang w:val="en-US" w:eastAsia="zh-CN"/>
              </w:rPr>
              <w:t>8</w:t>
            </w:r>
            <w:r>
              <w:rPr>
                <w:rFonts w:hint="eastAsia"/>
                <w:sz w:val="24"/>
              </w:rPr>
              <w:t>分</w:t>
            </w:r>
          </w:p>
        </w:tc>
        <w:tc>
          <w:tcPr>
            <w:tcW w:w="1104" w:type="dxa"/>
            <w:vMerge w:val="restart"/>
            <w:vAlign w:val="center"/>
          </w:tcPr>
          <w:p>
            <w:pPr>
              <w:spacing w:line="276" w:lineRule="auto"/>
              <w:jc w:val="center"/>
              <w:rPr>
                <w:rFonts w:ascii="宋体" w:hAnsi="宋体"/>
                <w:sz w:val="24"/>
              </w:rPr>
            </w:pPr>
            <w:r>
              <w:rPr>
                <w:rFonts w:hint="eastAsia" w:ascii="宋体" w:hAnsi="宋体"/>
                <w:sz w:val="24"/>
                <w:lang w:val="en-US" w:eastAsia="zh-CN"/>
              </w:rPr>
              <w:t>8</w:t>
            </w:r>
            <w:r>
              <w:rPr>
                <w:rFonts w:hint="eastAsia" w:ascii="宋体"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75" w:type="dxa"/>
            <w:vMerge w:val="continue"/>
            <w:vAlign w:val="center"/>
          </w:tcPr>
          <w:p>
            <w:pPr>
              <w:spacing w:line="276" w:lineRule="auto"/>
              <w:jc w:val="center"/>
              <w:rPr>
                <w:sz w:val="24"/>
              </w:rPr>
            </w:pPr>
          </w:p>
        </w:tc>
        <w:tc>
          <w:tcPr>
            <w:tcW w:w="1899" w:type="dxa"/>
            <w:vMerge w:val="continue"/>
            <w:vAlign w:val="center"/>
          </w:tcPr>
          <w:p>
            <w:pPr>
              <w:spacing w:line="276" w:lineRule="auto"/>
              <w:jc w:val="center"/>
              <w:rPr>
                <w:sz w:val="24"/>
              </w:rPr>
            </w:pPr>
          </w:p>
        </w:tc>
        <w:tc>
          <w:tcPr>
            <w:tcW w:w="4572" w:type="dxa"/>
            <w:vAlign w:val="center"/>
          </w:tcPr>
          <w:p>
            <w:pPr>
              <w:spacing w:before="60" w:beforeLines="25" w:after="60" w:afterLines="25"/>
              <w:jc w:val="left"/>
              <w:rPr>
                <w:rFonts w:ascii="宋体" w:hAnsi="宋体"/>
                <w:sz w:val="24"/>
              </w:rPr>
            </w:pPr>
            <w:r>
              <w:rPr>
                <w:rFonts w:hint="eastAsia" w:ascii="宋体" w:hAnsi="宋体"/>
                <w:sz w:val="24"/>
              </w:rPr>
              <w:t>合理、可行、细节待完善</w:t>
            </w:r>
          </w:p>
        </w:tc>
        <w:tc>
          <w:tcPr>
            <w:tcW w:w="1404" w:type="dxa"/>
            <w:vAlign w:val="center"/>
          </w:tcPr>
          <w:p>
            <w:pPr>
              <w:jc w:val="center"/>
              <w:rPr>
                <w:rFonts w:ascii="宋体" w:hAnsi="宋体"/>
                <w:sz w:val="24"/>
              </w:rPr>
            </w:pPr>
            <w:r>
              <w:rPr>
                <w:rFonts w:hint="eastAsia"/>
                <w:sz w:val="24"/>
              </w:rPr>
              <w:t>3分</w:t>
            </w:r>
          </w:p>
        </w:tc>
        <w:tc>
          <w:tcPr>
            <w:tcW w:w="1104" w:type="dxa"/>
            <w:vMerge w:val="continue"/>
            <w:vAlign w:val="center"/>
          </w:tcPr>
          <w:p>
            <w:pPr>
              <w:spacing w:line="276" w:lineRule="auto"/>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675" w:type="dxa"/>
            <w:vMerge w:val="continue"/>
            <w:vAlign w:val="center"/>
          </w:tcPr>
          <w:p>
            <w:pPr>
              <w:spacing w:line="276" w:lineRule="auto"/>
              <w:jc w:val="center"/>
              <w:rPr>
                <w:rFonts w:ascii="宋体" w:hAnsi="宋体"/>
                <w:sz w:val="24"/>
              </w:rPr>
            </w:pPr>
          </w:p>
        </w:tc>
        <w:tc>
          <w:tcPr>
            <w:tcW w:w="1899" w:type="dxa"/>
            <w:vMerge w:val="continue"/>
            <w:vAlign w:val="center"/>
          </w:tcPr>
          <w:p>
            <w:pPr>
              <w:spacing w:line="276" w:lineRule="auto"/>
              <w:jc w:val="center"/>
              <w:rPr>
                <w:rFonts w:ascii="宋体" w:hAnsi="宋体"/>
                <w:sz w:val="24"/>
              </w:rPr>
            </w:pPr>
          </w:p>
        </w:tc>
        <w:tc>
          <w:tcPr>
            <w:tcW w:w="4572" w:type="dxa"/>
            <w:vAlign w:val="center"/>
          </w:tcPr>
          <w:p>
            <w:pPr>
              <w:spacing w:before="60" w:beforeLines="25" w:after="60" w:afterLines="25"/>
              <w:jc w:val="left"/>
              <w:rPr>
                <w:rFonts w:ascii="宋体" w:hAnsi="宋体"/>
                <w:sz w:val="24"/>
              </w:rPr>
            </w:pPr>
            <w:r>
              <w:rPr>
                <w:rFonts w:hint="eastAsia" w:ascii="宋体" w:hAnsi="宋体"/>
                <w:sz w:val="24"/>
              </w:rPr>
              <w:t>欠合理，可行性较差，基本满足工程需要</w:t>
            </w:r>
          </w:p>
        </w:tc>
        <w:tc>
          <w:tcPr>
            <w:tcW w:w="1404" w:type="dxa"/>
            <w:vAlign w:val="center"/>
          </w:tcPr>
          <w:p>
            <w:pPr>
              <w:jc w:val="center"/>
              <w:rPr>
                <w:rFonts w:ascii="宋体" w:hAnsi="宋体"/>
                <w:sz w:val="24"/>
              </w:rPr>
            </w:pPr>
            <w:r>
              <w:rPr>
                <w:rFonts w:hint="eastAsia"/>
                <w:sz w:val="24"/>
              </w:rPr>
              <w:t>1分</w:t>
            </w:r>
          </w:p>
        </w:tc>
        <w:tc>
          <w:tcPr>
            <w:tcW w:w="1104" w:type="dxa"/>
            <w:vMerge w:val="continue"/>
            <w:vAlign w:val="center"/>
          </w:tcPr>
          <w:p>
            <w:pPr>
              <w:spacing w:line="276" w:lineRule="auto"/>
              <w:jc w:val="center"/>
              <w:rPr>
                <w:rFonts w:ascii="宋体" w:hAnsi="宋体"/>
                <w:sz w:val="24"/>
              </w:rPr>
            </w:pPr>
          </w:p>
        </w:tc>
      </w:tr>
    </w:tbl>
    <w:p>
      <w:pPr>
        <w:rPr>
          <w:rFonts w:asciiTheme="minorEastAsia" w:hAnsiTheme="minorEastAsia" w:eastAsiaTheme="minorEastAsia"/>
        </w:rPr>
      </w:pPr>
    </w:p>
    <w:p>
      <w:pPr>
        <w:spacing w:line="560" w:lineRule="exact"/>
        <w:rPr>
          <w:rFonts w:hint="eastAsia" w:ascii="宋体" w:hAnsi="宋体" w:cs="方正仿宋_GB18030"/>
          <w:b/>
          <w:sz w:val="24"/>
        </w:rPr>
      </w:pPr>
      <w:r>
        <w:rPr>
          <w:rFonts w:hint="eastAsia" w:ascii="宋体" w:hAnsi="宋体" w:cs="方正仿宋_GB18030"/>
          <w:b/>
          <w:sz w:val="24"/>
        </w:rPr>
        <w:t>注：</w:t>
      </w:r>
    </w:p>
    <w:p>
      <w:pPr>
        <w:spacing w:line="560" w:lineRule="exact"/>
        <w:rPr>
          <w:rFonts w:hint="eastAsia" w:ascii="宋体" w:hAnsi="宋体" w:cs="方正仿宋_GB18030"/>
          <w:b/>
          <w:sz w:val="24"/>
        </w:rPr>
      </w:pPr>
      <w:r>
        <w:rPr>
          <w:rFonts w:hint="eastAsia" w:ascii="宋体" w:hAnsi="宋体" w:cs="方正仿宋_GB18030"/>
          <w:b/>
          <w:sz w:val="24"/>
        </w:rPr>
        <w:t>能影响服务质量或者不能诚信履约的，应当要求其在评标现场合理的时间内提供书面说明（法表人或授权代表签字，或加盖公章），必要时提交相关证明材料；投标人不能证明其报价合理性的，评标委员会应当将其作为无效投标处理。</w:t>
      </w:r>
    </w:p>
    <w:p>
      <w:pPr>
        <w:spacing w:line="560" w:lineRule="exact"/>
        <w:rPr>
          <w:rFonts w:hint="eastAsia" w:ascii="宋体" w:hAnsi="宋体" w:cs="方正仿宋_GB18030"/>
          <w:b/>
          <w:sz w:val="24"/>
        </w:rPr>
      </w:pPr>
      <w:r>
        <w:rPr>
          <w:rFonts w:hint="eastAsia" w:ascii="宋体" w:hAnsi="宋体" w:cs="方正仿宋_GB18030"/>
          <w:b/>
          <w:sz w:val="24"/>
        </w:rPr>
        <w:t>2.得分保留至小数点后两位，第三位按照“四舍五入”原则处理。</w:t>
      </w:r>
    </w:p>
    <w:p>
      <w:pPr>
        <w:spacing w:line="560" w:lineRule="exact"/>
        <w:rPr>
          <w:rFonts w:hint="eastAsia" w:ascii="宋体" w:hAnsi="宋体" w:cs="方正仿宋_GB18030"/>
          <w:b/>
          <w:sz w:val="24"/>
        </w:rPr>
      </w:pPr>
      <w:r>
        <w:rPr>
          <w:rFonts w:hint="eastAsia" w:ascii="宋体" w:hAnsi="宋体" w:cs="方正仿宋_GB18030"/>
          <w:b/>
          <w:sz w:val="24"/>
        </w:rPr>
        <w:t>3.最低报价不作为中标的保证。</w:t>
      </w:r>
    </w:p>
    <w:p>
      <w:pPr>
        <w:pStyle w:val="2"/>
        <w:sectPr>
          <w:footerReference r:id="rId6" w:type="default"/>
          <w:pgSz w:w="11910" w:h="16840"/>
          <w:pgMar w:top="1440" w:right="1797" w:bottom="1440" w:left="1797" w:header="879" w:footer="892" w:gutter="0"/>
          <w:cols w:space="720" w:num="1"/>
        </w:sectPr>
      </w:pPr>
    </w:p>
    <w:p>
      <w:pPr>
        <w:pStyle w:val="3"/>
        <w:tabs>
          <w:tab w:val="left" w:pos="1670"/>
        </w:tabs>
        <w:spacing w:before="246"/>
        <w:ind w:left="48"/>
        <w:jc w:val="center"/>
        <w:rPr>
          <w:rFonts w:asciiTheme="minorEastAsia" w:hAnsiTheme="minorEastAsia" w:eastAsiaTheme="minorEastAsia"/>
          <w:b/>
          <w:lang w:eastAsia="zh-CN"/>
        </w:rPr>
      </w:pPr>
      <w:bookmarkStart w:id="25" w:name="_TOC_250002"/>
      <w:bookmarkEnd w:id="25"/>
      <w:bookmarkStart w:id="26" w:name="_Toc164263463"/>
      <w:r>
        <w:rPr>
          <w:rFonts w:asciiTheme="minorEastAsia" w:hAnsiTheme="minorEastAsia" w:eastAsiaTheme="minorEastAsia"/>
          <w:b/>
          <w:lang w:eastAsia="zh-CN"/>
        </w:rPr>
        <w:t>第四章采购需求</w:t>
      </w:r>
      <w:bookmarkEnd w:id="26"/>
    </w:p>
    <w:p>
      <w:pPr>
        <w:pStyle w:val="3"/>
        <w:rPr>
          <w:rFonts w:hAnsi="宋体" w:cs="宋体"/>
        </w:rPr>
      </w:pPr>
      <w:r>
        <w:rPr>
          <w:rFonts w:hint="eastAsia" w:hAnsi="宋体" w:cs="宋体"/>
        </w:rPr>
        <w:t>一、采购标的需实现的功能或者目标，以及为落实政府采购政策需满足的要求</w:t>
      </w:r>
    </w:p>
    <w:p>
      <w:pPr>
        <w:spacing w:line="440" w:lineRule="exact"/>
        <w:ind w:firstLine="482"/>
        <w:rPr>
          <w:rFonts w:ascii="宋体" w:hAnsi="宋体" w:cs="宋体"/>
          <w:sz w:val="24"/>
        </w:rPr>
      </w:pPr>
      <w:r>
        <w:rPr>
          <w:rFonts w:hint="eastAsia" w:ascii="宋体" w:hAnsi="宋体" w:cs="宋体"/>
          <w:sz w:val="24"/>
          <w:lang w:val="zh-CN"/>
        </w:rPr>
        <w:t>本次招标采购标的是为北京市顺义区</w:t>
      </w:r>
      <w:r>
        <w:rPr>
          <w:rFonts w:hint="eastAsia" w:ascii="宋体" w:hAnsi="宋体" w:cs="宋体"/>
          <w:sz w:val="24"/>
        </w:rPr>
        <w:t>中小学校的屋面防水维修工程项目</w:t>
      </w:r>
      <w:r>
        <w:rPr>
          <w:rFonts w:hint="eastAsia" w:ascii="宋体" w:hAnsi="宋体" w:cs="宋体"/>
          <w:sz w:val="24"/>
          <w:lang w:val="zh-CN"/>
        </w:rPr>
        <w:t>，为解决目前顺义区</w:t>
      </w:r>
      <w:r>
        <w:rPr>
          <w:rFonts w:hint="eastAsia" w:ascii="宋体" w:hAnsi="宋体" w:cs="宋体"/>
          <w:sz w:val="24"/>
        </w:rPr>
        <w:t>中小学校的屋面渗漏情形，</w:t>
      </w:r>
      <w:r>
        <w:rPr>
          <w:rFonts w:hint="eastAsia" w:ascii="宋体" w:hAnsi="宋体" w:cs="宋体"/>
          <w:sz w:val="24"/>
          <w:lang w:val="zh-CN"/>
        </w:rPr>
        <w:t>由于建筑承建时间较长，建筑楼顶的防水层日晒雨淋风吹，现已严重老化破损，导致建筑物各楼层在春夏秋时节漏雨现象严重，存在着极大的安全隐患。为了进一步提高各学校的教育教学水平，保证师生的人身安全，给学生一个安全舒适的学习环境，须在暑假长假期间对各学校建筑楼顶防水屋面进行一次彻底的维修维护，投标人应根据招标文件所提出的标的物技术规格和服务要求，综合考虑标的物的适用性，选择需要最佳性能价格比的标的物前来投标。投标人应以技术先进的标的物、优良的服务和优惠的价格，充分显示自己的竞争实力。</w:t>
      </w:r>
    </w:p>
    <w:p>
      <w:pPr>
        <w:pStyle w:val="3"/>
        <w:rPr>
          <w:rFonts w:hAnsi="宋体" w:cs="宋体"/>
        </w:rPr>
      </w:pPr>
      <w:r>
        <w:rPr>
          <w:rFonts w:hint="eastAsia" w:hAnsi="宋体" w:cs="宋体"/>
        </w:rPr>
        <w:t>二、采购标的需执行的国家相关标准、行业标准、地方标准或者其他标准、规范</w:t>
      </w:r>
    </w:p>
    <w:p>
      <w:pPr>
        <w:spacing w:line="440" w:lineRule="exact"/>
        <w:rPr>
          <w:rFonts w:ascii="宋体" w:hAnsi="宋体" w:cs="宋体"/>
          <w:sz w:val="24"/>
        </w:rPr>
      </w:pPr>
      <w:r>
        <w:rPr>
          <w:rFonts w:hint="eastAsia"/>
        </w:rPr>
        <w:tab/>
      </w:r>
      <w:r>
        <w:rPr>
          <w:rFonts w:hint="eastAsia" w:ascii="宋体" w:hAnsi="宋体" w:cs="宋体"/>
          <w:sz w:val="24"/>
        </w:rPr>
        <w:t>《屋面工程技术规范》</w:t>
      </w:r>
      <w:r>
        <w:rPr>
          <w:rFonts w:hint="eastAsia" w:ascii="宋体" w:hAnsi="宋体" w:cs="宋体"/>
          <w:sz w:val="24"/>
        </w:rPr>
        <w:tab/>
      </w:r>
      <w:r>
        <w:rPr>
          <w:rFonts w:hint="eastAsia" w:ascii="宋体" w:hAnsi="宋体" w:cs="宋体"/>
          <w:sz w:val="24"/>
        </w:rPr>
        <w:t xml:space="preserve">   GB 50345-2012</w:t>
      </w:r>
    </w:p>
    <w:p>
      <w:pPr>
        <w:spacing w:line="440" w:lineRule="exact"/>
        <w:rPr>
          <w:rFonts w:ascii="宋体" w:hAnsi="宋体" w:cs="宋体"/>
          <w:sz w:val="24"/>
        </w:rPr>
      </w:pPr>
      <w:r>
        <w:rPr>
          <w:rFonts w:hint="eastAsia" w:ascii="宋体" w:hAnsi="宋体" w:cs="宋体"/>
          <w:sz w:val="24"/>
        </w:rPr>
        <w:tab/>
      </w:r>
      <w:r>
        <w:rPr>
          <w:rFonts w:hint="eastAsia" w:ascii="宋体" w:hAnsi="宋体" w:cs="宋体"/>
          <w:sz w:val="24"/>
        </w:rPr>
        <w:t>《屋面工程质量验收规范》</w:t>
      </w:r>
      <w:r>
        <w:rPr>
          <w:rFonts w:hint="eastAsia" w:ascii="宋体" w:hAnsi="宋体" w:cs="宋体"/>
          <w:sz w:val="24"/>
        </w:rPr>
        <w:tab/>
      </w:r>
      <w:r>
        <w:rPr>
          <w:rFonts w:hint="eastAsia" w:ascii="宋体" w:hAnsi="宋体" w:cs="宋体"/>
          <w:sz w:val="24"/>
        </w:rPr>
        <w:t>GB 50207-2012</w:t>
      </w:r>
    </w:p>
    <w:p>
      <w:pPr>
        <w:spacing w:line="440" w:lineRule="exact"/>
        <w:rPr>
          <w:rFonts w:ascii="宋体" w:hAnsi="宋体" w:cs="宋体"/>
          <w:sz w:val="24"/>
        </w:rPr>
      </w:pPr>
      <w:r>
        <w:rPr>
          <w:rFonts w:hint="eastAsia" w:ascii="宋体" w:hAnsi="宋体" w:cs="宋体"/>
          <w:sz w:val="24"/>
        </w:rPr>
        <w:tab/>
      </w:r>
      <w:r>
        <w:rPr>
          <w:rFonts w:hint="eastAsia" w:ascii="宋体" w:hAnsi="宋体" w:cs="宋体"/>
          <w:sz w:val="24"/>
        </w:rPr>
        <w:t>《房屋渗漏修缮技术规程》</w:t>
      </w:r>
      <w:r>
        <w:rPr>
          <w:rFonts w:hint="eastAsia" w:ascii="宋体" w:hAnsi="宋体" w:cs="宋体"/>
          <w:sz w:val="24"/>
        </w:rPr>
        <w:tab/>
      </w:r>
      <w:r>
        <w:rPr>
          <w:rFonts w:hint="eastAsia" w:ascii="宋体" w:hAnsi="宋体" w:cs="宋体"/>
          <w:sz w:val="24"/>
        </w:rPr>
        <w:t>JGJ/T 53-2011</w:t>
      </w:r>
    </w:p>
    <w:p>
      <w:pPr>
        <w:spacing w:line="440" w:lineRule="exact"/>
        <w:rPr>
          <w:rFonts w:ascii="宋体" w:hAnsi="宋体" w:cs="宋体"/>
          <w:sz w:val="24"/>
        </w:rPr>
      </w:pPr>
      <w:r>
        <w:rPr>
          <w:rFonts w:hint="eastAsia" w:ascii="宋体" w:hAnsi="宋体" w:cs="宋体"/>
          <w:sz w:val="24"/>
        </w:rPr>
        <w:tab/>
      </w:r>
      <w:r>
        <w:rPr>
          <w:rFonts w:hint="eastAsia" w:ascii="宋体" w:hAnsi="宋体" w:cs="宋体"/>
          <w:sz w:val="24"/>
        </w:rPr>
        <w:t>《弹性体改性沥青防水卷材》</w:t>
      </w:r>
      <w:r>
        <w:rPr>
          <w:rFonts w:hint="eastAsia" w:ascii="宋体" w:hAnsi="宋体" w:cs="宋体"/>
          <w:sz w:val="24"/>
        </w:rPr>
        <w:tab/>
      </w:r>
      <w:r>
        <w:rPr>
          <w:rFonts w:hint="eastAsia" w:ascii="宋体" w:hAnsi="宋体" w:cs="宋体"/>
          <w:sz w:val="24"/>
        </w:rPr>
        <w:t>GB/T 23445-2009</w:t>
      </w:r>
    </w:p>
    <w:p>
      <w:pPr>
        <w:pStyle w:val="10"/>
        <w:spacing w:line="440" w:lineRule="exact"/>
        <w:rPr>
          <w:rFonts w:hAnsi="宋体" w:cs="宋体"/>
        </w:rPr>
      </w:pPr>
      <w:r>
        <w:rPr>
          <w:rFonts w:hint="eastAsia" w:hAnsi="宋体" w:cs="宋体"/>
        </w:rPr>
        <w:t>《中小学校场地与用房》     11J934-2</w:t>
      </w:r>
    </w:p>
    <w:p>
      <w:pPr>
        <w:pStyle w:val="10"/>
        <w:spacing w:line="440" w:lineRule="exact"/>
        <w:rPr>
          <w:rFonts w:hAnsi="宋体" w:cs="宋体"/>
        </w:rPr>
      </w:pPr>
      <w:r>
        <w:rPr>
          <w:rFonts w:hint="eastAsia" w:hAnsi="宋体" w:cs="宋体"/>
        </w:rPr>
        <w:t>《中小学校设计规范》   GB 50099-2011</w:t>
      </w:r>
    </w:p>
    <w:p>
      <w:pPr>
        <w:pStyle w:val="10"/>
        <w:spacing w:line="440" w:lineRule="exact"/>
        <w:rPr>
          <w:rFonts w:hAnsi="宋体" w:cs="宋体"/>
        </w:rPr>
      </w:pPr>
      <w:r>
        <w:rPr>
          <w:rFonts w:hint="eastAsia" w:hAnsi="宋体" w:cs="宋体"/>
        </w:rPr>
        <w:t>《室外排水设计标准》   GB 50014-2021</w:t>
      </w:r>
    </w:p>
    <w:p>
      <w:pPr>
        <w:pStyle w:val="10"/>
        <w:spacing w:line="440" w:lineRule="exact"/>
        <w:rPr>
          <w:rFonts w:hAnsi="宋体" w:cs="宋体"/>
        </w:rPr>
      </w:pPr>
      <w:r>
        <w:rPr>
          <w:rFonts w:hint="eastAsia" w:hAnsi="宋体" w:cs="宋体"/>
        </w:rPr>
        <w:t>《中小学校建筑设计常用构造做法》16J934-3</w:t>
      </w:r>
    </w:p>
    <w:p>
      <w:pPr>
        <w:pStyle w:val="10"/>
        <w:spacing w:line="440" w:lineRule="exact"/>
        <w:rPr>
          <w:rFonts w:hAnsi="宋体" w:cs="宋体"/>
        </w:rPr>
      </w:pPr>
      <w:r>
        <w:rPr>
          <w:rFonts w:hint="eastAsia" w:hAnsi="宋体" w:cs="宋体"/>
        </w:rPr>
        <w:t>设计图纸中的相关技术要求</w:t>
      </w:r>
    </w:p>
    <w:p>
      <w:pPr>
        <w:pStyle w:val="10"/>
        <w:spacing w:line="440" w:lineRule="exact"/>
        <w:rPr>
          <w:rFonts w:hAnsi="宋体" w:cs="宋体"/>
        </w:rPr>
      </w:pPr>
      <w:r>
        <w:rPr>
          <w:rFonts w:hint="eastAsia" w:hAnsi="宋体" w:cs="宋体"/>
        </w:rPr>
        <w:t>以及北京市对于中小学校维修改造的相关规定。</w:t>
      </w:r>
    </w:p>
    <w:p>
      <w:pPr>
        <w:pStyle w:val="3"/>
        <w:rPr>
          <w:rFonts w:hAnsi="宋体" w:cs="宋体"/>
        </w:rPr>
      </w:pPr>
      <w:r>
        <w:rPr>
          <w:rFonts w:hint="eastAsia" w:hAnsi="宋体" w:cs="宋体"/>
        </w:rPr>
        <w:t>三、采购标的需满足的质量、安全、技术规格、物理特性等要求</w:t>
      </w:r>
    </w:p>
    <w:p>
      <w:pPr>
        <w:pStyle w:val="10"/>
        <w:spacing w:line="440" w:lineRule="exact"/>
        <w:rPr>
          <w:rFonts w:hAnsi="宋体" w:cs="宋体"/>
        </w:rPr>
      </w:pPr>
      <w:r>
        <w:rPr>
          <w:rFonts w:hint="eastAsia" w:hAnsi="宋体" w:cs="宋体"/>
        </w:rPr>
        <w:t>3.1、质量要求</w:t>
      </w:r>
    </w:p>
    <w:p>
      <w:pPr>
        <w:pStyle w:val="10"/>
        <w:spacing w:line="440" w:lineRule="exact"/>
        <w:rPr>
          <w:rFonts w:hAnsi="宋体" w:cs="宋体"/>
        </w:rPr>
      </w:pPr>
      <w:r>
        <w:rPr>
          <w:rFonts w:hint="eastAsia" w:hAnsi="宋体" w:cs="宋体"/>
        </w:rPr>
        <w:t>（1）质量标准：合格。符合施工方案及设计图纸要求。</w:t>
      </w:r>
    </w:p>
    <w:p>
      <w:pPr>
        <w:pStyle w:val="10"/>
        <w:spacing w:line="440" w:lineRule="exact"/>
        <w:rPr>
          <w:rFonts w:hAnsi="宋体" w:cs="宋体"/>
        </w:rPr>
      </w:pPr>
      <w:r>
        <w:rPr>
          <w:rFonts w:hint="eastAsia" w:hAnsi="宋体" w:cs="宋体"/>
        </w:rPr>
        <w:t>（2）工程质量标准必须符合现行国家有关工程施工质量验收规范和标准的要求。有关工程质量的特殊标准或要求由合同当事人在专用合同条款中约定。</w:t>
      </w:r>
    </w:p>
    <w:p>
      <w:pPr>
        <w:pStyle w:val="10"/>
        <w:spacing w:line="440" w:lineRule="exact"/>
        <w:rPr>
          <w:rFonts w:hAnsi="宋体" w:cs="宋体"/>
        </w:rPr>
      </w:pPr>
      <w:r>
        <w:rPr>
          <w:rFonts w:hint="eastAsia" w:hAnsi="宋体" w:cs="宋体"/>
        </w:rPr>
        <w:t>（3）符合国家及地方关于防水生产、施工及验收的各项规范和标准，符合施工图纸中配置标准和技术标准的全部要求。</w:t>
      </w:r>
    </w:p>
    <w:p>
      <w:pPr>
        <w:pStyle w:val="10"/>
        <w:spacing w:line="440" w:lineRule="exact"/>
        <w:rPr>
          <w:rFonts w:hAnsi="宋体" w:cs="宋体"/>
        </w:rPr>
      </w:pPr>
      <w:r>
        <w:rPr>
          <w:rFonts w:hint="eastAsia" w:hAnsi="宋体" w:cs="宋体"/>
        </w:rPr>
        <w:t>3.2、安全要求：具有建设主管部门核发的有效安全生产许可证；具有类似项目的工程施工经验；无重大质量、安全事故；具有实施投标本工程项目所要求的足够的专业人员、经验、技术和装备能力；</w:t>
      </w:r>
    </w:p>
    <w:p>
      <w:pPr>
        <w:pStyle w:val="10"/>
        <w:spacing w:line="440" w:lineRule="exact"/>
        <w:rPr>
          <w:rFonts w:hAnsi="宋体" w:cs="宋体"/>
        </w:rPr>
      </w:pPr>
      <w:r>
        <w:rPr>
          <w:rFonts w:hint="eastAsia" w:hAnsi="宋体" w:cs="宋体"/>
        </w:rPr>
        <w:t>3.3、技术规格要求：</w:t>
      </w:r>
    </w:p>
    <w:p>
      <w:pPr>
        <w:pStyle w:val="10"/>
        <w:spacing w:line="440" w:lineRule="exact"/>
        <w:rPr>
          <w:rFonts w:hAnsi="宋体" w:cs="宋体"/>
        </w:rPr>
      </w:pPr>
      <w:r>
        <w:rPr>
          <w:rFonts w:hint="eastAsia" w:hAnsi="宋体" w:cs="宋体"/>
        </w:rPr>
        <w:t>1、沥青基类有胎防水卷材:宽度为 1.0m，长度 10m，厚度 3.0mm 或 4.0mm（SBS Ⅱ型，外露使用时为普通页岩面）</w:t>
      </w:r>
    </w:p>
    <w:p>
      <w:pPr>
        <w:pStyle w:val="10"/>
        <w:spacing w:line="440" w:lineRule="exact"/>
        <w:rPr>
          <w:rFonts w:hAnsi="宋体" w:cs="宋体"/>
        </w:rPr>
      </w:pPr>
      <w:r>
        <w:rPr>
          <w:rFonts w:hint="eastAsia" w:hAnsi="宋体" w:cs="宋体"/>
        </w:rPr>
        <w:t xml:space="preserve">2、防水卷材外观质量 </w:t>
      </w:r>
    </w:p>
    <w:p>
      <w:pPr>
        <w:pStyle w:val="10"/>
        <w:spacing w:line="440" w:lineRule="exact"/>
        <w:rPr>
          <w:rFonts w:hAnsi="宋体" w:cs="宋体"/>
        </w:rPr>
      </w:pPr>
      <w:r>
        <w:rPr>
          <w:rFonts w:hint="eastAsia" w:hAnsi="宋体" w:cs="宋体"/>
        </w:rPr>
        <w:t xml:space="preserve">（1）成卷卷材应卷紧卷齐，端面里进外出不得超过 10mm。 </w:t>
      </w:r>
    </w:p>
    <w:p>
      <w:pPr>
        <w:pStyle w:val="10"/>
        <w:spacing w:line="440" w:lineRule="exact"/>
        <w:rPr>
          <w:rFonts w:hAnsi="宋体" w:cs="宋体"/>
        </w:rPr>
      </w:pPr>
      <w:r>
        <w:rPr>
          <w:rFonts w:hint="eastAsia" w:hAnsi="宋体" w:cs="宋体"/>
        </w:rPr>
        <w:t xml:space="preserve">（2）成卷卷材在（4～45)℃任一产品温度下展开，在距卷芯 1000mm 长度外不应有 10mm 以上的裂纹或粘结。 </w:t>
      </w:r>
    </w:p>
    <w:p>
      <w:pPr>
        <w:pStyle w:val="10"/>
        <w:spacing w:line="440" w:lineRule="exact"/>
        <w:rPr>
          <w:rFonts w:hAnsi="宋体" w:cs="宋体"/>
        </w:rPr>
      </w:pPr>
      <w:r>
        <w:rPr>
          <w:rFonts w:hint="eastAsia" w:hAnsi="宋体" w:cs="宋体"/>
        </w:rPr>
        <w:t xml:space="preserve">（3）卷材表面应平整，不允许有孔洞、结块、缺边和裂口、疙瘩。 </w:t>
      </w:r>
    </w:p>
    <w:p>
      <w:pPr>
        <w:pStyle w:val="10"/>
        <w:spacing w:line="440" w:lineRule="exact"/>
        <w:rPr>
          <w:rFonts w:hAnsi="宋体" w:cs="宋体"/>
        </w:rPr>
      </w:pPr>
      <w:r>
        <w:rPr>
          <w:rFonts w:hint="eastAsia" w:hAnsi="宋体" w:cs="宋体"/>
        </w:rPr>
        <w:t xml:space="preserve">（4）每卷卷材接头处不应超过一个，较短的一段长度不应少于 1500mm，接头应剪切整齐，并加长 150mm。 </w:t>
      </w:r>
    </w:p>
    <w:p>
      <w:pPr>
        <w:pStyle w:val="10"/>
        <w:spacing w:line="440" w:lineRule="exact"/>
        <w:rPr>
          <w:rFonts w:hAnsi="宋体" w:cs="宋体"/>
        </w:rPr>
      </w:pPr>
      <w:r>
        <w:rPr>
          <w:rFonts w:hint="eastAsia" w:hAnsi="宋体" w:cs="宋体"/>
        </w:rPr>
        <w:t xml:space="preserve">（5）聚酯胎类产品，胎基应浸透，不应有未被浸渍处。 </w:t>
      </w:r>
    </w:p>
    <w:p>
      <w:pPr>
        <w:pStyle w:val="10"/>
        <w:spacing w:line="440" w:lineRule="exact"/>
        <w:rPr>
          <w:rFonts w:hAnsi="宋体" w:cs="宋体"/>
        </w:rPr>
      </w:pPr>
      <w:r>
        <w:rPr>
          <w:rFonts w:hint="eastAsia" w:hAnsi="宋体" w:cs="宋体"/>
        </w:rPr>
        <w:t xml:space="preserve">（6）表面覆矿物粒料的改性沥青卷材其粒度应均匀一致并紧密地粘附于卷材表面。 </w:t>
      </w:r>
    </w:p>
    <w:p>
      <w:pPr>
        <w:pStyle w:val="10"/>
        <w:spacing w:line="440" w:lineRule="exact"/>
        <w:rPr>
          <w:rFonts w:hAnsi="宋体" w:cs="宋体"/>
        </w:rPr>
      </w:pPr>
      <w:r>
        <w:rPr>
          <w:rFonts w:hint="eastAsia" w:hAnsi="宋体" w:cs="宋体"/>
        </w:rPr>
        <w:t xml:space="preserve">（7）卷材耐候层（上表面）宜为浅色。 </w:t>
      </w:r>
    </w:p>
    <w:p>
      <w:pPr>
        <w:widowControl/>
        <w:spacing w:line="440" w:lineRule="exact"/>
        <w:ind w:firstLine="480" w:firstLineChars="200"/>
        <w:rPr>
          <w:rFonts w:ascii="宋体" w:hAnsi="宋体" w:cs="宋体"/>
          <w:kern w:val="0"/>
          <w:sz w:val="24"/>
          <w:lang w:bidi="ar"/>
        </w:rPr>
      </w:pPr>
      <w:r>
        <w:rPr>
          <w:rFonts w:hint="eastAsia" w:ascii="宋体" w:hAnsi="宋体" w:cs="宋体"/>
          <w:kern w:val="0"/>
          <w:sz w:val="24"/>
          <w:lang w:bidi="ar"/>
        </w:rPr>
        <w:t xml:space="preserve">3、SBS 弹性体改性沥青防水卷材主要性能指标 </w:t>
      </w:r>
    </w:p>
    <w:p>
      <w:pPr>
        <w:pStyle w:val="2"/>
        <w:rPr>
          <w:lang w:bidi="ar"/>
        </w:rPr>
      </w:pPr>
      <w:r>
        <w:rPr>
          <w:lang w:bidi="ar"/>
        </w:rPr>
        <w:br w:type="page"/>
      </w:r>
      <w:r>
        <w:rPr>
          <w:rFonts w:hint="eastAsia" w:hAnsi="宋体" w:cs="宋体"/>
          <w:sz w:val="24"/>
          <w:szCs w:val="24"/>
        </w:rPr>
        <w:t>产品性能符合 GB 18242-2008《弹性体改性沥青防水卷材》要求。</w:t>
      </w:r>
    </w:p>
    <w:tbl>
      <w:tblPr>
        <w:tblStyle w:val="23"/>
        <w:tblpPr w:leftFromText="180" w:rightFromText="180" w:vertAnchor="text" w:horzAnchor="page" w:tblpX="1724" w:tblpY="531"/>
        <w:tblOverlap w:val="never"/>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2"/>
        <w:gridCol w:w="1991"/>
        <w:gridCol w:w="2322"/>
        <w:gridCol w:w="1656"/>
        <w:gridCol w:w="19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序序号</w:t>
            </w:r>
          </w:p>
        </w:tc>
        <w:tc>
          <w:tcPr>
            <w:tcW w:w="4313"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项目</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指标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4313"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材料性能</w:t>
            </w:r>
          </w:p>
        </w:tc>
        <w:tc>
          <w:tcPr>
            <w:tcW w:w="1656"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Ⅰ</w:t>
            </w:r>
          </w:p>
        </w:tc>
        <w:tc>
          <w:tcPr>
            <w:tcW w:w="1971"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11</w:t>
            </w:r>
          </w:p>
        </w:tc>
        <w:tc>
          <w:tcPr>
            <w:tcW w:w="4313"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胎基</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聚酯胎(PY)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22</w:t>
            </w:r>
          </w:p>
        </w:tc>
        <w:tc>
          <w:tcPr>
            <w:tcW w:w="1991"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可溶物含量/(g/m</w:t>
            </w:r>
            <w:r>
              <w:rPr>
                <w:rFonts w:hint="eastAsia" w:ascii="宋体" w:hAnsi="宋体" w:cs="宋体"/>
                <w:kern w:val="0"/>
                <w:sz w:val="24"/>
                <w:szCs w:val="24"/>
                <w:vertAlign w:val="superscript"/>
              </w:rPr>
              <w:t>2</w:t>
            </w:r>
            <w:r>
              <w:rPr>
                <w:rFonts w:hint="eastAsia" w:ascii="宋体" w:hAnsi="宋体" w:cs="宋体"/>
                <w:kern w:val="0"/>
                <w:sz w:val="24"/>
                <w:szCs w:val="24"/>
              </w:rPr>
              <w:t>)，≥</w:t>
            </w: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3mm</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2100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1991" w:type="dxa"/>
            <w:vMerge w:val="continue"/>
            <w:vAlign w:val="center"/>
          </w:tcPr>
          <w:p>
            <w:pPr>
              <w:pStyle w:val="54"/>
              <w:snapToGrid w:val="0"/>
              <w:ind w:firstLine="480"/>
              <w:jc w:val="center"/>
              <w:rPr>
                <w:rFonts w:ascii="宋体" w:hAnsi="宋体" w:cs="宋体"/>
                <w:kern w:val="0"/>
                <w:sz w:val="24"/>
                <w:szCs w:val="24"/>
              </w:rPr>
            </w:pP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4mm</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2900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1991" w:type="dxa"/>
            <w:vMerge w:val="continue"/>
            <w:vAlign w:val="center"/>
          </w:tcPr>
          <w:p>
            <w:pPr>
              <w:pStyle w:val="54"/>
              <w:snapToGrid w:val="0"/>
              <w:ind w:firstLine="480"/>
              <w:jc w:val="center"/>
              <w:rPr>
                <w:rFonts w:ascii="宋体" w:hAnsi="宋体" w:cs="宋体"/>
                <w:kern w:val="0"/>
                <w:sz w:val="24"/>
                <w:szCs w:val="24"/>
              </w:rPr>
            </w:pP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5mm</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3500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33</w:t>
            </w:r>
          </w:p>
        </w:tc>
        <w:tc>
          <w:tcPr>
            <w:tcW w:w="1991"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耐热性</w:t>
            </w: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w:t>
            </w:r>
          </w:p>
        </w:tc>
        <w:tc>
          <w:tcPr>
            <w:tcW w:w="1656"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90</w:t>
            </w:r>
          </w:p>
        </w:tc>
        <w:tc>
          <w:tcPr>
            <w:tcW w:w="1971"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105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1991" w:type="dxa"/>
            <w:vMerge w:val="continue"/>
            <w:vAlign w:val="center"/>
          </w:tcPr>
          <w:p>
            <w:pPr>
              <w:pStyle w:val="54"/>
              <w:snapToGrid w:val="0"/>
              <w:ind w:firstLine="480"/>
              <w:jc w:val="center"/>
              <w:rPr>
                <w:rFonts w:ascii="宋体" w:hAnsi="宋体" w:cs="宋体"/>
                <w:kern w:val="0"/>
                <w:sz w:val="24"/>
                <w:szCs w:val="24"/>
              </w:rPr>
            </w:pP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≤mm</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1991" w:type="dxa"/>
            <w:vMerge w:val="continue"/>
            <w:vAlign w:val="center"/>
          </w:tcPr>
          <w:p>
            <w:pPr>
              <w:pStyle w:val="54"/>
              <w:snapToGrid w:val="0"/>
              <w:ind w:firstLine="480"/>
              <w:jc w:val="center"/>
              <w:rPr>
                <w:rFonts w:ascii="宋体" w:hAnsi="宋体" w:cs="宋体"/>
                <w:kern w:val="0"/>
                <w:sz w:val="24"/>
                <w:szCs w:val="24"/>
              </w:rPr>
            </w:pP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试验现象</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无流淌、滴落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44</w:t>
            </w:r>
          </w:p>
        </w:tc>
        <w:tc>
          <w:tcPr>
            <w:tcW w:w="4313" w:type="dxa"/>
            <w:gridSpan w:val="2"/>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低温柔性/℃</w:t>
            </w:r>
          </w:p>
        </w:tc>
        <w:tc>
          <w:tcPr>
            <w:tcW w:w="1656"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-20</w:t>
            </w:r>
          </w:p>
        </w:tc>
        <w:tc>
          <w:tcPr>
            <w:tcW w:w="1971"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4313" w:type="dxa"/>
            <w:gridSpan w:val="2"/>
            <w:vMerge w:val="continue"/>
            <w:vAlign w:val="center"/>
          </w:tcPr>
          <w:p>
            <w:pPr>
              <w:pStyle w:val="54"/>
              <w:snapToGrid w:val="0"/>
              <w:ind w:firstLine="480"/>
              <w:jc w:val="center"/>
              <w:rPr>
                <w:rFonts w:ascii="宋体" w:hAnsi="宋体" w:cs="宋体"/>
                <w:kern w:val="0"/>
                <w:sz w:val="24"/>
                <w:szCs w:val="24"/>
              </w:rPr>
            </w:pP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无裂缝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55</w:t>
            </w:r>
          </w:p>
        </w:tc>
        <w:tc>
          <w:tcPr>
            <w:tcW w:w="4313"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不透水性</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Ⅰ型：30min，0.3MPa；Ⅱ型120min，0.3MPa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66</w:t>
            </w:r>
          </w:p>
        </w:tc>
        <w:tc>
          <w:tcPr>
            <w:tcW w:w="1991"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拉力</w:t>
            </w: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最大峰拉力值：N/50mm ≥</w:t>
            </w:r>
          </w:p>
        </w:tc>
        <w:tc>
          <w:tcPr>
            <w:tcW w:w="1656"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550</w:t>
            </w:r>
          </w:p>
        </w:tc>
        <w:tc>
          <w:tcPr>
            <w:tcW w:w="1971"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850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1991" w:type="dxa"/>
            <w:vMerge w:val="continue"/>
            <w:vAlign w:val="center"/>
          </w:tcPr>
          <w:p>
            <w:pPr>
              <w:pStyle w:val="54"/>
              <w:snapToGrid w:val="0"/>
              <w:ind w:firstLine="480"/>
              <w:jc w:val="center"/>
              <w:rPr>
                <w:rFonts w:ascii="宋体" w:hAnsi="宋体" w:cs="宋体"/>
                <w:kern w:val="0"/>
                <w:sz w:val="24"/>
                <w:szCs w:val="24"/>
              </w:rPr>
            </w:pP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试验现象</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拉伸过程中，试件中部无沥青涂盖层开裂或与胎基分裂现象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77</w:t>
            </w:r>
          </w:p>
        </w:tc>
        <w:tc>
          <w:tcPr>
            <w:tcW w:w="4313"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最大峰时延伸率/%  ≥</w:t>
            </w:r>
          </w:p>
        </w:tc>
        <w:tc>
          <w:tcPr>
            <w:tcW w:w="1656"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30</w:t>
            </w:r>
          </w:p>
        </w:tc>
        <w:tc>
          <w:tcPr>
            <w:tcW w:w="1971"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88</w:t>
            </w:r>
          </w:p>
        </w:tc>
        <w:tc>
          <w:tcPr>
            <w:tcW w:w="1991"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浸水后质量增加/%，≤</w:t>
            </w: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PE、S</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1991" w:type="dxa"/>
            <w:vMerge w:val="continue"/>
            <w:vAlign w:val="center"/>
          </w:tcPr>
          <w:p>
            <w:pPr>
              <w:pStyle w:val="54"/>
              <w:snapToGrid w:val="0"/>
              <w:ind w:firstLine="480"/>
              <w:jc w:val="center"/>
              <w:rPr>
                <w:rFonts w:ascii="宋体" w:hAnsi="宋体" w:cs="宋体"/>
                <w:kern w:val="0"/>
                <w:sz w:val="24"/>
                <w:szCs w:val="24"/>
              </w:rPr>
            </w:pP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M</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99</w:t>
            </w:r>
          </w:p>
        </w:tc>
        <w:tc>
          <w:tcPr>
            <w:tcW w:w="1991"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热老化</w:t>
            </w: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拉力保持率/%，≥</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1991" w:type="dxa"/>
            <w:vMerge w:val="continue"/>
            <w:vAlign w:val="center"/>
          </w:tcPr>
          <w:p>
            <w:pPr>
              <w:pStyle w:val="54"/>
              <w:snapToGrid w:val="0"/>
              <w:ind w:firstLine="480"/>
              <w:jc w:val="center"/>
              <w:rPr>
                <w:rFonts w:ascii="宋体" w:hAnsi="宋体" w:cs="宋体"/>
                <w:kern w:val="0"/>
                <w:sz w:val="24"/>
                <w:szCs w:val="24"/>
              </w:rPr>
            </w:pP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延伸率保持率/%，≥</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1991" w:type="dxa"/>
            <w:vMerge w:val="continue"/>
            <w:vAlign w:val="center"/>
          </w:tcPr>
          <w:p>
            <w:pPr>
              <w:pStyle w:val="54"/>
              <w:snapToGrid w:val="0"/>
              <w:ind w:firstLine="480"/>
              <w:jc w:val="center"/>
              <w:rPr>
                <w:rFonts w:ascii="宋体" w:hAnsi="宋体" w:cs="宋体"/>
                <w:kern w:val="0"/>
                <w:sz w:val="24"/>
                <w:szCs w:val="24"/>
              </w:rPr>
            </w:pPr>
          </w:p>
        </w:tc>
        <w:tc>
          <w:tcPr>
            <w:tcW w:w="2322"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低温柔性/℃</w:t>
            </w:r>
          </w:p>
        </w:tc>
        <w:tc>
          <w:tcPr>
            <w:tcW w:w="1656"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-15</w:t>
            </w:r>
          </w:p>
        </w:tc>
        <w:tc>
          <w:tcPr>
            <w:tcW w:w="1971"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1991" w:type="dxa"/>
            <w:vMerge w:val="continue"/>
            <w:vAlign w:val="center"/>
          </w:tcPr>
          <w:p>
            <w:pPr>
              <w:pStyle w:val="54"/>
              <w:snapToGrid w:val="0"/>
              <w:ind w:firstLine="480"/>
              <w:jc w:val="center"/>
              <w:rPr>
                <w:rFonts w:ascii="宋体" w:hAnsi="宋体" w:cs="宋体"/>
                <w:kern w:val="0"/>
                <w:sz w:val="24"/>
                <w:szCs w:val="24"/>
              </w:rPr>
            </w:pPr>
          </w:p>
        </w:tc>
        <w:tc>
          <w:tcPr>
            <w:tcW w:w="2322" w:type="dxa"/>
            <w:vMerge w:val="continue"/>
            <w:vAlign w:val="center"/>
          </w:tcPr>
          <w:p>
            <w:pPr>
              <w:pStyle w:val="54"/>
              <w:snapToGrid w:val="0"/>
              <w:ind w:firstLine="480"/>
              <w:jc w:val="center"/>
              <w:rPr>
                <w:rFonts w:ascii="宋体" w:hAnsi="宋体" w:cs="宋体"/>
                <w:kern w:val="0"/>
                <w:sz w:val="24"/>
                <w:szCs w:val="24"/>
              </w:rPr>
            </w:pP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无裂缝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1991" w:type="dxa"/>
            <w:vMerge w:val="continue"/>
            <w:vAlign w:val="center"/>
          </w:tcPr>
          <w:p>
            <w:pPr>
              <w:pStyle w:val="54"/>
              <w:snapToGrid w:val="0"/>
              <w:ind w:firstLine="480"/>
              <w:jc w:val="center"/>
              <w:rPr>
                <w:rFonts w:ascii="宋体" w:hAnsi="宋体" w:cs="宋体"/>
                <w:kern w:val="0"/>
                <w:sz w:val="24"/>
                <w:szCs w:val="24"/>
              </w:rPr>
            </w:pP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尺寸变化率/%，≤</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1991" w:type="dxa"/>
            <w:vMerge w:val="continue"/>
            <w:vAlign w:val="center"/>
          </w:tcPr>
          <w:p>
            <w:pPr>
              <w:pStyle w:val="54"/>
              <w:snapToGrid w:val="0"/>
              <w:ind w:firstLine="480"/>
              <w:jc w:val="center"/>
              <w:rPr>
                <w:rFonts w:ascii="宋体" w:hAnsi="宋体" w:cs="宋体"/>
                <w:kern w:val="0"/>
                <w:sz w:val="24"/>
                <w:szCs w:val="24"/>
              </w:rPr>
            </w:pP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质量损失/%，≤</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Align w:val="center"/>
          </w:tcPr>
          <w:p>
            <w:pPr>
              <w:pStyle w:val="54"/>
              <w:snapToGrid w:val="0"/>
              <w:ind w:firstLine="480"/>
              <w:jc w:val="center"/>
              <w:rPr>
                <w:rFonts w:hint="eastAsia" w:ascii="宋体" w:hAnsi="宋体" w:cs="宋体"/>
                <w:kern w:val="0"/>
                <w:sz w:val="24"/>
                <w:szCs w:val="24"/>
              </w:rPr>
            </w:pPr>
            <w:r>
              <w:rPr>
                <w:rFonts w:hint="eastAsia" w:ascii="宋体" w:hAnsi="宋体" w:cs="宋体"/>
                <w:kern w:val="0"/>
                <w:sz w:val="24"/>
                <w:szCs w:val="24"/>
              </w:rPr>
              <w:t>110</w:t>
            </w:r>
          </w:p>
        </w:tc>
        <w:tc>
          <w:tcPr>
            <w:tcW w:w="4313"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渗油性，张数，≤</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Align w:val="center"/>
          </w:tcPr>
          <w:p>
            <w:pPr>
              <w:pStyle w:val="54"/>
              <w:snapToGrid w:val="0"/>
              <w:ind w:firstLine="480"/>
              <w:jc w:val="center"/>
              <w:rPr>
                <w:rFonts w:hint="eastAsia" w:ascii="宋体" w:hAnsi="宋体" w:cs="宋体"/>
                <w:kern w:val="0"/>
                <w:sz w:val="24"/>
                <w:szCs w:val="24"/>
              </w:rPr>
            </w:pPr>
            <w:r>
              <w:rPr>
                <w:rFonts w:hint="eastAsia" w:ascii="宋体" w:hAnsi="宋体" w:cs="宋体"/>
                <w:kern w:val="0"/>
                <w:sz w:val="24"/>
                <w:szCs w:val="24"/>
              </w:rPr>
              <w:t>111</w:t>
            </w:r>
          </w:p>
        </w:tc>
        <w:tc>
          <w:tcPr>
            <w:tcW w:w="4313"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接缝剥离强度/(N/mm)，≥</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1.8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112</w:t>
            </w:r>
          </w:p>
        </w:tc>
        <w:tc>
          <w:tcPr>
            <w:tcW w:w="4313"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矿物粒料粘附性a/g，≤</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2" w:hRule="atLeast"/>
        </w:trPr>
        <w:tc>
          <w:tcPr>
            <w:tcW w:w="58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113</w:t>
            </w:r>
          </w:p>
        </w:tc>
        <w:tc>
          <w:tcPr>
            <w:tcW w:w="4313"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卷材下表面沥青涂盖层厚度b/mm，≥</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114</w:t>
            </w:r>
          </w:p>
        </w:tc>
        <w:tc>
          <w:tcPr>
            <w:tcW w:w="1991"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人工气候加速老化</w:t>
            </w: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外观</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无滑动、流淌、滴落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1991" w:type="dxa"/>
            <w:vMerge w:val="continue"/>
            <w:vAlign w:val="center"/>
          </w:tcPr>
          <w:p>
            <w:pPr>
              <w:pStyle w:val="54"/>
              <w:snapToGrid w:val="0"/>
              <w:ind w:firstLine="480"/>
              <w:jc w:val="center"/>
              <w:rPr>
                <w:rFonts w:ascii="宋体" w:hAnsi="宋体" w:cs="宋体"/>
                <w:kern w:val="0"/>
                <w:sz w:val="24"/>
                <w:szCs w:val="24"/>
              </w:rPr>
            </w:pPr>
          </w:p>
        </w:tc>
        <w:tc>
          <w:tcPr>
            <w:tcW w:w="2322"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拉力保持率/%，≥</w:t>
            </w: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1991" w:type="dxa"/>
            <w:vMerge w:val="continue"/>
            <w:vAlign w:val="center"/>
          </w:tcPr>
          <w:p>
            <w:pPr>
              <w:pStyle w:val="54"/>
              <w:snapToGrid w:val="0"/>
              <w:ind w:firstLine="480"/>
              <w:jc w:val="center"/>
              <w:rPr>
                <w:rFonts w:ascii="宋体" w:hAnsi="宋体" w:cs="宋体"/>
                <w:kern w:val="0"/>
                <w:sz w:val="24"/>
                <w:szCs w:val="24"/>
              </w:rPr>
            </w:pPr>
          </w:p>
        </w:tc>
        <w:tc>
          <w:tcPr>
            <w:tcW w:w="2322" w:type="dxa"/>
            <w:vMerge w:val="restart"/>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低温柔性/℃</w:t>
            </w:r>
          </w:p>
        </w:tc>
        <w:tc>
          <w:tcPr>
            <w:tcW w:w="1656"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-15</w:t>
            </w:r>
          </w:p>
        </w:tc>
        <w:tc>
          <w:tcPr>
            <w:tcW w:w="1971" w:type="dxa"/>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582" w:type="dxa"/>
            <w:vMerge w:val="continue"/>
            <w:vAlign w:val="center"/>
          </w:tcPr>
          <w:p>
            <w:pPr>
              <w:pStyle w:val="54"/>
              <w:snapToGrid w:val="0"/>
              <w:ind w:firstLine="480"/>
              <w:jc w:val="center"/>
              <w:rPr>
                <w:rFonts w:ascii="宋体" w:hAnsi="宋体" w:cs="宋体"/>
                <w:kern w:val="0"/>
                <w:sz w:val="24"/>
                <w:szCs w:val="24"/>
              </w:rPr>
            </w:pPr>
          </w:p>
        </w:tc>
        <w:tc>
          <w:tcPr>
            <w:tcW w:w="1991" w:type="dxa"/>
            <w:vMerge w:val="continue"/>
            <w:vAlign w:val="center"/>
          </w:tcPr>
          <w:p>
            <w:pPr>
              <w:pStyle w:val="54"/>
              <w:snapToGrid w:val="0"/>
              <w:ind w:firstLine="480"/>
              <w:jc w:val="center"/>
              <w:rPr>
                <w:rFonts w:ascii="宋体" w:hAnsi="宋体" w:cs="宋体"/>
                <w:kern w:val="0"/>
                <w:sz w:val="24"/>
                <w:szCs w:val="24"/>
              </w:rPr>
            </w:pPr>
          </w:p>
        </w:tc>
        <w:tc>
          <w:tcPr>
            <w:tcW w:w="2322" w:type="dxa"/>
            <w:vMerge w:val="continue"/>
            <w:vAlign w:val="center"/>
          </w:tcPr>
          <w:p>
            <w:pPr>
              <w:pStyle w:val="54"/>
              <w:snapToGrid w:val="0"/>
              <w:ind w:firstLine="480"/>
              <w:jc w:val="center"/>
              <w:rPr>
                <w:rFonts w:ascii="宋体" w:hAnsi="宋体" w:cs="宋体"/>
                <w:kern w:val="0"/>
                <w:sz w:val="24"/>
                <w:szCs w:val="24"/>
              </w:rPr>
            </w:pPr>
          </w:p>
        </w:tc>
        <w:tc>
          <w:tcPr>
            <w:tcW w:w="3627" w:type="dxa"/>
            <w:gridSpan w:val="2"/>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无裂缝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8522" w:type="dxa"/>
            <w:gridSpan w:val="5"/>
            <w:vAlign w:val="center"/>
          </w:tcPr>
          <w:p>
            <w:pPr>
              <w:pStyle w:val="54"/>
              <w:snapToGrid w:val="0"/>
              <w:ind w:firstLine="480"/>
              <w:jc w:val="center"/>
              <w:rPr>
                <w:rFonts w:ascii="宋体" w:hAnsi="宋体" w:cs="宋体"/>
                <w:kern w:val="0"/>
                <w:sz w:val="24"/>
                <w:szCs w:val="24"/>
              </w:rPr>
            </w:pPr>
            <w:r>
              <w:rPr>
                <w:rFonts w:hint="eastAsia" w:ascii="宋体" w:hAnsi="宋体" w:cs="宋体"/>
                <w:kern w:val="0"/>
                <w:sz w:val="24"/>
                <w:szCs w:val="24"/>
              </w:rPr>
              <w:t>a.仅适用于矿物粒料表面的卷材。 b.仅适用与热熔施工的卷材</w:t>
            </w:r>
          </w:p>
        </w:tc>
      </w:tr>
    </w:tbl>
    <w:p>
      <w:pPr>
        <w:pStyle w:val="54"/>
        <w:autoSpaceDE w:val="0"/>
        <w:autoSpaceDN w:val="0"/>
        <w:adjustRightInd w:val="0"/>
        <w:ind w:firstLine="480"/>
        <w:rPr>
          <w:rFonts w:ascii="宋体" w:hAnsi="宋体" w:cs="宋体"/>
          <w:kern w:val="0"/>
          <w:sz w:val="24"/>
          <w:szCs w:val="24"/>
        </w:rPr>
      </w:pPr>
    </w:p>
    <w:p>
      <w:pPr>
        <w:pStyle w:val="3"/>
        <w:rPr>
          <w:rFonts w:hAnsi="宋体" w:cs="宋体"/>
        </w:rPr>
      </w:pPr>
      <w:r>
        <w:rPr>
          <w:rFonts w:hint="eastAsia" w:hAnsi="宋体" w:cs="宋体"/>
        </w:rPr>
        <w:t>四、采购标的的数量、采购项目交付或者实施的时间和地点</w:t>
      </w:r>
    </w:p>
    <w:p>
      <w:pPr>
        <w:pStyle w:val="10"/>
        <w:spacing w:line="440" w:lineRule="exact"/>
        <w:ind w:firstLine="0"/>
        <w:rPr>
          <w:rFonts w:hAnsi="宋体" w:cs="宋体"/>
        </w:rPr>
      </w:pPr>
      <w:r>
        <w:rPr>
          <w:rFonts w:hint="eastAsia" w:hAnsi="宋体" w:cs="宋体"/>
        </w:rPr>
        <w:t>1、采购标的实施时间：</w:t>
      </w:r>
      <w:r>
        <w:rPr>
          <w:rFonts w:hint="eastAsia" w:hAnsi="宋体" w:cs="宋体"/>
          <w:lang w:eastAsia="zh-CN"/>
        </w:rPr>
        <w:t>自</w:t>
      </w:r>
      <w:r>
        <w:rPr>
          <w:rFonts w:hint="eastAsia" w:hAnsi="宋体" w:cs="宋体"/>
        </w:rPr>
        <w:t>合同签订后</w:t>
      </w:r>
      <w:r>
        <w:rPr>
          <w:rFonts w:hint="eastAsia" w:hAnsi="宋体" w:cs="宋体"/>
          <w:lang w:val="en-US" w:eastAsia="zh-CN"/>
        </w:rPr>
        <w:t>6</w:t>
      </w:r>
      <w:r>
        <w:rPr>
          <w:rFonts w:hint="eastAsia" w:hAnsi="宋体" w:cs="宋体"/>
        </w:rPr>
        <w:t>0天；</w:t>
      </w:r>
    </w:p>
    <w:p>
      <w:pPr>
        <w:pStyle w:val="10"/>
        <w:spacing w:line="440" w:lineRule="exact"/>
        <w:ind w:firstLine="0"/>
        <w:rPr>
          <w:rFonts w:hAnsi="宋体" w:cs="宋体"/>
        </w:rPr>
      </w:pPr>
      <w:r>
        <w:rPr>
          <w:rFonts w:hint="eastAsia" w:hAnsi="宋体" w:cs="宋体"/>
        </w:rPr>
        <w:t>2、采购标的的数量及地点：见附表采购标的情形。</w:t>
      </w:r>
    </w:p>
    <w:p>
      <w:pPr>
        <w:pStyle w:val="3"/>
        <w:rPr>
          <w:rFonts w:hAnsi="宋体" w:cs="宋体"/>
        </w:rPr>
      </w:pPr>
      <w:r>
        <w:rPr>
          <w:rFonts w:hint="eastAsia" w:hAnsi="宋体" w:cs="宋体"/>
        </w:rPr>
        <w:t>五、采购标的需满足的服务标准、期限、效率等要求</w:t>
      </w:r>
    </w:p>
    <w:p>
      <w:pPr>
        <w:spacing w:line="440" w:lineRule="exact"/>
        <w:ind w:firstLine="480"/>
        <w:rPr>
          <w:rFonts w:ascii="宋体" w:hAnsi="宋体" w:cs="宋体"/>
          <w:sz w:val="24"/>
          <w:lang w:val="zh-CN"/>
        </w:rPr>
      </w:pPr>
      <w:r>
        <w:rPr>
          <w:rFonts w:hint="eastAsia" w:ascii="宋体" w:hAnsi="宋体" w:cs="宋体"/>
          <w:sz w:val="24"/>
          <w:lang w:val="zh-CN"/>
        </w:rPr>
        <w:t>1、投标人应有能力做好售后服务工作和提供技术保障。投标人或投标产品制造商应设有专业的售后服务维修机构，有充足的材料储备和能力相当的技术服务人员，并保证</w:t>
      </w:r>
      <w:r>
        <w:rPr>
          <w:rFonts w:hint="eastAsia" w:ascii="宋体" w:hAnsi="宋体" w:cs="宋体"/>
          <w:sz w:val="24"/>
        </w:rPr>
        <w:t>系统合理使用5年以上</w:t>
      </w:r>
      <w:r>
        <w:rPr>
          <w:rFonts w:hint="eastAsia" w:ascii="宋体" w:hAnsi="宋体" w:cs="宋体"/>
          <w:sz w:val="24"/>
          <w:lang w:val="zh-CN"/>
        </w:rPr>
        <w:t>。投标时须提供有关其投标产品专业的售后服务的信息，包括售后服务机构名称、服务人员的数量和水平、联系人和联系方式、材料的储备能力等，说明投标人与该售后服务的关系并附上相关的证明文件，如合作协议等，质量保证期内的免费售后维修及服务包括所有投标产品及部位，并含第三方产品，同时投标人应定期对所有投标产品提供巡视、维护服务，</w:t>
      </w:r>
    </w:p>
    <w:p>
      <w:pPr>
        <w:spacing w:line="440" w:lineRule="exact"/>
        <w:ind w:firstLine="480"/>
        <w:rPr>
          <w:rFonts w:ascii="宋体" w:hAnsi="宋体" w:cs="宋体"/>
          <w:sz w:val="24"/>
          <w:lang w:val="zh-CN"/>
        </w:rPr>
      </w:pPr>
      <w:r>
        <w:rPr>
          <w:rFonts w:hint="eastAsia" w:ascii="宋体" w:hAnsi="宋体" w:cs="宋体"/>
          <w:sz w:val="24"/>
          <w:lang w:val="zh-CN"/>
        </w:rPr>
        <w:t>2、投标人发运货物时，要提供一整套中文的技术资料，包括合格证、使用说明等，这些资料费应包括在投标报价内。如果采购人确认投标人提供的技术资料不完整或在运输过程中丢失，投标人需保证在收到采购人通知后3天内将这些资料免费寄给采购人。</w:t>
      </w:r>
    </w:p>
    <w:p>
      <w:pPr>
        <w:spacing w:line="440" w:lineRule="exact"/>
        <w:ind w:firstLine="480"/>
        <w:rPr>
          <w:rFonts w:ascii="宋体" w:hAnsi="宋体" w:cs="宋体"/>
          <w:sz w:val="24"/>
          <w:lang w:val="zh-CN"/>
        </w:rPr>
      </w:pPr>
      <w:r>
        <w:rPr>
          <w:rFonts w:hint="eastAsia" w:ascii="宋体" w:hAnsi="宋体" w:cs="宋体"/>
          <w:sz w:val="24"/>
          <w:lang w:val="zh-CN"/>
        </w:rPr>
        <w:t>3、投标人应在保证在接到采购人通知的</w:t>
      </w:r>
      <w:r>
        <w:rPr>
          <w:rFonts w:hint="eastAsia" w:ascii="宋体" w:hAnsi="宋体" w:cs="宋体"/>
          <w:sz w:val="24"/>
        </w:rPr>
        <w:t>要求</w:t>
      </w:r>
      <w:r>
        <w:rPr>
          <w:rFonts w:hint="eastAsia" w:ascii="宋体" w:hAnsi="宋体" w:cs="宋体"/>
          <w:sz w:val="24"/>
          <w:lang w:val="zh-CN"/>
        </w:rPr>
        <w:t>，自付费用在采购人指定所在地点进行维修处理，直到所维修的部位技术指标完全符合合同要求为止。投标人技术人员的费用，如差旅费、住宿费等应计入投标报价。投标人维修人员应自备必要的专用工具、量具及调试用的材料等。</w:t>
      </w:r>
    </w:p>
    <w:p>
      <w:pPr>
        <w:spacing w:line="440" w:lineRule="exact"/>
        <w:ind w:firstLine="480"/>
        <w:rPr>
          <w:rFonts w:ascii="宋体" w:hAnsi="宋体" w:cs="宋体"/>
          <w:sz w:val="24"/>
        </w:rPr>
      </w:pPr>
      <w:r>
        <w:rPr>
          <w:rFonts w:hint="eastAsia" w:ascii="宋体" w:hAnsi="宋体" w:cs="宋体"/>
          <w:sz w:val="24"/>
        </w:rPr>
        <w:t>4、按照合同要求完工后，使用期限内屋面无渗漏；</w:t>
      </w:r>
    </w:p>
    <w:p>
      <w:pPr>
        <w:spacing w:line="440" w:lineRule="exact"/>
        <w:ind w:firstLine="480"/>
        <w:rPr>
          <w:rFonts w:ascii="宋体" w:hAnsi="宋体" w:cs="宋体"/>
          <w:sz w:val="24"/>
          <w:lang w:val="zh-CN"/>
        </w:rPr>
      </w:pPr>
      <w:r>
        <w:rPr>
          <w:rFonts w:hint="eastAsia" w:ascii="宋体" w:hAnsi="宋体" w:cs="宋体"/>
          <w:sz w:val="24"/>
        </w:rPr>
        <w:t>5、</w:t>
      </w:r>
      <w:r>
        <w:rPr>
          <w:rFonts w:hint="eastAsia" w:ascii="宋体" w:hAnsi="宋体" w:cs="宋体"/>
          <w:sz w:val="24"/>
          <w:lang w:val="zh-CN"/>
        </w:rPr>
        <w:t>在合同执行期和质量保证期内，投标人应保证在收到要求提供维修服务的通知后</w:t>
      </w:r>
      <w:r>
        <w:rPr>
          <w:rFonts w:hint="eastAsia" w:ascii="宋体" w:hAnsi="宋体" w:cs="宋体"/>
          <w:sz w:val="24"/>
        </w:rPr>
        <w:t>按承诺要求</w:t>
      </w:r>
      <w:r>
        <w:rPr>
          <w:rFonts w:hint="eastAsia" w:ascii="宋体" w:hAnsi="宋体" w:cs="宋体"/>
          <w:sz w:val="24"/>
          <w:lang w:val="zh-CN"/>
        </w:rPr>
        <w:t>给予反馈，</w:t>
      </w:r>
      <w:r>
        <w:rPr>
          <w:rFonts w:hint="eastAsia" w:ascii="宋体" w:hAnsi="宋体" w:cs="宋体"/>
          <w:sz w:val="24"/>
        </w:rPr>
        <w:t>按承诺要求</w:t>
      </w:r>
      <w:r>
        <w:rPr>
          <w:rFonts w:hint="eastAsia" w:ascii="宋体" w:hAnsi="宋体" w:cs="宋体"/>
          <w:sz w:val="24"/>
          <w:lang w:val="zh-CN"/>
        </w:rPr>
        <w:t>派合格的技术人员赴现场提供免费服务，解决问题。如不能按采购人要求的时间予以修复，投标人应保证免费提供</w:t>
      </w:r>
      <w:r>
        <w:rPr>
          <w:rFonts w:hint="eastAsia" w:ascii="宋体" w:hAnsi="宋体" w:cs="宋体"/>
          <w:sz w:val="24"/>
        </w:rPr>
        <w:t>按照设计要求的</w:t>
      </w:r>
      <w:r>
        <w:rPr>
          <w:rFonts w:hint="eastAsia" w:ascii="宋体" w:hAnsi="宋体" w:cs="宋体"/>
          <w:sz w:val="24"/>
          <w:lang w:val="zh-CN"/>
        </w:rPr>
        <w:t>标的物为招标人提供服务。</w:t>
      </w:r>
    </w:p>
    <w:p>
      <w:pPr>
        <w:pStyle w:val="3"/>
        <w:rPr>
          <w:rFonts w:hAnsi="宋体" w:cs="宋体"/>
        </w:rPr>
      </w:pPr>
      <w:r>
        <w:rPr>
          <w:rFonts w:hint="eastAsia" w:hAnsi="宋体" w:cs="宋体"/>
        </w:rPr>
        <w:t>六、采购标的的验收标准</w:t>
      </w:r>
    </w:p>
    <w:p>
      <w:pPr>
        <w:spacing w:line="440" w:lineRule="exact"/>
        <w:ind w:firstLine="480"/>
        <w:rPr>
          <w:rFonts w:ascii="宋体" w:hAnsi="宋体" w:cs="宋体"/>
          <w:sz w:val="24"/>
          <w:lang w:val="zh-CN"/>
        </w:rPr>
      </w:pPr>
      <w:r>
        <w:rPr>
          <w:rFonts w:hint="eastAsia" w:ascii="宋体" w:hAnsi="宋体" w:cs="宋体"/>
          <w:sz w:val="24"/>
          <w:lang w:val="zh-CN"/>
        </w:rPr>
        <w:t>1、产品应保证在发货前对货物的质量、规格、性能、数量和重量等进行准确而全面的检验，并出具一份证明货物符合合同规定的证书。该证书将作为提交付款单据的一部分，但有关质量、规格、性能、数量或重要的检验不应视为最终检验。标的物检验的结果和详细要求应在质量证书电加以说明。</w:t>
      </w:r>
    </w:p>
    <w:p>
      <w:pPr>
        <w:spacing w:line="440" w:lineRule="exact"/>
        <w:ind w:firstLine="480"/>
        <w:rPr>
          <w:rFonts w:ascii="宋体" w:hAnsi="宋体" w:cs="宋体"/>
          <w:sz w:val="24"/>
          <w:lang w:val="zh-CN"/>
        </w:rPr>
      </w:pPr>
      <w:r>
        <w:rPr>
          <w:rFonts w:hint="eastAsia" w:ascii="宋体" w:hAnsi="宋体" w:cs="宋体"/>
          <w:sz w:val="24"/>
          <w:lang w:val="zh-CN"/>
        </w:rPr>
        <w:t>2、货物运抵采购项目（标的）交付的地点后，采购人将在7个工作日内组织验收，由采购人组织验收小组，对货物的数量、外观、质量、安全、功能及性能等进行验收、项目验收依据为采购合同、招标文件和投标文件。验收小组将根据验收情况制作验收备忘录并签署验收意见。</w:t>
      </w:r>
    </w:p>
    <w:p>
      <w:pPr>
        <w:spacing w:line="440" w:lineRule="exact"/>
        <w:ind w:firstLine="480"/>
        <w:rPr>
          <w:rFonts w:ascii="宋体" w:hAnsi="宋体" w:cs="宋体"/>
          <w:sz w:val="24"/>
        </w:rPr>
      </w:pPr>
      <w:r>
        <w:rPr>
          <w:rFonts w:hint="eastAsia" w:ascii="宋体" w:hAnsi="宋体" w:cs="宋体"/>
          <w:sz w:val="24"/>
        </w:rPr>
        <w:t>3、标的物实施后，整个系统的验收应符合响应的验收规范。</w:t>
      </w:r>
    </w:p>
    <w:p>
      <w:pPr>
        <w:pStyle w:val="3"/>
        <w:rPr>
          <w:rFonts w:hAnsi="宋体" w:cs="宋体"/>
        </w:rPr>
      </w:pPr>
      <w:r>
        <w:rPr>
          <w:rFonts w:hint="eastAsia" w:hAnsi="宋体" w:cs="宋体"/>
        </w:rPr>
        <w:t>七、采购标的的其他技术、服务等要求</w:t>
      </w:r>
    </w:p>
    <w:p>
      <w:pPr>
        <w:spacing w:line="440" w:lineRule="exact"/>
        <w:ind w:firstLine="480"/>
        <w:rPr>
          <w:rFonts w:ascii="宋体" w:hAnsi="宋体" w:cs="宋体"/>
          <w:sz w:val="24"/>
        </w:rPr>
      </w:pPr>
      <w:r>
        <w:rPr>
          <w:rFonts w:hint="eastAsia" w:ascii="宋体" w:hAnsi="宋体" w:cs="宋体"/>
          <w:sz w:val="24"/>
        </w:rPr>
        <w:t>1、细石混凝土：采用不低于C20细石混凝土；</w:t>
      </w:r>
    </w:p>
    <w:p>
      <w:pPr>
        <w:spacing w:line="440" w:lineRule="exact"/>
        <w:ind w:firstLine="480"/>
        <w:rPr>
          <w:rFonts w:hint="eastAsia" w:ascii="宋体" w:hAnsi="宋体" w:cs="宋体"/>
          <w:sz w:val="24"/>
        </w:rPr>
      </w:pPr>
      <w:r>
        <w:rPr>
          <w:rFonts w:hint="eastAsia" w:ascii="宋体" w:hAnsi="宋体" w:cs="宋体"/>
          <w:sz w:val="24"/>
        </w:rPr>
        <w:t>2、维修过程中拆除的建筑垃圾需由专门的建筑垃圾消纳单位和消纳地点。</w:t>
      </w:r>
    </w:p>
    <w:p>
      <w:pPr>
        <w:pStyle w:val="2"/>
        <w:rPr>
          <w:rFonts w:hint="eastAsia"/>
        </w:rPr>
      </w:pPr>
    </w:p>
    <w:p>
      <w:pPr>
        <w:rPr>
          <w:rFonts w:hint="eastAsia"/>
        </w:rPr>
      </w:pPr>
    </w:p>
    <w:p>
      <w:pPr>
        <w:pStyle w:val="2"/>
        <w:spacing w:line="360" w:lineRule="auto"/>
        <w:ind w:firstLine="480"/>
        <w:rPr>
          <w:rFonts w:hint="eastAsia" w:hAnsi="宋体" w:cs="宋体"/>
          <w:sz w:val="24"/>
          <w:szCs w:val="24"/>
        </w:rPr>
      </w:pPr>
      <w:r>
        <w:rPr>
          <w:rFonts w:hint="eastAsia" w:hAnsi="宋体" w:cs="宋体"/>
          <w:sz w:val="24"/>
          <w:lang w:val="en-US" w:eastAsia="zh-CN"/>
        </w:rPr>
        <w:t>注：具体内容详见工程量清单</w:t>
      </w:r>
    </w:p>
    <w:p>
      <w:pPr>
        <w:rPr>
          <w:rFonts w:asciiTheme="minorEastAsia" w:hAnsiTheme="minorEastAsia" w:eastAsiaTheme="minorEastAsia"/>
          <w:lang w:eastAsia="zh-CN"/>
        </w:rPr>
      </w:pPr>
    </w:p>
    <w:p>
      <w:pPr>
        <w:rPr>
          <w:rFonts w:asciiTheme="minorEastAsia" w:hAnsiTheme="minorEastAsia" w:eastAsiaTheme="minorEastAsia"/>
          <w:lang w:eastAsia="zh-CN"/>
        </w:rPr>
        <w:sectPr>
          <w:footerReference r:id="rId7" w:type="default"/>
          <w:pgSz w:w="11910" w:h="16840"/>
          <w:pgMar w:top="1440" w:right="1797" w:bottom="1440" w:left="1797" w:header="879" w:footer="892" w:gutter="0"/>
          <w:pgNumType w:start="30"/>
          <w:cols w:space="720" w:num="1"/>
        </w:sectPr>
      </w:pPr>
    </w:p>
    <w:p>
      <w:pPr>
        <w:pStyle w:val="3"/>
        <w:tabs>
          <w:tab w:val="left" w:pos="1670"/>
        </w:tabs>
        <w:spacing w:before="246"/>
        <w:ind w:left="48"/>
        <w:jc w:val="center"/>
        <w:rPr>
          <w:rFonts w:asciiTheme="minorEastAsia" w:hAnsiTheme="minorEastAsia" w:eastAsiaTheme="minorEastAsia"/>
          <w:b/>
          <w:lang w:eastAsia="zh-CN"/>
        </w:rPr>
      </w:pPr>
      <w:bookmarkStart w:id="27" w:name="_TOC_250001"/>
      <w:bookmarkEnd w:id="27"/>
      <w:bookmarkStart w:id="28" w:name="_Toc164263464"/>
      <w:r>
        <w:rPr>
          <w:rFonts w:asciiTheme="minorEastAsia" w:hAnsiTheme="minorEastAsia" w:eastAsiaTheme="minorEastAsia"/>
          <w:b/>
          <w:lang w:eastAsia="zh-CN"/>
        </w:rPr>
        <w:t>第五章</w:t>
      </w:r>
      <w:r>
        <w:rPr>
          <w:rFonts w:hint="eastAsia" w:asciiTheme="minorEastAsia" w:hAnsiTheme="minorEastAsia" w:eastAsiaTheme="minorEastAsia"/>
          <w:b/>
          <w:lang w:val="en-US" w:eastAsia="zh-CN"/>
        </w:rPr>
        <w:t xml:space="preserve">    </w:t>
      </w:r>
      <w:r>
        <w:rPr>
          <w:rFonts w:asciiTheme="minorEastAsia" w:hAnsiTheme="minorEastAsia" w:eastAsiaTheme="minorEastAsia"/>
          <w:b/>
          <w:lang w:eastAsia="zh-CN"/>
        </w:rPr>
        <w:t>合</w:t>
      </w:r>
      <w:r>
        <w:rPr>
          <w:rFonts w:hint="eastAsia" w:asciiTheme="minorEastAsia" w:hAnsiTheme="minorEastAsia" w:eastAsiaTheme="minorEastAsia"/>
          <w:b/>
          <w:lang w:val="en-US" w:eastAsia="zh-CN"/>
        </w:rPr>
        <w:t xml:space="preserve"> </w:t>
      </w:r>
      <w:r>
        <w:rPr>
          <w:rFonts w:asciiTheme="minorEastAsia" w:hAnsiTheme="minorEastAsia" w:eastAsiaTheme="minorEastAsia"/>
          <w:b/>
          <w:lang w:eastAsia="zh-CN"/>
        </w:rPr>
        <w:t>同</w:t>
      </w:r>
      <w:bookmarkEnd w:id="28"/>
    </w:p>
    <w:p>
      <w:pPr>
        <w:pStyle w:val="12"/>
        <w:spacing w:before="1"/>
        <w:rPr>
          <w:rFonts w:asciiTheme="minorEastAsia" w:hAnsiTheme="minorEastAsia" w:eastAsiaTheme="minorEastAsia"/>
          <w:sz w:val="43"/>
          <w:lang w:eastAsia="zh-CN"/>
        </w:rPr>
      </w:pPr>
    </w:p>
    <w:p>
      <w:pPr>
        <w:jc w:val="center"/>
      </w:pPr>
      <w:r>
        <w:rPr>
          <w:rFonts w:hint="eastAsia"/>
        </w:rPr>
        <w:t>（此合同仅供参考。以最终采购人与中标供应商签定的合同条款为准，</w:t>
      </w:r>
    </w:p>
    <w:p>
      <w:pPr>
        <w:jc w:val="center"/>
        <w:rPr>
          <w:rFonts w:hint="eastAsia"/>
        </w:rPr>
      </w:pPr>
      <w:r>
        <w:rPr>
          <w:rFonts w:hint="eastAsia"/>
        </w:rPr>
        <w:t>最终签定合同的主要条款不能与招标文件有冲突）</w:t>
      </w:r>
    </w:p>
    <w:p>
      <w:pPr>
        <w:pStyle w:val="2"/>
        <w:rPr>
          <w:rFonts w:hint="eastAsia"/>
        </w:rPr>
      </w:pPr>
    </w:p>
    <w:p>
      <w:pPr>
        <w:rPr>
          <w:rFonts w:hint="eastAsia"/>
        </w:rPr>
      </w:pPr>
    </w:p>
    <w:p>
      <w:pPr>
        <w:jc w:val="left"/>
        <w:rPr>
          <w:rFonts w:eastAsia="仿宋_GB2312"/>
          <w:bCs/>
          <w:color w:val="auto"/>
          <w:sz w:val="32"/>
          <w:szCs w:val="32"/>
          <w:highlight w:val="none"/>
        </w:rPr>
      </w:pPr>
      <w:r>
        <w:rPr>
          <w:rFonts w:eastAsia="仿宋_GB2312"/>
          <w:bCs/>
          <w:color w:val="auto"/>
          <w:sz w:val="32"/>
          <w:szCs w:val="32"/>
          <w:highlight w:val="none"/>
        </w:rPr>
        <w:t>（GF—201</w:t>
      </w:r>
      <w:r>
        <w:rPr>
          <w:rFonts w:hint="eastAsia" w:eastAsia="仿宋_GB2312"/>
          <w:bCs/>
          <w:color w:val="auto"/>
          <w:sz w:val="32"/>
          <w:szCs w:val="32"/>
          <w:highlight w:val="none"/>
        </w:rPr>
        <w:t>7</w:t>
      </w:r>
      <w:r>
        <w:rPr>
          <w:rFonts w:eastAsia="仿宋_GB2312"/>
          <w:bCs/>
          <w:color w:val="auto"/>
          <w:sz w:val="32"/>
          <w:szCs w:val="32"/>
          <w:highlight w:val="none"/>
        </w:rPr>
        <w:t>—</w:t>
      </w:r>
      <w:r>
        <w:rPr>
          <w:rFonts w:hint="eastAsia" w:eastAsia="仿宋_GB2312"/>
          <w:bCs/>
          <w:color w:val="auto"/>
          <w:sz w:val="32"/>
          <w:szCs w:val="32"/>
          <w:highlight w:val="none"/>
        </w:rPr>
        <w:t>0201）</w:t>
      </w:r>
    </w:p>
    <w:p>
      <w:pPr>
        <w:jc w:val="center"/>
        <w:rPr>
          <w:b/>
          <w:color w:val="auto"/>
          <w:sz w:val="52"/>
          <w:szCs w:val="52"/>
          <w:highlight w:val="none"/>
        </w:rPr>
      </w:pPr>
    </w:p>
    <w:p>
      <w:pPr>
        <w:jc w:val="center"/>
        <w:rPr>
          <w:rFonts w:ascii="宋体"/>
          <w:b/>
          <w:bCs/>
          <w:color w:val="auto"/>
          <w:sz w:val="44"/>
          <w:szCs w:val="44"/>
          <w:highlight w:val="none"/>
        </w:rPr>
      </w:pPr>
    </w:p>
    <w:p>
      <w:pPr>
        <w:jc w:val="center"/>
        <w:rPr>
          <w:rFonts w:ascii="宋体"/>
          <w:b/>
          <w:bCs/>
          <w:color w:val="auto"/>
          <w:sz w:val="44"/>
          <w:szCs w:val="44"/>
          <w:highlight w:val="none"/>
        </w:rPr>
      </w:pPr>
    </w:p>
    <w:p>
      <w:pPr>
        <w:jc w:val="center"/>
        <w:rPr>
          <w:rFonts w:ascii="宋体"/>
          <w:b/>
          <w:bCs/>
          <w:color w:val="auto"/>
          <w:sz w:val="44"/>
          <w:szCs w:val="44"/>
          <w:highlight w:val="none"/>
        </w:rPr>
      </w:pPr>
    </w:p>
    <w:p>
      <w:pPr>
        <w:jc w:val="center"/>
        <w:rPr>
          <w:rFonts w:ascii="宋体"/>
          <w:b/>
          <w:bCs/>
          <w:color w:val="auto"/>
          <w:sz w:val="44"/>
          <w:szCs w:val="44"/>
          <w:highlight w:val="none"/>
        </w:rPr>
      </w:pPr>
    </w:p>
    <w:p>
      <w:pPr>
        <w:jc w:val="center"/>
        <w:rPr>
          <w:rFonts w:hint="eastAsia" w:eastAsia="华文中宋"/>
          <w:b/>
          <w:color w:val="auto"/>
          <w:sz w:val="48"/>
          <w:szCs w:val="48"/>
          <w:highlight w:val="none"/>
          <w:lang w:eastAsia="zh-CN"/>
        </w:rPr>
      </w:pPr>
      <w:r>
        <w:rPr>
          <w:rFonts w:hint="eastAsia" w:eastAsia="华文中宋"/>
          <w:b/>
          <w:color w:val="auto"/>
          <w:sz w:val="48"/>
          <w:szCs w:val="48"/>
          <w:highlight w:val="none"/>
        </w:rPr>
        <w:t>建设工程施工</w:t>
      </w:r>
      <w:r>
        <w:rPr>
          <w:rFonts w:eastAsia="华文中宋"/>
          <w:b/>
          <w:color w:val="auto"/>
          <w:sz w:val="48"/>
          <w:szCs w:val="48"/>
          <w:highlight w:val="none"/>
        </w:rPr>
        <w:t>合同</w:t>
      </w:r>
    </w:p>
    <w:p>
      <w:pPr>
        <w:pStyle w:val="2"/>
        <w:rPr>
          <w:rFonts w:hint="eastAsia"/>
          <w:highlight w:val="none"/>
          <w:lang w:eastAsia="zh-CN"/>
        </w:rPr>
      </w:pPr>
    </w:p>
    <w:p>
      <w:pPr>
        <w:jc w:val="center"/>
        <w:rPr>
          <w:rFonts w:eastAsia="华文中宋"/>
          <w:b/>
          <w:color w:val="auto"/>
          <w:sz w:val="52"/>
          <w:szCs w:val="52"/>
          <w:highlight w:val="none"/>
        </w:rPr>
      </w:pPr>
    </w:p>
    <w:p>
      <w:pPr>
        <w:jc w:val="both"/>
        <w:rPr>
          <w:rFonts w:eastAsia="黑体"/>
          <w:b/>
          <w:color w:val="auto"/>
          <w:sz w:val="52"/>
          <w:szCs w:val="52"/>
          <w:highlight w:val="none"/>
        </w:rPr>
      </w:pPr>
    </w:p>
    <w:p>
      <w:pPr>
        <w:rPr>
          <w:b/>
          <w:color w:val="auto"/>
          <w:sz w:val="28"/>
          <w:szCs w:val="28"/>
          <w:highlight w:val="none"/>
        </w:rPr>
      </w:pPr>
    </w:p>
    <w:p>
      <w:pPr>
        <w:rPr>
          <w:b/>
          <w:color w:val="auto"/>
          <w:sz w:val="28"/>
          <w:szCs w:val="28"/>
          <w:highlight w:val="none"/>
        </w:rPr>
      </w:pPr>
    </w:p>
    <w:p>
      <w:pPr>
        <w:rPr>
          <w:b/>
          <w:color w:val="auto"/>
          <w:sz w:val="28"/>
          <w:szCs w:val="28"/>
          <w:highlight w:val="none"/>
        </w:rPr>
      </w:pPr>
    </w:p>
    <w:p>
      <w:pPr>
        <w:rPr>
          <w:b/>
          <w:color w:val="auto"/>
          <w:sz w:val="28"/>
          <w:szCs w:val="28"/>
          <w:highlight w:val="none"/>
        </w:rPr>
      </w:pPr>
    </w:p>
    <w:p>
      <w:pPr>
        <w:rPr>
          <w:b/>
          <w:color w:val="auto"/>
          <w:sz w:val="28"/>
          <w:szCs w:val="28"/>
          <w:highlight w:val="none"/>
        </w:rPr>
      </w:pPr>
    </w:p>
    <w:p>
      <w:pPr>
        <w:rPr>
          <w:b/>
          <w:color w:val="auto"/>
          <w:sz w:val="28"/>
          <w:szCs w:val="28"/>
          <w:highlight w:val="none"/>
        </w:rPr>
      </w:pPr>
    </w:p>
    <w:p>
      <w:pPr>
        <w:rPr>
          <w:b/>
          <w:color w:val="auto"/>
          <w:sz w:val="28"/>
          <w:szCs w:val="28"/>
          <w:highlight w:val="none"/>
        </w:rPr>
      </w:pPr>
    </w:p>
    <w:p>
      <w:pPr>
        <w:rPr>
          <w:b/>
          <w:color w:val="auto"/>
          <w:sz w:val="28"/>
          <w:szCs w:val="28"/>
          <w:highlight w:val="none"/>
        </w:rPr>
      </w:pPr>
    </w:p>
    <w:p>
      <w:pPr>
        <w:rPr>
          <w:b/>
          <w:color w:val="auto"/>
          <w:sz w:val="28"/>
          <w:szCs w:val="28"/>
          <w:highlight w:val="none"/>
        </w:rPr>
      </w:pPr>
    </w:p>
    <w:p>
      <w:pPr>
        <w:rPr>
          <w:b/>
          <w:color w:val="auto"/>
          <w:sz w:val="28"/>
          <w:szCs w:val="28"/>
          <w:highlight w:val="none"/>
        </w:rPr>
      </w:pPr>
    </w:p>
    <w:p>
      <w:pPr>
        <w:rPr>
          <w:b/>
          <w:color w:val="auto"/>
          <w:sz w:val="28"/>
          <w:szCs w:val="28"/>
          <w:highlight w:val="none"/>
        </w:rPr>
      </w:pPr>
    </w:p>
    <w:p>
      <w:pPr>
        <w:ind w:right="2849" w:rightChars="1295" w:firstLine="2310" w:firstLineChars="1050"/>
        <w:jc w:val="distribute"/>
        <w:rPr>
          <w:b/>
          <w:color w:val="auto"/>
          <w:sz w:val="32"/>
          <w:szCs w:val="28"/>
          <w:highlight w:val="none"/>
        </w:rPr>
      </w:pPr>
      <w:r>
        <w:rPr>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 name="文本框 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6432;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BzS1x2AAAAAkBAAAPAAAAAAAAAAEAIAAAACIA&#10;AABkcnMvZG93bnJldi54bWxQSwECFAAUAAAACACHTuJA59W8swkCAAAaBAAADgAAAAAAAAABACAA&#10;AAAnAQAAZHJzL2Uyb0RvYy54bWxQSwUGAAAAAAYABgBZAQAAogUAAAAA&#10;">
                <v:fill on="f" focussize="0,0"/>
                <v:stroke color="#FFFFFF" joinstyle="miter"/>
                <v:imagedata o:title=""/>
                <o:lock v:ext="edit" aspectratio="f"/>
                <v:textbox>
                  <w:txbxContent>
                    <w:p>
                      <w:pPr>
                        <w:rPr>
                          <w:b/>
                          <w:bCs/>
                          <w:sz w:val="32"/>
                        </w:rPr>
                      </w:pPr>
                      <w:r>
                        <w:rPr>
                          <w:rFonts w:hint="eastAsia"/>
                          <w:b/>
                          <w:bCs/>
                          <w:sz w:val="32"/>
                        </w:rPr>
                        <w:t>制定</w:t>
                      </w:r>
                    </w:p>
                  </w:txbxContent>
                </v:textbox>
              </v:shape>
            </w:pict>
          </mc:Fallback>
        </mc:AlternateContent>
      </w:r>
      <w:r>
        <w:rPr>
          <w:b/>
          <w:color w:val="auto"/>
          <w:sz w:val="32"/>
          <w:szCs w:val="28"/>
          <w:highlight w:val="none"/>
        </w:rPr>
        <w:t>住房和城乡建设部</w:t>
      </w:r>
    </w:p>
    <w:p>
      <w:pPr>
        <w:ind w:right="2849" w:rightChars="1295" w:firstLine="2233" w:firstLineChars="695"/>
        <w:jc w:val="distribute"/>
        <w:rPr>
          <w:b/>
          <w:color w:val="auto"/>
          <w:sz w:val="32"/>
          <w:szCs w:val="28"/>
          <w:highlight w:val="none"/>
        </w:rPr>
      </w:pPr>
      <w:r>
        <w:rPr>
          <w:b/>
          <w:color w:val="auto"/>
          <w:sz w:val="32"/>
          <w:szCs w:val="28"/>
          <w:highlight w:val="none"/>
        </w:rPr>
        <w:t>国家工商行政管理总局</w:t>
      </w:r>
    </w:p>
    <w:p>
      <w:pPr>
        <w:widowControl/>
        <w:jc w:val="left"/>
        <w:rPr>
          <w:rFonts w:ascii="黑体" w:eastAsia="黑体"/>
          <w:b/>
          <w:bCs/>
          <w:color w:val="auto"/>
          <w:kern w:val="44"/>
          <w:sz w:val="28"/>
          <w:szCs w:val="28"/>
          <w:highlight w:val="none"/>
          <w:lang w:val="zh-CN"/>
        </w:rPr>
      </w:pPr>
    </w:p>
    <w:p>
      <w:pPr>
        <w:widowControl/>
        <w:jc w:val="left"/>
        <w:rPr>
          <w:rFonts w:ascii="黑体" w:eastAsia="黑体"/>
          <w:b/>
          <w:bCs/>
          <w:color w:val="auto"/>
          <w:kern w:val="44"/>
          <w:sz w:val="28"/>
          <w:szCs w:val="28"/>
          <w:highlight w:val="none"/>
          <w:lang w:val="zh-CN"/>
        </w:rPr>
      </w:pPr>
      <w:r>
        <w:rPr>
          <w:rFonts w:ascii="黑体" w:eastAsia="黑体"/>
          <w:b/>
          <w:bCs/>
          <w:color w:val="auto"/>
          <w:kern w:val="44"/>
          <w:sz w:val="28"/>
          <w:szCs w:val="28"/>
          <w:highlight w:val="none"/>
          <w:lang w:val="zh-CN"/>
        </w:rPr>
        <w:br w:type="page"/>
      </w:r>
    </w:p>
    <w:p>
      <w:pPr>
        <w:widowControl/>
        <w:jc w:val="left"/>
        <w:rPr>
          <w:rFonts w:ascii="黑体" w:eastAsia="黑体"/>
          <w:b/>
          <w:bCs/>
          <w:color w:val="auto"/>
          <w:kern w:val="44"/>
          <w:sz w:val="28"/>
          <w:szCs w:val="28"/>
          <w:highlight w:val="none"/>
          <w:lang w:val="zh-CN"/>
        </w:rPr>
      </w:pPr>
    </w:p>
    <w:p>
      <w:pPr>
        <w:pStyle w:val="3"/>
        <w:spacing w:line="276" w:lineRule="auto"/>
        <w:jc w:val="center"/>
        <w:rPr>
          <w:rFonts w:ascii="黑体" w:eastAsia="黑体"/>
          <w:color w:val="auto"/>
          <w:sz w:val="28"/>
          <w:szCs w:val="28"/>
          <w:highlight w:val="none"/>
        </w:rPr>
      </w:pPr>
      <w:r>
        <w:rPr>
          <w:rFonts w:hint="eastAsia" w:ascii="黑体" w:eastAsia="黑体"/>
          <w:color w:val="auto"/>
          <w:sz w:val="28"/>
          <w:szCs w:val="28"/>
          <w:highlight w:val="none"/>
        </w:rPr>
        <w:t xml:space="preserve"> 合同协议书</w:t>
      </w:r>
    </w:p>
    <w:p>
      <w:pPr>
        <w:pStyle w:val="47"/>
        <w:wordWrap w:val="0"/>
        <w:spacing w:line="440" w:lineRule="exact"/>
        <w:ind w:right="840"/>
        <w:jc w:val="right"/>
        <w:rPr>
          <w:color w:val="auto"/>
          <w:szCs w:val="21"/>
          <w:highlight w:val="none"/>
          <w:u w:val="single"/>
        </w:rPr>
      </w:pPr>
      <w:r>
        <w:rPr>
          <w:rFonts w:hint="eastAsia"/>
          <w:color w:val="auto"/>
          <w:szCs w:val="21"/>
          <w:highlight w:val="none"/>
        </w:rPr>
        <w:t>编号：</w:t>
      </w:r>
    </w:p>
    <w:p>
      <w:pPr>
        <w:spacing w:line="400" w:lineRule="exact"/>
        <w:rPr>
          <w:rFonts w:hint="eastAsia" w:ascii="Arial" w:hAnsi="Arial" w:eastAsia="宋体" w:cs="Arial"/>
          <w:color w:val="auto"/>
          <w:szCs w:val="21"/>
          <w:highlight w:val="none"/>
          <w:u w:val="single"/>
          <w:lang w:eastAsia="zh-CN"/>
        </w:rPr>
      </w:pPr>
      <w:r>
        <w:rPr>
          <w:rFonts w:ascii="Arial" w:hAnsi="宋体" w:cs="Arial"/>
          <w:b/>
          <w:color w:val="auto"/>
          <w:szCs w:val="21"/>
          <w:highlight w:val="none"/>
        </w:rPr>
        <w:t>发包人</w:t>
      </w:r>
      <w:r>
        <w:rPr>
          <w:rFonts w:hint="eastAsia" w:ascii="Arial" w:hAnsi="宋体" w:cs="Arial"/>
          <w:b/>
          <w:color w:val="auto"/>
          <w:szCs w:val="21"/>
          <w:highlight w:val="none"/>
        </w:rPr>
        <w:t>（全称）</w:t>
      </w:r>
      <w:r>
        <w:rPr>
          <w:rFonts w:ascii="Arial" w:hAnsi="宋体" w:cs="Arial"/>
          <w:b/>
          <w:color w:val="auto"/>
          <w:szCs w:val="21"/>
          <w:highlight w:val="none"/>
        </w:rPr>
        <w:t>：</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u w:val="single"/>
          <w:lang w:eastAsia="zh-CN"/>
        </w:rPr>
        <w:t>北京市顺义区教育资产管理服务中心</w:t>
      </w:r>
    </w:p>
    <w:p>
      <w:pPr>
        <w:spacing w:line="400" w:lineRule="exact"/>
        <w:rPr>
          <w:rFonts w:hint="default" w:ascii="宋体" w:hAnsi="宋体" w:eastAsia="宋体" w:cs="Arial"/>
          <w:color w:val="auto"/>
          <w:szCs w:val="21"/>
          <w:highlight w:val="none"/>
          <w:u w:val="single"/>
          <w:lang w:val="en-US" w:eastAsia="zh-CN"/>
        </w:rPr>
      </w:pPr>
      <w:r>
        <w:rPr>
          <w:rFonts w:hint="eastAsia" w:ascii="Arial" w:hAnsi="Arial"/>
          <w:b/>
          <w:color w:val="auto"/>
          <w:szCs w:val="21"/>
          <w:highlight w:val="none"/>
        </w:rPr>
        <w:t xml:space="preserve">法定代表人：   </w:t>
      </w:r>
      <w:r>
        <w:rPr>
          <w:rFonts w:hint="eastAsia" w:ascii="Arial" w:hAnsi="Arial"/>
          <w:b/>
          <w:color w:val="auto"/>
          <w:szCs w:val="21"/>
          <w:highlight w:val="none"/>
          <w:lang w:val="en-US" w:eastAsia="zh-CN"/>
        </w:rPr>
        <w:t xml:space="preserve"> </w:t>
      </w:r>
      <w:r>
        <w:rPr>
          <w:rFonts w:hint="eastAsia" w:ascii="Arial" w:hAnsi="Arial"/>
          <w:b/>
          <w:color w:val="auto"/>
          <w:szCs w:val="21"/>
          <w:highlight w:val="none"/>
          <w:u w:val="single"/>
          <w:lang w:val="en-US" w:eastAsia="zh-CN"/>
        </w:rPr>
        <w:t xml:space="preserve">         </w:t>
      </w:r>
      <w:r>
        <w:rPr>
          <w:rFonts w:hint="eastAsia" w:ascii="Arial"/>
          <w:b/>
          <w:color w:val="auto"/>
          <w:szCs w:val="21"/>
          <w:highlight w:val="none"/>
        </w:rPr>
        <w:t>法定注册地址：</w:t>
      </w:r>
      <w:r>
        <w:rPr>
          <w:rFonts w:hint="eastAsia"/>
          <w:highlight w:val="none"/>
          <w:u w:val="single"/>
          <w:lang w:val="en-US" w:eastAsia="zh-CN"/>
        </w:rPr>
        <w:t xml:space="preserve">                </w:t>
      </w:r>
    </w:p>
    <w:p>
      <w:pPr>
        <w:spacing w:line="400" w:lineRule="exact"/>
        <w:rPr>
          <w:rFonts w:hint="eastAsia" w:ascii="Arial" w:hAnsi="Arial" w:cs="Arial"/>
          <w:color w:val="auto"/>
          <w:szCs w:val="21"/>
          <w:highlight w:val="none"/>
          <w:u w:val="single"/>
          <w:lang w:val="en-US" w:eastAsia="zh-CN"/>
        </w:rPr>
      </w:pPr>
      <w:r>
        <w:rPr>
          <w:rFonts w:hint="eastAsia" w:ascii="Arial"/>
          <w:b/>
          <w:color w:val="auto"/>
          <w:szCs w:val="21"/>
          <w:highlight w:val="none"/>
        </w:rPr>
        <w:t>承包人（全称）：</w:t>
      </w:r>
      <w:r>
        <w:rPr>
          <w:rFonts w:hint="eastAsia" w:ascii="Arial" w:hAnsi="Arial" w:cs="Arial"/>
          <w:color w:val="auto"/>
          <w:szCs w:val="21"/>
          <w:highlight w:val="none"/>
          <w:u w:val="single"/>
          <w:lang w:val="en-US" w:eastAsia="zh-CN"/>
        </w:rPr>
        <w:t xml:space="preserve">                                                   </w:t>
      </w:r>
    </w:p>
    <w:p>
      <w:pPr>
        <w:spacing w:line="400" w:lineRule="exact"/>
        <w:rPr>
          <w:rFonts w:hint="eastAsia" w:ascii="Arial" w:hAnsi="Arial" w:cs="Arial"/>
          <w:color w:val="auto"/>
          <w:szCs w:val="21"/>
          <w:highlight w:val="none"/>
          <w:u w:val="single"/>
          <w:lang w:val="en-US" w:eastAsia="zh-CN"/>
        </w:rPr>
      </w:pPr>
      <w:r>
        <w:rPr>
          <w:rFonts w:hint="eastAsia" w:ascii="Arial" w:hAnsi="Arial"/>
          <w:b/>
          <w:color w:val="auto"/>
          <w:szCs w:val="21"/>
          <w:highlight w:val="none"/>
        </w:rPr>
        <w:t>法定代表人：</w:t>
      </w:r>
      <w:r>
        <w:rPr>
          <w:rFonts w:hint="eastAsia" w:ascii="Arial" w:hAnsi="Arial" w:cs="Arial"/>
          <w:color w:val="auto"/>
          <w:szCs w:val="21"/>
          <w:highlight w:val="none"/>
          <w:u w:val="single"/>
          <w:lang w:val="en-US" w:eastAsia="zh-CN"/>
        </w:rPr>
        <w:t xml:space="preserve">                                                      </w:t>
      </w:r>
    </w:p>
    <w:p>
      <w:pPr>
        <w:spacing w:line="400" w:lineRule="exact"/>
        <w:rPr>
          <w:rFonts w:hint="default" w:ascii="宋体" w:hAnsi="宋体" w:eastAsia="宋体"/>
          <w:b/>
          <w:color w:val="auto"/>
          <w:highlight w:val="none"/>
          <w:lang w:val="en-US" w:eastAsia="zh-CN"/>
        </w:rPr>
      </w:pPr>
      <w:r>
        <w:rPr>
          <w:rFonts w:hint="eastAsia" w:ascii="Arial"/>
          <w:b/>
          <w:color w:val="auto"/>
          <w:szCs w:val="21"/>
          <w:highlight w:val="none"/>
        </w:rPr>
        <w:t>法定注册地址：</w:t>
      </w:r>
      <w:r>
        <w:rPr>
          <w:rFonts w:hint="eastAsia" w:ascii="Arial" w:hAnsi="Arial" w:cs="Arial"/>
          <w:color w:val="auto"/>
          <w:szCs w:val="21"/>
          <w:highlight w:val="none"/>
          <w:u w:val="thick"/>
          <w:lang w:val="en-US" w:eastAsia="zh-CN"/>
        </w:rPr>
        <w:t xml:space="preserve">                                                    </w:t>
      </w:r>
    </w:p>
    <w:p>
      <w:pPr>
        <w:spacing w:line="400" w:lineRule="exact"/>
        <w:ind w:firstLine="490"/>
        <w:rPr>
          <w:rFonts w:ascii="宋体" w:hAnsi="宋体"/>
          <w:color w:val="auto"/>
          <w:highlight w:val="none"/>
        </w:rPr>
      </w:pPr>
    </w:p>
    <w:p>
      <w:pPr>
        <w:ind w:firstLine="660" w:firstLineChars="300"/>
        <w:jc w:val="left"/>
        <w:rPr>
          <w:rFonts w:ascii="Times" w:hAnsi="宋体" w:cs="MingLiU"/>
          <w:color w:val="auto"/>
          <w:kern w:val="0"/>
          <w:szCs w:val="21"/>
          <w:highlight w:val="none"/>
          <w:u w:val="single"/>
        </w:rPr>
      </w:pPr>
      <w:r>
        <w:rPr>
          <w:rFonts w:hint="eastAsia" w:ascii="Arial"/>
          <w:color w:val="auto"/>
          <w:szCs w:val="21"/>
          <w:highlight w:val="none"/>
        </w:rPr>
        <w:t>发包人为建设</w:t>
      </w:r>
      <w:r>
        <w:rPr>
          <w:rFonts w:hint="eastAsia" w:ascii="Times" w:hAnsi="宋体" w:cs="MingLiU"/>
          <w:color w:val="auto"/>
          <w:kern w:val="0"/>
          <w:szCs w:val="21"/>
          <w:highlight w:val="none"/>
          <w:u w:val="single"/>
          <w:lang w:val="en-US" w:eastAsia="zh-CN"/>
        </w:rPr>
        <w:t xml:space="preserve">         </w:t>
      </w:r>
      <w:r>
        <w:rPr>
          <w:rFonts w:hint="eastAsia" w:ascii="Arial"/>
          <w:color w:val="auto"/>
          <w:szCs w:val="21"/>
          <w:highlight w:val="none"/>
        </w:rPr>
        <w:t>（以下简称</w:t>
      </w:r>
      <w:r>
        <w:rPr>
          <w:rFonts w:hint="eastAsia" w:ascii="Arial" w:hAnsi="Arial"/>
          <w:color w:val="auto"/>
          <w:szCs w:val="21"/>
          <w:highlight w:val="none"/>
        </w:rPr>
        <w:t>“</w:t>
      </w:r>
      <w:r>
        <w:rPr>
          <w:rFonts w:hint="eastAsia" w:ascii="Arial"/>
          <w:color w:val="auto"/>
          <w:szCs w:val="21"/>
          <w:highlight w:val="none"/>
        </w:rPr>
        <w:t>本工程</w:t>
      </w:r>
      <w:r>
        <w:rPr>
          <w:rFonts w:hint="eastAsia" w:ascii="Arial" w:hAnsi="Arial"/>
          <w:color w:val="auto"/>
          <w:szCs w:val="21"/>
          <w:highlight w:val="none"/>
        </w:rPr>
        <w:t>”</w:t>
      </w:r>
      <w:r>
        <w:rPr>
          <w:rFonts w:hint="eastAsia" w:ascii="Arial"/>
          <w:color w:val="auto"/>
          <w:szCs w:val="21"/>
          <w:highlight w:val="none"/>
        </w:rPr>
        <w:t>），已接受承包人提出的承担本工程的施工、竣工、交付并维修其任何缺陷的投标。</w:t>
      </w:r>
      <w:r>
        <w:rPr>
          <w:rFonts w:hint="eastAsia" w:ascii="宋体" w:hAnsi="宋体"/>
          <w:color w:val="auto"/>
          <w:highlight w:val="none"/>
        </w:rPr>
        <w:t>依照《中华人民共和国招标投标法》、《中华人民共和国民法典》、《中华人民共和国建筑法》、及其他有关法律、行政法规，遵循平等、自愿、公平和诚实信用的原则，双方共同达成并订立如下协议。</w:t>
      </w:r>
    </w:p>
    <w:p>
      <w:pPr>
        <w:spacing w:line="400" w:lineRule="exact"/>
        <w:ind w:firstLine="539" w:firstLineChars="245"/>
        <w:rPr>
          <w:rFonts w:ascii="黑体" w:hAnsi="宋体" w:eastAsia="黑体"/>
          <w:color w:val="auto"/>
          <w:highlight w:val="none"/>
        </w:rPr>
      </w:pPr>
      <w:r>
        <w:rPr>
          <w:rFonts w:hint="eastAsia" w:ascii="黑体" w:hAnsi="宋体" w:eastAsia="黑体"/>
          <w:color w:val="auto"/>
          <w:highlight w:val="none"/>
        </w:rPr>
        <w:t>一、工程概况</w:t>
      </w:r>
    </w:p>
    <w:p>
      <w:pPr>
        <w:spacing w:line="400" w:lineRule="exact"/>
        <w:ind w:left="440" w:leftChars="200" w:firstLine="220" w:firstLineChars="100"/>
        <w:rPr>
          <w:rFonts w:hint="default" w:ascii="宋体" w:hAnsi="宋体" w:eastAsia="宋体"/>
          <w:color w:val="auto"/>
          <w:highlight w:val="none"/>
          <w:u w:val="single"/>
          <w:lang w:val="en-US" w:eastAsia="zh-CN"/>
        </w:rPr>
      </w:pPr>
      <w:r>
        <w:rPr>
          <w:rFonts w:hint="eastAsia" w:ascii="宋体" w:hAnsi="宋体"/>
          <w:color w:val="auto"/>
          <w:highlight w:val="none"/>
        </w:rPr>
        <w:t>工程名称：</w:t>
      </w:r>
      <w:r>
        <w:rPr>
          <w:rFonts w:hint="eastAsia" w:ascii="Times" w:hAnsi="宋体" w:cs="MingLiU"/>
          <w:color w:val="auto"/>
          <w:kern w:val="0"/>
          <w:szCs w:val="21"/>
          <w:highlight w:val="none"/>
          <w:u w:val="single"/>
          <w:lang w:val="en-US" w:eastAsia="zh-CN"/>
        </w:rPr>
        <w:t xml:space="preserve">        </w:t>
      </w:r>
    </w:p>
    <w:p>
      <w:pPr>
        <w:spacing w:line="400" w:lineRule="exact"/>
        <w:ind w:firstLine="660" w:firstLineChars="300"/>
        <w:rPr>
          <w:rFonts w:hint="default" w:ascii="宋体" w:hAnsi="宋体" w:eastAsia="宋体"/>
          <w:color w:val="auto"/>
          <w:highlight w:val="none"/>
          <w:u w:val="single"/>
          <w:lang w:val="en-US" w:eastAsia="zh-CN"/>
        </w:rPr>
      </w:pPr>
      <w:r>
        <w:rPr>
          <w:rFonts w:hint="eastAsia" w:ascii="宋体" w:hAnsi="宋体"/>
          <w:color w:val="auto"/>
          <w:highlight w:val="none"/>
        </w:rPr>
        <w:t>工程地点：</w:t>
      </w:r>
      <w:r>
        <w:rPr>
          <w:rFonts w:hint="eastAsia" w:ascii="宋体" w:hAnsi="宋体" w:cs="Arial"/>
          <w:color w:val="auto"/>
          <w:szCs w:val="21"/>
          <w:highlight w:val="none"/>
          <w:u w:val="single"/>
          <w:lang w:val="en-US" w:eastAsia="zh-CN"/>
        </w:rPr>
        <w:t xml:space="preserve">   北京市顺义区        </w:t>
      </w:r>
    </w:p>
    <w:p>
      <w:pPr>
        <w:spacing w:line="440" w:lineRule="exact"/>
        <w:ind w:firstLine="660" w:firstLineChars="300"/>
        <w:rPr>
          <w:rFonts w:hint="default" w:ascii="Times" w:hAnsi="宋体" w:eastAsia="宋体" w:cs="MingLiU"/>
          <w:color w:val="auto"/>
          <w:kern w:val="0"/>
          <w:szCs w:val="21"/>
          <w:highlight w:val="none"/>
          <w:u w:val="single"/>
          <w:lang w:val="en-US" w:eastAsia="zh-CN"/>
        </w:rPr>
      </w:pPr>
      <w:r>
        <w:rPr>
          <w:rFonts w:hint="eastAsia" w:ascii="宋体" w:hAnsi="宋体"/>
          <w:color w:val="auto"/>
          <w:highlight w:val="none"/>
        </w:rPr>
        <w:t>工程内容：</w:t>
      </w:r>
      <w:r>
        <w:rPr>
          <w:rFonts w:hint="eastAsia" w:ascii="Times" w:hAnsi="宋体" w:cs="MingLiU"/>
          <w:color w:val="auto"/>
          <w:kern w:val="0"/>
          <w:szCs w:val="21"/>
          <w:highlight w:val="none"/>
          <w:u w:val="single"/>
          <w:lang w:val="en-US" w:eastAsia="zh-CN"/>
        </w:rPr>
        <w:t xml:space="preserve"> 图纸及工程量清单的全部内容。</w:t>
      </w:r>
    </w:p>
    <w:p>
      <w:pPr>
        <w:spacing w:line="400" w:lineRule="exact"/>
        <w:ind w:firstLine="490"/>
        <w:rPr>
          <w:rFonts w:hint="eastAsia" w:ascii="宋体" w:hAnsi="宋体"/>
          <w:color w:val="auto"/>
          <w:highlight w:val="none"/>
          <w:u w:val="single"/>
          <w:lang w:val="en-US" w:eastAsia="zh-CN"/>
        </w:rPr>
      </w:pPr>
      <w:r>
        <w:rPr>
          <w:rFonts w:hint="eastAsia" w:ascii="宋体" w:hAnsi="宋体"/>
          <w:color w:val="auto"/>
          <w:highlight w:val="none"/>
        </w:rPr>
        <w:t>工程立项批准文号：</w:t>
      </w:r>
      <w:r>
        <w:rPr>
          <w:rFonts w:hint="eastAsia" w:ascii="宋体" w:hAnsi="宋体"/>
          <w:color w:val="auto"/>
          <w:highlight w:val="none"/>
          <w:u w:val="single"/>
          <w:lang w:val="en-US" w:eastAsia="zh-CN"/>
        </w:rPr>
        <w:t xml:space="preserve">                                            </w:t>
      </w:r>
    </w:p>
    <w:p>
      <w:pPr>
        <w:spacing w:line="400" w:lineRule="exact"/>
        <w:ind w:firstLine="490"/>
        <w:rPr>
          <w:rFonts w:hint="default" w:ascii="Times" w:hAnsi="宋体" w:eastAsia="宋体" w:cs="MingLiU"/>
          <w:color w:val="auto"/>
          <w:kern w:val="0"/>
          <w:szCs w:val="21"/>
          <w:highlight w:val="none"/>
          <w:u w:val="single"/>
          <w:lang w:val="en-US" w:eastAsia="zh-CN"/>
        </w:rPr>
      </w:pPr>
      <w:r>
        <w:rPr>
          <w:rFonts w:hint="eastAsia" w:ascii="宋体" w:hAnsi="宋体"/>
          <w:color w:val="auto"/>
          <w:highlight w:val="none"/>
        </w:rPr>
        <w:t>资金来源：</w:t>
      </w:r>
      <w:r>
        <w:rPr>
          <w:rFonts w:hint="eastAsia" w:ascii="Times" w:hAnsi="宋体" w:cs="MingLiU"/>
          <w:color w:val="auto"/>
          <w:kern w:val="0"/>
          <w:szCs w:val="21"/>
          <w:highlight w:val="none"/>
          <w:u w:val="single"/>
          <w:lang w:val="en-US" w:eastAsia="zh-CN"/>
        </w:rPr>
        <w:t xml:space="preserve">   财政资金     </w:t>
      </w:r>
    </w:p>
    <w:p>
      <w:pPr>
        <w:spacing w:line="400" w:lineRule="exact"/>
        <w:ind w:firstLine="539" w:firstLineChars="245"/>
        <w:rPr>
          <w:rFonts w:ascii="黑体" w:hAnsi="宋体" w:eastAsia="黑体"/>
          <w:color w:val="auto"/>
          <w:highlight w:val="none"/>
        </w:rPr>
      </w:pPr>
      <w:r>
        <w:rPr>
          <w:rFonts w:hint="eastAsia" w:ascii="黑体" w:hAnsi="宋体" w:eastAsia="黑体"/>
          <w:color w:val="auto"/>
          <w:highlight w:val="none"/>
        </w:rPr>
        <w:t>二、工程承包范围</w:t>
      </w:r>
    </w:p>
    <w:p>
      <w:pPr>
        <w:spacing w:line="400" w:lineRule="exact"/>
        <w:ind w:firstLine="490"/>
        <w:rPr>
          <w:rFonts w:hint="default" w:ascii="宋体" w:hAnsi="宋体" w:eastAsia="宋体"/>
          <w:color w:val="auto"/>
          <w:highlight w:val="none"/>
          <w:u w:val="single"/>
          <w:lang w:val="en-US" w:eastAsia="zh-CN"/>
        </w:rPr>
      </w:pPr>
      <w:r>
        <w:rPr>
          <w:rFonts w:hint="eastAsia" w:ascii="宋体" w:hAnsi="宋体"/>
          <w:color w:val="auto"/>
          <w:highlight w:val="none"/>
        </w:rPr>
        <w:t>承包范围：</w:t>
      </w:r>
      <w:r>
        <w:rPr>
          <w:rFonts w:hint="eastAsia" w:ascii="Times" w:hAnsi="宋体" w:cs="MingLiU"/>
          <w:color w:val="auto"/>
          <w:kern w:val="0"/>
          <w:szCs w:val="21"/>
          <w:highlight w:val="none"/>
          <w:u w:val="single"/>
          <w:lang w:val="en-US" w:eastAsia="zh-CN"/>
        </w:rPr>
        <w:t xml:space="preserve">                                                    </w:t>
      </w:r>
    </w:p>
    <w:p>
      <w:pPr>
        <w:spacing w:line="400" w:lineRule="exact"/>
        <w:ind w:firstLine="539" w:firstLineChars="245"/>
        <w:rPr>
          <w:rFonts w:ascii="黑体" w:hAnsi="宋体" w:eastAsia="黑体"/>
          <w:color w:val="auto"/>
          <w:highlight w:val="none"/>
        </w:rPr>
      </w:pPr>
      <w:r>
        <w:rPr>
          <w:rFonts w:hint="eastAsia" w:ascii="黑体" w:hAnsi="宋体" w:eastAsia="黑体"/>
          <w:color w:val="auto"/>
          <w:highlight w:val="none"/>
        </w:rPr>
        <w:t>三、合同工期</w:t>
      </w:r>
    </w:p>
    <w:p>
      <w:pPr>
        <w:spacing w:line="400" w:lineRule="exact"/>
        <w:ind w:firstLine="490"/>
        <w:rPr>
          <w:rFonts w:ascii="宋体" w:hAnsi="宋体"/>
          <w:color w:val="auto"/>
          <w:highlight w:val="none"/>
        </w:rPr>
      </w:pPr>
      <w:r>
        <w:rPr>
          <w:rFonts w:hint="eastAsia" w:ascii="宋体" w:hAnsi="宋体"/>
          <w:color w:val="auto"/>
          <w:highlight w:val="none"/>
        </w:rPr>
        <w:t>工期总日历天数</w:t>
      </w:r>
      <w:r>
        <w:rPr>
          <w:rFonts w:hint="eastAsia" w:ascii="宋体" w:hAnsi="宋体"/>
          <w:color w:val="auto"/>
          <w:highlight w:val="none"/>
          <w:u w:val="single"/>
          <w:lang w:val="en-US" w:eastAsia="zh-CN"/>
        </w:rPr>
        <w:t xml:space="preserve">  60  </w:t>
      </w:r>
      <w:r>
        <w:rPr>
          <w:rFonts w:hint="eastAsia" w:ascii="宋体" w:hAnsi="宋体"/>
          <w:color w:val="auto"/>
          <w:highlight w:val="none"/>
        </w:rPr>
        <w:t>天，自监理人发出的开工通知中载明的开工日期起算。</w:t>
      </w:r>
    </w:p>
    <w:p>
      <w:pPr>
        <w:spacing w:line="400" w:lineRule="exact"/>
        <w:ind w:firstLine="539" w:firstLineChars="245"/>
        <w:rPr>
          <w:rFonts w:ascii="黑体" w:hAnsi="宋体" w:eastAsia="黑体"/>
          <w:color w:val="auto"/>
          <w:highlight w:val="none"/>
        </w:rPr>
      </w:pPr>
      <w:r>
        <w:rPr>
          <w:rFonts w:hint="eastAsia" w:ascii="黑体" w:hAnsi="宋体" w:eastAsia="黑体"/>
          <w:color w:val="auto"/>
          <w:highlight w:val="none"/>
        </w:rPr>
        <w:t>四、质量标准</w:t>
      </w:r>
    </w:p>
    <w:p>
      <w:pPr>
        <w:spacing w:line="400" w:lineRule="exact"/>
        <w:ind w:firstLine="490"/>
        <w:rPr>
          <w:rFonts w:ascii="Times" w:hAnsi="宋体" w:cs="MingLiU"/>
          <w:color w:val="auto"/>
          <w:kern w:val="0"/>
          <w:szCs w:val="21"/>
          <w:highlight w:val="none"/>
          <w:u w:val="single"/>
        </w:rPr>
      </w:pPr>
      <w:r>
        <w:rPr>
          <w:rFonts w:hint="eastAsia" w:ascii="宋体" w:hAnsi="宋体"/>
          <w:color w:val="auto"/>
          <w:highlight w:val="none"/>
        </w:rPr>
        <w:t>工程质量标准：</w:t>
      </w:r>
      <w:r>
        <w:rPr>
          <w:rFonts w:hint="eastAsia" w:ascii="Times" w:hAnsi="宋体" w:cs="MingLiU"/>
          <w:color w:val="auto"/>
          <w:kern w:val="0"/>
          <w:szCs w:val="21"/>
          <w:highlight w:val="none"/>
          <w:u w:val="single"/>
        </w:rPr>
        <w:t>合格</w:t>
      </w:r>
    </w:p>
    <w:p>
      <w:pPr>
        <w:numPr>
          <w:ilvl w:val="0"/>
          <w:numId w:val="7"/>
        </w:numPr>
        <w:spacing w:line="400" w:lineRule="exact"/>
        <w:ind w:firstLine="539" w:firstLineChars="245"/>
        <w:outlineLvl w:val="0"/>
        <w:rPr>
          <w:rFonts w:ascii="黑体" w:hAnsi="宋体" w:eastAsia="黑体"/>
          <w:color w:val="auto"/>
          <w:highlight w:val="none"/>
        </w:rPr>
      </w:pPr>
      <w:r>
        <w:rPr>
          <w:rFonts w:hint="eastAsia" w:ascii="黑体" w:hAnsi="宋体" w:eastAsia="黑体"/>
          <w:color w:val="auto"/>
          <w:highlight w:val="none"/>
        </w:rPr>
        <w:t>施工现场安全生产标准化管理目标等级要求</w:t>
      </w:r>
    </w:p>
    <w:p>
      <w:pPr>
        <w:spacing w:line="400" w:lineRule="exact"/>
        <w:ind w:firstLine="490"/>
        <w:rPr>
          <w:rFonts w:ascii="宋体" w:hAnsi="宋体"/>
          <w:color w:val="auto"/>
          <w:highlight w:val="none"/>
          <w:u w:val="single"/>
        </w:rPr>
      </w:pPr>
      <w:r>
        <w:rPr>
          <w:rFonts w:hint="eastAsia" w:ascii="宋体" w:hAnsi="宋体"/>
          <w:color w:val="auto"/>
          <w:highlight w:val="none"/>
        </w:rPr>
        <w:t>施工现场安全生产标准化管理目标等级：</w:t>
      </w:r>
      <w:r>
        <w:rPr>
          <w:rFonts w:hint="eastAsia" w:ascii="宋体" w:hAnsi="宋体"/>
          <w:color w:val="auto"/>
          <w:highlight w:val="none"/>
          <w:u w:val="single"/>
        </w:rPr>
        <w:t>达标</w:t>
      </w:r>
    </w:p>
    <w:p>
      <w:pPr>
        <w:spacing w:line="400" w:lineRule="exact"/>
        <w:ind w:firstLine="539" w:firstLineChars="245"/>
        <w:rPr>
          <w:rFonts w:ascii="黑体" w:hAnsi="宋体" w:eastAsia="黑体"/>
          <w:color w:val="auto"/>
          <w:highlight w:val="none"/>
        </w:rPr>
      </w:pPr>
      <w:r>
        <w:rPr>
          <w:rFonts w:hint="eastAsia" w:ascii="黑体" w:hAnsi="宋体" w:eastAsia="黑体"/>
          <w:color w:val="auto"/>
          <w:highlight w:val="none"/>
        </w:rPr>
        <w:t>六、合同形式</w:t>
      </w:r>
    </w:p>
    <w:p>
      <w:pPr>
        <w:spacing w:line="400" w:lineRule="exact"/>
        <w:ind w:firstLine="490"/>
        <w:rPr>
          <w:rFonts w:ascii="宋体" w:hAnsi="宋体"/>
          <w:b/>
          <w:color w:val="auto"/>
          <w:highlight w:val="none"/>
          <w:u w:val="single"/>
        </w:rPr>
      </w:pPr>
      <w:r>
        <w:rPr>
          <w:rFonts w:hint="eastAsia" w:ascii="宋体" w:hAnsi="宋体"/>
          <w:color w:val="auto"/>
          <w:highlight w:val="none"/>
        </w:rPr>
        <w:t xml:space="preserve">本合同采用 </w:t>
      </w:r>
      <w:r>
        <w:rPr>
          <w:rFonts w:hint="eastAsia" w:ascii="宋体" w:hAnsi="宋体"/>
          <w:color w:val="auto"/>
          <w:highlight w:val="none"/>
          <w:u w:val="single"/>
        </w:rPr>
        <w:t xml:space="preserve">  固定单价  </w:t>
      </w:r>
      <w:r>
        <w:rPr>
          <w:rFonts w:hint="eastAsia" w:ascii="宋体" w:hAnsi="宋体"/>
          <w:color w:val="auto"/>
          <w:highlight w:val="none"/>
        </w:rPr>
        <w:t xml:space="preserve"> 合同形式</w:t>
      </w:r>
      <w:r>
        <w:rPr>
          <w:rFonts w:ascii="宋体" w:hAnsi="宋体"/>
          <w:color w:val="auto"/>
          <w:highlight w:val="none"/>
        </w:rPr>
        <w:t>。</w:t>
      </w:r>
    </w:p>
    <w:p>
      <w:pPr>
        <w:spacing w:line="400" w:lineRule="exact"/>
        <w:ind w:firstLine="550" w:firstLineChars="250"/>
        <w:rPr>
          <w:rFonts w:ascii="黑体" w:hAnsi="宋体" w:eastAsia="黑体"/>
          <w:bCs/>
          <w:color w:val="auto"/>
          <w:highlight w:val="none"/>
        </w:rPr>
      </w:pPr>
      <w:r>
        <w:rPr>
          <w:rFonts w:hint="eastAsia" w:ascii="黑体" w:hAnsi="宋体" w:eastAsia="黑体"/>
          <w:bCs/>
          <w:color w:val="auto"/>
          <w:highlight w:val="none"/>
        </w:rPr>
        <w:t>七、签约合同价</w:t>
      </w:r>
    </w:p>
    <w:p>
      <w:pPr>
        <w:spacing w:line="400" w:lineRule="exact"/>
        <w:ind w:firstLine="490"/>
        <w:rPr>
          <w:rFonts w:hint="default" w:ascii="宋体" w:hAnsi="宋体" w:eastAsia="宋体"/>
          <w:color w:val="auto"/>
          <w:highlight w:val="none"/>
          <w:u w:val="single"/>
          <w:lang w:val="en-US" w:eastAsia="zh-CN"/>
        </w:rPr>
      </w:pPr>
      <w:r>
        <w:rPr>
          <w:rFonts w:hint="eastAsia" w:ascii="宋体" w:hAnsi="宋体"/>
          <w:color w:val="auto"/>
          <w:highlight w:val="none"/>
        </w:rPr>
        <w:t>金额（大写）：（人民币）</w:t>
      </w:r>
      <w:r>
        <w:rPr>
          <w:rFonts w:hint="eastAsia" w:ascii="宋体" w:hAnsi="宋体"/>
          <w:color w:val="auto"/>
          <w:highlight w:val="none"/>
          <w:u w:val="single"/>
          <w:lang w:val="en-US" w:eastAsia="zh-CN"/>
        </w:rPr>
        <w:t xml:space="preserve">                                        </w:t>
      </w:r>
    </w:p>
    <w:p>
      <w:pPr>
        <w:spacing w:line="400" w:lineRule="exact"/>
        <w:ind w:firstLine="440" w:firstLineChars="200"/>
        <w:rPr>
          <w:rFonts w:ascii="宋体" w:hAnsi="宋体"/>
          <w:color w:val="auto"/>
          <w:highlight w:val="none"/>
        </w:rPr>
      </w:pPr>
      <w:r>
        <w:rPr>
          <w:rFonts w:hint="eastAsia" w:ascii="宋体" w:hAnsi="宋体"/>
          <w:color w:val="auto"/>
          <w:highlight w:val="none"/>
        </w:rPr>
        <w:t>（小写）￥：</w:t>
      </w:r>
      <w:r>
        <w:rPr>
          <w:rFonts w:hint="eastAsia" w:ascii="宋体" w:hAnsi="宋体"/>
          <w:color w:val="auto"/>
          <w:highlight w:val="none"/>
          <w:u w:val="single"/>
          <w:lang w:val="en-US" w:eastAsia="zh-CN"/>
        </w:rPr>
        <w:t xml:space="preserve">                     </w:t>
      </w:r>
      <w:r>
        <w:rPr>
          <w:rFonts w:hint="eastAsia" w:ascii="宋体" w:hAnsi="宋体"/>
          <w:color w:val="auto"/>
          <w:highlight w:val="none"/>
        </w:rPr>
        <w:t>元</w:t>
      </w:r>
    </w:p>
    <w:p>
      <w:pPr>
        <w:spacing w:line="400" w:lineRule="exact"/>
        <w:ind w:left="440" w:leftChars="200" w:firstLine="110" w:firstLineChars="50"/>
        <w:rPr>
          <w:color w:val="auto"/>
          <w:highlight w:val="none"/>
        </w:rPr>
      </w:pPr>
      <w:r>
        <w:rPr>
          <w:color w:val="auto"/>
          <w:highlight w:val="none"/>
        </w:rPr>
        <w:t>其中：安全文明施工费：</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   </w:t>
      </w:r>
      <w:r>
        <w:rPr>
          <w:rFonts w:hint="eastAsia"/>
          <w:color w:val="auto"/>
          <w:highlight w:val="none"/>
        </w:rPr>
        <w:t>元</w:t>
      </w:r>
    </w:p>
    <w:p>
      <w:pPr>
        <w:spacing w:line="400" w:lineRule="exact"/>
        <w:ind w:firstLine="550" w:firstLineChars="250"/>
        <w:rPr>
          <w:color w:val="auto"/>
          <w:highlight w:val="none"/>
        </w:rPr>
      </w:pPr>
      <w:r>
        <w:rPr>
          <w:color w:val="auto"/>
          <w:highlight w:val="none"/>
        </w:rPr>
        <w:t>建筑垃圾运输处置费：</w:t>
      </w:r>
      <w:r>
        <w:rPr>
          <w:rFonts w:hint="eastAsia" w:ascii="宋体" w:hAnsi="宋体"/>
          <w:color w:val="auto"/>
          <w:highlight w:val="none"/>
          <w:u w:val="single"/>
          <w:lang w:val="en-US" w:eastAsia="zh-CN"/>
        </w:rPr>
        <w:t xml:space="preserve">                      </w:t>
      </w:r>
      <w:r>
        <w:rPr>
          <w:rFonts w:hint="eastAsia"/>
          <w:color w:val="auto"/>
          <w:highlight w:val="none"/>
        </w:rPr>
        <w:t>元</w:t>
      </w:r>
    </w:p>
    <w:p>
      <w:pPr>
        <w:spacing w:line="400" w:lineRule="exact"/>
        <w:ind w:firstLine="550" w:firstLineChars="250"/>
        <w:rPr>
          <w:rFonts w:ascii="宋体" w:hAnsi="宋体" w:cs="宋体"/>
          <w:color w:val="auto"/>
          <w:highlight w:val="none"/>
        </w:rPr>
      </w:pPr>
      <w:r>
        <w:rPr>
          <w:color w:val="auto"/>
          <w:highlight w:val="none"/>
        </w:rPr>
        <w:t>暂列金额（除税）：</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元</w:t>
      </w:r>
    </w:p>
    <w:p>
      <w:pPr>
        <w:spacing w:line="400" w:lineRule="exact"/>
        <w:ind w:firstLine="660" w:firstLineChars="300"/>
        <w:rPr>
          <w:color w:val="auto"/>
          <w:highlight w:val="none"/>
        </w:rPr>
      </w:pPr>
      <w:r>
        <w:rPr>
          <w:rFonts w:hint="eastAsia" w:ascii="宋体" w:hAnsi="宋体" w:cs="宋体"/>
          <w:color w:val="auto"/>
          <w:highlight w:val="none"/>
        </w:rPr>
        <w:t>专业工程暂估价（除税）：</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color w:val="auto"/>
          <w:highlight w:val="none"/>
        </w:rPr>
        <w:t>元</w:t>
      </w:r>
    </w:p>
    <w:p>
      <w:pPr>
        <w:spacing w:line="400" w:lineRule="exact"/>
        <w:rPr>
          <w:rFonts w:ascii="宋体" w:hAnsi="宋体"/>
          <w:b/>
          <w:color w:val="auto"/>
          <w:highlight w:val="none"/>
        </w:rPr>
      </w:pPr>
      <w:r>
        <w:rPr>
          <w:rFonts w:ascii="宋体" w:hAnsi="宋体"/>
          <w:b/>
          <w:color w:val="auto"/>
          <w:highlight w:val="none"/>
        </w:rPr>
        <w:t xml:space="preserve">       ……</w:t>
      </w:r>
    </w:p>
    <w:p>
      <w:pPr>
        <w:spacing w:line="400" w:lineRule="exact"/>
        <w:ind w:firstLine="440" w:firstLineChars="200"/>
        <w:rPr>
          <w:rFonts w:ascii="黑体" w:hAnsi="宋体" w:eastAsia="黑体"/>
          <w:bCs/>
          <w:color w:val="auto"/>
          <w:highlight w:val="none"/>
        </w:rPr>
      </w:pPr>
      <w:r>
        <w:rPr>
          <w:rFonts w:hint="eastAsia" w:ascii="黑体" w:hAnsi="宋体" w:eastAsia="黑体"/>
          <w:bCs/>
          <w:color w:val="auto"/>
          <w:highlight w:val="none"/>
        </w:rPr>
        <w:t>八、承包人项目经理：</w:t>
      </w:r>
    </w:p>
    <w:p>
      <w:pPr>
        <w:spacing w:line="400" w:lineRule="exact"/>
        <w:ind w:firstLine="440" w:firstLineChars="200"/>
        <w:jc w:val="left"/>
        <w:rPr>
          <w:rFonts w:ascii="宋体" w:hAnsi="宋体"/>
          <w:color w:val="auto"/>
          <w:szCs w:val="21"/>
          <w:highlight w:val="none"/>
          <w:u w:val="single"/>
        </w:rPr>
      </w:pPr>
      <w:r>
        <w:rPr>
          <w:rFonts w:hint="eastAsia" w:ascii="宋体" w:hAnsi="宋体"/>
          <w:color w:val="auto"/>
          <w:szCs w:val="21"/>
          <w:highlight w:val="none"/>
        </w:rPr>
        <w:t>姓名：</w:t>
      </w:r>
      <w:r>
        <w:rPr>
          <w:rFonts w:hint="eastAsia" w:ascii="宋体" w:hAnsi="宋体"/>
          <w:color w:val="auto"/>
          <w:highlight w:val="none"/>
          <w:u w:val="single"/>
          <w:lang w:val="en-US" w:eastAsia="zh-CN"/>
        </w:rPr>
        <w:t xml:space="preserve">           </w:t>
      </w:r>
      <w:r>
        <w:rPr>
          <w:rFonts w:hint="eastAsia" w:ascii="宋体" w:hAnsi="宋体"/>
          <w:color w:val="auto"/>
          <w:szCs w:val="21"/>
          <w:highlight w:val="none"/>
        </w:rPr>
        <w:t>；        职称：</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w:t>
      </w:r>
    </w:p>
    <w:p>
      <w:pPr>
        <w:spacing w:line="400" w:lineRule="exact"/>
        <w:ind w:firstLine="440" w:firstLineChars="200"/>
        <w:jc w:val="left"/>
        <w:rPr>
          <w:rFonts w:ascii="宋体" w:hAnsi="宋体"/>
          <w:color w:val="auto"/>
          <w:szCs w:val="21"/>
          <w:highlight w:val="none"/>
        </w:rPr>
      </w:pPr>
      <w:r>
        <w:rPr>
          <w:rFonts w:hint="eastAsia" w:ascii="宋体" w:hAnsi="宋体"/>
          <w:color w:val="auto"/>
          <w:szCs w:val="21"/>
          <w:highlight w:val="none"/>
        </w:rPr>
        <w:t>身份证号：</w:t>
      </w:r>
      <w:r>
        <w:rPr>
          <w:rFonts w:hint="eastAsia" w:ascii="宋体" w:hAnsi="宋体"/>
          <w:color w:val="auto"/>
          <w:highlight w:val="none"/>
          <w:u w:val="single"/>
          <w:lang w:val="en-US" w:eastAsia="zh-CN"/>
        </w:rPr>
        <w:t xml:space="preserve">               </w:t>
      </w:r>
      <w:r>
        <w:rPr>
          <w:rFonts w:hint="eastAsia" w:ascii="宋体" w:hAnsi="宋体"/>
          <w:color w:val="auto"/>
          <w:szCs w:val="21"/>
          <w:highlight w:val="none"/>
        </w:rPr>
        <w:t>；建造师执业资格证书号：</w:t>
      </w:r>
      <w:r>
        <w:rPr>
          <w:rFonts w:hint="eastAsia" w:ascii="宋体" w:hAnsi="宋体"/>
          <w:color w:val="auto"/>
          <w:highlight w:val="none"/>
          <w:u w:val="single"/>
          <w:lang w:val="en-US" w:eastAsia="zh-CN"/>
        </w:rPr>
        <w:t xml:space="preserve">                 </w:t>
      </w:r>
      <w:r>
        <w:rPr>
          <w:rFonts w:hint="eastAsia" w:ascii="宋体" w:hAnsi="宋体"/>
          <w:color w:val="auto"/>
          <w:szCs w:val="21"/>
          <w:highlight w:val="none"/>
        </w:rPr>
        <w:t>；</w:t>
      </w:r>
    </w:p>
    <w:p>
      <w:pPr>
        <w:spacing w:line="400" w:lineRule="exact"/>
        <w:ind w:firstLine="440" w:firstLineChars="200"/>
        <w:jc w:val="left"/>
        <w:rPr>
          <w:rFonts w:ascii="宋体" w:hAnsi="宋体"/>
          <w:color w:val="auto"/>
          <w:szCs w:val="21"/>
          <w:highlight w:val="none"/>
        </w:rPr>
      </w:pPr>
      <w:r>
        <w:rPr>
          <w:rFonts w:hint="eastAsia" w:ascii="宋体" w:hAnsi="宋体"/>
          <w:color w:val="auto"/>
          <w:szCs w:val="21"/>
          <w:highlight w:val="none"/>
        </w:rPr>
        <w:t>建造师注册证书号:</w:t>
      </w:r>
      <w:r>
        <w:rPr>
          <w:rFonts w:hint="eastAsia" w:ascii="宋体" w:hAnsi="宋体"/>
          <w:color w:val="auto"/>
          <w:highlight w:val="none"/>
          <w:u w:val="single"/>
          <w:lang w:val="en-US" w:eastAsia="zh-CN"/>
        </w:rPr>
        <w:t xml:space="preserve">                    </w:t>
      </w:r>
      <w:r>
        <w:rPr>
          <w:rFonts w:hint="eastAsia" w:ascii="宋体" w:hAnsi="宋体"/>
          <w:color w:val="auto"/>
          <w:szCs w:val="21"/>
          <w:highlight w:val="none"/>
        </w:rPr>
        <w:t>。</w:t>
      </w:r>
    </w:p>
    <w:p>
      <w:pPr>
        <w:spacing w:line="400" w:lineRule="exact"/>
        <w:ind w:firstLine="440" w:firstLineChars="200"/>
        <w:jc w:val="left"/>
        <w:rPr>
          <w:rFonts w:ascii="宋体" w:hAnsi="宋体"/>
          <w:color w:val="auto"/>
          <w:szCs w:val="21"/>
          <w:highlight w:val="none"/>
        </w:rPr>
      </w:pPr>
      <w:r>
        <w:rPr>
          <w:rFonts w:hint="eastAsia" w:ascii="宋体" w:hAnsi="宋体"/>
          <w:color w:val="auto"/>
          <w:szCs w:val="21"/>
          <w:highlight w:val="none"/>
        </w:rPr>
        <w:t>建造师执业印章号:</w:t>
      </w:r>
      <w:r>
        <w:rPr>
          <w:rFonts w:hint="eastAsia" w:ascii="宋体" w:hAnsi="宋体"/>
          <w:color w:val="auto"/>
          <w:highlight w:val="none"/>
          <w:u w:val="single"/>
          <w:lang w:val="en-US" w:eastAsia="zh-CN"/>
        </w:rPr>
        <w:t xml:space="preserve">                     </w:t>
      </w:r>
      <w:r>
        <w:rPr>
          <w:rFonts w:hint="eastAsia" w:ascii="宋体" w:hAnsi="宋体"/>
          <w:color w:val="auto"/>
          <w:szCs w:val="21"/>
          <w:highlight w:val="none"/>
        </w:rPr>
        <w:t>。</w:t>
      </w:r>
    </w:p>
    <w:p>
      <w:pPr>
        <w:spacing w:line="400" w:lineRule="exact"/>
        <w:ind w:firstLine="440" w:firstLineChars="200"/>
        <w:jc w:val="left"/>
        <w:rPr>
          <w:rFonts w:ascii="宋体" w:hAnsi="宋体"/>
          <w:color w:val="auto"/>
          <w:szCs w:val="21"/>
          <w:highlight w:val="none"/>
        </w:rPr>
      </w:pPr>
      <w:r>
        <w:rPr>
          <w:rFonts w:hint="eastAsia" w:ascii="宋体" w:hAnsi="宋体"/>
          <w:color w:val="auto"/>
          <w:szCs w:val="21"/>
          <w:highlight w:val="none"/>
        </w:rPr>
        <w:t>安全生产考核合格证书号：</w:t>
      </w:r>
      <w:r>
        <w:rPr>
          <w:rFonts w:hint="eastAsia" w:ascii="宋体" w:hAnsi="宋体"/>
          <w:color w:val="auto"/>
          <w:highlight w:val="none"/>
          <w:u w:val="single"/>
          <w:lang w:val="en-US" w:eastAsia="zh-CN"/>
        </w:rPr>
        <w:t xml:space="preserve">                        </w:t>
      </w:r>
      <w:r>
        <w:rPr>
          <w:rFonts w:hint="eastAsia" w:ascii="宋体" w:hAnsi="宋体"/>
          <w:color w:val="auto"/>
          <w:szCs w:val="21"/>
          <w:highlight w:val="none"/>
        </w:rPr>
        <w:t>。</w:t>
      </w:r>
    </w:p>
    <w:p>
      <w:pPr>
        <w:spacing w:line="400" w:lineRule="exact"/>
        <w:ind w:firstLine="539" w:firstLineChars="245"/>
        <w:rPr>
          <w:rFonts w:ascii="黑体" w:hAnsi="宋体" w:eastAsia="黑体"/>
          <w:color w:val="auto"/>
          <w:highlight w:val="none"/>
        </w:rPr>
      </w:pPr>
      <w:r>
        <w:rPr>
          <w:rFonts w:hint="eastAsia" w:ascii="黑体" w:hAnsi="宋体" w:eastAsia="黑体"/>
          <w:color w:val="auto"/>
          <w:highlight w:val="none"/>
        </w:rPr>
        <w:t>九、合同文件的组成</w:t>
      </w:r>
    </w:p>
    <w:p>
      <w:pPr>
        <w:spacing w:line="400" w:lineRule="exact"/>
        <w:ind w:firstLine="440" w:firstLineChars="200"/>
        <w:jc w:val="left"/>
        <w:rPr>
          <w:rFonts w:ascii="宋体" w:hAnsi="宋体"/>
          <w:color w:val="auto"/>
          <w:szCs w:val="21"/>
          <w:highlight w:val="none"/>
        </w:rPr>
      </w:pPr>
      <w:r>
        <w:rPr>
          <w:rFonts w:hint="eastAsia" w:ascii="宋体" w:hAnsi="宋体"/>
          <w:color w:val="auto"/>
          <w:szCs w:val="21"/>
          <w:highlight w:val="none"/>
        </w:rPr>
        <w:t xml:space="preserve"> 下列文件共同构成合同文件：</w:t>
      </w:r>
    </w:p>
    <w:p>
      <w:pPr>
        <w:pStyle w:val="13"/>
        <w:spacing w:after="0" w:line="400" w:lineRule="exact"/>
        <w:ind w:firstLine="136" w:firstLineChars="57"/>
        <w:rPr>
          <w:color w:val="auto"/>
          <w:highlight w:val="none"/>
        </w:rPr>
      </w:pPr>
      <w:r>
        <w:rPr>
          <w:rFonts w:hint="eastAsia"/>
          <w:color w:val="auto"/>
          <w:highlight w:val="none"/>
        </w:rPr>
        <w:t>1、本协议书；</w:t>
      </w:r>
    </w:p>
    <w:p>
      <w:pPr>
        <w:pStyle w:val="13"/>
        <w:spacing w:after="0" w:line="400" w:lineRule="exact"/>
        <w:ind w:firstLine="136" w:firstLineChars="57"/>
        <w:rPr>
          <w:color w:val="auto"/>
          <w:highlight w:val="none"/>
        </w:rPr>
      </w:pPr>
      <w:r>
        <w:rPr>
          <w:rFonts w:hint="eastAsia"/>
          <w:color w:val="auto"/>
          <w:highlight w:val="none"/>
        </w:rPr>
        <w:t>2、中标通知书；</w:t>
      </w:r>
    </w:p>
    <w:p>
      <w:pPr>
        <w:pStyle w:val="13"/>
        <w:spacing w:after="0" w:line="400" w:lineRule="exact"/>
        <w:ind w:firstLine="136" w:firstLineChars="57"/>
        <w:rPr>
          <w:color w:val="auto"/>
          <w:highlight w:val="none"/>
        </w:rPr>
      </w:pPr>
      <w:r>
        <w:rPr>
          <w:rFonts w:hint="eastAsia"/>
          <w:color w:val="auto"/>
          <w:highlight w:val="none"/>
        </w:rPr>
        <w:t>3、</w:t>
      </w:r>
      <w:r>
        <w:rPr>
          <w:rFonts w:hint="eastAsia"/>
          <w:color w:val="auto"/>
          <w:szCs w:val="21"/>
          <w:highlight w:val="none"/>
        </w:rPr>
        <w:t>投标函及投标函附录</w:t>
      </w:r>
      <w:r>
        <w:rPr>
          <w:rFonts w:hint="eastAsia"/>
          <w:color w:val="auto"/>
          <w:highlight w:val="none"/>
        </w:rPr>
        <w:t>；</w:t>
      </w:r>
    </w:p>
    <w:p>
      <w:pPr>
        <w:pStyle w:val="13"/>
        <w:spacing w:after="0" w:line="400" w:lineRule="exact"/>
        <w:ind w:firstLine="136" w:firstLineChars="57"/>
        <w:rPr>
          <w:color w:val="auto"/>
          <w:highlight w:val="none"/>
        </w:rPr>
      </w:pPr>
      <w:r>
        <w:rPr>
          <w:rFonts w:hint="eastAsia"/>
          <w:color w:val="auto"/>
          <w:highlight w:val="none"/>
        </w:rPr>
        <w:t>4、专用合同条款；</w:t>
      </w:r>
    </w:p>
    <w:p>
      <w:pPr>
        <w:pStyle w:val="13"/>
        <w:spacing w:after="0" w:line="400" w:lineRule="exact"/>
        <w:ind w:firstLine="136" w:firstLineChars="57"/>
        <w:rPr>
          <w:color w:val="auto"/>
          <w:highlight w:val="none"/>
        </w:rPr>
      </w:pPr>
      <w:r>
        <w:rPr>
          <w:rFonts w:hint="eastAsia"/>
          <w:color w:val="auto"/>
          <w:highlight w:val="none"/>
        </w:rPr>
        <w:t>5、通用合同条款；</w:t>
      </w:r>
    </w:p>
    <w:p>
      <w:pPr>
        <w:pStyle w:val="13"/>
        <w:spacing w:after="0" w:line="400" w:lineRule="exact"/>
        <w:ind w:firstLine="136" w:firstLineChars="57"/>
        <w:rPr>
          <w:color w:val="auto"/>
          <w:highlight w:val="none"/>
        </w:rPr>
      </w:pPr>
      <w:r>
        <w:rPr>
          <w:rFonts w:hint="eastAsia"/>
          <w:color w:val="auto"/>
          <w:highlight w:val="none"/>
        </w:rPr>
        <w:t>6、</w:t>
      </w:r>
      <w:r>
        <w:rPr>
          <w:rFonts w:hint="eastAsia"/>
          <w:color w:val="auto"/>
          <w:szCs w:val="21"/>
          <w:highlight w:val="none"/>
        </w:rPr>
        <w:t>技术标准和要求；</w:t>
      </w:r>
    </w:p>
    <w:p>
      <w:pPr>
        <w:pStyle w:val="13"/>
        <w:spacing w:after="0" w:line="400" w:lineRule="exact"/>
        <w:ind w:firstLine="136" w:firstLineChars="57"/>
        <w:rPr>
          <w:color w:val="auto"/>
          <w:highlight w:val="none"/>
        </w:rPr>
      </w:pPr>
      <w:r>
        <w:rPr>
          <w:rFonts w:hint="eastAsia"/>
          <w:color w:val="auto"/>
          <w:highlight w:val="none"/>
        </w:rPr>
        <w:t>7、图纸；</w:t>
      </w:r>
    </w:p>
    <w:p>
      <w:pPr>
        <w:pStyle w:val="13"/>
        <w:spacing w:after="0" w:line="400" w:lineRule="exact"/>
        <w:ind w:firstLine="136" w:firstLineChars="57"/>
        <w:rPr>
          <w:color w:val="auto"/>
          <w:highlight w:val="none"/>
        </w:rPr>
      </w:pPr>
      <w:r>
        <w:rPr>
          <w:rFonts w:hint="eastAsia"/>
          <w:color w:val="auto"/>
          <w:highlight w:val="none"/>
        </w:rPr>
        <w:t>8、已标价工程量清单；</w:t>
      </w:r>
    </w:p>
    <w:p>
      <w:pPr>
        <w:pStyle w:val="13"/>
        <w:spacing w:after="0" w:line="400" w:lineRule="exact"/>
        <w:ind w:firstLine="136" w:firstLineChars="57"/>
        <w:rPr>
          <w:color w:val="auto"/>
          <w:highlight w:val="none"/>
        </w:rPr>
      </w:pPr>
      <w:r>
        <w:rPr>
          <w:rFonts w:hint="eastAsia"/>
          <w:color w:val="auto"/>
          <w:highlight w:val="none"/>
        </w:rPr>
        <w:t>9、其他合同文件。</w:t>
      </w:r>
    </w:p>
    <w:p>
      <w:pPr>
        <w:spacing w:line="400" w:lineRule="exact"/>
        <w:ind w:firstLine="550" w:firstLineChars="250"/>
        <w:rPr>
          <w:color w:val="auto"/>
          <w:szCs w:val="21"/>
          <w:highlight w:val="none"/>
        </w:rPr>
      </w:pPr>
      <w:r>
        <w:rPr>
          <w:color w:val="auto"/>
          <w:szCs w:val="21"/>
          <w:highlight w:val="none"/>
        </w:rPr>
        <w:t>上述文件互相补充和解释，如有不明确或不一致之处，以合同约定次序在先者为准。</w:t>
      </w:r>
    </w:p>
    <w:p>
      <w:pPr>
        <w:spacing w:line="400" w:lineRule="exact"/>
        <w:ind w:firstLine="550" w:firstLineChars="250"/>
        <w:rPr>
          <w:rFonts w:ascii="宋体" w:hAnsi="宋体"/>
          <w:color w:val="auto"/>
          <w:highlight w:val="none"/>
        </w:rPr>
      </w:pPr>
      <w:r>
        <w:rPr>
          <w:rFonts w:hint="eastAsia" w:ascii="宋体" w:hAnsi="宋体"/>
          <w:color w:val="auto"/>
          <w:highlight w:val="none"/>
        </w:rPr>
        <w:t>十、本协议书中有关词语定义与合同条款中的定义相同。</w:t>
      </w:r>
    </w:p>
    <w:p>
      <w:pPr>
        <w:spacing w:line="400" w:lineRule="exact"/>
        <w:ind w:firstLine="550" w:firstLineChars="250"/>
        <w:rPr>
          <w:rFonts w:ascii="宋体" w:hAnsi="宋体"/>
          <w:color w:val="auto"/>
          <w:highlight w:val="none"/>
        </w:rPr>
      </w:pPr>
      <w:r>
        <w:rPr>
          <w:rFonts w:hint="eastAsia" w:ascii="宋体" w:hAnsi="宋体"/>
          <w:color w:val="auto"/>
          <w:highlight w:val="none"/>
        </w:rPr>
        <w:t>十一、承包人承诺按照合同约定进行施工、竣工、交付并承担质量缺陷保修责任。</w:t>
      </w:r>
    </w:p>
    <w:p>
      <w:pPr>
        <w:spacing w:line="400" w:lineRule="exact"/>
        <w:ind w:firstLine="550" w:firstLineChars="250"/>
        <w:rPr>
          <w:rFonts w:ascii="宋体" w:hAnsi="宋体"/>
          <w:color w:val="auto"/>
          <w:highlight w:val="none"/>
        </w:rPr>
      </w:pPr>
      <w:r>
        <w:rPr>
          <w:rFonts w:hint="eastAsia" w:ascii="宋体" w:hAnsi="宋体"/>
          <w:color w:val="auto"/>
          <w:highlight w:val="none"/>
        </w:rPr>
        <w:t>十二、发包人承诺按照合同约定的条件、期限和方式向承包人支付合同价款。</w:t>
      </w:r>
    </w:p>
    <w:p>
      <w:pPr>
        <w:spacing w:line="400" w:lineRule="exact"/>
        <w:ind w:firstLine="550" w:firstLineChars="250"/>
        <w:rPr>
          <w:rFonts w:hint="default" w:ascii="宋体" w:hAnsi="宋体" w:eastAsia="宋体"/>
          <w:color w:val="auto"/>
          <w:highlight w:val="none"/>
          <w:u w:val="single"/>
          <w:lang w:val="en-US" w:eastAsia="zh-CN"/>
        </w:rPr>
      </w:pPr>
      <w:r>
        <w:rPr>
          <w:rFonts w:hint="eastAsia" w:ascii="宋体" w:hAnsi="宋体"/>
          <w:color w:val="auto"/>
          <w:highlight w:val="none"/>
        </w:rPr>
        <w:t>十三、本协议书连同其他合同文件正本一式两份，合同双方各执一份；副本一式</w:t>
      </w:r>
      <w:r>
        <w:rPr>
          <w:rFonts w:hint="eastAsia" w:ascii="宋体" w:hAnsi="宋体"/>
          <w:color w:val="auto"/>
          <w:highlight w:val="none"/>
          <w:u w:val="single"/>
          <w:lang w:val="en-US" w:eastAsia="zh-CN"/>
        </w:rPr>
        <w:t xml:space="preserve">       </w:t>
      </w:r>
    </w:p>
    <w:p>
      <w:pPr>
        <w:spacing w:line="400" w:lineRule="exact"/>
        <w:rPr>
          <w:rFonts w:ascii="宋体" w:hAnsi="宋体"/>
          <w:color w:val="auto"/>
          <w:highlight w:val="none"/>
        </w:rPr>
      </w:pPr>
      <w:r>
        <w:rPr>
          <w:rFonts w:hint="eastAsia" w:ascii="宋体" w:hAnsi="宋体"/>
          <w:color w:val="auto"/>
          <w:highlight w:val="none"/>
        </w:rPr>
        <w:t>份。</w:t>
      </w:r>
    </w:p>
    <w:p>
      <w:pPr>
        <w:spacing w:line="400" w:lineRule="exact"/>
        <w:ind w:firstLine="550" w:firstLineChars="250"/>
        <w:rPr>
          <w:rFonts w:ascii="宋体" w:hAnsi="宋体"/>
          <w:color w:val="auto"/>
          <w:highlight w:val="none"/>
        </w:rPr>
      </w:pPr>
      <w:r>
        <w:rPr>
          <w:rFonts w:hint="eastAsia" w:ascii="宋体" w:hAnsi="宋体"/>
          <w:color w:val="auto"/>
          <w:highlight w:val="none"/>
        </w:rPr>
        <w:t>十四、</w:t>
      </w:r>
      <w:r>
        <w:rPr>
          <w:rFonts w:ascii="宋体" w:hAnsi="宋体"/>
          <w:color w:val="auto"/>
          <w:highlight w:val="none"/>
        </w:rPr>
        <w:t>合同未尽事宜，双方另行签订补充协议</w:t>
      </w:r>
      <w:r>
        <w:rPr>
          <w:rFonts w:hint="eastAsia" w:ascii="宋体" w:hAnsi="宋体"/>
          <w:color w:val="auto"/>
          <w:highlight w:val="none"/>
        </w:rPr>
        <w:t>，但不得背离本协议第九条所约定的合同文件的实质性内容</w:t>
      </w:r>
      <w:r>
        <w:rPr>
          <w:rFonts w:ascii="宋体" w:hAnsi="宋体"/>
          <w:color w:val="auto"/>
          <w:highlight w:val="none"/>
        </w:rPr>
        <w:t>。补充协议是合同</w:t>
      </w:r>
      <w:r>
        <w:rPr>
          <w:rFonts w:hint="eastAsia" w:ascii="宋体" w:hAnsi="宋体"/>
          <w:color w:val="auto"/>
          <w:highlight w:val="none"/>
        </w:rPr>
        <w:t>文件</w:t>
      </w:r>
      <w:r>
        <w:rPr>
          <w:rFonts w:ascii="宋体" w:hAnsi="宋体"/>
          <w:color w:val="auto"/>
          <w:highlight w:val="none"/>
        </w:rPr>
        <w:t>的组成部分。</w:t>
      </w:r>
    </w:p>
    <w:p>
      <w:pPr>
        <w:spacing w:line="400" w:lineRule="exact"/>
        <w:ind w:firstLine="376" w:firstLineChars="171"/>
        <w:rPr>
          <w:color w:val="auto"/>
          <w:szCs w:val="21"/>
          <w:highlight w:val="none"/>
          <w:u w:val="single"/>
        </w:rPr>
      </w:pPr>
    </w:p>
    <w:p>
      <w:pPr>
        <w:spacing w:beforeLines="100" w:afterLines="100" w:line="400" w:lineRule="exact"/>
        <w:rPr>
          <w:b/>
          <w:bCs/>
          <w:color w:val="auto"/>
          <w:szCs w:val="21"/>
          <w:highlight w:val="none"/>
        </w:rPr>
      </w:pPr>
    </w:p>
    <w:p>
      <w:pPr>
        <w:spacing w:beforeLines="100" w:afterLines="100" w:line="400" w:lineRule="exact"/>
        <w:rPr>
          <w:b/>
          <w:bCs/>
          <w:color w:val="auto"/>
          <w:szCs w:val="21"/>
          <w:highlight w:val="none"/>
        </w:rPr>
      </w:pPr>
    </w:p>
    <w:p>
      <w:pPr>
        <w:spacing w:beforeLines="100" w:afterLines="100" w:line="400" w:lineRule="exact"/>
        <w:rPr>
          <w:b/>
          <w:bCs/>
          <w:color w:val="auto"/>
          <w:szCs w:val="21"/>
          <w:highlight w:val="none"/>
        </w:rPr>
      </w:pPr>
    </w:p>
    <w:p>
      <w:pPr>
        <w:spacing w:beforeLines="100" w:afterLines="100" w:line="400" w:lineRule="exact"/>
        <w:rPr>
          <w:b/>
          <w:bCs/>
          <w:color w:val="auto"/>
          <w:szCs w:val="21"/>
          <w:highlight w:val="none"/>
        </w:rPr>
      </w:pPr>
    </w:p>
    <w:p>
      <w:pPr>
        <w:pStyle w:val="2"/>
      </w:pPr>
    </w:p>
    <w:p>
      <w:pPr>
        <w:spacing w:beforeLines="100" w:afterLines="100" w:line="400" w:lineRule="exact"/>
        <w:rPr>
          <w:rFonts w:hint="eastAsia"/>
          <w:b/>
          <w:bCs/>
          <w:color w:val="auto"/>
          <w:szCs w:val="21"/>
          <w:highlight w:val="none"/>
          <w:lang w:val="en-US" w:eastAsia="zh-CN"/>
        </w:rPr>
      </w:pPr>
    </w:p>
    <w:p>
      <w:pPr>
        <w:pStyle w:val="22"/>
        <w:rPr>
          <w:rFonts w:hint="eastAsia"/>
          <w:highlight w:val="none"/>
          <w:lang w:val="en-US" w:eastAsia="zh-CN"/>
        </w:rPr>
      </w:pPr>
    </w:p>
    <w:p>
      <w:pPr>
        <w:spacing w:beforeLines="100" w:afterLines="100" w:line="400" w:lineRule="exact"/>
        <w:rPr>
          <w:rFonts w:hint="default" w:eastAsia="宋体"/>
          <w:b/>
          <w:bCs/>
          <w:color w:val="auto"/>
          <w:szCs w:val="21"/>
          <w:highlight w:val="none"/>
          <w:lang w:val="en-US" w:eastAsia="zh-CN"/>
        </w:rPr>
      </w:pPr>
      <w:r>
        <w:rPr>
          <w:rFonts w:hint="eastAsia"/>
          <w:b/>
          <w:bCs/>
          <w:color w:val="auto"/>
          <w:szCs w:val="21"/>
          <w:highlight w:val="none"/>
          <w:lang w:val="en-US" w:eastAsia="zh-CN"/>
        </w:rPr>
        <w:t>此页无正文</w:t>
      </w:r>
    </w:p>
    <w:p>
      <w:pPr>
        <w:spacing w:beforeLines="100" w:afterLines="100" w:line="400" w:lineRule="exact"/>
        <w:rPr>
          <w:b/>
          <w:bCs/>
          <w:color w:val="auto"/>
          <w:szCs w:val="21"/>
          <w:highlight w:val="none"/>
        </w:rPr>
      </w:pPr>
    </w:p>
    <w:p>
      <w:pPr>
        <w:spacing w:beforeLines="100" w:afterLines="100" w:line="400" w:lineRule="exact"/>
        <w:rPr>
          <w:color w:val="auto"/>
          <w:szCs w:val="21"/>
          <w:highlight w:val="none"/>
        </w:rPr>
      </w:pPr>
      <w:r>
        <w:rPr>
          <w:b/>
          <w:bCs/>
          <w:color w:val="auto"/>
          <w:szCs w:val="21"/>
          <w:highlight w:val="none"/>
        </w:rPr>
        <w:t>发包人：</w:t>
      </w:r>
      <w:r>
        <w:rPr>
          <w:color w:val="auto"/>
          <w:szCs w:val="21"/>
          <w:highlight w:val="none"/>
        </w:rPr>
        <w:t>（盖单位章）</w:t>
      </w:r>
      <w:r>
        <w:rPr>
          <w:rFonts w:hint="eastAsia"/>
          <w:color w:val="auto"/>
          <w:szCs w:val="21"/>
          <w:highlight w:val="none"/>
        </w:rPr>
        <w:t xml:space="preserve">                             </w:t>
      </w:r>
      <w:r>
        <w:rPr>
          <w:b/>
          <w:bCs/>
          <w:color w:val="auto"/>
          <w:szCs w:val="21"/>
          <w:highlight w:val="none"/>
        </w:rPr>
        <w:t>承包人：</w:t>
      </w:r>
      <w:r>
        <w:rPr>
          <w:color w:val="auto"/>
          <w:szCs w:val="21"/>
          <w:highlight w:val="none"/>
        </w:rPr>
        <w:t>（盖单位章）</w:t>
      </w:r>
    </w:p>
    <w:p>
      <w:pPr>
        <w:spacing w:beforeLines="100" w:afterLines="100" w:line="400" w:lineRule="exact"/>
        <w:rPr>
          <w:color w:val="auto"/>
          <w:szCs w:val="21"/>
          <w:highlight w:val="none"/>
        </w:rPr>
      </w:pPr>
    </w:p>
    <w:p>
      <w:pPr>
        <w:spacing w:line="240" w:lineRule="exact"/>
        <w:jc w:val="left"/>
        <w:rPr>
          <w:color w:val="auto"/>
          <w:szCs w:val="21"/>
          <w:highlight w:val="none"/>
        </w:rPr>
      </w:pPr>
      <w:r>
        <w:rPr>
          <w:b/>
          <w:bCs/>
          <w:color w:val="auto"/>
          <w:szCs w:val="21"/>
          <w:highlight w:val="none"/>
        </w:rPr>
        <w:t>法定代表人或其</w:t>
      </w:r>
      <w:r>
        <w:rPr>
          <w:rFonts w:hint="eastAsia"/>
          <w:b/>
          <w:bCs/>
          <w:color w:val="auto"/>
          <w:szCs w:val="21"/>
          <w:highlight w:val="none"/>
        </w:rPr>
        <w:t xml:space="preserve">                                 </w:t>
      </w:r>
      <w:r>
        <w:rPr>
          <w:b/>
          <w:bCs/>
          <w:color w:val="auto"/>
          <w:szCs w:val="21"/>
          <w:highlight w:val="none"/>
        </w:rPr>
        <w:t>法定代表人或其</w:t>
      </w:r>
    </w:p>
    <w:p>
      <w:pPr>
        <w:spacing w:line="240" w:lineRule="exact"/>
        <w:jc w:val="left"/>
        <w:rPr>
          <w:color w:val="auto"/>
          <w:szCs w:val="21"/>
          <w:highlight w:val="none"/>
        </w:rPr>
      </w:pPr>
      <w:r>
        <w:rPr>
          <w:b/>
          <w:bCs/>
          <w:color w:val="auto"/>
          <w:szCs w:val="21"/>
          <w:highlight w:val="none"/>
        </w:rPr>
        <w:t>委托代理人：</w:t>
      </w:r>
      <w:r>
        <w:rPr>
          <w:color w:val="auto"/>
          <w:szCs w:val="21"/>
          <w:highlight w:val="none"/>
        </w:rPr>
        <w:t>（签字）</w:t>
      </w:r>
      <w:r>
        <w:rPr>
          <w:rFonts w:hint="eastAsia"/>
          <w:color w:val="auto"/>
          <w:szCs w:val="21"/>
          <w:highlight w:val="none"/>
        </w:rPr>
        <w:t xml:space="preserve">                            </w:t>
      </w:r>
      <w:r>
        <w:rPr>
          <w:b/>
          <w:bCs/>
          <w:color w:val="auto"/>
          <w:szCs w:val="21"/>
          <w:highlight w:val="none"/>
        </w:rPr>
        <w:t>委托代理人：</w:t>
      </w:r>
      <w:r>
        <w:rPr>
          <w:color w:val="auto"/>
          <w:szCs w:val="21"/>
          <w:highlight w:val="none"/>
        </w:rPr>
        <w:t>（签字）</w:t>
      </w:r>
    </w:p>
    <w:p>
      <w:pPr>
        <w:spacing w:line="240" w:lineRule="exact"/>
        <w:jc w:val="left"/>
        <w:rPr>
          <w:color w:val="auto"/>
          <w:szCs w:val="21"/>
          <w:highlight w:val="none"/>
        </w:rPr>
      </w:pPr>
    </w:p>
    <w:p>
      <w:pPr>
        <w:spacing w:beforeLines="100" w:afterLines="100" w:line="400" w:lineRule="exact"/>
        <w:rPr>
          <w:b/>
          <w:bCs/>
          <w:color w:val="auto"/>
          <w:szCs w:val="21"/>
          <w:highlight w:val="none"/>
        </w:rPr>
      </w:pPr>
    </w:p>
    <w:p>
      <w:pPr>
        <w:spacing w:beforeLines="100" w:afterLines="100" w:line="400" w:lineRule="exact"/>
        <w:rPr>
          <w:color w:val="auto"/>
          <w:szCs w:val="21"/>
          <w:highlight w:val="none"/>
        </w:rPr>
      </w:pPr>
      <w:r>
        <w:rPr>
          <w:color w:val="auto"/>
          <w:szCs w:val="21"/>
          <w:highlight w:val="none"/>
        </w:rPr>
        <w:t>年</w:t>
      </w:r>
      <w:r>
        <w:rPr>
          <w:rFonts w:hint="eastAsia"/>
          <w:color w:val="auto"/>
          <w:szCs w:val="21"/>
          <w:highlight w:val="none"/>
        </w:rPr>
        <w:t xml:space="preserve">  </w:t>
      </w:r>
      <w:r>
        <w:rPr>
          <w:color w:val="auto"/>
          <w:szCs w:val="21"/>
          <w:highlight w:val="none"/>
        </w:rPr>
        <w:t>月</w:t>
      </w:r>
      <w:r>
        <w:rPr>
          <w:rFonts w:hint="eastAsia"/>
          <w:color w:val="auto"/>
          <w:szCs w:val="21"/>
          <w:highlight w:val="none"/>
        </w:rPr>
        <w:t xml:space="preserve">  </w:t>
      </w:r>
      <w:r>
        <w:rPr>
          <w:color w:val="auto"/>
          <w:szCs w:val="21"/>
          <w:highlight w:val="none"/>
        </w:rPr>
        <w:t>日</w:t>
      </w:r>
      <w:r>
        <w:rPr>
          <w:rFonts w:hint="eastAsia"/>
          <w:color w:val="auto"/>
          <w:szCs w:val="21"/>
          <w:highlight w:val="none"/>
        </w:rPr>
        <w:t xml:space="preserve">                                     </w:t>
      </w:r>
      <w:r>
        <w:rPr>
          <w:color w:val="auto"/>
          <w:szCs w:val="21"/>
          <w:highlight w:val="none"/>
        </w:rPr>
        <w:t>年</w:t>
      </w:r>
      <w:r>
        <w:rPr>
          <w:rFonts w:hint="eastAsia"/>
          <w:color w:val="auto"/>
          <w:szCs w:val="21"/>
          <w:highlight w:val="none"/>
        </w:rPr>
        <w:t xml:space="preserve">  </w:t>
      </w:r>
      <w:r>
        <w:rPr>
          <w:color w:val="auto"/>
          <w:szCs w:val="21"/>
          <w:highlight w:val="none"/>
        </w:rPr>
        <w:t>月</w:t>
      </w:r>
      <w:r>
        <w:rPr>
          <w:rFonts w:hint="eastAsia"/>
          <w:color w:val="auto"/>
          <w:szCs w:val="21"/>
          <w:highlight w:val="none"/>
        </w:rPr>
        <w:t xml:space="preserve">   </w:t>
      </w:r>
      <w:r>
        <w:rPr>
          <w:color w:val="auto"/>
          <w:szCs w:val="21"/>
          <w:highlight w:val="none"/>
        </w:rPr>
        <w:t>日</w:t>
      </w:r>
    </w:p>
    <w:p>
      <w:pPr>
        <w:spacing w:beforeLines="100" w:afterLines="100" w:line="400" w:lineRule="exact"/>
        <w:rPr>
          <w:color w:val="auto"/>
          <w:szCs w:val="21"/>
          <w:highlight w:val="none"/>
        </w:rPr>
      </w:pPr>
    </w:p>
    <w:p>
      <w:pPr>
        <w:rPr>
          <w:rFonts w:hint="default" w:eastAsia="宋体"/>
          <w:color w:val="auto"/>
          <w:szCs w:val="21"/>
          <w:highlight w:val="none"/>
          <w:u w:val="single"/>
          <w:lang w:val="en-US" w:eastAsia="zh-CN"/>
        </w:rPr>
      </w:pPr>
      <w:r>
        <w:rPr>
          <w:rFonts w:hint="eastAsia"/>
          <w:b/>
          <w:color w:val="auto"/>
          <w:szCs w:val="21"/>
          <w:highlight w:val="none"/>
        </w:rPr>
        <w:t>签约地点：</w:t>
      </w:r>
      <w:r>
        <w:rPr>
          <w:rFonts w:hint="eastAsia"/>
          <w:b/>
          <w:color w:val="auto"/>
          <w:szCs w:val="21"/>
          <w:highlight w:val="none"/>
          <w:u w:val="single"/>
          <w:lang w:val="en-US" w:eastAsia="zh-CN"/>
        </w:rPr>
        <w:t xml:space="preserve">                              </w:t>
      </w:r>
    </w:p>
    <w:p>
      <w:pPr>
        <w:widowControl/>
        <w:jc w:val="left"/>
        <w:rPr>
          <w:rFonts w:ascii="黑体" w:eastAsia="黑体"/>
          <w:color w:val="auto"/>
          <w:sz w:val="28"/>
          <w:szCs w:val="28"/>
          <w:highlight w:val="none"/>
          <w:lang w:val="zh-CN"/>
        </w:rPr>
      </w:pPr>
      <w:bookmarkStart w:id="29" w:name="_Toc492393648"/>
      <w:bookmarkStart w:id="30" w:name="_Toc519778157"/>
      <w:bookmarkStart w:id="31" w:name="_Toc523321512"/>
      <w:r>
        <w:rPr>
          <w:rFonts w:ascii="黑体"/>
          <w:color w:val="auto"/>
          <w:sz w:val="28"/>
          <w:szCs w:val="28"/>
          <w:highlight w:val="none"/>
        </w:rPr>
        <w:br w:type="page"/>
      </w:r>
    </w:p>
    <w:bookmarkEnd w:id="29"/>
    <w:bookmarkEnd w:id="30"/>
    <w:bookmarkEnd w:id="31"/>
    <w:p>
      <w:pPr>
        <w:widowControl/>
        <w:jc w:val="center"/>
        <w:rPr>
          <w:rFonts w:ascii="黑体" w:eastAsia="黑体"/>
          <w:b/>
          <w:bCs/>
          <w:color w:val="auto"/>
          <w:kern w:val="44"/>
          <w:sz w:val="28"/>
          <w:szCs w:val="28"/>
          <w:highlight w:val="none"/>
          <w:lang w:val="zh-CN"/>
        </w:rPr>
      </w:pPr>
      <w:r>
        <w:rPr>
          <w:rFonts w:hint="eastAsia" w:ascii="黑体" w:eastAsia="黑体"/>
          <w:color w:val="auto"/>
          <w:sz w:val="28"/>
          <w:szCs w:val="28"/>
          <w:highlight w:val="none"/>
        </w:rPr>
        <w:t xml:space="preserve"> 专用合同条款</w:t>
      </w:r>
    </w:p>
    <w:p>
      <w:pPr>
        <w:pStyle w:val="48"/>
        <w:spacing w:before="0"/>
        <w:rPr>
          <w:color w:val="auto"/>
          <w:highlight w:val="none"/>
        </w:rPr>
      </w:pPr>
      <w:r>
        <w:rPr>
          <w:rFonts w:hint="eastAsia"/>
          <w:color w:val="auto"/>
          <w:highlight w:val="none"/>
          <w:lang w:val="en-US" w:eastAsia="zh-CN"/>
        </w:rPr>
        <w:t>1.</w:t>
      </w:r>
      <w:r>
        <w:rPr>
          <w:color w:val="auto"/>
          <w:highlight w:val="none"/>
        </w:rPr>
        <w:t>一般约定</w:t>
      </w:r>
    </w:p>
    <w:p>
      <w:pPr>
        <w:pStyle w:val="49"/>
        <w:rPr>
          <w:rFonts w:ascii="Arial" w:hAnsi="Arial" w:cs="Arial"/>
          <w:color w:val="auto"/>
          <w:highlight w:val="none"/>
        </w:rPr>
      </w:pPr>
      <w:bookmarkStart w:id="32" w:name="_Toc179632630"/>
      <w:bookmarkStart w:id="33" w:name="_Toc144974580"/>
      <w:bookmarkStart w:id="34" w:name="_Toc152042390"/>
      <w:bookmarkStart w:id="35" w:name="_Toc342296419"/>
      <w:bookmarkStart w:id="36" w:name="_Toc152045612"/>
      <w:bookmarkStart w:id="37" w:name="_Toc241459660"/>
      <w:r>
        <w:rPr>
          <w:rFonts w:ascii="Arial" w:hAnsi="Arial" w:cs="Arial"/>
          <w:color w:val="auto"/>
          <w:highlight w:val="none"/>
        </w:rPr>
        <w:t>1.1 词语定义</w:t>
      </w:r>
      <w:bookmarkEnd w:id="32"/>
      <w:bookmarkEnd w:id="33"/>
      <w:bookmarkEnd w:id="34"/>
      <w:bookmarkEnd w:id="35"/>
      <w:bookmarkEnd w:id="36"/>
      <w:bookmarkEnd w:id="37"/>
    </w:p>
    <w:p>
      <w:pPr>
        <w:spacing w:line="400" w:lineRule="exact"/>
        <w:ind w:firstLine="220" w:firstLineChars="100"/>
        <w:rPr>
          <w:rFonts w:ascii="黑体" w:hAnsi="宋体" w:eastAsia="黑体"/>
          <w:color w:val="auto"/>
          <w:szCs w:val="21"/>
          <w:highlight w:val="none"/>
        </w:rPr>
      </w:pPr>
      <w:r>
        <w:rPr>
          <w:rFonts w:hint="eastAsia" w:ascii="黑体" w:hAnsi="宋体" w:eastAsia="黑体"/>
          <w:color w:val="auto"/>
          <w:szCs w:val="21"/>
          <w:highlight w:val="none"/>
        </w:rPr>
        <w:t>1.1.2合同当事人和人员</w:t>
      </w:r>
    </w:p>
    <w:p>
      <w:pPr>
        <w:spacing w:line="400" w:lineRule="exact"/>
        <w:ind w:firstLine="440" w:firstLineChars="200"/>
        <w:jc w:val="left"/>
        <w:rPr>
          <w:rFonts w:hint="default" w:ascii="宋体" w:hAnsi="宋体"/>
          <w:color w:val="auto"/>
          <w:szCs w:val="21"/>
          <w:highlight w:val="none"/>
          <w:lang w:val="en-US"/>
        </w:rPr>
      </w:pPr>
      <w:r>
        <w:rPr>
          <w:rFonts w:hint="eastAsia" w:ascii="宋体" w:hAnsi="宋体"/>
          <w:color w:val="auto"/>
          <w:szCs w:val="21"/>
          <w:highlight w:val="none"/>
        </w:rPr>
        <w:t>1.1.2.2发包人：</w:t>
      </w:r>
      <w:r>
        <w:rPr>
          <w:rFonts w:hint="eastAsia" w:ascii="宋体" w:hAnsi="宋体"/>
          <w:color w:val="auto"/>
          <w:szCs w:val="21"/>
          <w:highlight w:val="none"/>
          <w:u w:val="single"/>
          <w:lang w:val="en-US" w:eastAsia="zh-CN"/>
        </w:rPr>
        <w:t xml:space="preserve">    北京市顺义区教育资产管理服务中心     </w:t>
      </w:r>
    </w:p>
    <w:p>
      <w:pPr>
        <w:spacing w:line="400" w:lineRule="exact"/>
        <w:ind w:firstLine="440" w:firstLineChars="200"/>
        <w:jc w:val="lef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1.1.2.</w:t>
      </w:r>
      <w:r>
        <w:rPr>
          <w:rFonts w:ascii="宋体" w:hAnsi="宋体"/>
          <w:color w:val="auto"/>
          <w:szCs w:val="21"/>
          <w:highlight w:val="none"/>
        </w:rPr>
        <w:t>3承包人：</w:t>
      </w:r>
      <w:r>
        <w:rPr>
          <w:rFonts w:hint="eastAsia" w:ascii="宋体" w:hAnsi="宋体"/>
          <w:color w:val="auto"/>
          <w:szCs w:val="21"/>
          <w:highlight w:val="none"/>
          <w:u w:val="single"/>
          <w:lang w:val="en-US" w:eastAsia="zh-CN"/>
        </w:rPr>
        <w:t xml:space="preserve">                                                                </w:t>
      </w:r>
    </w:p>
    <w:p>
      <w:pPr>
        <w:spacing w:line="400" w:lineRule="exact"/>
        <w:ind w:firstLine="440" w:firstLineChars="200"/>
        <w:jc w:val="lef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1.1.2.6监理人：</w:t>
      </w:r>
      <w:r>
        <w:rPr>
          <w:rFonts w:hint="eastAsia" w:ascii="宋体" w:hAnsi="宋体"/>
          <w:color w:val="auto"/>
          <w:szCs w:val="21"/>
          <w:highlight w:val="none"/>
          <w:u w:val="single"/>
          <w:lang w:val="en-US" w:eastAsia="zh-CN"/>
        </w:rPr>
        <w:t xml:space="preserve">                                                                </w:t>
      </w:r>
    </w:p>
    <w:p>
      <w:pPr>
        <w:spacing w:line="400" w:lineRule="exact"/>
        <w:ind w:firstLine="440" w:firstLineChars="200"/>
        <w:jc w:val="left"/>
        <w:rPr>
          <w:rFonts w:ascii="宋体" w:hAnsi="宋体"/>
          <w:color w:val="auto"/>
          <w:szCs w:val="21"/>
          <w:highlight w:val="none"/>
          <w:u w:val="single"/>
        </w:rPr>
      </w:pPr>
      <w:r>
        <w:rPr>
          <w:rFonts w:hint="eastAsia" w:ascii="宋体" w:hAnsi="宋体"/>
          <w:color w:val="auto"/>
          <w:szCs w:val="21"/>
          <w:highlight w:val="none"/>
        </w:rPr>
        <w:t>1.1.2.8发包人代表：</w:t>
      </w:r>
    </w:p>
    <w:p>
      <w:pPr>
        <w:spacing w:line="400" w:lineRule="exact"/>
        <w:ind w:firstLine="1320" w:firstLineChars="600"/>
        <w:jc w:val="left"/>
        <w:rPr>
          <w:rFonts w:ascii="宋体" w:hAnsi="宋体"/>
          <w:color w:val="auto"/>
          <w:szCs w:val="21"/>
          <w:highlight w:val="none"/>
          <w:u w:val="single"/>
        </w:rPr>
      </w:pPr>
      <w:r>
        <w:rPr>
          <w:rFonts w:ascii="宋体" w:hAnsi="宋体"/>
          <w:color w:val="auto"/>
          <w:szCs w:val="21"/>
          <w:highlight w:val="none"/>
        </w:rPr>
        <w:t xml:space="preserve">姓 </w:t>
      </w:r>
      <w:r>
        <w:rPr>
          <w:rFonts w:hint="eastAsia" w:ascii="宋体" w:hAnsi="宋体"/>
          <w:color w:val="auto"/>
          <w:szCs w:val="21"/>
          <w:highlight w:val="none"/>
          <w:lang w:val="en-US" w:eastAsia="zh-CN"/>
        </w:rPr>
        <w:t xml:space="preserve">   </w:t>
      </w:r>
      <w:r>
        <w:rPr>
          <w:rFonts w:ascii="宋体" w:hAnsi="宋体"/>
          <w:color w:val="auto"/>
          <w:szCs w:val="21"/>
          <w:highlight w:val="none"/>
        </w:rPr>
        <w:t>名：</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pPr>
        <w:spacing w:line="400" w:lineRule="exact"/>
        <w:ind w:firstLine="1320" w:firstLineChars="600"/>
        <w:jc w:val="left"/>
        <w:rPr>
          <w:rFonts w:hint="eastAsia" w:ascii="宋体" w:hAnsi="宋体"/>
          <w:color w:val="auto"/>
          <w:highlight w:val="none"/>
          <w:u w:val="single"/>
          <w:lang w:val="en-US" w:eastAsia="zh-CN"/>
        </w:rPr>
      </w:pPr>
      <w:r>
        <w:rPr>
          <w:color w:val="auto"/>
          <w:highlight w:val="none"/>
        </w:rPr>
        <w:t>职</w:t>
      </w:r>
      <w:r>
        <w:rPr>
          <w:rFonts w:hint="eastAsia"/>
          <w:color w:val="auto"/>
          <w:highlight w:val="none"/>
          <w:lang w:val="en-US" w:eastAsia="zh-CN"/>
        </w:rPr>
        <w:t xml:space="preserve">    </w:t>
      </w:r>
      <w:r>
        <w:rPr>
          <w:color w:val="auto"/>
          <w:highlight w:val="none"/>
        </w:rPr>
        <w:t>称：</w:t>
      </w:r>
      <w:r>
        <w:rPr>
          <w:rFonts w:hint="eastAsia" w:ascii="宋体" w:hAnsi="宋体"/>
          <w:color w:val="auto"/>
          <w:highlight w:val="none"/>
          <w:u w:val="single"/>
          <w:lang w:val="en-US" w:eastAsia="zh-CN"/>
        </w:rPr>
        <w:t xml:space="preserve">       /       </w:t>
      </w:r>
    </w:p>
    <w:p>
      <w:pPr>
        <w:spacing w:line="400" w:lineRule="exact"/>
        <w:ind w:firstLine="1320" w:firstLineChars="600"/>
        <w:jc w:val="left"/>
        <w:rPr>
          <w:rFonts w:ascii="宋体" w:hAnsi="宋体"/>
          <w:color w:val="auto"/>
          <w:szCs w:val="21"/>
          <w:highlight w:val="none"/>
          <w:u w:val="single"/>
        </w:rPr>
      </w:pPr>
      <w:r>
        <w:rPr>
          <w:rFonts w:ascii="宋体" w:hAnsi="宋体"/>
          <w:color w:val="auto"/>
          <w:highlight w:val="none"/>
        </w:rPr>
        <w:t>联系电话</w:t>
      </w:r>
      <w:r>
        <w:rPr>
          <w:color w:val="auto"/>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p>
    <w:p>
      <w:pPr>
        <w:spacing w:line="400" w:lineRule="exact"/>
        <w:ind w:firstLine="1320" w:firstLineChars="600"/>
        <w:jc w:val="left"/>
        <w:rPr>
          <w:rFonts w:hint="eastAsia" w:ascii="宋体" w:hAnsi="宋体"/>
          <w:color w:val="auto"/>
          <w:szCs w:val="21"/>
          <w:highlight w:val="none"/>
          <w:u w:val="single"/>
          <w:lang w:val="en-US" w:eastAsia="zh-CN"/>
        </w:rPr>
      </w:pPr>
      <w:r>
        <w:rPr>
          <w:rFonts w:ascii="宋体" w:hAnsi="宋体"/>
          <w:color w:val="auto"/>
          <w:szCs w:val="21"/>
          <w:highlight w:val="none"/>
        </w:rPr>
        <w:t>电子信箱：</w:t>
      </w:r>
      <w:r>
        <w:rPr>
          <w:rFonts w:hint="eastAsia" w:ascii="宋体" w:hAnsi="宋体"/>
          <w:color w:val="auto"/>
          <w:szCs w:val="21"/>
          <w:highlight w:val="none"/>
          <w:u w:val="single"/>
          <w:lang w:val="en-US" w:eastAsia="zh-CN"/>
        </w:rPr>
        <w:t xml:space="preserve">       /          </w:t>
      </w:r>
    </w:p>
    <w:p>
      <w:pPr>
        <w:spacing w:line="400" w:lineRule="exact"/>
        <w:ind w:firstLine="220" w:firstLineChars="100"/>
        <w:jc w:val="left"/>
        <w:rPr>
          <w:rFonts w:hint="eastAsia" w:ascii="黑体" w:hAnsi="宋体" w:eastAsia="黑体"/>
          <w:color w:val="auto"/>
          <w:szCs w:val="21"/>
          <w:highlight w:val="none"/>
          <w:lang w:val="en-US" w:eastAsia="zh-CN"/>
        </w:rPr>
      </w:pPr>
      <w:r>
        <w:rPr>
          <w:rFonts w:hint="eastAsia" w:ascii="黑体" w:hAnsi="宋体" w:eastAsia="黑体"/>
          <w:color w:val="auto"/>
          <w:szCs w:val="21"/>
          <w:highlight w:val="none"/>
        </w:rPr>
        <w:t>1.1.3工程和设备</w:t>
      </w:r>
    </w:p>
    <w:p>
      <w:pPr>
        <w:spacing w:line="400" w:lineRule="exact"/>
        <w:ind w:firstLine="440" w:firstLineChars="200"/>
        <w:jc w:val="left"/>
        <w:rPr>
          <w:rFonts w:hint="default" w:ascii="宋体" w:hAnsi="宋体"/>
          <w:color w:val="auto"/>
          <w:szCs w:val="21"/>
          <w:highlight w:val="none"/>
          <w:u w:val="single"/>
          <w:lang w:val="en-US"/>
        </w:rPr>
      </w:pPr>
      <w:r>
        <w:rPr>
          <w:rFonts w:hint="eastAsia" w:ascii="宋体" w:hAnsi="宋体"/>
          <w:color w:val="auto"/>
          <w:szCs w:val="21"/>
          <w:highlight w:val="none"/>
        </w:rPr>
        <w:t>1.1.3.2永久工程：</w:t>
      </w:r>
      <w:r>
        <w:rPr>
          <w:rFonts w:hint="eastAsia" w:ascii="宋体" w:hAnsi="宋体"/>
          <w:color w:val="auto"/>
          <w:szCs w:val="21"/>
          <w:highlight w:val="none"/>
          <w:u w:val="single"/>
          <w:lang w:val="en-US" w:eastAsia="zh-CN"/>
        </w:rPr>
        <w:t xml:space="preserve">                                                              </w:t>
      </w:r>
    </w:p>
    <w:p>
      <w:pPr>
        <w:spacing w:line="400" w:lineRule="exact"/>
        <w:ind w:left="2420" w:leftChars="200" w:hanging="1980" w:hangingChars="900"/>
        <w:jc w:val="lef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1.1.3.3临时工程：</w:t>
      </w:r>
      <w:r>
        <w:rPr>
          <w:rFonts w:hint="eastAsia" w:ascii="宋体" w:hAnsi="宋体"/>
          <w:color w:val="auto"/>
          <w:szCs w:val="21"/>
          <w:highlight w:val="none"/>
          <w:u w:val="single"/>
        </w:rPr>
        <w:t>包括</w:t>
      </w:r>
      <w:r>
        <w:rPr>
          <w:rFonts w:ascii="宋体" w:hAnsi="宋体"/>
          <w:color w:val="auto"/>
          <w:szCs w:val="21"/>
          <w:highlight w:val="none"/>
          <w:u w:val="single"/>
        </w:rPr>
        <w:t>临时性道路、施工供水工程、</w:t>
      </w:r>
      <w:r>
        <w:rPr>
          <w:rFonts w:hint="eastAsia" w:ascii="宋体" w:hAnsi="宋体"/>
          <w:color w:val="auto"/>
          <w:szCs w:val="21"/>
          <w:highlight w:val="none"/>
          <w:u w:val="single"/>
        </w:rPr>
        <w:t>施工排水工程，施工供电工程、</w:t>
      </w:r>
      <w:r>
        <w:rPr>
          <w:rFonts w:ascii="宋体" w:hAnsi="宋体"/>
          <w:color w:val="auto"/>
          <w:szCs w:val="21"/>
          <w:highlight w:val="none"/>
          <w:u w:val="single"/>
        </w:rPr>
        <w:t>施工照明工程、</w:t>
      </w:r>
      <w:r>
        <w:rPr>
          <w:rFonts w:hint="eastAsia" w:ascii="宋体" w:hAnsi="宋体"/>
          <w:color w:val="auto"/>
          <w:szCs w:val="21"/>
          <w:highlight w:val="none"/>
          <w:u w:val="single"/>
        </w:rPr>
        <w:t>临时用房及各监察管理部门要求设置的监控、环保设施等</w:t>
      </w:r>
      <w:r>
        <w:rPr>
          <w:rFonts w:hint="eastAsia" w:ascii="宋体" w:hAnsi="宋体"/>
          <w:color w:val="auto"/>
          <w:szCs w:val="21"/>
          <w:highlight w:val="none"/>
          <w:u w:val="single"/>
          <w:lang w:val="en-US" w:eastAsia="zh-CN"/>
        </w:rPr>
        <w:t xml:space="preserve">  </w:t>
      </w:r>
    </w:p>
    <w:p>
      <w:pPr>
        <w:spacing w:line="400" w:lineRule="exact"/>
        <w:ind w:firstLine="440" w:firstLineChars="200"/>
        <w:jc w:val="lef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1.1.3.10</w:t>
      </w:r>
      <w:r>
        <w:rPr>
          <w:color w:val="auto"/>
          <w:highlight w:val="none"/>
        </w:rPr>
        <w:t>永久占地：</w:t>
      </w:r>
      <w:r>
        <w:rPr>
          <w:rFonts w:hint="eastAsia" w:ascii="宋体" w:hAnsi="宋体"/>
          <w:color w:val="auto"/>
          <w:szCs w:val="21"/>
          <w:highlight w:val="none"/>
          <w:u w:val="single"/>
          <w:lang w:val="en-US" w:eastAsia="zh-CN"/>
        </w:rPr>
        <w:t xml:space="preserve">                                                             </w:t>
      </w:r>
    </w:p>
    <w:p>
      <w:pPr>
        <w:spacing w:line="400" w:lineRule="exact"/>
        <w:ind w:firstLine="440" w:firstLineChars="200"/>
        <w:jc w:val="left"/>
        <w:rPr>
          <w:rFonts w:hint="default" w:ascii="宋体" w:hAnsi="宋体" w:eastAsia="宋体"/>
          <w:color w:val="auto"/>
          <w:szCs w:val="21"/>
          <w:highlight w:val="none"/>
          <w:lang w:val="en-US" w:eastAsia="zh-CN"/>
        </w:rPr>
      </w:pPr>
      <w:r>
        <w:rPr>
          <w:rFonts w:hint="eastAsia" w:ascii="宋体" w:hAnsi="宋体"/>
          <w:color w:val="auto"/>
          <w:szCs w:val="21"/>
          <w:highlight w:val="none"/>
        </w:rPr>
        <w:t>1.1.3.11临时占地：</w:t>
      </w:r>
      <w:r>
        <w:rPr>
          <w:rFonts w:hint="eastAsia" w:ascii="宋体" w:hAnsi="宋体"/>
          <w:color w:val="auto"/>
          <w:szCs w:val="21"/>
          <w:highlight w:val="none"/>
          <w:u w:val="single"/>
          <w:lang w:val="en-US" w:eastAsia="zh-CN"/>
        </w:rPr>
        <w:t xml:space="preserve">                                                             </w:t>
      </w:r>
    </w:p>
    <w:p>
      <w:pPr>
        <w:spacing w:line="400" w:lineRule="exact"/>
        <w:ind w:firstLine="220" w:firstLineChars="100"/>
        <w:jc w:val="left"/>
        <w:rPr>
          <w:rFonts w:ascii="黑体" w:hAnsi="宋体" w:eastAsia="黑体"/>
          <w:color w:val="auto"/>
          <w:szCs w:val="21"/>
          <w:highlight w:val="none"/>
        </w:rPr>
      </w:pPr>
      <w:r>
        <w:rPr>
          <w:rFonts w:hint="eastAsia" w:ascii="黑体" w:hAnsi="宋体" w:eastAsia="黑体"/>
          <w:color w:val="auto"/>
          <w:szCs w:val="21"/>
          <w:highlight w:val="none"/>
        </w:rPr>
        <w:t>1.1.4日期</w:t>
      </w:r>
    </w:p>
    <w:p>
      <w:pPr>
        <w:spacing w:line="400" w:lineRule="exact"/>
        <w:ind w:firstLine="440" w:firstLineChars="200"/>
        <w:jc w:val="left"/>
        <w:rPr>
          <w:rFonts w:ascii="宋体" w:hAnsi="宋体"/>
          <w:color w:val="auto"/>
          <w:szCs w:val="21"/>
          <w:highlight w:val="none"/>
          <w:u w:val="single"/>
        </w:rPr>
      </w:pPr>
      <w:r>
        <w:rPr>
          <w:rFonts w:hint="eastAsia" w:ascii="宋体" w:hAnsi="宋体"/>
          <w:color w:val="auto"/>
          <w:szCs w:val="21"/>
          <w:highlight w:val="none"/>
        </w:rPr>
        <w:t>1.1.4.5缺陷责任期期限：</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24个</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月。</w:t>
      </w:r>
    </w:p>
    <w:p>
      <w:pPr>
        <w:spacing w:line="400" w:lineRule="exact"/>
        <w:ind w:firstLine="220" w:firstLineChars="100"/>
        <w:jc w:val="left"/>
        <w:rPr>
          <w:color w:val="auto"/>
          <w:highlight w:val="none"/>
        </w:rPr>
      </w:pPr>
      <w:r>
        <w:rPr>
          <w:color w:val="auto"/>
          <w:highlight w:val="none"/>
        </w:rPr>
        <w:t>1.1.8 其他需要补充的内容：/</w:t>
      </w:r>
    </w:p>
    <w:p>
      <w:pPr>
        <w:pStyle w:val="49"/>
        <w:rPr>
          <w:rFonts w:ascii="黑体" w:hAnsi="宋体" w:cs="Arial"/>
          <w:color w:val="auto"/>
          <w:highlight w:val="none"/>
        </w:rPr>
      </w:pPr>
      <w:bookmarkStart w:id="38" w:name="_Toc342296420"/>
      <w:bookmarkStart w:id="39" w:name="_Toc179632633"/>
      <w:bookmarkStart w:id="40" w:name="_Toc241459661"/>
      <w:bookmarkStart w:id="41" w:name="_Toc152042393"/>
      <w:bookmarkStart w:id="42" w:name="_Toc144974583"/>
      <w:bookmarkStart w:id="43" w:name="_Toc152045615"/>
      <w:r>
        <w:rPr>
          <w:rFonts w:hint="eastAsia" w:ascii="黑体" w:hAnsi="宋体" w:cs="Arial"/>
          <w:color w:val="auto"/>
          <w:highlight w:val="none"/>
        </w:rPr>
        <w:t>1.4 合同文件的优先顺序</w:t>
      </w:r>
      <w:bookmarkEnd w:id="38"/>
      <w:bookmarkEnd w:id="39"/>
      <w:bookmarkEnd w:id="40"/>
      <w:bookmarkEnd w:id="41"/>
      <w:bookmarkEnd w:id="42"/>
      <w:bookmarkEnd w:id="43"/>
    </w:p>
    <w:p>
      <w:pPr>
        <w:spacing w:line="400" w:lineRule="exact"/>
        <w:ind w:firstLine="482"/>
        <w:rPr>
          <w:rFonts w:ascii="宋体" w:hAnsi="宋体" w:cs="Arial"/>
          <w:color w:val="auto"/>
          <w:szCs w:val="21"/>
          <w:highlight w:val="none"/>
        </w:rPr>
      </w:pPr>
      <w:r>
        <w:rPr>
          <w:rFonts w:hint="eastAsia" w:ascii="宋体" w:hAnsi="宋体" w:cs="Arial"/>
          <w:color w:val="auto"/>
          <w:szCs w:val="21"/>
          <w:highlight w:val="none"/>
        </w:rPr>
        <w:t>合同文件的优先解释顺序如下：</w:t>
      </w:r>
    </w:p>
    <w:p>
      <w:pPr>
        <w:spacing w:line="400" w:lineRule="exact"/>
        <w:ind w:firstLine="482"/>
        <w:rPr>
          <w:rFonts w:ascii="宋体" w:hAnsi="宋体" w:cs="Arial"/>
          <w:color w:val="auto"/>
          <w:szCs w:val="21"/>
          <w:highlight w:val="none"/>
        </w:rPr>
      </w:pPr>
      <w:r>
        <w:rPr>
          <w:rFonts w:hint="eastAsia" w:ascii="宋体" w:hAnsi="宋体" w:cs="Arial"/>
          <w:color w:val="auto"/>
          <w:szCs w:val="21"/>
          <w:highlight w:val="none"/>
        </w:rPr>
        <w:t>（1）合同协议书；</w:t>
      </w:r>
    </w:p>
    <w:p>
      <w:pPr>
        <w:spacing w:line="400" w:lineRule="exact"/>
        <w:ind w:firstLine="482"/>
        <w:rPr>
          <w:rFonts w:ascii="宋体" w:hAnsi="宋体" w:cs="Arial"/>
          <w:color w:val="auto"/>
          <w:szCs w:val="21"/>
          <w:highlight w:val="none"/>
        </w:rPr>
      </w:pPr>
      <w:r>
        <w:rPr>
          <w:rFonts w:hint="eastAsia" w:ascii="宋体" w:hAnsi="宋体" w:cs="Arial"/>
          <w:color w:val="auto"/>
          <w:szCs w:val="21"/>
          <w:highlight w:val="none"/>
        </w:rPr>
        <w:t>（2）中标通知书；</w:t>
      </w:r>
    </w:p>
    <w:p>
      <w:pPr>
        <w:spacing w:line="400" w:lineRule="exact"/>
        <w:ind w:firstLine="482"/>
        <w:rPr>
          <w:rFonts w:ascii="宋体" w:hAnsi="宋体" w:cs="Arial"/>
          <w:color w:val="auto"/>
          <w:szCs w:val="21"/>
          <w:highlight w:val="none"/>
        </w:rPr>
      </w:pPr>
      <w:r>
        <w:rPr>
          <w:rFonts w:hint="eastAsia" w:ascii="宋体" w:hAnsi="宋体" w:cs="Arial"/>
          <w:color w:val="auto"/>
          <w:szCs w:val="21"/>
          <w:highlight w:val="none"/>
        </w:rPr>
        <w:t>（3）投标函及投标函附录；</w:t>
      </w:r>
    </w:p>
    <w:p>
      <w:pPr>
        <w:spacing w:line="400" w:lineRule="exact"/>
        <w:ind w:firstLine="482"/>
        <w:rPr>
          <w:rFonts w:ascii="宋体" w:hAnsi="宋体" w:cs="Arial"/>
          <w:color w:val="auto"/>
          <w:szCs w:val="21"/>
          <w:highlight w:val="none"/>
        </w:rPr>
      </w:pPr>
      <w:r>
        <w:rPr>
          <w:rFonts w:hint="eastAsia" w:ascii="宋体" w:hAnsi="宋体" w:cs="Arial"/>
          <w:color w:val="auto"/>
          <w:szCs w:val="21"/>
          <w:highlight w:val="none"/>
        </w:rPr>
        <w:t>（4）</w:t>
      </w:r>
      <w:r>
        <w:rPr>
          <w:color w:val="auto"/>
          <w:highlight w:val="none"/>
        </w:rPr>
        <w:t>合同条款专用部分；</w:t>
      </w:r>
    </w:p>
    <w:p>
      <w:pPr>
        <w:spacing w:line="400" w:lineRule="exact"/>
        <w:ind w:firstLine="482"/>
        <w:rPr>
          <w:rFonts w:ascii="宋体" w:hAnsi="宋体" w:cs="Arial"/>
          <w:color w:val="auto"/>
          <w:szCs w:val="21"/>
          <w:highlight w:val="none"/>
        </w:rPr>
      </w:pPr>
      <w:r>
        <w:rPr>
          <w:rFonts w:hint="eastAsia" w:ascii="宋体" w:hAnsi="宋体" w:cs="Arial"/>
          <w:color w:val="auto"/>
          <w:szCs w:val="21"/>
          <w:highlight w:val="none"/>
        </w:rPr>
        <w:t>（5）</w:t>
      </w:r>
      <w:r>
        <w:rPr>
          <w:color w:val="auto"/>
          <w:highlight w:val="none"/>
        </w:rPr>
        <w:t>合同条款通用部分；</w:t>
      </w:r>
    </w:p>
    <w:p>
      <w:pPr>
        <w:spacing w:line="400" w:lineRule="exact"/>
        <w:ind w:firstLine="482"/>
        <w:rPr>
          <w:rFonts w:ascii="宋体" w:hAnsi="宋体" w:cs="Arial"/>
          <w:color w:val="auto"/>
          <w:szCs w:val="21"/>
          <w:highlight w:val="none"/>
        </w:rPr>
      </w:pPr>
      <w:r>
        <w:rPr>
          <w:rFonts w:hint="eastAsia" w:ascii="宋体" w:hAnsi="宋体" w:cs="Arial"/>
          <w:color w:val="auto"/>
          <w:szCs w:val="21"/>
          <w:highlight w:val="none"/>
        </w:rPr>
        <w:t>（6）</w:t>
      </w:r>
      <w:r>
        <w:rPr>
          <w:rFonts w:hint="eastAsia" w:ascii="宋体" w:hAnsi="宋体" w:cs="Arial"/>
          <w:color w:val="auto"/>
          <w:szCs w:val="21"/>
          <w:highlight w:val="none"/>
          <w:u w:val="single"/>
        </w:rPr>
        <w:t>已标价工程量清单</w:t>
      </w:r>
      <w:r>
        <w:rPr>
          <w:rFonts w:hint="eastAsia" w:ascii="宋体" w:hAnsi="宋体" w:cs="Arial"/>
          <w:color w:val="auto"/>
          <w:highlight w:val="none"/>
          <w:u w:val="single"/>
        </w:rPr>
        <w:t>；</w:t>
      </w:r>
    </w:p>
    <w:p>
      <w:pPr>
        <w:spacing w:line="400" w:lineRule="exact"/>
        <w:ind w:firstLine="482"/>
        <w:rPr>
          <w:rFonts w:hint="eastAsia" w:ascii="宋体" w:hAnsi="宋体" w:eastAsia="宋体" w:cs="Arial"/>
          <w:color w:val="auto"/>
          <w:szCs w:val="21"/>
          <w:highlight w:val="none"/>
          <w:u w:val="single"/>
          <w:lang w:eastAsia="zh-CN"/>
        </w:rPr>
      </w:pPr>
      <w:r>
        <w:rPr>
          <w:rFonts w:hint="eastAsia" w:ascii="宋体" w:hAnsi="宋体" w:cs="Arial"/>
          <w:color w:val="auto"/>
          <w:szCs w:val="21"/>
          <w:highlight w:val="none"/>
        </w:rPr>
        <w:t>（7）</w:t>
      </w:r>
      <w:r>
        <w:rPr>
          <w:color w:val="auto"/>
          <w:highlight w:val="none"/>
          <w:u w:val="single"/>
        </w:rPr>
        <w:t>技术标准和要求</w:t>
      </w:r>
      <w:r>
        <w:rPr>
          <w:rFonts w:hint="eastAsia"/>
          <w:color w:val="auto"/>
          <w:highlight w:val="none"/>
          <w:u w:val="single"/>
          <w:lang w:eastAsia="zh-CN"/>
        </w:rPr>
        <w:t>；</w:t>
      </w:r>
    </w:p>
    <w:p>
      <w:pPr>
        <w:spacing w:line="400" w:lineRule="exact"/>
        <w:ind w:firstLine="482"/>
        <w:rPr>
          <w:rFonts w:hint="eastAsia" w:ascii="宋体" w:hAnsi="宋体" w:eastAsia="宋体" w:cs="Arial"/>
          <w:color w:val="auto"/>
          <w:highlight w:val="none"/>
          <w:lang w:eastAsia="zh-CN"/>
        </w:rPr>
      </w:pPr>
      <w:r>
        <w:rPr>
          <w:rFonts w:hint="eastAsia" w:ascii="宋体" w:hAnsi="宋体" w:cs="Arial"/>
          <w:color w:val="auto"/>
          <w:szCs w:val="21"/>
          <w:highlight w:val="none"/>
        </w:rPr>
        <w:t>（8）</w:t>
      </w:r>
      <w:r>
        <w:rPr>
          <w:rFonts w:hint="eastAsia" w:ascii="宋体" w:hAnsi="宋体" w:cs="Arial"/>
          <w:color w:val="auto"/>
          <w:szCs w:val="21"/>
          <w:highlight w:val="none"/>
          <w:u w:val="single"/>
        </w:rPr>
        <w:t>图纸</w:t>
      </w:r>
      <w:r>
        <w:rPr>
          <w:rFonts w:hint="eastAsia" w:ascii="宋体" w:hAnsi="宋体" w:cs="Arial"/>
          <w:color w:val="auto"/>
          <w:szCs w:val="21"/>
          <w:highlight w:val="none"/>
          <w:u w:val="single"/>
          <w:lang w:eastAsia="zh-CN"/>
        </w:rPr>
        <w:t>；</w:t>
      </w:r>
    </w:p>
    <w:p>
      <w:pPr>
        <w:spacing w:line="400" w:lineRule="exact"/>
        <w:ind w:firstLine="482"/>
        <w:rPr>
          <w:rFonts w:hint="eastAsia" w:ascii="宋体" w:hAnsi="宋体" w:cs="Arial"/>
          <w:color w:val="auto"/>
          <w:szCs w:val="21"/>
          <w:highlight w:val="none"/>
          <w:u w:val="single"/>
        </w:rPr>
      </w:pPr>
      <w:r>
        <w:rPr>
          <w:rFonts w:hint="eastAsia" w:ascii="宋体" w:hAnsi="宋体" w:cs="Arial"/>
          <w:color w:val="auto"/>
          <w:szCs w:val="21"/>
          <w:highlight w:val="none"/>
          <w:lang w:eastAsia="zh-CN"/>
        </w:rPr>
        <w:t>（</w:t>
      </w:r>
      <w:r>
        <w:rPr>
          <w:rFonts w:hint="eastAsia" w:ascii="宋体" w:hAnsi="宋体" w:cs="Arial"/>
          <w:color w:val="auto"/>
          <w:szCs w:val="21"/>
          <w:highlight w:val="none"/>
          <w:lang w:val="en-US" w:eastAsia="zh-CN"/>
        </w:rPr>
        <w:t>9</w:t>
      </w:r>
      <w:r>
        <w:rPr>
          <w:rFonts w:hint="eastAsia" w:ascii="宋体" w:hAnsi="宋体" w:cs="Arial"/>
          <w:color w:val="auto"/>
          <w:szCs w:val="21"/>
          <w:highlight w:val="none"/>
          <w:lang w:eastAsia="zh-CN"/>
        </w:rPr>
        <w:t>）</w:t>
      </w:r>
      <w:r>
        <w:rPr>
          <w:rFonts w:hint="eastAsia" w:ascii="宋体" w:hAnsi="宋体" w:cs="Arial"/>
          <w:color w:val="auto"/>
          <w:szCs w:val="21"/>
          <w:highlight w:val="none"/>
          <w:u w:val="none"/>
        </w:rPr>
        <w:t>其他合同文件：</w:t>
      </w:r>
      <w:r>
        <w:rPr>
          <w:rFonts w:hint="eastAsia" w:ascii="宋体" w:hAnsi="宋体" w:cs="Arial"/>
          <w:color w:val="auto"/>
          <w:szCs w:val="21"/>
          <w:highlight w:val="none"/>
          <w:u w:val="single"/>
        </w:rPr>
        <w:t>发承包双方签署的与工程有关的施工组织设计、施工方案、变更、洽商、协议、纪要、信函、备忘录等</w:t>
      </w:r>
    </w:p>
    <w:p>
      <w:pPr>
        <w:spacing w:line="400" w:lineRule="exact"/>
        <w:ind w:firstLine="482"/>
        <w:rPr>
          <w:rFonts w:ascii="宋体" w:hAnsi="宋体" w:cs="Arial"/>
          <w:color w:val="auto"/>
          <w:szCs w:val="21"/>
          <w:highlight w:val="none"/>
          <w:u w:val="single"/>
        </w:rPr>
      </w:pPr>
      <w:r>
        <w:rPr>
          <w:rFonts w:hint="eastAsia" w:ascii="宋体" w:hAnsi="宋体" w:cs="Arial"/>
          <w:color w:val="auto"/>
          <w:szCs w:val="21"/>
          <w:highlight w:val="none"/>
        </w:rPr>
        <w:t>（说明：</w:t>
      </w:r>
      <w:r>
        <w:rPr>
          <w:rFonts w:hint="eastAsia" w:ascii="楷体_GB2312" w:hAnsi="华文楷体" w:eastAsia="楷体_GB2312" w:cs="Arial"/>
          <w:color w:val="auto"/>
          <w:szCs w:val="21"/>
          <w:highlight w:val="none"/>
        </w:rPr>
        <w:t>（6）、（7）、（8）填空内容分别限于技术标准和要求、图纸、已标价工程量清单三者之一。</w:t>
      </w:r>
      <w:r>
        <w:rPr>
          <w:rFonts w:hint="eastAsia" w:ascii="宋体" w:hAnsi="宋体" w:cs="Arial"/>
          <w:color w:val="auto"/>
          <w:szCs w:val="21"/>
          <w:highlight w:val="none"/>
        </w:rPr>
        <w:t>）</w:t>
      </w:r>
    </w:p>
    <w:p>
      <w:pPr>
        <w:pStyle w:val="49"/>
        <w:rPr>
          <w:rFonts w:ascii="黑体" w:hAnsi="宋体" w:cs="Arial"/>
          <w:color w:val="auto"/>
          <w:highlight w:val="none"/>
        </w:rPr>
      </w:pPr>
      <w:bookmarkStart w:id="44" w:name="_Toc342296421"/>
      <w:bookmarkStart w:id="45" w:name="_Toc241459662"/>
      <w:bookmarkStart w:id="46" w:name="_Toc179632634"/>
      <w:bookmarkStart w:id="47" w:name="_Toc152042394"/>
      <w:bookmarkStart w:id="48" w:name="_Toc144974584"/>
      <w:bookmarkStart w:id="49" w:name="_Toc152045616"/>
      <w:r>
        <w:rPr>
          <w:rFonts w:hint="eastAsia" w:ascii="黑体" w:hAnsi="宋体" w:cs="Arial"/>
          <w:color w:val="auto"/>
          <w:highlight w:val="none"/>
        </w:rPr>
        <w:t>1.5 合同协议书</w:t>
      </w:r>
      <w:bookmarkEnd w:id="44"/>
      <w:bookmarkEnd w:id="45"/>
      <w:bookmarkEnd w:id="46"/>
      <w:bookmarkEnd w:id="47"/>
      <w:bookmarkEnd w:id="48"/>
      <w:bookmarkEnd w:id="49"/>
    </w:p>
    <w:p>
      <w:pPr>
        <w:spacing w:line="400" w:lineRule="exact"/>
        <w:ind w:firstLine="440" w:firstLineChars="200"/>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合同生效的条件：</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双方签字并盖章</w:t>
      </w:r>
      <w:r>
        <w:rPr>
          <w:rFonts w:hint="eastAsia" w:ascii="宋体" w:hAnsi="宋体"/>
          <w:color w:val="auto"/>
          <w:szCs w:val="21"/>
          <w:highlight w:val="none"/>
          <w:u w:val="single"/>
          <w:lang w:val="en-US" w:eastAsia="zh-CN"/>
        </w:rPr>
        <w:t xml:space="preserve">  </w:t>
      </w:r>
    </w:p>
    <w:p>
      <w:pPr>
        <w:pStyle w:val="49"/>
        <w:rPr>
          <w:rFonts w:ascii="黑体" w:hAnsi="宋体" w:cs="Arial"/>
          <w:color w:val="auto"/>
          <w:highlight w:val="none"/>
        </w:rPr>
      </w:pPr>
      <w:bookmarkStart w:id="50" w:name="_Toc152042395"/>
      <w:bookmarkStart w:id="51" w:name="_Toc179632635"/>
      <w:bookmarkStart w:id="52" w:name="_Toc152045617"/>
      <w:bookmarkStart w:id="53" w:name="_Toc342296422"/>
      <w:bookmarkStart w:id="54" w:name="_Toc241459663"/>
      <w:bookmarkStart w:id="55" w:name="_Toc144974585"/>
      <w:r>
        <w:rPr>
          <w:rFonts w:hint="eastAsia" w:ascii="黑体" w:hAnsi="宋体" w:cs="Arial"/>
          <w:color w:val="auto"/>
          <w:highlight w:val="none"/>
        </w:rPr>
        <w:t>1.6 图纸和承包人文件</w:t>
      </w:r>
      <w:bookmarkEnd w:id="50"/>
      <w:bookmarkEnd w:id="51"/>
      <w:bookmarkEnd w:id="52"/>
      <w:bookmarkEnd w:id="53"/>
      <w:bookmarkEnd w:id="54"/>
      <w:bookmarkEnd w:id="55"/>
    </w:p>
    <w:p>
      <w:pPr>
        <w:spacing w:line="400" w:lineRule="exact"/>
        <w:ind w:firstLine="440" w:firstLineChars="200"/>
        <w:jc w:val="left"/>
        <w:rPr>
          <w:rFonts w:ascii="黑体" w:hAnsi="宋体" w:eastAsia="黑体"/>
          <w:color w:val="auto"/>
          <w:szCs w:val="21"/>
          <w:highlight w:val="none"/>
        </w:rPr>
      </w:pPr>
      <w:r>
        <w:rPr>
          <w:rFonts w:hint="eastAsia" w:ascii="黑体" w:hAnsi="宋体" w:eastAsia="黑体"/>
          <w:color w:val="auto"/>
          <w:szCs w:val="21"/>
          <w:highlight w:val="none"/>
        </w:rPr>
        <w:t>1.6.1图纸的提供</w:t>
      </w:r>
    </w:p>
    <w:p>
      <w:pPr>
        <w:numPr>
          <w:ilvl w:val="0"/>
          <w:numId w:val="8"/>
        </w:numPr>
        <w:spacing w:line="400" w:lineRule="exact"/>
        <w:ind w:firstLine="330" w:firstLineChars="150"/>
        <w:rPr>
          <w:rFonts w:hint="eastAsia" w:ascii="宋体" w:hAnsi="宋体"/>
          <w:color w:val="auto"/>
          <w:szCs w:val="21"/>
          <w:highlight w:val="none"/>
          <w:u w:val="single"/>
          <w:lang w:val="en-US" w:eastAsia="zh-CN"/>
        </w:rPr>
      </w:pPr>
      <w:r>
        <w:rPr>
          <w:rFonts w:hint="eastAsia" w:ascii="宋体" w:hAnsi="宋体"/>
          <w:color w:val="auto"/>
          <w:szCs w:val="21"/>
          <w:highlight w:val="none"/>
        </w:rPr>
        <w:t>发包人提供图纸的期限：</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双方</w:t>
      </w:r>
      <w:r>
        <w:rPr>
          <w:rFonts w:ascii="宋体" w:hAnsi="宋体"/>
          <w:color w:val="auto"/>
          <w:szCs w:val="21"/>
          <w:highlight w:val="none"/>
          <w:u w:val="single"/>
        </w:rPr>
        <w:t xml:space="preserve">签订合同后 14 </w:t>
      </w:r>
      <w:r>
        <w:rPr>
          <w:rFonts w:hint="eastAsia" w:ascii="宋体" w:hAnsi="宋体"/>
          <w:color w:val="auto"/>
          <w:szCs w:val="21"/>
          <w:highlight w:val="none"/>
          <w:u w:val="single"/>
        </w:rPr>
        <w:t>日内</w:t>
      </w:r>
      <w:r>
        <w:rPr>
          <w:rFonts w:hint="eastAsia" w:ascii="宋体" w:hAnsi="宋体"/>
          <w:color w:val="auto"/>
          <w:szCs w:val="21"/>
          <w:highlight w:val="none"/>
          <w:u w:val="single"/>
          <w:lang w:val="en-US" w:eastAsia="zh-CN"/>
        </w:rPr>
        <w:t xml:space="preserve">  </w:t>
      </w:r>
    </w:p>
    <w:p>
      <w:pPr>
        <w:numPr>
          <w:ilvl w:val="0"/>
          <w:numId w:val="8"/>
        </w:numPr>
        <w:spacing w:line="400" w:lineRule="exact"/>
        <w:ind w:firstLine="330" w:firstLineChars="150"/>
        <w:rPr>
          <w:rFonts w:ascii="宋体" w:hAnsi="宋体"/>
          <w:color w:val="auto"/>
          <w:szCs w:val="21"/>
          <w:highlight w:val="none"/>
          <w:u w:val="single"/>
        </w:rPr>
      </w:pPr>
      <w:r>
        <w:rPr>
          <w:rFonts w:hint="eastAsia" w:ascii="宋体" w:hAnsi="宋体"/>
          <w:color w:val="auto"/>
          <w:szCs w:val="21"/>
          <w:highlight w:val="none"/>
        </w:rPr>
        <w:t>发包人提供图纸的数量：</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8 套，其中4 套用于编制竣工图</w:t>
      </w:r>
      <w:r>
        <w:rPr>
          <w:rFonts w:hint="eastAsia" w:ascii="宋体" w:hAnsi="宋体"/>
          <w:color w:val="auto"/>
          <w:szCs w:val="21"/>
          <w:highlight w:val="none"/>
          <w:u w:val="single"/>
          <w:lang w:val="en-US" w:eastAsia="zh-CN"/>
        </w:rPr>
        <w:t xml:space="preserve">  </w:t>
      </w:r>
    </w:p>
    <w:p>
      <w:pPr>
        <w:numPr>
          <w:ilvl w:val="0"/>
          <w:numId w:val="8"/>
        </w:numPr>
        <w:spacing w:line="400" w:lineRule="exact"/>
        <w:ind w:firstLine="330" w:firstLineChars="150"/>
        <w:rPr>
          <w:rFonts w:ascii="宋体" w:hAnsi="宋体"/>
          <w:color w:val="auto"/>
          <w:szCs w:val="21"/>
          <w:highlight w:val="none"/>
          <w:u w:val="single"/>
        </w:rPr>
      </w:pPr>
      <w:r>
        <w:rPr>
          <w:color w:val="auto"/>
          <w:highlight w:val="none"/>
        </w:rPr>
        <w:t>其他约定：</w:t>
      </w:r>
      <w:r>
        <w:rPr>
          <w:color w:val="auto"/>
          <w:highlight w:val="none"/>
          <w:u w:val="none"/>
        </w:rPr>
        <w:t>/</w:t>
      </w:r>
    </w:p>
    <w:p>
      <w:pPr>
        <w:spacing w:line="400" w:lineRule="exact"/>
        <w:ind w:firstLine="440" w:firstLineChars="200"/>
        <w:jc w:val="left"/>
        <w:rPr>
          <w:rFonts w:ascii="黑体" w:hAnsi="宋体" w:eastAsia="黑体"/>
          <w:color w:val="auto"/>
          <w:szCs w:val="21"/>
          <w:highlight w:val="none"/>
        </w:rPr>
      </w:pPr>
      <w:r>
        <w:rPr>
          <w:rFonts w:hint="eastAsia" w:ascii="黑体" w:hAnsi="宋体" w:eastAsia="黑体"/>
          <w:color w:val="auto"/>
          <w:szCs w:val="21"/>
          <w:highlight w:val="none"/>
        </w:rPr>
        <w:t>1.6.2 承包人提供的文件</w:t>
      </w:r>
    </w:p>
    <w:p>
      <w:pPr>
        <w:spacing w:line="400" w:lineRule="exact"/>
        <w:ind w:firstLine="330" w:firstLineChars="150"/>
        <w:rPr>
          <w:rFonts w:ascii="宋体" w:hAnsi="宋体"/>
          <w:color w:val="auto"/>
          <w:szCs w:val="21"/>
          <w:highlight w:val="none"/>
        </w:rPr>
      </w:pPr>
      <w:r>
        <w:rPr>
          <w:rFonts w:hint="eastAsia" w:ascii="宋体" w:hAnsi="宋体"/>
          <w:color w:val="auto"/>
          <w:szCs w:val="21"/>
          <w:highlight w:val="none"/>
        </w:rPr>
        <w:t>（1）由承包人提供的文件范围：</w:t>
      </w:r>
    </w:p>
    <w:p>
      <w:pPr>
        <w:spacing w:line="400" w:lineRule="exact"/>
        <w:ind w:firstLine="330" w:firstLineChars="150"/>
        <w:rPr>
          <w:rFonts w:ascii="宋体" w:hAnsi="宋体"/>
          <w:color w:val="auto"/>
          <w:szCs w:val="21"/>
          <w:highlight w:val="none"/>
          <w:u w:val="single"/>
        </w:rPr>
      </w:pPr>
      <w:r>
        <w:rPr>
          <w:rFonts w:ascii="宋体" w:hAnsi="宋体"/>
          <w:color w:val="auto"/>
          <w:szCs w:val="21"/>
          <w:highlight w:val="none"/>
          <w:u w:val="single"/>
        </w:rPr>
        <w:t>施工组织设计方案、施工进度计划（含分包招标、材料与设备采购进度计划）等监理、发包人认为必要的资料。其他应由承包人提供的文件包括：深化设计施工图纸（如果有）、必要的加工图和大样图等。</w:t>
      </w:r>
    </w:p>
    <w:p>
      <w:pPr>
        <w:spacing w:line="400" w:lineRule="exact"/>
        <w:ind w:firstLine="330" w:firstLineChars="150"/>
        <w:rPr>
          <w:rFonts w:ascii="宋体" w:hAnsi="宋体"/>
          <w:color w:val="auto"/>
          <w:szCs w:val="21"/>
          <w:highlight w:val="none"/>
          <w:u w:val="singl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w:t>
      </w:r>
      <w:r>
        <w:rPr>
          <w:rFonts w:hint="eastAsia" w:ascii="宋体" w:hAnsi="宋体"/>
          <w:color w:val="auto"/>
          <w:szCs w:val="21"/>
          <w:highlight w:val="none"/>
        </w:rPr>
        <w:t>承包人提供文件的期限：</w:t>
      </w:r>
    </w:p>
    <w:p>
      <w:pPr>
        <w:spacing w:line="400" w:lineRule="exact"/>
        <w:ind w:firstLine="330" w:firstLineChars="150"/>
        <w:rPr>
          <w:rFonts w:ascii="宋体" w:hAnsi="宋体"/>
          <w:color w:val="auto"/>
          <w:szCs w:val="21"/>
          <w:highlight w:val="none"/>
          <w:u w:val="single"/>
        </w:rPr>
      </w:pPr>
      <w:r>
        <w:rPr>
          <w:rFonts w:ascii="宋体" w:hAnsi="宋体"/>
          <w:color w:val="auto"/>
          <w:szCs w:val="21"/>
          <w:highlight w:val="none"/>
          <w:u w:val="single"/>
        </w:rPr>
        <w:t>合同签订后 14日内提供满足工程进度需要的工期计划；施工组织设计方案在合同签订后 14个工作日内提交；周进度计划在每周监理例会前一日提交；月、季进度计划在每月、季开始的 5 日前提交。 以上提交文件应向监理人、发包人等提交，并经发包人、监理人审批确认后方可实施 。</w:t>
      </w:r>
    </w:p>
    <w:p>
      <w:pPr>
        <w:spacing w:line="400" w:lineRule="exact"/>
        <w:ind w:firstLine="330" w:firstLineChars="150"/>
        <w:rPr>
          <w:rFonts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3</w:t>
      </w:r>
      <w:r>
        <w:rPr>
          <w:rFonts w:hint="eastAsia" w:ascii="宋体" w:hAnsi="宋体"/>
          <w:color w:val="auto"/>
          <w:szCs w:val="21"/>
          <w:highlight w:val="none"/>
          <w:lang w:eastAsia="zh-CN"/>
        </w:rPr>
        <w:t>）</w:t>
      </w:r>
      <w:r>
        <w:rPr>
          <w:rFonts w:hint="eastAsia" w:ascii="宋体" w:hAnsi="宋体"/>
          <w:color w:val="auto"/>
          <w:szCs w:val="21"/>
          <w:highlight w:val="none"/>
        </w:rPr>
        <w:t>承包人提供文件的数量：</w:t>
      </w:r>
    </w:p>
    <w:p>
      <w:pPr>
        <w:spacing w:line="400" w:lineRule="exact"/>
        <w:ind w:firstLine="330" w:firstLineChars="150"/>
        <w:rPr>
          <w:rFonts w:ascii="宋体" w:hAnsi="宋体"/>
          <w:color w:val="auto"/>
          <w:szCs w:val="21"/>
          <w:highlight w:val="none"/>
        </w:rPr>
      </w:pPr>
      <w:r>
        <w:rPr>
          <w:rFonts w:hint="eastAsia"/>
          <w:color w:val="auto"/>
          <w:highlight w:val="none"/>
          <w:u w:val="single"/>
        </w:rPr>
        <w:t>提供发包人，监理人，各一份。</w:t>
      </w:r>
    </w:p>
    <w:p>
      <w:pPr>
        <w:spacing w:line="400" w:lineRule="exact"/>
        <w:ind w:firstLine="330" w:firstLineChars="150"/>
        <w:rPr>
          <w:rFonts w:ascii="宋体" w:hAnsi="宋体"/>
          <w:color w:val="auto"/>
          <w:szCs w:val="21"/>
          <w:highlight w:val="none"/>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4</w:t>
      </w:r>
      <w:r>
        <w:rPr>
          <w:rFonts w:hint="eastAsia" w:ascii="宋体" w:hAnsi="宋体"/>
          <w:color w:val="auto"/>
          <w:szCs w:val="21"/>
          <w:highlight w:val="none"/>
          <w:lang w:eastAsia="zh-CN"/>
        </w:rPr>
        <w:t>）</w:t>
      </w:r>
      <w:r>
        <w:rPr>
          <w:rFonts w:hint="eastAsia" w:ascii="宋体" w:hAnsi="宋体"/>
          <w:color w:val="auto"/>
          <w:szCs w:val="21"/>
          <w:highlight w:val="none"/>
        </w:rPr>
        <w:t>监理人批复承包人提供文件的期限：</w:t>
      </w:r>
    </w:p>
    <w:p>
      <w:pPr>
        <w:spacing w:line="400" w:lineRule="exact"/>
        <w:ind w:firstLine="330" w:firstLineChars="150"/>
        <w:rPr>
          <w:rFonts w:ascii="宋体" w:hAnsi="宋体"/>
          <w:color w:val="auto"/>
          <w:szCs w:val="21"/>
          <w:highlight w:val="none"/>
          <w:u w:val="single"/>
        </w:rPr>
      </w:pPr>
      <w:r>
        <w:rPr>
          <w:color w:val="auto"/>
          <w:highlight w:val="none"/>
          <w:u w:val="single"/>
        </w:rPr>
        <w:t>收到</w:t>
      </w:r>
      <w:r>
        <w:rPr>
          <w:rFonts w:hint="eastAsia"/>
          <w:color w:val="auto"/>
          <w:highlight w:val="none"/>
          <w:u w:val="single"/>
        </w:rPr>
        <w:t>上述文件后14日内</w:t>
      </w:r>
      <w:r>
        <w:rPr>
          <w:color w:val="auto"/>
          <w:highlight w:val="none"/>
          <w:u w:val="single"/>
        </w:rPr>
        <w:t>。</w:t>
      </w:r>
    </w:p>
    <w:p>
      <w:pPr>
        <w:spacing w:line="400" w:lineRule="exact"/>
        <w:ind w:firstLine="315"/>
        <w:jc w:val="left"/>
        <w:rPr>
          <w:rFonts w:ascii="宋体" w:hAnsi="宋体"/>
          <w:color w:val="auto"/>
          <w:szCs w:val="21"/>
          <w:highlight w:val="none"/>
        </w:rPr>
      </w:pPr>
      <w:r>
        <w:rPr>
          <w:rFonts w:hint="eastAsia" w:ascii="宋体" w:hAnsi="宋体"/>
          <w:color w:val="auto"/>
          <w:szCs w:val="21"/>
          <w:highlight w:val="none"/>
        </w:rPr>
        <w:t>其他约定：</w:t>
      </w:r>
      <w:r>
        <w:rPr>
          <w:rFonts w:hint="eastAsia" w:ascii="宋体" w:hAnsi="宋体"/>
          <w:color w:val="auto"/>
          <w:szCs w:val="21"/>
          <w:highlight w:val="none"/>
          <w:u w:val="none"/>
        </w:rPr>
        <w:t>/</w:t>
      </w:r>
      <w:bookmarkStart w:id="56" w:name="_Toc179632636"/>
      <w:bookmarkStart w:id="57" w:name="_Toc144974586"/>
      <w:bookmarkStart w:id="58" w:name="_Toc152045618"/>
      <w:bookmarkStart w:id="59" w:name="_Toc241459664"/>
      <w:bookmarkStart w:id="60" w:name="_Toc342296423"/>
      <w:bookmarkStart w:id="61" w:name="_Toc152042396"/>
    </w:p>
    <w:p>
      <w:pPr>
        <w:pStyle w:val="49"/>
        <w:rPr>
          <w:rFonts w:ascii="黑体" w:hAnsi="宋体"/>
          <w:color w:val="auto"/>
          <w:highlight w:val="none"/>
        </w:rPr>
      </w:pPr>
      <w:r>
        <w:rPr>
          <w:rFonts w:hint="eastAsia" w:ascii="黑体" w:hAnsi="宋体" w:cs="Arial"/>
          <w:color w:val="auto"/>
          <w:highlight w:val="none"/>
        </w:rPr>
        <w:t>1.7 联 络</w:t>
      </w:r>
      <w:bookmarkEnd w:id="56"/>
      <w:bookmarkEnd w:id="57"/>
      <w:bookmarkEnd w:id="58"/>
      <w:bookmarkEnd w:id="59"/>
      <w:bookmarkEnd w:id="60"/>
      <w:bookmarkEnd w:id="61"/>
    </w:p>
    <w:p>
      <w:pPr>
        <w:spacing w:line="400" w:lineRule="exact"/>
        <w:ind w:firstLine="440" w:firstLineChars="200"/>
        <w:jc w:val="left"/>
        <w:rPr>
          <w:rFonts w:ascii="黑体" w:hAnsi="宋体" w:eastAsia="黑体" w:cs="Arial"/>
          <w:color w:val="auto"/>
          <w:szCs w:val="21"/>
          <w:highlight w:val="none"/>
        </w:rPr>
      </w:pPr>
      <w:r>
        <w:rPr>
          <w:rFonts w:hint="eastAsia" w:ascii="黑体" w:hAnsi="宋体" w:eastAsia="黑体"/>
          <w:color w:val="auto"/>
          <w:szCs w:val="21"/>
          <w:highlight w:val="none"/>
        </w:rPr>
        <w:t>1.7.2联络来往函件的送达和接收</w:t>
      </w:r>
    </w:p>
    <w:p>
      <w:pPr>
        <w:spacing w:line="400" w:lineRule="exact"/>
        <w:ind w:firstLine="330" w:firstLineChars="150"/>
        <w:rPr>
          <w:rFonts w:ascii="宋体" w:hAnsi="宋体"/>
          <w:color w:val="auto"/>
          <w:szCs w:val="21"/>
          <w:highlight w:val="none"/>
        </w:rPr>
      </w:pPr>
      <w:r>
        <w:rPr>
          <w:rFonts w:hint="eastAsia" w:ascii="宋体" w:hAnsi="宋体"/>
          <w:color w:val="auto"/>
          <w:szCs w:val="21"/>
          <w:highlight w:val="none"/>
        </w:rPr>
        <w:t>（2）发包人指定的接收地点：</w:t>
      </w:r>
      <w:r>
        <w:rPr>
          <w:color w:val="auto"/>
          <w:highlight w:val="none"/>
          <w:u w:val="single"/>
        </w:rPr>
        <w:t>本项目工程指挥部</w:t>
      </w:r>
      <w:r>
        <w:rPr>
          <w:rFonts w:hint="eastAsia" w:ascii="宋体" w:hAnsi="宋体"/>
          <w:color w:val="auto"/>
          <w:szCs w:val="21"/>
          <w:highlight w:val="none"/>
        </w:rPr>
        <w:t>。</w:t>
      </w:r>
    </w:p>
    <w:p>
      <w:pPr>
        <w:spacing w:line="400" w:lineRule="exact"/>
        <w:ind w:firstLine="330" w:firstLineChars="150"/>
        <w:rPr>
          <w:rFonts w:ascii="宋体" w:hAnsi="宋体"/>
          <w:color w:val="auto"/>
          <w:szCs w:val="21"/>
          <w:highlight w:val="none"/>
        </w:rPr>
      </w:pPr>
      <w:r>
        <w:rPr>
          <w:rFonts w:hint="eastAsia" w:ascii="宋体" w:hAnsi="宋体"/>
          <w:color w:val="auto"/>
          <w:szCs w:val="21"/>
          <w:highlight w:val="none"/>
        </w:rPr>
        <w:t>发包人指定的接收人为：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w:t>
      </w:r>
    </w:p>
    <w:p>
      <w:pPr>
        <w:spacing w:line="400" w:lineRule="exact"/>
        <w:ind w:firstLine="330" w:firstLineChars="150"/>
        <w:rPr>
          <w:rFonts w:ascii="宋体" w:hAnsi="宋体"/>
          <w:color w:val="auto"/>
          <w:szCs w:val="21"/>
          <w:highlight w:val="none"/>
        </w:rPr>
      </w:pPr>
      <w:r>
        <w:rPr>
          <w:rFonts w:hint="eastAsia" w:ascii="宋体" w:hAnsi="宋体"/>
          <w:color w:val="auto"/>
          <w:szCs w:val="21"/>
          <w:highlight w:val="none"/>
        </w:rPr>
        <w:t>（3）监理人指定的接收地点：</w:t>
      </w:r>
      <w:r>
        <w:rPr>
          <w:color w:val="auto"/>
          <w:highlight w:val="none"/>
          <w:u w:val="single"/>
        </w:rPr>
        <w:t>本项目工程指挥部</w:t>
      </w:r>
      <w:r>
        <w:rPr>
          <w:rFonts w:hint="eastAsia" w:ascii="宋体" w:hAnsi="宋体"/>
          <w:color w:val="auto"/>
          <w:szCs w:val="21"/>
          <w:highlight w:val="none"/>
        </w:rPr>
        <w:t>。</w:t>
      </w:r>
    </w:p>
    <w:p>
      <w:pPr>
        <w:spacing w:line="400" w:lineRule="exact"/>
        <w:ind w:firstLine="330" w:firstLineChars="150"/>
        <w:rPr>
          <w:rFonts w:hint="eastAsia" w:ascii="宋体" w:hAnsi="宋体"/>
          <w:color w:val="auto"/>
          <w:szCs w:val="21"/>
          <w:highlight w:val="none"/>
        </w:rPr>
      </w:pPr>
      <w:r>
        <w:rPr>
          <w:rFonts w:hint="eastAsia" w:ascii="宋体" w:hAnsi="宋体"/>
          <w:color w:val="auto"/>
          <w:szCs w:val="21"/>
          <w:highlight w:val="none"/>
        </w:rPr>
        <w:t>监理人指定的接收人为：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w:t>
      </w:r>
    </w:p>
    <w:p>
      <w:pPr>
        <w:spacing w:line="400" w:lineRule="exact"/>
        <w:ind w:firstLine="330" w:firstLineChars="150"/>
        <w:rPr>
          <w:rFonts w:hint="eastAsia"/>
          <w:color w:val="auto"/>
          <w:highlight w:val="none"/>
          <w:u w:val="none"/>
          <w:lang w:eastAsia="zh-CN"/>
        </w:rPr>
      </w:pPr>
      <w:r>
        <w:rPr>
          <w:rFonts w:hint="eastAsia"/>
          <w:color w:val="auto"/>
          <w:highlight w:val="none"/>
          <w:lang w:eastAsia="zh-CN"/>
        </w:rPr>
        <w:t>（</w:t>
      </w:r>
      <w:r>
        <w:rPr>
          <w:rFonts w:hint="eastAsia"/>
          <w:color w:val="auto"/>
          <w:highlight w:val="none"/>
          <w:lang w:val="en-US" w:eastAsia="zh-CN"/>
        </w:rPr>
        <w:t>4</w:t>
      </w:r>
      <w:r>
        <w:rPr>
          <w:rFonts w:hint="eastAsia"/>
          <w:color w:val="auto"/>
          <w:highlight w:val="none"/>
          <w:lang w:eastAsia="zh-CN"/>
        </w:rPr>
        <w:t>）</w:t>
      </w:r>
      <w:r>
        <w:rPr>
          <w:color w:val="auto"/>
          <w:highlight w:val="none"/>
        </w:rPr>
        <w:t>承包人指定的接收地点：</w:t>
      </w:r>
      <w:r>
        <w:rPr>
          <w:color w:val="auto"/>
          <w:highlight w:val="none"/>
          <w:u w:val="single"/>
        </w:rPr>
        <w:t>本项目工程指挥部</w:t>
      </w:r>
      <w:r>
        <w:rPr>
          <w:rFonts w:hint="eastAsia"/>
          <w:color w:val="auto"/>
          <w:highlight w:val="none"/>
          <w:u w:val="none"/>
          <w:lang w:eastAsia="zh-CN"/>
        </w:rPr>
        <w:t>。</w:t>
      </w:r>
    </w:p>
    <w:p>
      <w:pPr>
        <w:spacing w:line="400" w:lineRule="exact"/>
        <w:ind w:firstLine="330" w:firstLineChars="150"/>
        <w:rPr>
          <w:rFonts w:hint="eastAsia"/>
          <w:color w:val="auto"/>
          <w:highlight w:val="none"/>
          <w:u w:val="single"/>
          <w:lang w:val="en-US" w:eastAsia="zh-CN"/>
        </w:rPr>
      </w:pPr>
      <w:r>
        <w:rPr>
          <w:color w:val="auto"/>
          <w:highlight w:val="none"/>
        </w:rPr>
        <w:t>承包人</w:t>
      </w:r>
      <w:r>
        <w:rPr>
          <w:rFonts w:hint="eastAsia"/>
          <w:color w:val="auto"/>
          <w:highlight w:val="none"/>
        </w:rPr>
        <w:t>指</w:t>
      </w:r>
      <w:r>
        <w:rPr>
          <w:color w:val="auto"/>
          <w:highlight w:val="none"/>
        </w:rPr>
        <w:t>定</w:t>
      </w:r>
      <w:r>
        <w:rPr>
          <w:color w:val="auto"/>
          <w:highlight w:val="none"/>
          <w:u w:val="none"/>
        </w:rPr>
        <w:t>的接收人为：</w:t>
      </w:r>
      <w:r>
        <w:rPr>
          <w:rFonts w:hint="eastAsia"/>
          <w:color w:val="auto"/>
          <w:highlight w:val="none"/>
          <w:u w:val="single"/>
          <w:lang w:val="en-US" w:eastAsia="zh-CN"/>
        </w:rPr>
        <w:t xml:space="preserve">                     </w:t>
      </w:r>
      <w:bookmarkStart w:id="62" w:name="_Toc152045624"/>
      <w:bookmarkStart w:id="63" w:name="_Toc241459665"/>
      <w:bookmarkStart w:id="64" w:name="_Toc144974592"/>
      <w:bookmarkStart w:id="65" w:name="_Toc342296424"/>
      <w:bookmarkStart w:id="66" w:name="_Toc152042402"/>
      <w:bookmarkStart w:id="67" w:name="_Toc179632642"/>
      <w:r>
        <w:rPr>
          <w:rFonts w:hint="eastAsia"/>
          <w:color w:val="auto"/>
          <w:highlight w:val="none"/>
          <w:u w:val="none"/>
          <w:lang w:val="en-US" w:eastAsia="zh-CN"/>
        </w:rPr>
        <w:t>。</w:t>
      </w:r>
    </w:p>
    <w:p>
      <w:pPr>
        <w:pStyle w:val="48"/>
        <w:spacing w:before="0"/>
        <w:rPr>
          <w:rFonts w:hint="eastAsia"/>
          <w:color w:val="auto"/>
          <w:highlight w:val="none"/>
          <w:lang w:val="en-US" w:eastAsia="zh-CN"/>
        </w:rPr>
      </w:pPr>
      <w:r>
        <w:rPr>
          <w:rFonts w:hint="eastAsia"/>
          <w:color w:val="auto"/>
          <w:highlight w:val="none"/>
          <w:lang w:val="en-US" w:eastAsia="zh-CN"/>
        </w:rPr>
        <w:t>2. 发包人义务</w:t>
      </w:r>
      <w:bookmarkEnd w:id="62"/>
      <w:bookmarkEnd w:id="63"/>
      <w:bookmarkEnd w:id="64"/>
      <w:bookmarkEnd w:id="65"/>
      <w:bookmarkEnd w:id="66"/>
      <w:bookmarkEnd w:id="67"/>
      <w:bookmarkStart w:id="68" w:name="_Toc144974595"/>
      <w:bookmarkStart w:id="69" w:name="_Toc152042405"/>
      <w:bookmarkStart w:id="70" w:name="_Toc342296425"/>
      <w:bookmarkStart w:id="71" w:name="_Toc152045627"/>
      <w:bookmarkStart w:id="72" w:name="_Toc241459666"/>
      <w:bookmarkStart w:id="73" w:name="_Toc179632645"/>
    </w:p>
    <w:p>
      <w:pPr>
        <w:pStyle w:val="49"/>
        <w:rPr>
          <w:rFonts w:hint="eastAsia" w:ascii="黑体" w:hAnsi="宋体" w:cs="Arial"/>
          <w:color w:val="auto"/>
          <w:highlight w:val="none"/>
        </w:rPr>
      </w:pPr>
      <w:r>
        <w:rPr>
          <w:rFonts w:hint="eastAsia" w:ascii="黑体" w:hAnsi="宋体" w:cs="Arial"/>
          <w:color w:val="auto"/>
          <w:highlight w:val="none"/>
        </w:rPr>
        <w:t>2.3 提供施工场地</w:t>
      </w:r>
      <w:bookmarkEnd w:id="68"/>
      <w:bookmarkEnd w:id="69"/>
      <w:bookmarkEnd w:id="70"/>
      <w:bookmarkEnd w:id="71"/>
      <w:bookmarkEnd w:id="72"/>
      <w:bookmarkEnd w:id="73"/>
      <w:bookmarkStart w:id="74" w:name="_Toc152045629"/>
      <w:bookmarkStart w:id="75" w:name="_Toc241459667"/>
      <w:bookmarkStart w:id="76" w:name="_Toc342296426"/>
      <w:bookmarkStart w:id="77" w:name="_Toc144974597"/>
      <w:bookmarkStart w:id="78" w:name="_Toc179632647"/>
      <w:bookmarkStart w:id="79" w:name="_Toc152042407"/>
    </w:p>
    <w:p>
      <w:pPr>
        <w:spacing w:line="400" w:lineRule="exact"/>
        <w:ind w:firstLine="315" w:firstLineChars="150"/>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t>发包人移交施工场地的期限：发包人应当将具备施工条件的施工场地，在监理人发出开工通知中载明的开工日期</w:t>
      </w:r>
      <w:r>
        <w:rPr>
          <w:rFonts w:ascii="宋体" w:hAnsi="宋体" w:eastAsia="宋体"/>
          <w:color w:val="auto"/>
          <w:sz w:val="21"/>
          <w:szCs w:val="21"/>
          <w:highlight w:val="none"/>
          <w:u w:val="single"/>
          <w:lang w:val="en-US"/>
        </w:rPr>
        <w:t xml:space="preserve"> 7 </w:t>
      </w:r>
      <w:r>
        <w:rPr>
          <w:rFonts w:ascii="宋体" w:hAnsi="宋体" w:eastAsia="宋体"/>
          <w:color w:val="auto"/>
          <w:sz w:val="21"/>
          <w:szCs w:val="21"/>
          <w:highlight w:val="none"/>
          <w:lang w:val="en-US"/>
        </w:rPr>
        <w:t>天前移交给承包人。</w:t>
      </w:r>
      <w:bookmarkEnd w:id="74"/>
      <w:bookmarkEnd w:id="75"/>
      <w:bookmarkEnd w:id="76"/>
      <w:bookmarkEnd w:id="77"/>
      <w:bookmarkEnd w:id="78"/>
      <w:bookmarkEnd w:id="79"/>
      <w:bookmarkStart w:id="80" w:name="_Toc179632650"/>
      <w:bookmarkStart w:id="81" w:name="_Toc152042410"/>
      <w:bookmarkStart w:id="82" w:name="_Toc342296427"/>
      <w:bookmarkStart w:id="83" w:name="_Toc241459668"/>
      <w:bookmarkStart w:id="84" w:name="_Toc152045632"/>
      <w:bookmarkStart w:id="85" w:name="_Toc144974600"/>
    </w:p>
    <w:p>
      <w:pPr>
        <w:pStyle w:val="49"/>
        <w:rPr>
          <w:rFonts w:hint="eastAsia" w:ascii="黑体" w:hAnsi="宋体" w:cs="Arial"/>
          <w:color w:val="auto"/>
          <w:highlight w:val="none"/>
        </w:rPr>
      </w:pPr>
      <w:r>
        <w:rPr>
          <w:rFonts w:hint="eastAsia" w:ascii="黑体" w:hAnsi="宋体" w:cs="Arial"/>
          <w:color w:val="auto"/>
          <w:highlight w:val="none"/>
        </w:rPr>
        <w:t xml:space="preserve">2.8 </w:t>
      </w:r>
      <w:bookmarkEnd w:id="80"/>
      <w:bookmarkEnd w:id="81"/>
      <w:bookmarkEnd w:id="82"/>
      <w:bookmarkEnd w:id="83"/>
      <w:bookmarkEnd w:id="84"/>
      <w:bookmarkEnd w:id="85"/>
      <w:r>
        <w:rPr>
          <w:rFonts w:hint="eastAsia" w:ascii="黑体" w:hAnsi="宋体" w:cs="Arial"/>
          <w:color w:val="auto"/>
          <w:highlight w:val="none"/>
        </w:rPr>
        <w:t>向承包人提交支付担保</w:t>
      </w:r>
      <w:bookmarkStart w:id="86" w:name="_Toc179632651"/>
      <w:bookmarkStart w:id="87" w:name="_Toc144974601"/>
      <w:bookmarkStart w:id="88" w:name="_Toc152042411"/>
      <w:bookmarkStart w:id="89" w:name="_Toc342296428"/>
      <w:bookmarkStart w:id="90" w:name="_Toc152045633"/>
      <w:bookmarkStart w:id="91" w:name="_Toc241459669"/>
    </w:p>
    <w:p>
      <w:pPr>
        <w:spacing w:line="400" w:lineRule="exact"/>
        <w:ind w:firstLine="315" w:firstLineChars="15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rPr>
        <w:t>发包人向承包人提交支付担保的金额：</w:t>
      </w:r>
      <w:r>
        <w:rPr>
          <w:rFonts w:hint="eastAsia" w:ascii="宋体" w:hAnsi="宋体" w:eastAsia="宋体" w:cs="Times New Roman"/>
          <w:color w:val="auto"/>
          <w:sz w:val="21"/>
          <w:szCs w:val="21"/>
          <w:highlight w:val="none"/>
          <w:u w:val="none"/>
        </w:rPr>
        <w:t>/</w:t>
      </w:r>
    </w:p>
    <w:p>
      <w:pPr>
        <w:pStyle w:val="49"/>
        <w:rPr>
          <w:rFonts w:hint="eastAsia" w:ascii="黑体" w:hAnsi="宋体" w:cs="Arial"/>
          <w:color w:val="auto"/>
          <w:highlight w:val="none"/>
        </w:rPr>
      </w:pPr>
      <w:r>
        <w:rPr>
          <w:rFonts w:hint="eastAsia" w:ascii="黑体" w:hAnsi="宋体" w:cs="Arial"/>
          <w:color w:val="auto"/>
          <w:highlight w:val="none"/>
        </w:rPr>
        <w:t>2.13 其他义务</w:t>
      </w:r>
    </w:p>
    <w:p>
      <w:pPr>
        <w:spacing w:line="400" w:lineRule="exact"/>
        <w:ind w:firstLine="315" w:firstLineChars="150"/>
        <w:rPr>
          <w:rFonts w:ascii="宋体" w:hAnsi="宋体" w:eastAsia="宋体" w:cs="Times New Roman"/>
          <w:color w:val="auto"/>
          <w:sz w:val="21"/>
          <w:szCs w:val="21"/>
          <w:highlight w:val="none"/>
          <w:u w:val="none"/>
        </w:rPr>
      </w:pPr>
      <w:r>
        <w:rPr>
          <w:rFonts w:hint="eastAsia" w:ascii="宋体" w:hAnsi="宋体" w:eastAsia="宋体" w:cs="Times New Roman"/>
          <w:color w:val="auto"/>
          <w:sz w:val="21"/>
          <w:szCs w:val="21"/>
          <w:highlight w:val="none"/>
          <w:u w:val="none"/>
        </w:rPr>
        <w:t>发包人应当履行的其他义务：</w:t>
      </w:r>
      <w:r>
        <w:rPr>
          <w:rFonts w:ascii="宋体" w:hAnsi="宋体" w:eastAsia="宋体" w:cs="Times New Roman"/>
          <w:color w:val="auto"/>
          <w:sz w:val="21"/>
          <w:szCs w:val="21"/>
          <w:highlight w:val="none"/>
          <w:u w:val="none"/>
        </w:rPr>
        <w:t>/</w:t>
      </w:r>
    </w:p>
    <w:p>
      <w:pPr>
        <w:pStyle w:val="48"/>
        <w:spacing w:before="0"/>
        <w:rPr>
          <w:color w:val="auto"/>
          <w:highlight w:val="none"/>
        </w:rPr>
      </w:pPr>
      <w:r>
        <w:rPr>
          <w:rFonts w:hint="eastAsia"/>
          <w:color w:val="auto"/>
          <w:highlight w:val="none"/>
        </w:rPr>
        <w:t>3. 监理人</w:t>
      </w:r>
      <w:bookmarkEnd w:id="86"/>
      <w:bookmarkEnd w:id="87"/>
      <w:bookmarkEnd w:id="88"/>
      <w:bookmarkEnd w:id="89"/>
      <w:bookmarkEnd w:id="90"/>
      <w:bookmarkEnd w:id="91"/>
    </w:p>
    <w:p>
      <w:pPr>
        <w:pStyle w:val="49"/>
        <w:rPr>
          <w:rFonts w:ascii="黑体" w:hAnsi="宋体" w:cs="Arial"/>
          <w:color w:val="auto"/>
          <w:highlight w:val="none"/>
        </w:rPr>
      </w:pPr>
      <w:bookmarkStart w:id="92" w:name="_Toc342296429"/>
      <w:bookmarkStart w:id="93" w:name="_Toc179632652"/>
      <w:bookmarkStart w:id="94" w:name="_Toc144974602"/>
      <w:bookmarkStart w:id="95" w:name="_Toc241459670"/>
      <w:bookmarkStart w:id="96" w:name="_Toc152045634"/>
      <w:bookmarkStart w:id="97" w:name="_Toc152042412"/>
      <w:r>
        <w:rPr>
          <w:rFonts w:hint="eastAsia" w:ascii="黑体" w:hAnsi="宋体" w:cs="Arial"/>
          <w:color w:val="auto"/>
          <w:highlight w:val="none"/>
        </w:rPr>
        <w:t>3.1 监理人的职责和权力</w:t>
      </w:r>
      <w:bookmarkEnd w:id="92"/>
      <w:bookmarkEnd w:id="93"/>
      <w:bookmarkEnd w:id="94"/>
      <w:bookmarkEnd w:id="95"/>
      <w:bookmarkEnd w:id="96"/>
      <w:bookmarkEnd w:id="97"/>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3.1.1 发包人需批准明确行使的权力：</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u w:val="single"/>
        </w:rPr>
        <w:t>同意分包本工程的某些非主体和非关键性工作。</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u w:val="single"/>
        </w:rPr>
        <w:t>产生的费用增加额。</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u w:val="single"/>
        </w:rPr>
        <w:t>发布开工通知、暂停施工指示或者复工通知。</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4)、</w:t>
      </w:r>
      <w:r>
        <w:rPr>
          <w:rFonts w:hint="eastAsia" w:ascii="宋体" w:hAnsi="宋体"/>
          <w:color w:val="auto"/>
          <w:szCs w:val="21"/>
          <w:highlight w:val="none"/>
          <w:u w:val="single"/>
        </w:rPr>
        <w:t>工期延长。</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5）、</w:t>
      </w:r>
      <w:r>
        <w:rPr>
          <w:rFonts w:hint="eastAsia" w:ascii="宋体" w:hAnsi="宋体"/>
          <w:color w:val="auto"/>
          <w:szCs w:val="21"/>
          <w:highlight w:val="none"/>
          <w:u w:val="single"/>
        </w:rPr>
        <w:t>审查批准技术规范或设计的变更。</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6）、</w:t>
      </w:r>
      <w:r>
        <w:rPr>
          <w:rFonts w:hint="eastAsia" w:ascii="宋体" w:hAnsi="宋体"/>
          <w:color w:val="auto"/>
          <w:szCs w:val="21"/>
          <w:highlight w:val="none"/>
          <w:u w:val="single"/>
        </w:rPr>
        <w:t>发布的变更指令。</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7）、</w:t>
      </w:r>
      <w:r>
        <w:rPr>
          <w:rFonts w:hint="eastAsia" w:ascii="宋体" w:hAnsi="宋体"/>
          <w:color w:val="auto"/>
          <w:szCs w:val="21"/>
          <w:highlight w:val="none"/>
          <w:u w:val="single"/>
        </w:rPr>
        <w:t>变更工作的单价。</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8）、</w:t>
      </w:r>
      <w:r>
        <w:rPr>
          <w:rFonts w:hint="eastAsia" w:ascii="宋体" w:hAnsi="宋体"/>
          <w:color w:val="auto"/>
          <w:szCs w:val="21"/>
          <w:highlight w:val="none"/>
          <w:u w:val="single"/>
        </w:rPr>
        <w:t>索赔额。</w:t>
      </w:r>
    </w:p>
    <w:p>
      <w:pPr>
        <w:pStyle w:val="48"/>
        <w:spacing w:before="0"/>
        <w:rPr>
          <w:color w:val="auto"/>
          <w:highlight w:val="none"/>
        </w:rPr>
      </w:pPr>
      <w:bookmarkStart w:id="98" w:name="_Toc152042417"/>
      <w:bookmarkStart w:id="99" w:name="_Toc144974607"/>
      <w:bookmarkStart w:id="100" w:name="_Toc152045639"/>
      <w:bookmarkStart w:id="101" w:name="_Toc342296433"/>
      <w:bookmarkStart w:id="102" w:name="_Toc241459674"/>
      <w:bookmarkStart w:id="103" w:name="_Toc179632657"/>
      <w:r>
        <w:rPr>
          <w:rFonts w:hint="eastAsia"/>
          <w:color w:val="auto"/>
          <w:highlight w:val="none"/>
        </w:rPr>
        <w:t>4. 承包人</w:t>
      </w:r>
      <w:bookmarkEnd w:id="98"/>
      <w:bookmarkEnd w:id="99"/>
      <w:bookmarkEnd w:id="100"/>
      <w:bookmarkEnd w:id="101"/>
      <w:bookmarkEnd w:id="102"/>
      <w:bookmarkEnd w:id="103"/>
    </w:p>
    <w:p>
      <w:pPr>
        <w:pStyle w:val="49"/>
        <w:rPr>
          <w:rFonts w:ascii="黑体" w:hAnsi="宋体" w:cs="Arial"/>
          <w:color w:val="auto"/>
          <w:highlight w:val="none"/>
        </w:rPr>
      </w:pPr>
      <w:bookmarkStart w:id="104" w:name="_Toc144974608"/>
      <w:bookmarkStart w:id="105" w:name="_Toc179632658"/>
      <w:bookmarkStart w:id="106" w:name="_Toc152042418"/>
      <w:bookmarkStart w:id="107" w:name="_Toc342296434"/>
      <w:bookmarkStart w:id="108" w:name="_Toc241459675"/>
      <w:bookmarkStart w:id="109" w:name="_Toc152045640"/>
      <w:r>
        <w:rPr>
          <w:rFonts w:hint="eastAsia" w:ascii="黑体" w:hAnsi="宋体" w:cs="Arial"/>
          <w:color w:val="auto"/>
          <w:highlight w:val="none"/>
        </w:rPr>
        <w:t>4.1 承包人的一般义务</w:t>
      </w:r>
      <w:bookmarkEnd w:id="104"/>
      <w:bookmarkEnd w:id="105"/>
      <w:bookmarkEnd w:id="106"/>
      <w:bookmarkEnd w:id="107"/>
      <w:bookmarkEnd w:id="108"/>
      <w:bookmarkEnd w:id="109"/>
    </w:p>
    <w:p>
      <w:pPr>
        <w:spacing w:line="400" w:lineRule="exact"/>
        <w:ind w:firstLine="440" w:firstLineChars="200"/>
        <w:rPr>
          <w:rFonts w:ascii="黑体" w:hAnsi="宋体" w:eastAsia="黑体"/>
          <w:color w:val="auto"/>
          <w:szCs w:val="21"/>
          <w:highlight w:val="none"/>
        </w:rPr>
      </w:pPr>
      <w:r>
        <w:rPr>
          <w:rFonts w:hint="eastAsia" w:ascii="黑体" w:hAnsi="宋体" w:eastAsia="黑体"/>
          <w:color w:val="auto"/>
          <w:szCs w:val="21"/>
          <w:highlight w:val="none"/>
        </w:rPr>
        <w:t>4.1.8为他人提供方便</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(1)承包人应当对在施工场地或者附近实施与合同工程有关的其他工作的独立承包人履行管理、协调、配合、照管和服务义务的具体工作内容和要求：</w:t>
      </w:r>
    </w:p>
    <w:p>
      <w:pPr>
        <w:spacing w:line="400" w:lineRule="exact"/>
        <w:ind w:firstLine="440" w:firstLineChars="200"/>
        <w:rPr>
          <w:rFonts w:hint="eastAsia" w:ascii="宋体" w:hAnsi="宋体" w:eastAsia="黑体"/>
          <w:color w:val="auto"/>
          <w:szCs w:val="21"/>
          <w:highlight w:val="none"/>
          <w:u w:val="single"/>
          <w:lang w:val="en-US" w:eastAsia="zh-CN"/>
        </w:rPr>
      </w:pPr>
      <w:r>
        <w:rPr>
          <w:rFonts w:hint="eastAsia" w:ascii="宋体" w:hAnsi="宋体"/>
          <w:color w:val="auto"/>
          <w:szCs w:val="21"/>
          <w:highlight w:val="none"/>
          <w:u w:val="single"/>
        </w:rPr>
        <w:t>承包人需要为本工程中暂估价的专业分包人提供相应的管理、协调、配合、服务工作。具体工作内容和要求包括但不限于：</w:t>
      </w:r>
      <w:r>
        <w:rPr>
          <w:rFonts w:hint="eastAsia" w:ascii="宋体" w:hAnsi="宋体" w:eastAsia="黑体"/>
          <w:color w:val="auto"/>
          <w:szCs w:val="21"/>
          <w:highlight w:val="none"/>
          <w:u w:val="single"/>
          <w:lang w:val="en-US" w:eastAsia="zh-CN"/>
        </w:rPr>
        <w:t>/</w:t>
      </w:r>
    </w:p>
    <w:p>
      <w:pPr>
        <w:spacing w:line="400" w:lineRule="exact"/>
        <w:ind w:firstLine="440" w:firstLineChars="200"/>
        <w:rPr>
          <w:rFonts w:ascii="宋体" w:hAnsi="宋体"/>
          <w:color w:val="auto"/>
          <w:szCs w:val="21"/>
          <w:highlight w:val="none"/>
        </w:rPr>
      </w:pPr>
      <w:r>
        <w:rPr>
          <w:rFonts w:hint="eastAsia" w:ascii="黑体" w:hAnsi="宋体" w:eastAsia="黑体"/>
          <w:color w:val="auto"/>
          <w:szCs w:val="21"/>
          <w:highlight w:val="none"/>
        </w:rPr>
        <w:t>4.1.10 承包人的设计工作</w:t>
      </w:r>
    </w:p>
    <w:p>
      <w:pPr>
        <w:spacing w:line="400" w:lineRule="exact"/>
        <w:ind w:firstLine="440" w:firstLineChars="200"/>
        <w:rPr>
          <w:rFonts w:ascii="宋体" w:hAnsi="宋体"/>
          <w:color w:val="auto"/>
          <w:szCs w:val="21"/>
          <w:highlight w:val="none"/>
          <w:u w:val="single"/>
        </w:rPr>
      </w:pPr>
      <w:r>
        <w:rPr>
          <w:rFonts w:hint="eastAsia" w:ascii="宋体" w:hAnsi="宋体"/>
          <w:color w:val="auto"/>
          <w:szCs w:val="21"/>
          <w:highlight w:val="none"/>
        </w:rPr>
        <w:t>承包人承担的施工图设计或与工程配套的设计工作内容：</w:t>
      </w:r>
      <w:r>
        <w:rPr>
          <w:rFonts w:hint="eastAsia" w:ascii="宋体" w:hAnsi="宋体"/>
          <w:color w:val="auto"/>
          <w:szCs w:val="21"/>
          <w:highlight w:val="none"/>
          <w:u w:val="none"/>
          <w:lang w:val="en-US" w:eastAsia="zh-CN"/>
        </w:rPr>
        <w:t>/</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4.1.12 其他义务</w:t>
      </w:r>
    </w:p>
    <w:p>
      <w:pPr>
        <w:pStyle w:val="50"/>
        <w:spacing w:after="140" w:line="386" w:lineRule="exact"/>
        <w:ind w:left="0" w:firstLine="380"/>
        <w:jc w:val="both"/>
        <w:rPr>
          <w:color w:val="auto"/>
          <w:highlight w:val="none"/>
          <w:lang w:eastAsia="zh-CN"/>
        </w:rPr>
      </w:pPr>
      <w:r>
        <w:rPr>
          <w:rFonts w:ascii="Times New Roman" w:hAnsi="Times New Roman" w:eastAsia="Times New Roman" w:cs="Times New Roman"/>
          <w:color w:val="auto"/>
          <w:sz w:val="20"/>
          <w:szCs w:val="20"/>
          <w:highlight w:val="none"/>
        </w:rPr>
        <w:t>（1）</w:t>
      </w:r>
      <w:r>
        <w:rPr>
          <w:color w:val="auto"/>
          <w:highlight w:val="none"/>
        </w:rPr>
        <w:t>安全文明施工费由承包人统一管理，承包人对工程安全文明施工负总责。承包人不按分包合同约定支付安全文明施工费，造成分包人不能及时落实安全防护措施导致发生事故的，由承包人负主要责任</w:t>
      </w:r>
      <w:r>
        <w:rPr>
          <w:rFonts w:hint="eastAsia"/>
          <w:color w:val="auto"/>
          <w:highlight w:val="none"/>
          <w:lang w:eastAsia="zh-CN"/>
        </w:rPr>
        <w:t>。</w:t>
      </w:r>
    </w:p>
    <w:p>
      <w:pPr>
        <w:pStyle w:val="50"/>
        <w:spacing w:line="240" w:lineRule="auto"/>
        <w:ind w:left="0" w:firstLine="380"/>
        <w:jc w:val="both"/>
        <w:rPr>
          <w:color w:val="auto"/>
          <w:highlight w:val="none"/>
        </w:rPr>
      </w:pPr>
      <w:bookmarkStart w:id="110" w:name="bookmark355"/>
      <w:r>
        <w:rPr>
          <w:rFonts w:ascii="Times New Roman" w:hAnsi="Times New Roman" w:eastAsia="Times New Roman" w:cs="Times New Roman"/>
          <w:color w:val="auto"/>
          <w:sz w:val="20"/>
          <w:szCs w:val="20"/>
          <w:highlight w:val="none"/>
        </w:rPr>
        <w:t>（</w:t>
      </w:r>
      <w:bookmarkEnd w:id="110"/>
      <w:r>
        <w:rPr>
          <w:rFonts w:ascii="Times New Roman" w:hAnsi="Times New Roman" w:eastAsia="Times New Roman" w:cs="Times New Roman"/>
          <w:color w:val="auto"/>
          <w:sz w:val="20"/>
          <w:szCs w:val="20"/>
          <w:highlight w:val="none"/>
        </w:rPr>
        <w:t>2）</w:t>
      </w:r>
      <w:r>
        <w:rPr>
          <w:color w:val="auto"/>
          <w:highlight w:val="none"/>
        </w:rPr>
        <w:t>对于超过一定规模的危大工程（如有），承包人应当组织召开专家论证会对专项施工方案进行</w:t>
      </w:r>
    </w:p>
    <w:p>
      <w:pPr>
        <w:pStyle w:val="50"/>
        <w:spacing w:after="140" w:line="384" w:lineRule="exact"/>
        <w:ind w:left="0"/>
        <w:jc w:val="both"/>
        <w:rPr>
          <w:color w:val="auto"/>
          <w:highlight w:val="none"/>
        </w:rPr>
      </w:pPr>
      <w:r>
        <w:rPr>
          <w:color w:val="auto"/>
          <w:highlight w:val="none"/>
        </w:rPr>
        <w:t>论证，并根据专家论证意见对专项方案进行调整，发包人原因造成的专项方案调整，其费用变化由发包人承担。</w:t>
      </w:r>
    </w:p>
    <w:p>
      <w:pPr>
        <w:pStyle w:val="50"/>
        <w:spacing w:line="401" w:lineRule="auto"/>
        <w:ind w:left="0" w:firstLine="380"/>
        <w:jc w:val="both"/>
        <w:rPr>
          <w:color w:val="auto"/>
          <w:highlight w:val="none"/>
        </w:rPr>
      </w:pPr>
      <w:bookmarkStart w:id="111" w:name="bookmark356"/>
      <w:r>
        <w:rPr>
          <w:rFonts w:ascii="Times New Roman" w:hAnsi="Times New Roman" w:eastAsia="Times New Roman" w:cs="Times New Roman"/>
          <w:color w:val="auto"/>
          <w:sz w:val="20"/>
          <w:szCs w:val="20"/>
          <w:highlight w:val="none"/>
        </w:rPr>
        <w:t>（</w:t>
      </w:r>
      <w:bookmarkEnd w:id="111"/>
      <w:r>
        <w:rPr>
          <w:rFonts w:ascii="Times New Roman" w:hAnsi="Times New Roman" w:eastAsia="Times New Roman" w:cs="Times New Roman"/>
          <w:color w:val="auto"/>
          <w:sz w:val="20"/>
          <w:szCs w:val="20"/>
          <w:highlight w:val="none"/>
        </w:rPr>
        <w:t>3）</w:t>
      </w:r>
      <w:r>
        <w:rPr>
          <w:color w:val="auto"/>
          <w:highlight w:val="none"/>
        </w:rPr>
        <w:t>承包人应履行的其他义务：</w:t>
      </w:r>
    </w:p>
    <w:p>
      <w:pPr>
        <w:pStyle w:val="51"/>
        <w:pBdr>
          <w:top w:val="none" w:color="auto" w:sz="0" w:space="0"/>
          <w:left w:val="none" w:color="auto" w:sz="0" w:space="0"/>
          <w:bottom w:val="none" w:color="auto" w:sz="0" w:space="0"/>
          <w:right w:val="none" w:color="auto" w:sz="0" w:space="0"/>
          <w:between w:val="none" w:color="auto" w:sz="0" w:space="0"/>
        </w:pBdr>
        <w:spacing w:line="367" w:lineRule="exact"/>
        <w:jc w:val="both"/>
        <w:rPr>
          <w:color w:val="auto"/>
          <w:sz w:val="18"/>
          <w:szCs w:val="18"/>
          <w:highlight w:val="none"/>
          <w:u w:val="single"/>
        </w:rPr>
      </w:pPr>
      <w:bookmarkStart w:id="112" w:name="bookmark357"/>
      <w:r>
        <w:rPr>
          <w:color w:val="auto"/>
          <w:sz w:val="18"/>
          <w:szCs w:val="18"/>
          <w:highlight w:val="none"/>
          <w:u w:val="single"/>
        </w:rPr>
        <w:t>1</w:t>
      </w:r>
      <w:bookmarkEnd w:id="112"/>
      <w:r>
        <w:rPr>
          <w:color w:val="auto"/>
          <w:sz w:val="18"/>
          <w:szCs w:val="18"/>
          <w:highlight w:val="none"/>
          <w:u w:val="single"/>
        </w:rPr>
        <w:t>）承包人进行竣工验收工作，准备并报送验收资料；承包人应按相关主管部门相关规定移交符合存档要求的完整资料，并留存记录，及时撤场；</w:t>
      </w:r>
    </w:p>
    <w:p>
      <w:pPr>
        <w:pStyle w:val="51"/>
        <w:pBdr>
          <w:top w:val="none" w:color="auto" w:sz="0" w:space="0"/>
          <w:left w:val="none" w:color="auto" w:sz="0" w:space="0"/>
          <w:bottom w:val="none" w:color="auto" w:sz="0" w:space="0"/>
          <w:right w:val="none" w:color="auto" w:sz="0" w:space="0"/>
          <w:between w:val="none" w:color="auto" w:sz="0" w:space="0"/>
        </w:pBdr>
        <w:tabs>
          <w:tab w:val="left" w:pos="410"/>
        </w:tabs>
        <w:spacing w:after="140" w:line="378" w:lineRule="exact"/>
        <w:ind w:firstLine="360" w:firstLineChars="200"/>
        <w:jc w:val="both"/>
        <w:rPr>
          <w:color w:val="auto"/>
          <w:sz w:val="18"/>
          <w:szCs w:val="18"/>
          <w:highlight w:val="none"/>
          <w:u w:val="single"/>
        </w:rPr>
      </w:pPr>
      <w:bookmarkStart w:id="113" w:name="bookmark358"/>
      <w:r>
        <w:rPr>
          <w:color w:val="auto"/>
          <w:sz w:val="18"/>
          <w:szCs w:val="18"/>
          <w:highlight w:val="none"/>
          <w:u w:val="single"/>
        </w:rPr>
        <w:t>2</w:t>
      </w:r>
      <w:bookmarkEnd w:id="113"/>
      <w:r>
        <w:rPr>
          <w:color w:val="auto"/>
          <w:sz w:val="18"/>
          <w:szCs w:val="18"/>
          <w:highlight w:val="none"/>
          <w:u w:val="single"/>
        </w:rPr>
        <w:t>）承包人应服从发包人对施工现场协调方面的决定意见，服从项目整体管理；按照发包人要求移交已完工程内容。</w:t>
      </w:r>
    </w:p>
    <w:p>
      <w:pPr>
        <w:pStyle w:val="51"/>
        <w:pBdr>
          <w:top w:val="none" w:color="auto" w:sz="0" w:space="0"/>
          <w:left w:val="none" w:color="auto" w:sz="0" w:space="0"/>
          <w:bottom w:val="none" w:color="auto" w:sz="0" w:space="0"/>
          <w:right w:val="none" w:color="auto" w:sz="0" w:space="0"/>
          <w:between w:val="none" w:color="auto" w:sz="0" w:space="0"/>
        </w:pBdr>
        <w:tabs>
          <w:tab w:val="left" w:pos="410"/>
        </w:tabs>
        <w:spacing w:line="360" w:lineRule="auto"/>
        <w:ind w:firstLine="360" w:firstLineChars="200"/>
        <w:jc w:val="both"/>
        <w:rPr>
          <w:color w:val="auto"/>
          <w:sz w:val="18"/>
          <w:szCs w:val="18"/>
          <w:highlight w:val="none"/>
          <w:u w:val="single"/>
          <w:lang w:eastAsia="zh-CN"/>
        </w:rPr>
      </w:pPr>
      <w:bookmarkStart w:id="114" w:name="bookmark359"/>
      <w:r>
        <w:rPr>
          <w:color w:val="auto"/>
          <w:sz w:val="18"/>
          <w:szCs w:val="18"/>
          <w:highlight w:val="none"/>
          <w:u w:val="single"/>
        </w:rPr>
        <w:t>3</w:t>
      </w:r>
      <w:bookmarkEnd w:id="114"/>
      <w:r>
        <w:rPr>
          <w:color w:val="auto"/>
          <w:sz w:val="18"/>
          <w:szCs w:val="18"/>
          <w:highlight w:val="none"/>
          <w:u w:val="single"/>
        </w:rPr>
        <w:t>）承包人需对施工现场及周边进行踏勘，了解现场及周边情况，做好施工准备工作，并负责施工期间内外部影响的协调、解决工作；排除不力影响因素，与当地群众与部门开展必要协调。</w:t>
      </w:r>
      <w:bookmarkStart w:id="115" w:name="bookmark361"/>
    </w:p>
    <w:bookmarkEnd w:id="115"/>
    <w:p>
      <w:pPr>
        <w:pStyle w:val="51"/>
        <w:pBdr>
          <w:top w:val="none" w:color="auto" w:sz="0" w:space="0"/>
          <w:left w:val="none" w:color="auto" w:sz="0" w:space="0"/>
          <w:bottom w:val="none" w:color="auto" w:sz="0" w:space="0"/>
          <w:right w:val="none" w:color="auto" w:sz="0" w:space="0"/>
          <w:between w:val="none" w:color="auto" w:sz="0" w:space="0"/>
        </w:pBdr>
        <w:tabs>
          <w:tab w:val="left" w:pos="410"/>
        </w:tabs>
        <w:spacing w:line="360" w:lineRule="auto"/>
        <w:ind w:firstLine="360" w:firstLineChars="200"/>
        <w:jc w:val="both"/>
        <w:rPr>
          <w:rFonts w:eastAsia="等线"/>
          <w:color w:val="auto"/>
          <w:sz w:val="18"/>
          <w:szCs w:val="18"/>
          <w:highlight w:val="none"/>
          <w:u w:val="single"/>
          <w:lang w:eastAsia="zh-CN"/>
        </w:rPr>
      </w:pPr>
      <w:r>
        <w:rPr>
          <w:rFonts w:hint="eastAsia"/>
          <w:color w:val="auto"/>
          <w:sz w:val="18"/>
          <w:szCs w:val="18"/>
          <w:highlight w:val="none"/>
          <w:u w:val="single"/>
          <w:lang w:val="en-US" w:eastAsia="zh-CN"/>
        </w:rPr>
        <w:t>4</w:t>
      </w:r>
      <w:r>
        <w:rPr>
          <w:color w:val="auto"/>
          <w:sz w:val="18"/>
          <w:szCs w:val="18"/>
          <w:highlight w:val="none"/>
          <w:u w:val="single"/>
        </w:rPr>
        <w:t>）承包人应按照国家现行规范标准与合同要求实施工程，完成全部工作内容，达到合同预期目的，接受发包人、政府主管部门及监理人的监督、检査、指导和管理。</w:t>
      </w:r>
      <w:bookmarkStart w:id="116" w:name="bookmark362"/>
    </w:p>
    <w:bookmarkEnd w:id="116"/>
    <w:p>
      <w:pPr>
        <w:pStyle w:val="51"/>
        <w:pBdr>
          <w:top w:val="none" w:color="auto" w:sz="0" w:space="0"/>
          <w:left w:val="none" w:color="auto" w:sz="0" w:space="0"/>
          <w:bottom w:val="none" w:color="auto" w:sz="0" w:space="0"/>
          <w:right w:val="none" w:color="auto" w:sz="0" w:space="0"/>
          <w:between w:val="none" w:color="auto" w:sz="0" w:space="0"/>
        </w:pBdr>
        <w:tabs>
          <w:tab w:val="left" w:pos="410"/>
        </w:tabs>
        <w:spacing w:line="360" w:lineRule="auto"/>
        <w:ind w:firstLine="360" w:firstLineChars="200"/>
        <w:jc w:val="both"/>
        <w:rPr>
          <w:rFonts w:eastAsia="等线"/>
          <w:color w:val="auto"/>
          <w:sz w:val="18"/>
          <w:szCs w:val="18"/>
          <w:highlight w:val="none"/>
          <w:u w:val="single"/>
          <w:lang w:eastAsia="zh-CN"/>
        </w:rPr>
      </w:pPr>
      <w:r>
        <w:rPr>
          <w:rFonts w:hint="eastAsia"/>
          <w:color w:val="auto"/>
          <w:sz w:val="18"/>
          <w:szCs w:val="18"/>
          <w:highlight w:val="none"/>
          <w:u w:val="single"/>
          <w:lang w:val="en-US" w:eastAsia="zh-CN"/>
        </w:rPr>
        <w:t>5</w:t>
      </w:r>
      <w:r>
        <w:rPr>
          <w:color w:val="auto"/>
          <w:sz w:val="18"/>
          <w:szCs w:val="18"/>
          <w:highlight w:val="none"/>
          <w:u w:val="single"/>
        </w:rPr>
        <w:t>）政府有关职能部门下发的有关本工程的任何管理意见和通知，凡涉及承包人的，承包人应无条件承担相关责任和工作。</w:t>
      </w:r>
      <w:bookmarkStart w:id="117" w:name="bookmark364"/>
    </w:p>
    <w:bookmarkEnd w:id="117"/>
    <w:p>
      <w:pPr>
        <w:pStyle w:val="51"/>
        <w:pBdr>
          <w:top w:val="none" w:color="auto" w:sz="0" w:space="0"/>
          <w:left w:val="none" w:color="auto" w:sz="0" w:space="0"/>
          <w:bottom w:val="none" w:color="auto" w:sz="0" w:space="0"/>
          <w:right w:val="none" w:color="auto" w:sz="0" w:space="0"/>
          <w:between w:val="none" w:color="auto" w:sz="0" w:space="0"/>
        </w:pBdr>
        <w:tabs>
          <w:tab w:val="left" w:pos="410"/>
        </w:tabs>
        <w:spacing w:line="360" w:lineRule="auto"/>
        <w:ind w:firstLine="180" w:firstLineChars="100"/>
        <w:jc w:val="both"/>
        <w:rPr>
          <w:rFonts w:eastAsia="等线"/>
          <w:color w:val="auto"/>
          <w:sz w:val="18"/>
          <w:szCs w:val="18"/>
          <w:highlight w:val="none"/>
          <w:u w:val="single"/>
          <w:lang w:eastAsia="zh-CN"/>
        </w:rPr>
      </w:pPr>
      <w:r>
        <w:rPr>
          <w:rFonts w:hint="eastAsia"/>
          <w:color w:val="auto"/>
          <w:sz w:val="18"/>
          <w:szCs w:val="18"/>
          <w:highlight w:val="none"/>
          <w:u w:val="single"/>
          <w:lang w:val="en-US" w:eastAsia="zh-CN"/>
        </w:rPr>
        <w:t>6</w:t>
      </w:r>
      <w:r>
        <w:rPr>
          <w:color w:val="auto"/>
          <w:sz w:val="18"/>
          <w:szCs w:val="18"/>
          <w:highlight w:val="none"/>
          <w:u w:val="single"/>
        </w:rPr>
        <w:t>）承包人负责办理有关施工场地交通、环卫和施工噪声管理等相关手续，协调与市容、环保、交通、城管及街道等有关各方关系。承包人应采取有效措施避免施工噪声扰民，并承担由于施工噪声扰民所产生的相关后果及费用。</w:t>
      </w:r>
      <w:bookmarkStart w:id="118" w:name="bookmark366"/>
    </w:p>
    <w:bookmarkEnd w:id="118"/>
    <w:p>
      <w:pPr>
        <w:pStyle w:val="51"/>
        <w:pBdr>
          <w:top w:val="none" w:color="auto" w:sz="0" w:space="0"/>
          <w:left w:val="none" w:color="auto" w:sz="0" w:space="0"/>
          <w:bottom w:val="none" w:color="auto" w:sz="0" w:space="0"/>
          <w:right w:val="none" w:color="auto" w:sz="0" w:space="0"/>
          <w:between w:val="none" w:color="auto" w:sz="0" w:space="0"/>
        </w:pBdr>
        <w:tabs>
          <w:tab w:val="left" w:pos="410"/>
        </w:tabs>
        <w:spacing w:line="360" w:lineRule="auto"/>
        <w:ind w:firstLine="180" w:firstLineChars="100"/>
        <w:jc w:val="both"/>
        <w:rPr>
          <w:rFonts w:eastAsia="等线"/>
          <w:color w:val="auto"/>
          <w:sz w:val="18"/>
          <w:szCs w:val="18"/>
          <w:highlight w:val="none"/>
          <w:u w:val="single"/>
          <w:lang w:eastAsia="zh-CN"/>
        </w:rPr>
      </w:pPr>
      <w:r>
        <w:rPr>
          <w:rFonts w:hint="eastAsia"/>
          <w:color w:val="auto"/>
          <w:sz w:val="18"/>
          <w:szCs w:val="18"/>
          <w:highlight w:val="none"/>
          <w:u w:val="single"/>
          <w:lang w:val="en-US" w:eastAsia="zh-CN"/>
        </w:rPr>
        <w:t>7）</w:t>
      </w:r>
      <w:r>
        <w:rPr>
          <w:color w:val="auto"/>
          <w:sz w:val="18"/>
          <w:szCs w:val="18"/>
          <w:highlight w:val="none"/>
          <w:u w:val="single"/>
        </w:rPr>
        <w:t>承包人应遵照''北京市工程建设领域农民工工资支付工作管理办法"（京人社监发 【2018】206号）文件中的相关规定，按期足额发放本工程的农民工工资。</w:t>
      </w:r>
      <w:bookmarkStart w:id="119" w:name="bookmark367"/>
    </w:p>
    <w:bookmarkEnd w:id="119"/>
    <w:p>
      <w:pPr>
        <w:pStyle w:val="51"/>
        <w:pBdr>
          <w:top w:val="none" w:color="auto" w:sz="0" w:space="0"/>
          <w:left w:val="none" w:color="auto" w:sz="0" w:space="0"/>
          <w:bottom w:val="none" w:color="auto" w:sz="0" w:space="0"/>
          <w:right w:val="none" w:color="auto" w:sz="0" w:space="0"/>
          <w:between w:val="none" w:color="auto" w:sz="0" w:space="0"/>
        </w:pBdr>
        <w:tabs>
          <w:tab w:val="left" w:pos="410"/>
        </w:tabs>
        <w:spacing w:line="360" w:lineRule="auto"/>
        <w:ind w:firstLine="180" w:firstLineChars="100"/>
        <w:jc w:val="both"/>
        <w:rPr>
          <w:color w:val="auto"/>
          <w:sz w:val="18"/>
          <w:szCs w:val="18"/>
          <w:highlight w:val="none"/>
          <w:u w:val="single"/>
        </w:rPr>
      </w:pPr>
      <w:r>
        <w:rPr>
          <w:rFonts w:hint="eastAsia"/>
          <w:color w:val="auto"/>
          <w:sz w:val="18"/>
          <w:szCs w:val="18"/>
          <w:highlight w:val="none"/>
          <w:u w:val="single"/>
          <w:lang w:val="en-US" w:eastAsia="zh-CN"/>
        </w:rPr>
        <w:t>8</w:t>
      </w:r>
      <w:r>
        <w:rPr>
          <w:color w:val="auto"/>
          <w:sz w:val="18"/>
          <w:szCs w:val="18"/>
          <w:highlight w:val="none"/>
          <w:u w:val="single"/>
        </w:rPr>
        <w:t>）承包人负责办理本工程的渣土消纳证及相关渣土消纳手续。</w:t>
      </w:r>
    </w:p>
    <w:p>
      <w:pPr>
        <w:pStyle w:val="51"/>
        <w:pBdr>
          <w:top w:val="none" w:color="auto" w:sz="0" w:space="0"/>
          <w:left w:val="none" w:color="auto" w:sz="0" w:space="0"/>
          <w:bottom w:val="none" w:color="auto" w:sz="0" w:space="0"/>
          <w:right w:val="none" w:color="auto" w:sz="0" w:space="0"/>
          <w:between w:val="none" w:color="auto" w:sz="0" w:space="0"/>
        </w:pBdr>
        <w:tabs>
          <w:tab w:val="left" w:pos="502"/>
        </w:tabs>
        <w:spacing w:line="360" w:lineRule="auto"/>
        <w:ind w:firstLine="180" w:firstLineChars="100"/>
        <w:jc w:val="both"/>
        <w:rPr>
          <w:color w:val="auto"/>
          <w:sz w:val="18"/>
          <w:szCs w:val="18"/>
          <w:highlight w:val="none"/>
          <w:u w:val="single"/>
        </w:rPr>
      </w:pPr>
      <w:r>
        <w:rPr>
          <w:rFonts w:hint="eastAsia"/>
          <w:color w:val="auto"/>
          <w:sz w:val="18"/>
          <w:szCs w:val="18"/>
          <w:highlight w:val="none"/>
          <w:u w:val="single"/>
          <w:lang w:val="en-US" w:eastAsia="zh-CN"/>
        </w:rPr>
        <w:t>9</w:t>
      </w:r>
      <w:r>
        <w:rPr>
          <w:color w:val="auto"/>
          <w:sz w:val="18"/>
          <w:szCs w:val="18"/>
          <w:highlight w:val="none"/>
          <w:u w:val="single"/>
        </w:rPr>
        <w:t>）关于危险品、安全用电及食品卫生，承包人应按照北京市的相关标准执行。</w:t>
      </w:r>
    </w:p>
    <w:p>
      <w:pPr>
        <w:pStyle w:val="51"/>
        <w:pBdr>
          <w:top w:val="none" w:color="auto" w:sz="0" w:space="0"/>
          <w:left w:val="none" w:color="auto" w:sz="0" w:space="0"/>
          <w:bottom w:val="none" w:color="auto" w:sz="0" w:space="0"/>
          <w:right w:val="none" w:color="auto" w:sz="0" w:space="0"/>
          <w:between w:val="none" w:color="auto" w:sz="0" w:space="0"/>
        </w:pBdr>
        <w:tabs>
          <w:tab w:val="left" w:pos="517"/>
        </w:tabs>
        <w:spacing w:line="360" w:lineRule="auto"/>
        <w:ind w:firstLine="180" w:firstLineChars="100"/>
        <w:jc w:val="both"/>
        <w:rPr>
          <w:color w:val="auto"/>
          <w:sz w:val="18"/>
          <w:szCs w:val="18"/>
          <w:highlight w:val="none"/>
          <w:u w:val="single"/>
        </w:rPr>
      </w:pPr>
      <w:bookmarkStart w:id="120" w:name="bookmark370"/>
      <w:r>
        <w:rPr>
          <w:color w:val="auto"/>
          <w:sz w:val="18"/>
          <w:szCs w:val="18"/>
          <w:highlight w:val="none"/>
          <w:u w:val="single"/>
        </w:rPr>
        <w:t>1</w:t>
      </w:r>
      <w:bookmarkEnd w:id="120"/>
      <w:r>
        <w:rPr>
          <w:rFonts w:hint="eastAsia"/>
          <w:color w:val="auto"/>
          <w:sz w:val="18"/>
          <w:szCs w:val="18"/>
          <w:highlight w:val="none"/>
          <w:u w:val="single"/>
          <w:lang w:val="en-US" w:eastAsia="zh-CN"/>
        </w:rPr>
        <w:t>1</w:t>
      </w:r>
      <w:r>
        <w:rPr>
          <w:color w:val="auto"/>
          <w:sz w:val="18"/>
          <w:szCs w:val="18"/>
          <w:highlight w:val="none"/>
          <w:u w:val="single"/>
        </w:rPr>
        <w:t>）承包人应遵照“北京市城乡和建设委员会关于实施《北京市建设工程安全文明施工费费用标准（2020版）》的通知"（京建发【2020】316号）、”北京市城乡和建设委员会关于印发《工程施工现场疫情防控工作方案（参考模板）》的通知"（京建发【2021】3号）的有关规定，采取有效措施，做好工地的防疫工作。</w:t>
      </w:r>
      <w:bookmarkStart w:id="121" w:name="_Toc241459676"/>
      <w:bookmarkStart w:id="122" w:name="_Toc342296435"/>
      <w:bookmarkStart w:id="123" w:name="_Toc179632660"/>
      <w:bookmarkStart w:id="124" w:name="_Toc152045642"/>
      <w:bookmarkStart w:id="125" w:name="_Toc152042420"/>
      <w:bookmarkStart w:id="126" w:name="_Toc144974610"/>
    </w:p>
    <w:p>
      <w:pPr>
        <w:pStyle w:val="49"/>
        <w:pBdr>
          <w:top w:val="none" w:color="auto" w:sz="0" w:space="0"/>
          <w:left w:val="none" w:color="auto" w:sz="0" w:space="0"/>
          <w:bottom w:val="none" w:color="auto" w:sz="0" w:space="0"/>
          <w:right w:val="none" w:color="auto" w:sz="0" w:space="0"/>
          <w:between w:val="none" w:color="auto" w:sz="0" w:space="0"/>
        </w:pBdr>
        <w:rPr>
          <w:rFonts w:hint="eastAsia" w:ascii="黑体" w:hAnsi="宋体" w:cs="Arial"/>
          <w:color w:val="auto"/>
          <w:highlight w:val="none"/>
          <w:lang w:eastAsia="zh-CN"/>
        </w:rPr>
      </w:pPr>
      <w:r>
        <w:rPr>
          <w:rFonts w:hint="eastAsia" w:ascii="黑体" w:hAnsi="宋体" w:cs="Arial"/>
          <w:color w:val="auto"/>
          <w:highlight w:val="none"/>
        </w:rPr>
        <w:t>4.2 履约担保</w:t>
      </w:r>
      <w:bookmarkEnd w:id="121"/>
      <w:bookmarkEnd w:id="122"/>
    </w:p>
    <w:p>
      <w:pPr>
        <w:pBdr>
          <w:top w:val="none" w:color="auto" w:sz="0" w:space="0"/>
          <w:left w:val="none" w:color="auto" w:sz="0" w:space="0"/>
          <w:bottom w:val="none" w:color="auto" w:sz="0" w:space="0"/>
          <w:right w:val="none" w:color="auto" w:sz="0" w:space="0"/>
          <w:between w:val="none" w:color="auto" w:sz="0" w:space="0"/>
        </w:pBdr>
        <w:spacing w:line="400" w:lineRule="exact"/>
        <w:ind w:firstLine="440" w:firstLineChars="200"/>
        <w:rPr>
          <w:rFonts w:hint="eastAsia" w:ascii="黑体" w:hAnsi="宋体" w:eastAsia="黑体"/>
          <w:color w:val="auto"/>
          <w:szCs w:val="21"/>
          <w:highlight w:val="none"/>
          <w:lang w:eastAsia="zh-CN"/>
        </w:rPr>
      </w:pPr>
      <w:r>
        <w:rPr>
          <w:rFonts w:hint="eastAsia" w:ascii="黑体" w:hAnsi="宋体" w:eastAsia="黑体"/>
          <w:color w:val="auto"/>
          <w:szCs w:val="21"/>
          <w:highlight w:val="none"/>
        </w:rPr>
        <w:t xml:space="preserve">4.2.1 </w:t>
      </w:r>
      <w:r>
        <w:rPr>
          <w:rFonts w:hint="eastAsia" w:ascii="黑体" w:hAnsi="宋体" w:eastAsia="黑体"/>
          <w:color w:val="auto"/>
          <w:szCs w:val="21"/>
          <w:highlight w:val="none"/>
          <w:lang w:val="en-US" w:eastAsia="zh-CN"/>
        </w:rPr>
        <w:t>承包人</w:t>
      </w:r>
      <w:r>
        <w:rPr>
          <w:rFonts w:hint="eastAsia" w:ascii="黑体" w:hAnsi="宋体" w:eastAsia="黑体"/>
          <w:color w:val="auto"/>
          <w:szCs w:val="21"/>
          <w:highlight w:val="none"/>
        </w:rPr>
        <w:t>履约担保的格式和金额</w:t>
      </w:r>
    </w:p>
    <w:p>
      <w:pPr>
        <w:pStyle w:val="51"/>
        <w:pBdr>
          <w:top w:val="none" w:color="auto" w:sz="0" w:space="0"/>
          <w:left w:val="none" w:color="auto" w:sz="0" w:space="0"/>
          <w:bottom w:val="none" w:color="auto" w:sz="0" w:space="0"/>
          <w:right w:val="none" w:color="auto" w:sz="0" w:space="0"/>
          <w:between w:val="none" w:color="auto" w:sz="0" w:space="0"/>
        </w:pBdr>
        <w:tabs>
          <w:tab w:val="left" w:pos="517"/>
        </w:tabs>
        <w:spacing w:line="360" w:lineRule="auto"/>
        <w:ind w:firstLine="400" w:firstLineChars="200"/>
        <w:jc w:val="both"/>
        <w:rPr>
          <w:rFonts w:eastAsia="等线"/>
          <w:color w:val="auto"/>
          <w:sz w:val="18"/>
          <w:szCs w:val="18"/>
          <w:highlight w:val="none"/>
          <w:u w:val="single"/>
          <w:lang w:eastAsia="zh-CN"/>
        </w:rPr>
      </w:pPr>
      <w:r>
        <w:rPr>
          <w:rFonts w:hint="eastAsia"/>
          <w:color w:val="auto"/>
          <w:szCs w:val="21"/>
          <w:highlight w:val="none"/>
        </w:rPr>
        <w:t>发包人</w:t>
      </w:r>
      <w:r>
        <w:rPr>
          <w:rFonts w:hint="eastAsia"/>
          <w:color w:val="auto"/>
          <w:szCs w:val="21"/>
          <w:highlight w:val="none"/>
          <w:u w:val="single"/>
          <w:lang w:val="en-US" w:eastAsia="zh-CN"/>
        </w:rPr>
        <w:t xml:space="preserve">  </w:t>
      </w:r>
      <w:r>
        <w:rPr>
          <w:rFonts w:hint="eastAsia"/>
          <w:color w:val="auto"/>
          <w:szCs w:val="21"/>
          <w:highlight w:val="none"/>
          <w:u w:val="single"/>
        </w:rPr>
        <w:t>不要求</w:t>
      </w:r>
      <w:r>
        <w:rPr>
          <w:rFonts w:hint="eastAsia"/>
          <w:color w:val="auto"/>
          <w:szCs w:val="21"/>
          <w:highlight w:val="none"/>
          <w:u w:val="single"/>
          <w:lang w:val="en-US" w:eastAsia="zh-CN"/>
        </w:rPr>
        <w:t xml:space="preserve">  </w:t>
      </w:r>
      <w:r>
        <w:rPr>
          <w:rFonts w:hint="eastAsia"/>
          <w:color w:val="auto"/>
          <w:szCs w:val="21"/>
          <w:highlight w:val="none"/>
        </w:rPr>
        <w:t>（要求/不要求）承包人提供承包人履约担保。</w:t>
      </w:r>
    </w:p>
    <w:p>
      <w:pPr>
        <w:spacing w:line="400" w:lineRule="exact"/>
        <w:ind w:firstLine="440" w:firstLineChars="200"/>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承包人履约担保的金额为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p>
    <w:bookmarkEnd w:id="123"/>
    <w:bookmarkEnd w:id="124"/>
    <w:bookmarkEnd w:id="125"/>
    <w:bookmarkEnd w:id="126"/>
    <w:p>
      <w:pPr>
        <w:pStyle w:val="49"/>
        <w:rPr>
          <w:rFonts w:ascii="黑体" w:hAnsi="宋体" w:cs="Arial"/>
          <w:color w:val="auto"/>
          <w:highlight w:val="none"/>
        </w:rPr>
      </w:pPr>
      <w:bookmarkStart w:id="127" w:name="_Toc179632668"/>
      <w:bookmarkStart w:id="128" w:name="_Toc152045650"/>
      <w:bookmarkStart w:id="129" w:name="_Toc144974618"/>
      <w:bookmarkStart w:id="130" w:name="_Toc152042428"/>
      <w:bookmarkStart w:id="131" w:name="_Toc241459679"/>
      <w:bookmarkStart w:id="132" w:name="_Toc342296438"/>
      <w:r>
        <w:rPr>
          <w:rFonts w:hint="eastAsia" w:ascii="黑体" w:hAnsi="宋体" w:cs="Arial"/>
          <w:color w:val="auto"/>
          <w:highlight w:val="none"/>
        </w:rPr>
        <w:t>4.11 不利物质条件</w:t>
      </w:r>
      <w:bookmarkEnd w:id="127"/>
      <w:bookmarkEnd w:id="128"/>
      <w:bookmarkEnd w:id="129"/>
      <w:bookmarkEnd w:id="130"/>
      <w:bookmarkEnd w:id="131"/>
      <w:bookmarkEnd w:id="132"/>
    </w:p>
    <w:p>
      <w:pPr>
        <w:spacing w:line="400" w:lineRule="exact"/>
        <w:ind w:firstLine="440" w:firstLineChars="200"/>
        <w:rPr>
          <w:rFonts w:hint="eastAsia" w:ascii="宋体" w:hAnsi="宋体" w:eastAsia="宋体"/>
          <w:color w:val="auto"/>
          <w:szCs w:val="21"/>
          <w:highlight w:val="none"/>
          <w:u w:val="single"/>
          <w:lang w:val="en-US" w:eastAsia="zh-CN"/>
        </w:rPr>
      </w:pPr>
      <w:bookmarkStart w:id="133" w:name="_Toc152042429"/>
      <w:bookmarkStart w:id="134" w:name="_Toc144974619"/>
      <w:bookmarkStart w:id="135" w:name="_Toc179632669"/>
      <w:bookmarkStart w:id="136" w:name="_Toc152045651"/>
      <w:r>
        <w:rPr>
          <w:rFonts w:hint="eastAsia" w:ascii="宋体" w:hAnsi="宋体"/>
          <w:color w:val="auto"/>
          <w:szCs w:val="21"/>
          <w:highlight w:val="none"/>
        </w:rPr>
        <w:t>4.11.1不利物质条件的范围：</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 </w:t>
      </w:r>
      <w:r>
        <w:rPr>
          <w:rFonts w:hint="eastAsia" w:ascii="宋体" w:hAnsi="宋体"/>
          <w:color w:val="auto"/>
          <w:szCs w:val="21"/>
          <w:highlight w:val="none"/>
          <w:u w:val="single"/>
          <w:lang w:val="en-US" w:eastAsia="zh-CN"/>
        </w:rPr>
        <w:t xml:space="preserve"> </w:t>
      </w:r>
    </w:p>
    <w:p>
      <w:pPr>
        <w:pStyle w:val="48"/>
        <w:spacing w:before="0"/>
        <w:rPr>
          <w:color w:val="auto"/>
          <w:highlight w:val="none"/>
        </w:rPr>
      </w:pPr>
      <w:bookmarkStart w:id="137" w:name="_Toc241459680"/>
      <w:bookmarkStart w:id="138" w:name="_Toc342296439"/>
      <w:r>
        <w:rPr>
          <w:rFonts w:hint="eastAsia"/>
          <w:color w:val="auto"/>
          <w:highlight w:val="none"/>
        </w:rPr>
        <w:t>5. 材料和工程设备</w:t>
      </w:r>
      <w:bookmarkEnd w:id="133"/>
      <w:bookmarkEnd w:id="134"/>
      <w:bookmarkEnd w:id="135"/>
      <w:bookmarkEnd w:id="136"/>
      <w:bookmarkEnd w:id="137"/>
      <w:bookmarkEnd w:id="138"/>
    </w:p>
    <w:p>
      <w:pPr>
        <w:pStyle w:val="49"/>
        <w:rPr>
          <w:rFonts w:ascii="黑体" w:hAnsi="宋体" w:cs="Arial"/>
          <w:color w:val="auto"/>
          <w:highlight w:val="none"/>
        </w:rPr>
      </w:pPr>
      <w:bookmarkStart w:id="139" w:name="_Toc144974620"/>
      <w:bookmarkStart w:id="140" w:name="_Toc152042430"/>
      <w:bookmarkStart w:id="141" w:name="_Toc241459681"/>
      <w:bookmarkStart w:id="142" w:name="_Toc152045652"/>
      <w:bookmarkStart w:id="143" w:name="_Toc342296440"/>
      <w:bookmarkStart w:id="144" w:name="_Toc179632670"/>
      <w:r>
        <w:rPr>
          <w:rFonts w:hint="eastAsia" w:ascii="黑体" w:hAnsi="宋体" w:cs="Arial"/>
          <w:color w:val="auto"/>
          <w:highlight w:val="none"/>
        </w:rPr>
        <w:t>5.1 承包人提供的材料和工程设备</w:t>
      </w:r>
      <w:bookmarkEnd w:id="139"/>
      <w:bookmarkEnd w:id="140"/>
      <w:bookmarkEnd w:id="141"/>
      <w:bookmarkEnd w:id="142"/>
      <w:bookmarkEnd w:id="143"/>
      <w:bookmarkEnd w:id="144"/>
    </w:p>
    <w:p>
      <w:pPr>
        <w:spacing w:line="400" w:lineRule="exact"/>
        <w:ind w:firstLine="440" w:firstLineChars="200"/>
        <w:rPr>
          <w:rFonts w:hint="default" w:ascii="宋体" w:hAnsi="宋体" w:eastAsia="宋体" w:cs="Arial"/>
          <w:color w:val="auto"/>
          <w:highlight w:val="none"/>
          <w:lang w:val="en-US" w:eastAsia="zh-CN"/>
        </w:rPr>
      </w:pPr>
      <w:r>
        <w:rPr>
          <w:rFonts w:hint="eastAsia" w:ascii="宋体" w:hAnsi="宋体"/>
          <w:color w:val="auto"/>
          <w:szCs w:val="21"/>
          <w:highlight w:val="none"/>
        </w:rPr>
        <w:t>5.1.2 承包人将由其提供的材料和工程设备的供货人及品种、规格、数量及供货时间等报送监理人审批的期限：</w:t>
      </w:r>
      <w:r>
        <w:rPr>
          <w:rFonts w:hint="eastAsia" w:ascii="宋体" w:hAnsi="宋体"/>
          <w:color w:val="auto"/>
          <w:szCs w:val="21"/>
          <w:highlight w:val="none"/>
          <w:u w:val="single"/>
          <w:lang w:val="en-US" w:eastAsia="zh-CN"/>
        </w:rPr>
        <w:t xml:space="preserve">  上报7天内  </w:t>
      </w:r>
    </w:p>
    <w:p>
      <w:pPr>
        <w:pStyle w:val="48"/>
        <w:spacing w:before="0"/>
        <w:rPr>
          <w:color w:val="auto"/>
          <w:highlight w:val="none"/>
        </w:rPr>
      </w:pPr>
      <w:bookmarkStart w:id="145" w:name="_Toc152045656"/>
      <w:bookmarkStart w:id="146" w:name="_Toc152042434"/>
      <w:bookmarkStart w:id="147" w:name="_Toc342296442"/>
      <w:bookmarkStart w:id="148" w:name="_Toc144974624"/>
      <w:bookmarkStart w:id="149" w:name="_Toc241459683"/>
      <w:bookmarkStart w:id="150" w:name="_Toc179632674"/>
      <w:r>
        <w:rPr>
          <w:rFonts w:hint="eastAsia"/>
          <w:color w:val="auto"/>
          <w:highlight w:val="none"/>
        </w:rPr>
        <w:t>6. 施工设备和临时设施</w:t>
      </w:r>
      <w:bookmarkEnd w:id="145"/>
      <w:bookmarkEnd w:id="146"/>
      <w:bookmarkEnd w:id="147"/>
      <w:bookmarkEnd w:id="148"/>
      <w:bookmarkEnd w:id="149"/>
      <w:bookmarkEnd w:id="150"/>
    </w:p>
    <w:p>
      <w:pPr>
        <w:pStyle w:val="49"/>
        <w:rPr>
          <w:rFonts w:ascii="黑体" w:hAnsi="宋体" w:cs="Arial"/>
          <w:color w:val="auto"/>
          <w:highlight w:val="none"/>
        </w:rPr>
      </w:pPr>
      <w:bookmarkStart w:id="151" w:name="_Toc241459684"/>
      <w:bookmarkStart w:id="152" w:name="_Toc144974625"/>
      <w:bookmarkStart w:id="153" w:name="_Toc179632675"/>
      <w:bookmarkStart w:id="154" w:name="_Toc152045657"/>
      <w:bookmarkStart w:id="155" w:name="_Toc342296443"/>
      <w:bookmarkStart w:id="156" w:name="_Toc152042435"/>
      <w:r>
        <w:rPr>
          <w:rFonts w:hint="eastAsia" w:ascii="黑体" w:hAnsi="宋体" w:cs="Arial"/>
          <w:color w:val="auto"/>
          <w:highlight w:val="none"/>
        </w:rPr>
        <w:t xml:space="preserve">6.1 </w:t>
      </w:r>
      <w:r>
        <w:rPr>
          <w:rFonts w:hint="eastAsia" w:ascii="黑体" w:hAnsi="宋体" w:cs="Arial"/>
          <w:color w:val="auto"/>
          <w:highlight w:val="none"/>
          <w:lang w:val="en-US"/>
        </w:rPr>
        <w:t>承</w:t>
      </w:r>
      <w:r>
        <w:rPr>
          <w:rFonts w:hint="eastAsia" w:ascii="黑体" w:hAnsi="宋体" w:cs="Arial"/>
          <w:color w:val="auto"/>
          <w:highlight w:val="none"/>
        </w:rPr>
        <w:t>包人提供的施工设备和临时设施</w:t>
      </w:r>
      <w:bookmarkEnd w:id="151"/>
      <w:bookmarkEnd w:id="152"/>
      <w:bookmarkEnd w:id="153"/>
      <w:bookmarkEnd w:id="154"/>
      <w:bookmarkEnd w:id="155"/>
      <w:bookmarkEnd w:id="156"/>
    </w:p>
    <w:p>
      <w:pPr>
        <w:spacing w:line="400" w:lineRule="exact"/>
        <w:ind w:firstLine="440" w:firstLineChars="200"/>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6.1.2</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承包人承担自行修建临时设施费用的范围</w:t>
      </w:r>
      <w:r>
        <w:rPr>
          <w:rFonts w:hint="eastAsia" w:ascii="宋体" w:hAnsi="宋体"/>
          <w:color w:val="auto"/>
          <w:szCs w:val="21"/>
          <w:highlight w:val="none"/>
          <w:lang w:eastAsia="zh-CN"/>
        </w:rPr>
        <w:t>：</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p>
    <w:p>
      <w:pPr>
        <w:spacing w:line="400" w:lineRule="exact"/>
        <w:ind w:firstLine="440" w:firstLineChars="200"/>
        <w:rPr>
          <w:rFonts w:hint="default" w:ascii="宋体" w:hAnsi="宋体" w:eastAsia="宋体"/>
          <w:color w:val="auto"/>
          <w:highlight w:val="none"/>
          <w:lang w:val="en-US" w:eastAsia="zh-CN"/>
        </w:rPr>
      </w:pPr>
      <w:r>
        <w:rPr>
          <w:rFonts w:hint="eastAsia" w:ascii="宋体" w:hAnsi="宋体"/>
          <w:color w:val="auto"/>
          <w:highlight w:val="none"/>
        </w:rPr>
        <w:t>发包人办理申请手续并承担相关费用的临时占地</w:t>
      </w:r>
      <w:r>
        <w:rPr>
          <w:rFonts w:hint="eastAsia" w:ascii="宋体" w:hAnsi="宋体"/>
          <w:color w:val="auto"/>
          <w:highlight w:val="none"/>
          <w:lang w:eastAsia="zh-CN"/>
        </w:rPr>
        <w:t>：</w:t>
      </w:r>
      <w:r>
        <w:rPr>
          <w:rFonts w:hint="eastAsia" w:ascii="宋体" w:hAnsi="宋体"/>
          <w:color w:val="auto"/>
          <w:highlight w:val="none"/>
          <w:u w:val="single"/>
          <w:lang w:val="en-US" w:eastAsia="zh-CN"/>
        </w:rPr>
        <w:t xml:space="preserve">  </w:t>
      </w:r>
      <w:r>
        <w:rPr>
          <w:rFonts w:ascii="宋体" w:hAnsi="宋体"/>
          <w:color w:val="auto"/>
          <w:highlight w:val="none"/>
          <w:u w:val="single"/>
        </w:rPr>
        <w:t>/</w:t>
      </w:r>
      <w:r>
        <w:rPr>
          <w:rFonts w:hint="eastAsia" w:ascii="宋体" w:hAnsi="宋体"/>
          <w:color w:val="auto"/>
          <w:highlight w:val="none"/>
          <w:u w:val="single"/>
          <w:lang w:val="en-US" w:eastAsia="zh-CN"/>
        </w:rPr>
        <w:t xml:space="preserve">  </w:t>
      </w:r>
    </w:p>
    <w:p>
      <w:pPr>
        <w:pStyle w:val="49"/>
        <w:rPr>
          <w:rFonts w:ascii="黑体" w:hAnsi="宋体" w:cs="Arial"/>
          <w:color w:val="auto"/>
          <w:highlight w:val="none"/>
        </w:rPr>
      </w:pPr>
      <w:bookmarkStart w:id="157" w:name="_Toc241459685"/>
      <w:bookmarkStart w:id="158" w:name="_Toc179632676"/>
      <w:bookmarkStart w:id="159" w:name="_Toc342296444"/>
      <w:bookmarkStart w:id="160" w:name="_Toc144974626"/>
      <w:bookmarkStart w:id="161" w:name="_Toc152045658"/>
      <w:bookmarkStart w:id="162" w:name="_Toc152042436"/>
      <w:r>
        <w:rPr>
          <w:rFonts w:hint="eastAsia" w:ascii="黑体" w:hAnsi="宋体" w:cs="Arial"/>
          <w:color w:val="auto"/>
          <w:highlight w:val="none"/>
        </w:rPr>
        <w:t>6.2 发包人提供的施工设备和临时设施</w:t>
      </w:r>
      <w:bookmarkEnd w:id="157"/>
      <w:bookmarkEnd w:id="158"/>
      <w:bookmarkEnd w:id="159"/>
      <w:bookmarkEnd w:id="160"/>
      <w:bookmarkEnd w:id="161"/>
      <w:bookmarkEnd w:id="162"/>
    </w:p>
    <w:p>
      <w:pPr>
        <w:spacing w:line="400" w:lineRule="exact"/>
        <w:ind w:firstLine="44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rPr>
        <w:t>发包人提供的施工设备和临时设施：</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p>
    <w:p>
      <w:pPr>
        <w:spacing w:line="400" w:lineRule="exact"/>
        <w:ind w:firstLine="44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rPr>
        <w:t>发包人提供的施工设备和临时设施的运行、维护、拆除、清运费用的承担人：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承包人</w:t>
      </w:r>
      <w:r>
        <w:rPr>
          <w:rFonts w:hint="eastAsia" w:ascii="宋体" w:hAnsi="宋体"/>
          <w:color w:val="auto"/>
          <w:szCs w:val="21"/>
          <w:highlight w:val="none"/>
          <w:u w:val="single"/>
          <w:lang w:val="en-US" w:eastAsia="zh-CN"/>
        </w:rPr>
        <w:t xml:space="preserve">  </w:t>
      </w:r>
    </w:p>
    <w:p>
      <w:pPr>
        <w:pStyle w:val="48"/>
        <w:spacing w:before="0"/>
        <w:rPr>
          <w:color w:val="auto"/>
          <w:highlight w:val="none"/>
        </w:rPr>
      </w:pPr>
      <w:bookmarkStart w:id="163" w:name="_Toc152045661"/>
      <w:bookmarkStart w:id="164" w:name="_Toc144974629"/>
      <w:bookmarkStart w:id="165" w:name="_Toc152042439"/>
      <w:bookmarkStart w:id="166" w:name="_Toc342296446"/>
      <w:bookmarkStart w:id="167" w:name="_Toc179632679"/>
      <w:bookmarkStart w:id="168" w:name="_Toc241459687"/>
      <w:r>
        <w:rPr>
          <w:rFonts w:hint="eastAsia"/>
          <w:color w:val="auto"/>
          <w:highlight w:val="none"/>
        </w:rPr>
        <w:t>7. 交通运输</w:t>
      </w:r>
      <w:bookmarkEnd w:id="163"/>
      <w:bookmarkEnd w:id="164"/>
      <w:bookmarkEnd w:id="165"/>
      <w:bookmarkEnd w:id="166"/>
      <w:bookmarkEnd w:id="167"/>
      <w:bookmarkEnd w:id="168"/>
    </w:p>
    <w:p>
      <w:pPr>
        <w:pStyle w:val="49"/>
        <w:rPr>
          <w:rFonts w:ascii="黑体" w:hAnsi="宋体" w:cs="Arial"/>
          <w:color w:val="auto"/>
          <w:highlight w:val="none"/>
        </w:rPr>
      </w:pPr>
      <w:bookmarkStart w:id="169" w:name="_Toc241459688"/>
      <w:bookmarkStart w:id="170" w:name="_Toc144974630"/>
      <w:bookmarkStart w:id="171" w:name="_Toc342296447"/>
      <w:bookmarkStart w:id="172" w:name="_Toc152045662"/>
      <w:bookmarkStart w:id="173" w:name="_Toc152042440"/>
      <w:bookmarkStart w:id="174" w:name="_Toc179632680"/>
      <w:r>
        <w:rPr>
          <w:rFonts w:hint="eastAsia" w:ascii="黑体" w:hAnsi="宋体" w:cs="Arial"/>
          <w:color w:val="auto"/>
          <w:highlight w:val="none"/>
        </w:rPr>
        <w:t>7.1 道路通行权和场外设施</w:t>
      </w:r>
      <w:bookmarkEnd w:id="169"/>
      <w:bookmarkEnd w:id="170"/>
      <w:bookmarkEnd w:id="171"/>
      <w:bookmarkEnd w:id="172"/>
      <w:bookmarkEnd w:id="173"/>
      <w:bookmarkEnd w:id="174"/>
    </w:p>
    <w:p>
      <w:pPr>
        <w:spacing w:line="400" w:lineRule="exact"/>
        <w:ind w:firstLine="440" w:firstLineChars="200"/>
        <w:rPr>
          <w:rFonts w:ascii="宋体" w:hAnsi="宋体"/>
          <w:color w:val="auto"/>
          <w:szCs w:val="21"/>
          <w:highlight w:val="none"/>
          <w:u w:val="single"/>
        </w:rPr>
      </w:pPr>
      <w:r>
        <w:rPr>
          <w:rFonts w:hint="eastAsia" w:ascii="宋体" w:hAnsi="宋体"/>
          <w:color w:val="auto"/>
          <w:szCs w:val="21"/>
          <w:highlight w:val="none"/>
        </w:rPr>
        <w:t>负责取得道路通行权、场外设施修建权的办理人:</w:t>
      </w:r>
      <w:r>
        <w:rPr>
          <w:rFonts w:hint="eastAsia" w:ascii="宋体" w:hAnsi="宋体"/>
          <w:color w:val="auto"/>
          <w:szCs w:val="21"/>
          <w:highlight w:val="none"/>
          <w:u w:val="single"/>
          <w:lang w:val="en-US" w:eastAsia="zh-CN"/>
        </w:rPr>
        <w:t xml:space="preserve">  发</w:t>
      </w:r>
      <w:r>
        <w:rPr>
          <w:rFonts w:hint="eastAsia" w:ascii="宋体" w:hAnsi="宋体"/>
          <w:color w:val="auto"/>
          <w:szCs w:val="21"/>
          <w:highlight w:val="none"/>
          <w:u w:val="single"/>
        </w:rPr>
        <w:t>包人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，其相关费用由发包人承担。</w:t>
      </w:r>
    </w:p>
    <w:p>
      <w:pPr>
        <w:pStyle w:val="49"/>
        <w:rPr>
          <w:rFonts w:ascii="黑体" w:hAnsi="宋体" w:cs="Arial"/>
          <w:color w:val="auto"/>
          <w:highlight w:val="none"/>
        </w:rPr>
      </w:pPr>
      <w:bookmarkStart w:id="175" w:name="_Toc152045663"/>
      <w:bookmarkStart w:id="176" w:name="_Toc152042441"/>
      <w:bookmarkStart w:id="177" w:name="_Toc342296448"/>
      <w:bookmarkStart w:id="178" w:name="_Toc241459689"/>
      <w:bookmarkStart w:id="179" w:name="_Toc179632681"/>
      <w:bookmarkStart w:id="180" w:name="_Toc144974631"/>
      <w:r>
        <w:rPr>
          <w:rFonts w:hint="eastAsia" w:ascii="黑体" w:hAnsi="宋体" w:cs="Arial"/>
          <w:color w:val="auto"/>
          <w:highlight w:val="none"/>
        </w:rPr>
        <w:t>7.2 场内施工道路</w:t>
      </w:r>
      <w:bookmarkEnd w:id="175"/>
      <w:bookmarkEnd w:id="176"/>
      <w:bookmarkEnd w:id="177"/>
      <w:bookmarkEnd w:id="178"/>
      <w:bookmarkEnd w:id="179"/>
      <w:bookmarkEnd w:id="180"/>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7.2.1施工所需的场内临时道路和交通设施的修建、维护、养护和管理人：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承包人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，相关费用由</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承包人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承担。</w:t>
      </w:r>
    </w:p>
    <w:p>
      <w:pPr>
        <w:pStyle w:val="49"/>
        <w:rPr>
          <w:rFonts w:ascii="黑体" w:hAnsi="宋体" w:cs="Arial"/>
          <w:color w:val="auto"/>
          <w:highlight w:val="none"/>
        </w:rPr>
      </w:pPr>
      <w:bookmarkStart w:id="181" w:name="_Toc342296449"/>
      <w:bookmarkStart w:id="182" w:name="_Toc179632683"/>
      <w:bookmarkStart w:id="183" w:name="_Toc152042443"/>
      <w:bookmarkStart w:id="184" w:name="_Toc144974633"/>
      <w:bookmarkStart w:id="185" w:name="_Toc241459690"/>
      <w:bookmarkStart w:id="186" w:name="_Toc152045665"/>
      <w:r>
        <w:rPr>
          <w:rFonts w:hint="eastAsia" w:ascii="黑体" w:hAnsi="宋体" w:cs="Arial"/>
          <w:color w:val="auto"/>
          <w:highlight w:val="none"/>
        </w:rPr>
        <w:t>7.4 超大件和超重件的运输</w:t>
      </w:r>
      <w:bookmarkEnd w:id="181"/>
      <w:bookmarkEnd w:id="182"/>
      <w:bookmarkEnd w:id="183"/>
      <w:bookmarkEnd w:id="184"/>
      <w:bookmarkEnd w:id="185"/>
      <w:bookmarkEnd w:id="186"/>
    </w:p>
    <w:p>
      <w:pPr>
        <w:spacing w:line="400" w:lineRule="exact"/>
        <w:ind w:firstLine="440" w:firstLineChars="200"/>
        <w:rPr>
          <w:rFonts w:hint="default" w:ascii="宋体" w:hAnsi="宋体" w:eastAsia="宋体"/>
          <w:color w:val="auto"/>
          <w:szCs w:val="21"/>
          <w:highlight w:val="none"/>
          <w:u w:val="single"/>
          <w:lang w:val="en-US" w:eastAsia="zh-CN"/>
        </w:rPr>
      </w:pPr>
      <w:bookmarkStart w:id="187" w:name="_Toc179632684"/>
      <w:bookmarkStart w:id="188" w:name="_Toc144974634"/>
      <w:bookmarkStart w:id="189" w:name="_Toc152045666"/>
      <w:bookmarkStart w:id="190" w:name="_Toc152042444"/>
      <w:r>
        <w:rPr>
          <w:rFonts w:hint="eastAsia" w:ascii="宋体" w:hAnsi="宋体"/>
          <w:color w:val="auto"/>
          <w:szCs w:val="21"/>
          <w:highlight w:val="none"/>
        </w:rPr>
        <w:t>运输超大件或超重件所需的道路和桥梁临时加固改造等费用的承担人：</w:t>
      </w:r>
      <w:r>
        <w:rPr>
          <w:rFonts w:hint="eastAsia" w:ascii="宋体" w:hAnsi="宋体"/>
          <w:color w:val="auto"/>
          <w:szCs w:val="21"/>
          <w:highlight w:val="none"/>
          <w:u w:val="single"/>
          <w:lang w:val="en-US" w:eastAsia="zh-CN"/>
        </w:rPr>
        <w:t xml:space="preserve">  </w:t>
      </w:r>
      <w:r>
        <w:rPr>
          <w:rFonts w:ascii="宋体" w:hAnsi="宋体"/>
          <w:color w:val="auto"/>
          <w:szCs w:val="21"/>
          <w:highlight w:val="none"/>
          <w:u w:val="single"/>
        </w:rPr>
        <w:t>由承包人承担，承包人应综合考虑相关费用，并将这部分费用计入相关子目的综合单价中</w:t>
      </w:r>
      <w:r>
        <w:rPr>
          <w:rFonts w:hint="eastAsia" w:ascii="宋体" w:hAnsi="宋体"/>
          <w:color w:val="auto"/>
          <w:szCs w:val="21"/>
          <w:highlight w:val="none"/>
          <w:u w:val="single"/>
        </w:rPr>
        <w:t>。</w:t>
      </w:r>
      <w:r>
        <w:rPr>
          <w:rFonts w:hint="eastAsia" w:ascii="宋体" w:hAnsi="宋体"/>
          <w:color w:val="auto"/>
          <w:szCs w:val="21"/>
          <w:highlight w:val="none"/>
          <w:u w:val="single"/>
          <w:lang w:val="en-US" w:eastAsia="zh-CN"/>
        </w:rPr>
        <w:t xml:space="preserve">  </w:t>
      </w:r>
    </w:p>
    <w:bookmarkEnd w:id="187"/>
    <w:bookmarkEnd w:id="188"/>
    <w:bookmarkEnd w:id="189"/>
    <w:bookmarkEnd w:id="190"/>
    <w:p>
      <w:pPr>
        <w:pStyle w:val="48"/>
        <w:spacing w:before="0"/>
        <w:rPr>
          <w:color w:val="auto"/>
          <w:highlight w:val="none"/>
        </w:rPr>
      </w:pPr>
      <w:bookmarkStart w:id="191" w:name="_Toc342296450"/>
      <w:bookmarkStart w:id="192" w:name="_Toc152045668"/>
      <w:bookmarkStart w:id="193" w:name="_Toc152042446"/>
      <w:bookmarkStart w:id="194" w:name="_Toc144974636"/>
      <w:bookmarkStart w:id="195" w:name="_Toc179632686"/>
      <w:bookmarkStart w:id="196" w:name="_Toc241459691"/>
      <w:r>
        <w:rPr>
          <w:rFonts w:hint="eastAsia"/>
          <w:color w:val="auto"/>
          <w:highlight w:val="none"/>
        </w:rPr>
        <w:t>8. 测量放线</w:t>
      </w:r>
      <w:bookmarkEnd w:id="191"/>
      <w:bookmarkEnd w:id="192"/>
      <w:bookmarkEnd w:id="193"/>
      <w:bookmarkEnd w:id="194"/>
      <w:bookmarkEnd w:id="195"/>
      <w:bookmarkEnd w:id="196"/>
    </w:p>
    <w:p>
      <w:pPr>
        <w:pStyle w:val="49"/>
        <w:rPr>
          <w:rFonts w:ascii="黑体" w:hAnsi="宋体" w:cs="Arial"/>
          <w:color w:val="auto"/>
          <w:highlight w:val="none"/>
        </w:rPr>
      </w:pPr>
      <w:bookmarkStart w:id="197" w:name="_Toc152042447"/>
      <w:bookmarkStart w:id="198" w:name="_Toc152045669"/>
      <w:bookmarkStart w:id="199" w:name="_Toc241459692"/>
      <w:bookmarkStart w:id="200" w:name="_Toc342296451"/>
      <w:bookmarkStart w:id="201" w:name="_Toc144974637"/>
      <w:bookmarkStart w:id="202" w:name="_Toc179632687"/>
      <w:r>
        <w:rPr>
          <w:rFonts w:hint="eastAsia" w:ascii="黑体" w:hAnsi="宋体" w:cs="Arial"/>
          <w:color w:val="auto"/>
          <w:highlight w:val="none"/>
        </w:rPr>
        <w:t>8.1 施工控制网</w:t>
      </w:r>
      <w:bookmarkEnd w:id="197"/>
      <w:bookmarkEnd w:id="198"/>
      <w:bookmarkEnd w:id="199"/>
      <w:bookmarkEnd w:id="200"/>
      <w:bookmarkEnd w:id="201"/>
      <w:bookmarkEnd w:id="202"/>
    </w:p>
    <w:p>
      <w:pPr>
        <w:spacing w:line="400" w:lineRule="exact"/>
        <w:ind w:firstLine="440" w:firstLineChars="200"/>
        <w:rPr>
          <w:rFonts w:hint="eastAsia" w:ascii="宋体" w:hAnsi="宋体"/>
          <w:color w:val="auto"/>
          <w:szCs w:val="21"/>
          <w:highlight w:val="none"/>
          <w:u w:val="single"/>
          <w:lang w:val="en-US" w:eastAsia="zh-CN"/>
        </w:rPr>
      </w:pPr>
      <w:r>
        <w:rPr>
          <w:rFonts w:hint="eastAsia" w:ascii="宋体" w:hAnsi="宋体"/>
          <w:color w:val="auto"/>
          <w:szCs w:val="21"/>
          <w:highlight w:val="none"/>
        </w:rPr>
        <w:t>8.1.1发包人通过监理人提供测量基准点、基准线和水准点及其书面资料的期限：</w:t>
      </w:r>
      <w:r>
        <w:rPr>
          <w:rFonts w:hint="eastAsia" w:ascii="宋体" w:hAnsi="宋体"/>
          <w:color w:val="auto"/>
          <w:szCs w:val="21"/>
          <w:highlight w:val="none"/>
          <w:u w:val="single"/>
          <w:lang w:val="en-US" w:eastAsia="zh-CN"/>
        </w:rPr>
        <w:t>/</w:t>
      </w:r>
    </w:p>
    <w:p>
      <w:pPr>
        <w:spacing w:line="400" w:lineRule="exact"/>
        <w:ind w:firstLine="440" w:firstLineChars="200"/>
        <w:rPr>
          <w:rFonts w:hint="eastAsia"/>
          <w:color w:val="auto"/>
          <w:szCs w:val="21"/>
          <w:highlight w:val="none"/>
          <w:u w:val="single"/>
          <w:lang w:val="en-US" w:eastAsia="zh-CN"/>
        </w:rPr>
      </w:pPr>
      <w:r>
        <w:rPr>
          <w:rFonts w:hint="eastAsia" w:ascii="宋体" w:hAnsi="宋体"/>
          <w:color w:val="auto"/>
          <w:szCs w:val="21"/>
          <w:highlight w:val="none"/>
        </w:rPr>
        <w:t>8.1.2 承包人测设施工控制网的其他要求：</w:t>
      </w:r>
      <w:r>
        <w:rPr>
          <w:rFonts w:hint="eastAsia"/>
          <w:color w:val="auto"/>
          <w:szCs w:val="21"/>
          <w:highlight w:val="none"/>
          <w:u w:val="single"/>
          <w:lang w:val="en-US" w:eastAsia="zh-CN"/>
        </w:rPr>
        <w:t>/</w:t>
      </w:r>
    </w:p>
    <w:p>
      <w:pPr>
        <w:spacing w:line="400" w:lineRule="exact"/>
        <w:ind w:firstLine="420" w:firstLineChars="200"/>
        <w:rPr>
          <w:rFonts w:hint="default" w:ascii="宋体" w:hAnsi="宋体"/>
          <w:color w:val="auto"/>
          <w:szCs w:val="21"/>
          <w:highlight w:val="none"/>
          <w:u w:val="single"/>
          <w:lang w:val="en-US" w:eastAsia="zh-CN"/>
        </w:rPr>
      </w:pPr>
      <w:r>
        <w:rPr>
          <w:rFonts w:cs="Times New Roman"/>
          <w:color w:val="auto"/>
          <w:kern w:val="2"/>
          <w:sz w:val="21"/>
          <w:szCs w:val="21"/>
          <w:highlight w:val="none"/>
          <w:lang w:val="en-US" w:eastAsia="zh-CN" w:bidi="ar-SA"/>
        </w:rPr>
        <w:t>承包人将施工控制网资料报送监理人审批的期限：</w:t>
      </w:r>
      <w:bookmarkStart w:id="203" w:name="_Toc152045673"/>
      <w:bookmarkStart w:id="204" w:name="_Toc342296452"/>
      <w:bookmarkStart w:id="205" w:name="_Toc179632691"/>
      <w:bookmarkStart w:id="206" w:name="_Toc152042451"/>
      <w:bookmarkStart w:id="207" w:name="_Toc144974641"/>
      <w:bookmarkStart w:id="208" w:name="_Toc241459693"/>
      <w:r>
        <w:rPr>
          <w:rFonts w:hint="eastAsia" w:cs="Times New Roman"/>
          <w:color w:val="auto"/>
          <w:kern w:val="2"/>
          <w:sz w:val="21"/>
          <w:szCs w:val="21"/>
          <w:highlight w:val="none"/>
          <w:u w:val="single"/>
          <w:lang w:val="en-US" w:eastAsia="zh-CN" w:bidi="ar-SA"/>
        </w:rPr>
        <w:t xml:space="preserve">  </w:t>
      </w:r>
      <w:r>
        <w:rPr>
          <w:rFonts w:hint="eastAsia" w:ascii="宋体" w:hAnsi="宋体"/>
          <w:color w:val="auto"/>
          <w:szCs w:val="21"/>
          <w:highlight w:val="none"/>
          <w:u w:val="single"/>
          <w:lang w:val="en-US" w:eastAsia="zh-CN"/>
        </w:rPr>
        <w:t xml:space="preserve">定位放线完成后一天  </w:t>
      </w:r>
    </w:p>
    <w:p>
      <w:pPr>
        <w:pStyle w:val="48"/>
        <w:spacing w:before="0"/>
        <w:rPr>
          <w:rFonts w:hint="eastAsia"/>
          <w:color w:val="auto"/>
          <w:highlight w:val="none"/>
        </w:rPr>
      </w:pPr>
      <w:r>
        <w:rPr>
          <w:rFonts w:hint="eastAsia"/>
          <w:color w:val="auto"/>
          <w:highlight w:val="none"/>
        </w:rPr>
        <w:t>9. 施工安全、治安保卫和环境保护</w:t>
      </w:r>
      <w:bookmarkEnd w:id="203"/>
      <w:bookmarkEnd w:id="204"/>
      <w:bookmarkEnd w:id="205"/>
      <w:bookmarkEnd w:id="206"/>
      <w:bookmarkEnd w:id="207"/>
      <w:bookmarkEnd w:id="208"/>
    </w:p>
    <w:p>
      <w:pPr>
        <w:pStyle w:val="49"/>
        <w:rPr>
          <w:rFonts w:ascii="黑体" w:hAnsi="宋体" w:cs="Arial"/>
          <w:color w:val="auto"/>
          <w:highlight w:val="none"/>
        </w:rPr>
      </w:pPr>
      <w:bookmarkStart w:id="209" w:name="_Toc152042453"/>
      <w:bookmarkStart w:id="210" w:name="_Toc179632693"/>
      <w:bookmarkStart w:id="211" w:name="_Toc144974643"/>
      <w:bookmarkStart w:id="212" w:name="_Toc241459694"/>
      <w:bookmarkStart w:id="213" w:name="_Toc342296453"/>
      <w:bookmarkStart w:id="214" w:name="_Toc152045675"/>
      <w:r>
        <w:rPr>
          <w:rFonts w:hint="eastAsia" w:ascii="黑体" w:hAnsi="宋体" w:cs="Arial"/>
          <w:color w:val="auto"/>
          <w:highlight w:val="none"/>
        </w:rPr>
        <w:t>9.2 承包人的施工安全责任</w:t>
      </w:r>
      <w:bookmarkEnd w:id="209"/>
      <w:bookmarkEnd w:id="210"/>
      <w:bookmarkEnd w:id="211"/>
      <w:bookmarkEnd w:id="212"/>
      <w:bookmarkEnd w:id="213"/>
      <w:bookmarkEnd w:id="214"/>
    </w:p>
    <w:p>
      <w:pPr>
        <w:pStyle w:val="51"/>
        <w:spacing w:line="367" w:lineRule="exact"/>
        <w:ind w:firstLine="400" w:firstLineChars="200"/>
        <w:rPr>
          <w:rFonts w:hint="eastAsia" w:cs="Times New Roman"/>
          <w:color w:val="auto"/>
          <w:kern w:val="2"/>
          <w:sz w:val="21"/>
          <w:szCs w:val="21"/>
          <w:highlight w:val="none"/>
          <w:u w:val="single"/>
          <w:lang w:val="en-US" w:eastAsia="zh-CN" w:bidi="ar-SA"/>
        </w:rPr>
      </w:pPr>
      <w:r>
        <w:rPr>
          <w:rFonts w:hint="eastAsia"/>
          <w:color w:val="auto"/>
          <w:szCs w:val="21"/>
          <w:highlight w:val="none"/>
        </w:rPr>
        <w:t>9.2.1承包人向监理人报送施工安全措施计划的期限：</w:t>
      </w:r>
      <w:r>
        <w:rPr>
          <w:rFonts w:hint="eastAsia"/>
          <w:color w:val="auto"/>
          <w:szCs w:val="21"/>
          <w:highlight w:val="none"/>
          <w:u w:val="single"/>
          <w:lang w:val="en-US" w:eastAsia="zh-CN"/>
        </w:rPr>
        <w:t xml:space="preserve">  </w:t>
      </w:r>
      <w:r>
        <w:rPr>
          <w:rFonts w:hint="eastAsia" w:cs="Times New Roman"/>
          <w:color w:val="auto"/>
          <w:kern w:val="2"/>
          <w:sz w:val="21"/>
          <w:szCs w:val="21"/>
          <w:highlight w:val="none"/>
          <w:u w:val="single"/>
          <w:lang w:val="en-US" w:eastAsia="zh-CN" w:bidi="ar-SA"/>
        </w:rPr>
        <w:t xml:space="preserve">施工单位进场后  </w:t>
      </w:r>
    </w:p>
    <w:p>
      <w:pPr>
        <w:pStyle w:val="51"/>
        <w:spacing w:line="367" w:lineRule="exact"/>
        <w:ind w:firstLine="400" w:firstLineChars="200"/>
        <w:rPr>
          <w:rFonts w:ascii="宋体" w:hAnsi="宋体"/>
          <w:color w:val="auto"/>
          <w:szCs w:val="21"/>
          <w:highlight w:val="none"/>
        </w:rPr>
      </w:pPr>
      <w:r>
        <w:rPr>
          <w:rFonts w:hint="eastAsia" w:ascii="宋体" w:hAnsi="宋体"/>
          <w:color w:val="auto"/>
          <w:szCs w:val="21"/>
          <w:highlight w:val="none"/>
        </w:rPr>
        <w:t>监理人收到承包人报送的施工安全措施计划后应当在</w:t>
      </w:r>
      <w:r>
        <w:rPr>
          <w:rFonts w:hint="eastAsia"/>
          <w:color w:val="auto"/>
          <w:szCs w:val="21"/>
          <w:highlight w:val="none"/>
          <w:u w:val="single"/>
          <w:lang w:val="en-US" w:eastAsia="zh-CN"/>
        </w:rPr>
        <w:t xml:space="preserve">  </w:t>
      </w:r>
      <w:r>
        <w:rPr>
          <w:rFonts w:hint="eastAsia" w:ascii="宋体" w:hAnsi="宋体"/>
          <w:color w:val="auto"/>
          <w:szCs w:val="21"/>
          <w:highlight w:val="none"/>
          <w:u w:val="single"/>
        </w:rPr>
        <w:t>7</w:t>
      </w:r>
      <w:r>
        <w:rPr>
          <w:rFonts w:hint="eastAsia"/>
          <w:color w:val="auto"/>
          <w:szCs w:val="21"/>
          <w:highlight w:val="none"/>
          <w:u w:val="single"/>
          <w:lang w:val="en-US" w:eastAsia="zh-CN"/>
        </w:rPr>
        <w:t xml:space="preserve">  </w:t>
      </w:r>
      <w:r>
        <w:rPr>
          <w:rFonts w:hint="eastAsia" w:ascii="宋体" w:hAnsi="宋体"/>
          <w:color w:val="auto"/>
          <w:szCs w:val="21"/>
          <w:highlight w:val="none"/>
        </w:rPr>
        <w:t>天内给予批复。</w:t>
      </w:r>
    </w:p>
    <w:p>
      <w:pPr>
        <w:pStyle w:val="49"/>
        <w:rPr>
          <w:rFonts w:ascii="黑体" w:hAnsi="宋体" w:cs="Arial"/>
          <w:color w:val="auto"/>
          <w:highlight w:val="none"/>
        </w:rPr>
      </w:pPr>
      <w:bookmarkStart w:id="215" w:name="_Toc152045676"/>
      <w:bookmarkStart w:id="216" w:name="_Toc144974644"/>
      <w:bookmarkStart w:id="217" w:name="_Toc342296454"/>
      <w:bookmarkStart w:id="218" w:name="_Toc152042454"/>
      <w:bookmarkStart w:id="219" w:name="_Toc241459695"/>
      <w:bookmarkStart w:id="220" w:name="_Toc179632694"/>
      <w:r>
        <w:rPr>
          <w:rFonts w:hint="eastAsia" w:ascii="黑体" w:hAnsi="宋体" w:cs="Arial"/>
          <w:color w:val="auto"/>
          <w:highlight w:val="none"/>
        </w:rPr>
        <w:t>9.3 治安保卫</w:t>
      </w:r>
      <w:bookmarkEnd w:id="215"/>
      <w:bookmarkEnd w:id="216"/>
      <w:bookmarkEnd w:id="217"/>
      <w:bookmarkEnd w:id="218"/>
      <w:bookmarkEnd w:id="219"/>
      <w:bookmarkEnd w:id="220"/>
    </w:p>
    <w:p>
      <w:pPr>
        <w:pStyle w:val="16"/>
        <w:spacing w:after="0" w:line="400" w:lineRule="exact"/>
        <w:rPr>
          <w:rFonts w:hint="default" w:ascii="宋体" w:hAnsi="宋体" w:eastAsia="宋体"/>
          <w:color w:val="auto"/>
          <w:szCs w:val="21"/>
          <w:highlight w:val="none"/>
          <w:u w:val="single"/>
          <w:lang w:val="en-US" w:eastAsia="zh-CN"/>
        </w:rPr>
      </w:pPr>
      <w:bookmarkStart w:id="221" w:name="_Toc179632695"/>
      <w:bookmarkStart w:id="222" w:name="_Toc144974645"/>
      <w:bookmarkStart w:id="223" w:name="_Toc152045677"/>
      <w:bookmarkStart w:id="224" w:name="_Toc152042455"/>
      <w:r>
        <w:rPr>
          <w:rFonts w:hint="eastAsia" w:ascii="宋体" w:hAnsi="宋体"/>
          <w:color w:val="auto"/>
          <w:szCs w:val="21"/>
          <w:highlight w:val="none"/>
        </w:rPr>
        <w:t>9.3.3制定施工场地治安管理计划和突发治安事件紧急预案的责任人：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承包人</w:t>
      </w:r>
      <w:r>
        <w:rPr>
          <w:rFonts w:hint="eastAsia" w:ascii="宋体" w:hAnsi="宋体"/>
          <w:color w:val="auto"/>
          <w:szCs w:val="21"/>
          <w:highlight w:val="none"/>
          <w:u w:val="single"/>
          <w:lang w:val="en-US" w:eastAsia="zh-CN"/>
        </w:rPr>
        <w:t xml:space="preserve">  </w:t>
      </w:r>
    </w:p>
    <w:bookmarkEnd w:id="221"/>
    <w:bookmarkEnd w:id="222"/>
    <w:bookmarkEnd w:id="223"/>
    <w:bookmarkEnd w:id="224"/>
    <w:p>
      <w:pPr>
        <w:pStyle w:val="49"/>
        <w:rPr>
          <w:rFonts w:ascii="黑体" w:hAnsi="宋体" w:cs="Arial"/>
          <w:color w:val="auto"/>
          <w:highlight w:val="none"/>
        </w:rPr>
      </w:pPr>
      <w:bookmarkStart w:id="225" w:name="_Toc342296455"/>
      <w:bookmarkStart w:id="226" w:name="_Toc241459696"/>
      <w:bookmarkStart w:id="227" w:name="_Toc152042457"/>
      <w:bookmarkStart w:id="228" w:name="_Toc179632697"/>
      <w:bookmarkStart w:id="229" w:name="_Toc144974647"/>
      <w:bookmarkStart w:id="230" w:name="_Toc152045679"/>
      <w:r>
        <w:rPr>
          <w:rFonts w:hint="eastAsia" w:ascii="黑体" w:hAnsi="宋体" w:cs="Arial"/>
          <w:color w:val="auto"/>
          <w:highlight w:val="none"/>
        </w:rPr>
        <w:t>9.4 环境保护</w:t>
      </w:r>
      <w:bookmarkEnd w:id="225"/>
      <w:bookmarkEnd w:id="226"/>
    </w:p>
    <w:p>
      <w:pPr>
        <w:pStyle w:val="48"/>
        <w:ind w:firstLine="420" w:firstLineChars="200"/>
        <w:rPr>
          <w:rFonts w:hint="eastAsia" w:ascii="宋体" w:hAnsi="宋体" w:eastAsia="宋体" w:cs="Times New Roman"/>
          <w:color w:val="auto"/>
          <w:sz w:val="21"/>
          <w:szCs w:val="21"/>
          <w:highlight w:val="none"/>
          <w:u w:val="single"/>
          <w:lang w:val="en-US" w:eastAsia="zh-CN"/>
        </w:rPr>
      </w:pPr>
      <w:bookmarkStart w:id="231" w:name="_Toc342296456"/>
      <w:bookmarkStart w:id="232" w:name="_Toc241459697"/>
      <w:r>
        <w:rPr>
          <w:rFonts w:hint="eastAsia" w:ascii="宋体" w:hAnsi="宋体" w:eastAsia="宋体" w:cs="Times New Roman"/>
          <w:color w:val="auto"/>
          <w:sz w:val="21"/>
          <w:szCs w:val="21"/>
          <w:highlight w:val="none"/>
        </w:rPr>
        <w:t>9.4.3 施工环保措施计划报送监理人审批的时间：</w:t>
      </w:r>
      <w:r>
        <w:rPr>
          <w:rFonts w:hint="eastAsia" w:ascii="宋体" w:hAnsi="宋体" w:eastAsia="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u w:val="single"/>
        </w:rPr>
        <w:t xml:space="preserve">施工单位进场后 </w:t>
      </w:r>
      <w:r>
        <w:rPr>
          <w:rFonts w:hint="eastAsia" w:ascii="宋体" w:hAnsi="宋体" w:eastAsia="宋体" w:cs="Times New Roman"/>
          <w:color w:val="auto"/>
          <w:sz w:val="21"/>
          <w:szCs w:val="21"/>
          <w:highlight w:val="none"/>
          <w:u w:val="single"/>
          <w:lang w:val="en-US" w:eastAsia="zh-CN"/>
        </w:rPr>
        <w:t xml:space="preserve"> </w:t>
      </w:r>
    </w:p>
    <w:p>
      <w:pPr>
        <w:pStyle w:val="48"/>
        <w:spacing w:before="0"/>
        <w:ind w:firstLine="420" w:firstLineChars="2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监理人收到承包人报送的施工环保措施计划后应当在</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u w:val="single"/>
        </w:rPr>
        <w:t>7</w:t>
      </w:r>
      <w:r>
        <w:rPr>
          <w:rFonts w:hint="eastAsia" w:ascii="宋体" w:hAnsi="宋体" w:eastAsia="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天内给予批复。</w:t>
      </w:r>
    </w:p>
    <w:p>
      <w:pPr>
        <w:pStyle w:val="49"/>
        <w:rPr>
          <w:rFonts w:hint="eastAsia" w:ascii="黑体" w:hAnsi="宋体" w:cs="Arial"/>
          <w:color w:val="auto"/>
          <w:highlight w:val="none"/>
        </w:rPr>
      </w:pPr>
      <w:r>
        <w:rPr>
          <w:rFonts w:hint="eastAsia" w:ascii="黑体" w:hAnsi="宋体" w:cs="Arial"/>
          <w:color w:val="auto"/>
          <w:highlight w:val="none"/>
          <w:lang w:val="en-US" w:eastAsia="zh-CN"/>
        </w:rPr>
        <w:t>9.6</w:t>
      </w:r>
      <w:r>
        <w:rPr>
          <w:rFonts w:hint="eastAsia" w:ascii="黑体" w:hAnsi="宋体" w:cs="Arial"/>
          <w:color w:val="auto"/>
          <w:highlight w:val="none"/>
        </w:rPr>
        <w:t>施工现场安全生产标准化管理目标</w:t>
      </w:r>
    </w:p>
    <w:p>
      <w:pPr>
        <w:pStyle w:val="50"/>
        <w:numPr>
          <w:ilvl w:val="0"/>
          <w:numId w:val="0"/>
        </w:numPr>
        <w:spacing w:after="160" w:line="394" w:lineRule="exact"/>
        <w:ind w:left="440" w:leftChars="200" w:firstLine="0" w:firstLineChars="0"/>
        <w:jc w:val="both"/>
        <w:rPr>
          <w:rFonts w:hint="eastAsia"/>
          <w:color w:val="auto"/>
          <w:sz w:val="21"/>
          <w:szCs w:val="21"/>
          <w:highlight w:val="none"/>
          <w:u w:val="single"/>
        </w:rPr>
      </w:pPr>
      <w:r>
        <w:rPr>
          <w:rFonts w:hint="eastAsia" w:ascii="宋体" w:hAnsi="宋体" w:eastAsia="宋体" w:cs="Times New Roman"/>
          <w:b w:val="0"/>
          <w:bCs w:val="0"/>
          <w:color w:val="auto"/>
          <w:kern w:val="2"/>
          <w:sz w:val="21"/>
          <w:szCs w:val="21"/>
          <w:highlight w:val="none"/>
          <w:lang w:val="en-US" w:eastAsia="zh-CN" w:bidi="ar-SA"/>
        </w:rPr>
        <w:t>9.6.1</w:t>
      </w:r>
      <w:r>
        <w:rPr>
          <w:rFonts w:hint="eastAsia" w:cs="Times New Roman"/>
          <w:b w:val="0"/>
          <w:bCs w:val="0"/>
          <w:color w:val="auto"/>
          <w:kern w:val="2"/>
          <w:sz w:val="21"/>
          <w:szCs w:val="21"/>
          <w:highlight w:val="none"/>
          <w:lang w:val="en-US" w:eastAsia="zh-CN" w:bidi="ar-SA"/>
        </w:rPr>
        <w:t xml:space="preserve"> </w:t>
      </w:r>
      <w:r>
        <w:rPr>
          <w:color w:val="auto"/>
          <w:sz w:val="21"/>
          <w:szCs w:val="21"/>
          <w:highlight w:val="none"/>
        </w:rPr>
        <w:t>未达到合同协议书中约定的安全生产标准化管理目标等级的违约金或损失赔偿金的金额或者计算方法：</w:t>
      </w:r>
      <w:r>
        <w:rPr>
          <w:rFonts w:hint="eastAsia"/>
          <w:color w:val="auto"/>
          <w:sz w:val="21"/>
          <w:szCs w:val="21"/>
          <w:highlight w:val="none"/>
          <w:u w:val="single"/>
        </w:rPr>
        <w:t>不宜低于实际考核评定、认定的目标等级和合同约定的目标等级之间实际投入费用的差额。</w:t>
      </w:r>
    </w:p>
    <w:p>
      <w:pPr>
        <w:pStyle w:val="50"/>
        <w:numPr>
          <w:ilvl w:val="0"/>
          <w:numId w:val="0"/>
        </w:numPr>
        <w:spacing w:after="160" w:line="394" w:lineRule="exact"/>
        <w:ind w:left="440" w:leftChars="200" w:firstLine="0" w:firstLineChars="0"/>
        <w:jc w:val="both"/>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9. 6.2</w:t>
      </w:r>
      <w:r>
        <w:rPr>
          <w:rFonts w:hint="eastAsia" w:cs="Times New Roman"/>
          <w:b w:val="0"/>
          <w:bCs w:val="0"/>
          <w:color w:val="auto"/>
          <w:kern w:val="2"/>
          <w:sz w:val="21"/>
          <w:szCs w:val="21"/>
          <w:highlight w:val="none"/>
          <w:lang w:val="en-US" w:eastAsia="zh-CN" w:bidi="ar-SA"/>
        </w:rPr>
        <w:t xml:space="preserve"> </w:t>
      </w:r>
      <w:r>
        <w:rPr>
          <w:rFonts w:hint="eastAsia" w:ascii="宋体" w:hAnsi="宋体" w:eastAsia="宋体" w:cs="Times New Roman"/>
          <w:b w:val="0"/>
          <w:bCs w:val="0"/>
          <w:color w:val="auto"/>
          <w:kern w:val="2"/>
          <w:sz w:val="21"/>
          <w:szCs w:val="21"/>
          <w:highlight w:val="none"/>
          <w:lang w:val="en-US" w:eastAsia="zh-CN" w:bidi="ar-SA"/>
        </w:rPr>
        <w:t>发包人</w:t>
      </w:r>
      <w:r>
        <w:rPr>
          <w:rFonts w:hint="eastAsia" w:cs="Times New Roman"/>
          <w:b w:val="0"/>
          <w:bCs w:val="0"/>
          <w:color w:val="auto"/>
          <w:kern w:val="2"/>
          <w:sz w:val="21"/>
          <w:szCs w:val="21"/>
          <w:highlight w:val="none"/>
          <w:u w:val="single"/>
          <w:lang w:val="en-US" w:eastAsia="zh-CN" w:bidi="ar-SA"/>
        </w:rPr>
        <w:t xml:space="preserve">  </w:t>
      </w:r>
      <w:r>
        <w:rPr>
          <w:rFonts w:hint="eastAsia" w:ascii="宋体" w:hAnsi="宋体" w:eastAsia="宋体" w:cs="Times New Roman"/>
          <w:b w:val="0"/>
          <w:bCs w:val="0"/>
          <w:color w:val="auto"/>
          <w:kern w:val="2"/>
          <w:sz w:val="21"/>
          <w:szCs w:val="21"/>
          <w:highlight w:val="none"/>
          <w:u w:val="single"/>
          <w:lang w:val="en-US" w:eastAsia="zh-CN" w:bidi="ar-SA"/>
        </w:rPr>
        <w:t>不给予</w:t>
      </w:r>
      <w:r>
        <w:rPr>
          <w:rFonts w:hint="eastAsia" w:cs="Times New Roman"/>
          <w:b w:val="0"/>
          <w:bCs w:val="0"/>
          <w:color w:val="auto"/>
          <w:kern w:val="2"/>
          <w:sz w:val="21"/>
          <w:szCs w:val="21"/>
          <w:highlight w:val="none"/>
          <w:u w:val="single"/>
          <w:lang w:val="en-US" w:eastAsia="zh-CN" w:bidi="ar-SA"/>
        </w:rPr>
        <w:t xml:space="preserve">  </w:t>
      </w:r>
      <w:r>
        <w:rPr>
          <w:rFonts w:hint="eastAsia" w:ascii="宋体" w:hAnsi="宋体" w:eastAsia="宋体" w:cs="Times New Roman"/>
          <w:b w:val="0"/>
          <w:bCs w:val="0"/>
          <w:color w:val="auto"/>
          <w:kern w:val="2"/>
          <w:sz w:val="21"/>
          <w:szCs w:val="21"/>
          <w:highlight w:val="none"/>
          <w:lang w:val="en-US" w:eastAsia="zh-CN" w:bidi="ar-SA"/>
        </w:rPr>
        <w:t>承包人创优奖励。发包人给予承包人创优奖励的，创优奖励金额或者计算方法：/</w:t>
      </w:r>
    </w:p>
    <w:p>
      <w:pPr>
        <w:pStyle w:val="50"/>
        <w:numPr>
          <w:ilvl w:val="0"/>
          <w:numId w:val="0"/>
        </w:numPr>
        <w:spacing w:after="160" w:line="394" w:lineRule="exact"/>
        <w:jc w:val="both"/>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9.7特殊安全文明施工</w:t>
      </w:r>
    </w:p>
    <w:p>
      <w:pPr>
        <w:pStyle w:val="50"/>
        <w:numPr>
          <w:ilvl w:val="0"/>
          <w:numId w:val="0"/>
        </w:numPr>
        <w:spacing w:after="160" w:line="394" w:lineRule="exact"/>
        <w:ind w:left="440" w:leftChars="200" w:firstLine="0" w:firstLineChars="0"/>
        <w:jc w:val="both"/>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9.7.1未达到合同约定的特殊安全文明施工要求的违约金或损失赔偿金的金额或者计算方法：/</w:t>
      </w:r>
      <w:bookmarkStart w:id="233" w:name="bookmark400"/>
      <w:bookmarkEnd w:id="233"/>
    </w:p>
    <w:p>
      <w:pPr>
        <w:pStyle w:val="50"/>
        <w:numPr>
          <w:ilvl w:val="0"/>
          <w:numId w:val="0"/>
        </w:numPr>
        <w:spacing w:after="160" w:line="394" w:lineRule="exact"/>
        <w:ind w:left="440" w:leftChars="200" w:firstLine="0" w:firstLineChars="0"/>
        <w:jc w:val="both"/>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9.7.2发包人</w:t>
      </w:r>
      <w:r>
        <w:rPr>
          <w:rFonts w:hint="eastAsia" w:cs="Times New Roman"/>
          <w:b w:val="0"/>
          <w:bCs w:val="0"/>
          <w:color w:val="auto"/>
          <w:kern w:val="2"/>
          <w:sz w:val="21"/>
          <w:szCs w:val="21"/>
          <w:highlight w:val="none"/>
          <w:u w:val="single"/>
          <w:lang w:val="en-US" w:eastAsia="zh-CN" w:bidi="ar-SA"/>
        </w:rPr>
        <w:t xml:space="preserve">  </w:t>
      </w:r>
      <w:r>
        <w:rPr>
          <w:rFonts w:hint="eastAsia" w:ascii="宋体" w:hAnsi="宋体" w:eastAsia="宋体" w:cs="Times New Roman"/>
          <w:b w:val="0"/>
          <w:bCs w:val="0"/>
          <w:color w:val="auto"/>
          <w:kern w:val="2"/>
          <w:sz w:val="21"/>
          <w:szCs w:val="21"/>
          <w:highlight w:val="none"/>
          <w:u w:val="single"/>
          <w:lang w:val="en-US" w:eastAsia="zh-CN" w:bidi="ar-SA"/>
        </w:rPr>
        <w:t>不给予</w:t>
      </w:r>
      <w:r>
        <w:rPr>
          <w:rFonts w:hint="eastAsia" w:cs="Times New Roman"/>
          <w:b w:val="0"/>
          <w:bCs w:val="0"/>
          <w:color w:val="auto"/>
          <w:kern w:val="2"/>
          <w:sz w:val="21"/>
          <w:szCs w:val="21"/>
          <w:highlight w:val="none"/>
          <w:u w:val="single"/>
          <w:lang w:val="en-US" w:eastAsia="zh-CN" w:bidi="ar-SA"/>
        </w:rPr>
        <w:t xml:space="preserve">  </w:t>
      </w:r>
      <w:r>
        <w:rPr>
          <w:rFonts w:hint="eastAsia" w:ascii="宋体" w:hAnsi="宋体" w:eastAsia="宋体" w:cs="Times New Roman"/>
          <w:b w:val="0"/>
          <w:bCs w:val="0"/>
          <w:color w:val="auto"/>
          <w:kern w:val="2"/>
          <w:sz w:val="21"/>
          <w:szCs w:val="21"/>
          <w:highlight w:val="none"/>
          <w:lang w:val="en-US" w:eastAsia="zh-CN" w:bidi="ar-SA"/>
        </w:rPr>
        <w:t>承包人创优奖励。发包人给予承包人创优奖励的，创优奖励金额或者计算方法：/</w:t>
      </w:r>
      <w:r>
        <w:rPr>
          <w:rFonts w:hint="eastAsia" w:ascii="宋体" w:hAnsi="宋体" w:eastAsia="宋体" w:cs="Times New Roman"/>
          <w:b w:val="0"/>
          <w:bCs w:val="0"/>
          <w:color w:val="auto"/>
          <w:kern w:val="2"/>
          <w:sz w:val="21"/>
          <w:szCs w:val="21"/>
          <w:highlight w:val="none"/>
          <w:lang w:val="en-US" w:eastAsia="zh-CN" w:bidi="ar-SA"/>
        </w:rPr>
        <w:tab/>
      </w:r>
    </w:p>
    <w:p>
      <w:pPr>
        <w:pStyle w:val="48"/>
        <w:numPr>
          <w:ilvl w:val="0"/>
          <w:numId w:val="9"/>
        </w:numPr>
        <w:spacing w:before="0"/>
        <w:rPr>
          <w:rFonts w:hint="eastAsia"/>
          <w:color w:val="auto"/>
          <w:highlight w:val="none"/>
        </w:rPr>
      </w:pPr>
      <w:r>
        <w:rPr>
          <w:rFonts w:hint="eastAsia"/>
          <w:color w:val="auto"/>
          <w:highlight w:val="none"/>
        </w:rPr>
        <w:t>进度计划</w:t>
      </w:r>
      <w:bookmarkEnd w:id="227"/>
      <w:bookmarkEnd w:id="228"/>
      <w:bookmarkEnd w:id="229"/>
      <w:bookmarkEnd w:id="230"/>
      <w:bookmarkEnd w:id="231"/>
      <w:bookmarkEnd w:id="232"/>
      <w:bookmarkStart w:id="234" w:name="_Toc152045680"/>
      <w:bookmarkStart w:id="235" w:name="_Toc179632698"/>
      <w:bookmarkStart w:id="236" w:name="_Toc241459698"/>
      <w:bookmarkStart w:id="237" w:name="_Toc152042458"/>
      <w:bookmarkStart w:id="238" w:name="_Toc342296457"/>
      <w:bookmarkStart w:id="239" w:name="_Toc144974648"/>
    </w:p>
    <w:p>
      <w:pPr>
        <w:pStyle w:val="49"/>
        <w:rPr>
          <w:rFonts w:hint="eastAsia" w:ascii="黑体" w:hAnsi="宋体" w:cs="Arial"/>
          <w:color w:val="auto"/>
          <w:highlight w:val="none"/>
          <w:lang w:val="en-US" w:eastAsia="zh-CN"/>
        </w:rPr>
      </w:pPr>
      <w:r>
        <w:rPr>
          <w:rFonts w:hint="eastAsia" w:ascii="黑体" w:hAnsi="宋体" w:cs="Arial"/>
          <w:color w:val="auto"/>
          <w:highlight w:val="none"/>
          <w:lang w:val="en-US" w:eastAsia="zh-CN"/>
        </w:rPr>
        <w:t>10.1 合同进度计划</w:t>
      </w:r>
      <w:bookmarkEnd w:id="234"/>
      <w:bookmarkEnd w:id="235"/>
      <w:bookmarkEnd w:id="236"/>
      <w:bookmarkEnd w:id="237"/>
      <w:bookmarkEnd w:id="238"/>
      <w:bookmarkEnd w:id="239"/>
    </w:p>
    <w:p>
      <w:pPr>
        <w:pStyle w:val="51"/>
        <w:pBdr>
          <w:top w:val="none" w:color="auto" w:sz="0" w:space="0"/>
          <w:left w:val="none" w:color="auto" w:sz="0" w:space="0"/>
          <w:bottom w:val="none" w:color="auto" w:sz="0" w:space="0"/>
          <w:right w:val="none" w:color="auto" w:sz="0" w:space="0"/>
          <w:between w:val="none" w:color="auto" w:sz="0" w:space="0"/>
        </w:pBdr>
        <w:tabs>
          <w:tab w:val="left" w:pos="5956"/>
        </w:tabs>
        <w:spacing w:line="374" w:lineRule="exact"/>
        <w:ind w:firstLine="420" w:firstLineChars="200"/>
        <w:rPr>
          <w:color w:val="auto"/>
          <w:highlight w:val="none"/>
          <w:u w:val="single"/>
        </w:rPr>
      </w:pPr>
      <w:r>
        <w:rPr>
          <w:rFonts w:hint="eastAsia"/>
          <w:color w:val="auto"/>
          <w:sz w:val="21"/>
          <w:szCs w:val="21"/>
          <w:highlight w:val="none"/>
          <w:lang w:val="en-US"/>
        </w:rPr>
        <w:t>10.1.1 承包人编制施工进度计划和施工方案说明的内容：</w:t>
      </w:r>
    </w:p>
    <w:p>
      <w:pPr>
        <w:pStyle w:val="51"/>
        <w:pBdr>
          <w:top w:val="none" w:color="auto" w:sz="0" w:space="0"/>
          <w:left w:val="none" w:color="auto" w:sz="0" w:space="0"/>
          <w:bottom w:val="none" w:color="auto" w:sz="0" w:space="0"/>
          <w:right w:val="none" w:color="auto" w:sz="0" w:space="0"/>
          <w:between w:val="none" w:color="auto" w:sz="0" w:space="0"/>
        </w:pBdr>
        <w:tabs>
          <w:tab w:val="left" w:pos="5956"/>
        </w:tabs>
        <w:spacing w:line="374" w:lineRule="exact"/>
        <w:ind w:firstLine="400" w:firstLineChars="200"/>
        <w:rPr>
          <w:rFonts w:hint="default" w:eastAsia="宋体"/>
          <w:color w:val="auto"/>
          <w:highlight w:val="none"/>
          <w:u w:val="single"/>
          <w:lang w:val="en-US" w:eastAsia="zh-CN"/>
        </w:rPr>
      </w:pPr>
      <w:r>
        <w:rPr>
          <w:color w:val="auto"/>
          <w:highlight w:val="none"/>
          <w:u w:val="single"/>
        </w:rPr>
        <w:t>施工进度计划包括总进度计划、分阶段和分项目进度计划、设备材料人员进场计划、 分包商进场计划；施工方案说明包括分部、分项工程或工程部位的名称及施工顺序和方法等。</w:t>
      </w:r>
    </w:p>
    <w:p>
      <w:pPr>
        <w:pStyle w:val="51"/>
        <w:pBdr>
          <w:top w:val="none" w:color="auto" w:sz="0" w:space="0"/>
          <w:left w:val="none" w:color="auto" w:sz="0" w:space="0"/>
          <w:bottom w:val="none" w:color="auto" w:sz="0" w:space="0"/>
          <w:right w:val="none" w:color="auto" w:sz="0" w:space="0"/>
          <w:between w:val="none" w:color="auto" w:sz="0" w:space="0"/>
        </w:pBdr>
        <w:tabs>
          <w:tab w:val="left" w:pos="5956"/>
        </w:tabs>
        <w:spacing w:line="374" w:lineRule="exact"/>
        <w:ind w:firstLine="400" w:firstLineChars="200"/>
        <w:rPr>
          <w:color w:val="auto"/>
          <w:highlight w:val="none"/>
          <w:u w:val="single"/>
        </w:rPr>
      </w:pPr>
      <w:r>
        <w:rPr>
          <w:color w:val="auto"/>
          <w:highlight w:val="none"/>
          <w:u w:val="single"/>
        </w:rPr>
        <w:t>施工进度计划中还应载明要求发包人组织设计人进行阶段性工程设计交底的时间。</w:t>
      </w:r>
    </w:p>
    <w:p>
      <w:pPr>
        <w:pStyle w:val="49"/>
        <w:ind w:firstLine="420" w:firstLineChars="200"/>
        <w:rPr>
          <w:rFonts w:hint="eastAsia" w:ascii="宋体" w:hAnsi="宋体" w:eastAsia="宋体" w:cs="宋体"/>
          <w:color w:val="auto"/>
          <w:kern w:val="0"/>
          <w:sz w:val="20"/>
          <w:highlight w:val="none"/>
          <w:u w:val="single"/>
          <w:lang w:val="zh-TW" w:eastAsia="zh-CN" w:bidi="zh-TW"/>
        </w:rPr>
      </w:pPr>
      <w:r>
        <w:rPr>
          <w:rFonts w:hint="eastAsia" w:ascii="宋体" w:hAnsi="宋体" w:eastAsia="宋体"/>
          <w:color w:val="auto"/>
          <w:sz w:val="21"/>
          <w:szCs w:val="21"/>
          <w:highlight w:val="none"/>
          <w:lang w:val="en-US"/>
        </w:rPr>
        <w:t>10.1.2 承包人编制分阶段或分项施工进度计划和施工方案说明的内容及时限要求：</w:t>
      </w:r>
      <w:r>
        <w:rPr>
          <w:rFonts w:hint="eastAsia" w:ascii="宋体" w:hAnsi="宋体" w:eastAsia="宋体" w:cs="宋体"/>
          <w:color w:val="auto"/>
          <w:kern w:val="0"/>
          <w:sz w:val="20"/>
          <w:highlight w:val="none"/>
          <w:u w:val="single"/>
          <w:lang w:val="zh-TW" w:eastAsia="zh-TW" w:bidi="zh-TW"/>
        </w:rPr>
        <w:t>进场前上报施工方案和施工进度计划</w:t>
      </w:r>
      <w:r>
        <w:rPr>
          <w:rFonts w:hint="eastAsia" w:ascii="宋体" w:hAnsi="宋体" w:eastAsia="宋体" w:cs="宋体"/>
          <w:color w:val="auto"/>
          <w:kern w:val="0"/>
          <w:sz w:val="20"/>
          <w:highlight w:val="none"/>
          <w:u w:val="single"/>
          <w:lang w:val="zh-TW" w:eastAsia="zh-CN" w:bidi="zh-TW"/>
        </w:rPr>
        <w:t>。</w:t>
      </w:r>
    </w:p>
    <w:p>
      <w:pPr>
        <w:pStyle w:val="49"/>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10.1.3 群体工程中有关编制进度计划和施工方案说明的要求：</w:t>
      </w:r>
      <w:r>
        <w:rPr>
          <w:rFonts w:hint="eastAsia" w:ascii="宋体" w:hAnsi="宋体" w:eastAsia="宋体"/>
          <w:color w:val="auto"/>
          <w:sz w:val="21"/>
          <w:szCs w:val="21"/>
          <w:highlight w:val="none"/>
          <w:u w:val="single"/>
          <w:lang w:val="en-US"/>
        </w:rPr>
        <w:t>/</w:t>
      </w:r>
      <w:bookmarkStart w:id="240" w:name="_Toc179632699"/>
      <w:bookmarkStart w:id="241" w:name="_Toc241459699"/>
      <w:bookmarkStart w:id="242" w:name="_Toc152042459"/>
      <w:bookmarkStart w:id="243" w:name="_Toc342296458"/>
      <w:bookmarkStart w:id="244" w:name="_Toc144974649"/>
      <w:bookmarkStart w:id="245" w:name="_Toc152045681"/>
    </w:p>
    <w:p>
      <w:pPr>
        <w:pStyle w:val="49"/>
        <w:rPr>
          <w:rFonts w:ascii="黑体" w:hAnsi="宋体" w:cs="Arial"/>
          <w:color w:val="auto"/>
          <w:highlight w:val="none"/>
        </w:rPr>
      </w:pPr>
      <w:r>
        <w:rPr>
          <w:rFonts w:hint="eastAsia" w:ascii="黑体" w:hAnsi="宋体" w:cs="Arial"/>
          <w:color w:val="auto"/>
          <w:highlight w:val="none"/>
        </w:rPr>
        <w:t>10.2 合同进度计划的修订</w:t>
      </w:r>
      <w:bookmarkEnd w:id="240"/>
      <w:bookmarkEnd w:id="241"/>
      <w:bookmarkEnd w:id="242"/>
      <w:bookmarkEnd w:id="243"/>
      <w:bookmarkEnd w:id="244"/>
      <w:bookmarkEnd w:id="245"/>
    </w:p>
    <w:p>
      <w:pPr>
        <w:pStyle w:val="49"/>
        <w:ind w:firstLine="420" w:firstLineChars="200"/>
        <w:rPr>
          <w:rFonts w:ascii="宋体" w:hAnsi="宋体" w:eastAsia="宋体"/>
          <w:color w:val="auto"/>
          <w:sz w:val="21"/>
          <w:szCs w:val="21"/>
          <w:highlight w:val="none"/>
          <w:u w:val="single"/>
          <w:lang w:val="en-US"/>
        </w:rPr>
      </w:pPr>
      <w:r>
        <w:rPr>
          <w:rFonts w:hint="eastAsia" w:ascii="宋体" w:hAnsi="宋体" w:eastAsia="宋体"/>
          <w:color w:val="auto"/>
          <w:sz w:val="21"/>
          <w:szCs w:val="21"/>
          <w:highlight w:val="none"/>
          <w:lang w:val="en-US"/>
        </w:rPr>
        <w:t>10.2.1 承包人报送修订合同进度计划申请报告和相关资料的期限：</w:t>
      </w:r>
      <w:r>
        <w:rPr>
          <w:rFonts w:ascii="宋体" w:hAnsi="宋体" w:eastAsia="宋体" w:cs="宋体"/>
          <w:color w:val="auto"/>
          <w:kern w:val="0"/>
          <w:sz w:val="20"/>
          <w:highlight w:val="none"/>
          <w:u w:val="single"/>
          <w:lang w:val="zh-TW" w:eastAsia="zh-TW" w:bidi="zh-TW"/>
        </w:rPr>
        <w:t>签订合同后7日内。</w:t>
      </w:r>
    </w:p>
    <w:p>
      <w:pPr>
        <w:pStyle w:val="51"/>
        <w:spacing w:after="140" w:line="377" w:lineRule="exact"/>
        <w:ind w:firstLine="460"/>
        <w:rPr>
          <w:color w:val="auto"/>
          <w:highlight w:val="none"/>
          <w:lang w:eastAsia="zh-CN"/>
        </w:rPr>
      </w:pPr>
      <w:r>
        <w:rPr>
          <w:rFonts w:hint="eastAsia"/>
          <w:color w:val="auto"/>
          <w:sz w:val="21"/>
          <w:szCs w:val="21"/>
          <w:highlight w:val="none"/>
          <w:lang w:val="en-US"/>
        </w:rPr>
        <w:t>监理人批复修订合同进度计划申请报告的期限：</w:t>
      </w:r>
      <w:r>
        <w:rPr>
          <w:rFonts w:hint="eastAsia"/>
          <w:color w:val="auto"/>
          <w:highlight w:val="none"/>
          <w:u w:val="single"/>
        </w:rPr>
        <w:t>收到申请报告后</w:t>
      </w:r>
      <w:r>
        <w:rPr>
          <w:rFonts w:ascii="Times New Roman" w:hAnsi="Times New Roman" w:eastAsia="Times New Roman" w:cs="Times New Roman"/>
          <w:color w:val="auto"/>
          <w:sz w:val="22"/>
          <w:szCs w:val="22"/>
          <w:highlight w:val="none"/>
          <w:u w:val="single"/>
        </w:rPr>
        <w:t>7</w:t>
      </w:r>
      <w:r>
        <w:rPr>
          <w:rFonts w:hint="eastAsia"/>
          <w:color w:val="auto"/>
          <w:highlight w:val="none"/>
          <w:u w:val="single"/>
        </w:rPr>
        <w:t>日内。</w:t>
      </w:r>
    </w:p>
    <w:p>
      <w:pPr>
        <w:pStyle w:val="49"/>
        <w:ind w:firstLine="420" w:firstLineChars="200"/>
        <w:rPr>
          <w:rFonts w:ascii="宋体" w:hAnsi="宋体" w:eastAsia="宋体" w:cs="宋体"/>
          <w:color w:val="auto"/>
          <w:kern w:val="0"/>
          <w:sz w:val="20"/>
          <w:highlight w:val="none"/>
          <w:u w:val="single"/>
          <w:lang w:val="zh-TW" w:eastAsia="zh-TW" w:bidi="zh-TW"/>
        </w:rPr>
      </w:pPr>
      <w:r>
        <w:rPr>
          <w:rFonts w:hint="eastAsia" w:ascii="宋体" w:hAnsi="宋体" w:eastAsia="宋体"/>
          <w:color w:val="auto"/>
          <w:sz w:val="21"/>
          <w:szCs w:val="21"/>
          <w:highlight w:val="none"/>
          <w:lang w:val="en-US"/>
        </w:rPr>
        <w:t>10.2.2 监理人批复修订合同进度计划的期限：</w:t>
      </w:r>
      <w:r>
        <w:rPr>
          <w:rFonts w:ascii="宋体" w:hAnsi="宋体" w:eastAsia="宋体" w:cs="宋体"/>
          <w:color w:val="auto"/>
          <w:kern w:val="0"/>
          <w:sz w:val="20"/>
          <w:highlight w:val="none"/>
          <w:u w:val="single"/>
          <w:lang w:val="zh-TW" w:eastAsia="zh-TW" w:bidi="zh-TW"/>
        </w:rPr>
        <w:t>收到修订合同进度计划后7日内。</w:t>
      </w:r>
    </w:p>
    <w:p>
      <w:pPr>
        <w:pStyle w:val="48"/>
        <w:spacing w:before="0"/>
        <w:rPr>
          <w:color w:val="auto"/>
          <w:highlight w:val="none"/>
        </w:rPr>
      </w:pPr>
      <w:bookmarkStart w:id="246" w:name="_Toc241459700"/>
      <w:bookmarkStart w:id="247" w:name="_Toc152042460"/>
      <w:bookmarkStart w:id="248" w:name="_Toc152045682"/>
      <w:bookmarkStart w:id="249" w:name="_Toc179632700"/>
      <w:bookmarkStart w:id="250" w:name="_Toc144974650"/>
      <w:bookmarkStart w:id="251" w:name="_Toc342296459"/>
      <w:r>
        <w:rPr>
          <w:rFonts w:hint="eastAsia"/>
          <w:color w:val="auto"/>
          <w:highlight w:val="none"/>
        </w:rPr>
        <w:t>11. 开工和竣工</w:t>
      </w:r>
      <w:bookmarkEnd w:id="246"/>
      <w:bookmarkEnd w:id="247"/>
      <w:bookmarkEnd w:id="248"/>
      <w:bookmarkEnd w:id="249"/>
      <w:bookmarkEnd w:id="250"/>
      <w:bookmarkEnd w:id="251"/>
    </w:p>
    <w:p>
      <w:pPr>
        <w:pStyle w:val="49"/>
        <w:rPr>
          <w:rFonts w:ascii="黑体" w:hAnsi="宋体" w:cs="Arial"/>
          <w:color w:val="auto"/>
          <w:highlight w:val="none"/>
        </w:rPr>
      </w:pPr>
      <w:bookmarkStart w:id="252" w:name="_Toc152045685"/>
      <w:bookmarkStart w:id="253" w:name="_Toc152042463"/>
      <w:bookmarkStart w:id="254" w:name="_Toc241459701"/>
      <w:bookmarkStart w:id="255" w:name="_Toc342296460"/>
      <w:bookmarkStart w:id="256" w:name="_Toc144974653"/>
      <w:bookmarkStart w:id="257" w:name="_Toc179632703"/>
      <w:r>
        <w:rPr>
          <w:rFonts w:hint="eastAsia" w:ascii="黑体" w:hAnsi="宋体" w:cs="Arial"/>
          <w:color w:val="auto"/>
          <w:highlight w:val="none"/>
        </w:rPr>
        <w:t>11.3 发包人的工期延误</w:t>
      </w:r>
      <w:bookmarkEnd w:id="252"/>
      <w:bookmarkEnd w:id="253"/>
      <w:bookmarkEnd w:id="254"/>
      <w:bookmarkEnd w:id="255"/>
      <w:bookmarkEnd w:id="256"/>
      <w:bookmarkEnd w:id="257"/>
    </w:p>
    <w:p>
      <w:pPr>
        <w:pStyle w:val="16"/>
        <w:spacing w:line="400" w:lineRule="exact"/>
        <w:rPr>
          <w:rFonts w:ascii="宋体" w:hAnsi="宋体"/>
          <w:color w:val="auto"/>
          <w:szCs w:val="21"/>
          <w:highlight w:val="none"/>
          <w:u w:val="single"/>
        </w:rPr>
      </w:pPr>
      <w:r>
        <w:rPr>
          <w:rFonts w:hint="eastAsia" w:ascii="宋体" w:hAnsi="宋体"/>
          <w:color w:val="auto"/>
          <w:szCs w:val="21"/>
          <w:highlight w:val="none"/>
        </w:rPr>
        <w:t>(8)发包人造成工期延误的其他原因：</w:t>
      </w:r>
      <w:r>
        <w:rPr>
          <w:rFonts w:ascii="宋体" w:hAnsi="宋体"/>
          <w:color w:val="auto"/>
          <w:szCs w:val="21"/>
          <w:highlight w:val="none"/>
          <w:u w:val="single"/>
        </w:rPr>
        <w:t>/</w:t>
      </w:r>
    </w:p>
    <w:p>
      <w:pPr>
        <w:pStyle w:val="49"/>
        <w:rPr>
          <w:rFonts w:ascii="黑体" w:hAnsi="宋体" w:cs="Arial"/>
          <w:color w:val="auto"/>
          <w:highlight w:val="none"/>
        </w:rPr>
      </w:pPr>
      <w:bookmarkStart w:id="258" w:name="_Toc342296461"/>
      <w:bookmarkStart w:id="259" w:name="_Toc241459702"/>
      <w:bookmarkStart w:id="260" w:name="_Toc179632704"/>
      <w:bookmarkStart w:id="261" w:name="_Toc144974654"/>
      <w:bookmarkStart w:id="262" w:name="_Toc152042464"/>
      <w:bookmarkStart w:id="263" w:name="_Toc152045686"/>
      <w:r>
        <w:rPr>
          <w:rFonts w:hint="eastAsia" w:ascii="黑体" w:hAnsi="宋体" w:cs="Arial"/>
          <w:color w:val="auto"/>
          <w:highlight w:val="none"/>
        </w:rPr>
        <w:t>11.4 异常恶劣的气候条件</w:t>
      </w:r>
      <w:bookmarkEnd w:id="258"/>
      <w:bookmarkEnd w:id="259"/>
      <w:bookmarkEnd w:id="260"/>
      <w:bookmarkEnd w:id="261"/>
      <w:bookmarkEnd w:id="262"/>
      <w:bookmarkEnd w:id="263"/>
    </w:p>
    <w:p>
      <w:pPr>
        <w:pStyle w:val="16"/>
        <w:spacing w:after="0" w:line="400" w:lineRule="exact"/>
        <w:ind w:left="0" w:leftChars="0"/>
        <w:rPr>
          <w:rFonts w:ascii="宋体" w:hAnsi="宋体"/>
          <w:color w:val="auto"/>
          <w:szCs w:val="21"/>
          <w:highlight w:val="none"/>
          <w:u w:val="single"/>
        </w:rPr>
      </w:pPr>
      <w:bookmarkStart w:id="264" w:name="_Toc144974655"/>
      <w:bookmarkStart w:id="265" w:name="_Toc179632705"/>
      <w:bookmarkStart w:id="266" w:name="_Toc152042465"/>
      <w:bookmarkStart w:id="267" w:name="_Toc152045687"/>
      <w:r>
        <w:rPr>
          <w:rFonts w:hint="eastAsia" w:ascii="宋体" w:hAnsi="宋体"/>
          <w:color w:val="auto"/>
          <w:szCs w:val="21"/>
          <w:highlight w:val="none"/>
        </w:rPr>
        <w:t>异常恶劣的气候条件的范围和标准：</w:t>
      </w:r>
    </w:p>
    <w:p>
      <w:pPr>
        <w:pStyle w:val="16"/>
        <w:spacing w:after="0" w:line="400" w:lineRule="exact"/>
        <w:ind w:left="0" w:leftChars="0"/>
        <w:rPr>
          <w:color w:val="auto"/>
          <w:highlight w:val="none"/>
          <w:u w:val="single"/>
        </w:rPr>
      </w:pPr>
      <w:r>
        <w:rPr>
          <w:rFonts w:eastAsia="Times New Roman"/>
          <w:color w:val="auto"/>
          <w:sz w:val="22"/>
          <w:szCs w:val="22"/>
          <w:highlight w:val="none"/>
          <w:u w:val="single"/>
        </w:rPr>
        <w:t>20</w:t>
      </w:r>
      <w:r>
        <w:rPr>
          <w:color w:val="auto"/>
          <w:highlight w:val="none"/>
          <w:u w:val="single"/>
        </w:rPr>
        <w:t>年一遇的最大降水（雪）量，最高（低）温度等，以当地气象部门发布的标准为准。''异常恶劣的气候条件指以月计的某个时期的恶劣气候比当地气象部门多年的统计资料，比</w:t>
      </w:r>
      <w:r>
        <w:rPr>
          <w:rFonts w:eastAsia="Times New Roman"/>
          <w:color w:val="auto"/>
          <w:sz w:val="22"/>
          <w:szCs w:val="22"/>
          <w:highlight w:val="none"/>
          <w:u w:val="single"/>
        </w:rPr>
        <w:t>20</w:t>
      </w:r>
      <w:r>
        <w:rPr>
          <w:color w:val="auto"/>
          <w:highlight w:val="none"/>
          <w:u w:val="single"/>
        </w:rPr>
        <w:t>年一遇频率计算的平均气候还要恶劣而引起的工程延误，由监理工程师根据承包人提交的证明予以认定。但在进行上述评定时，还将考虑按同等标准以同期或其它异常良好的气候予以抵补，异常气候在每个月对工程进度影响的评定，应在整个合同内予以累计。</w:t>
      </w:r>
    </w:p>
    <w:p>
      <w:pPr>
        <w:pStyle w:val="49"/>
        <w:rPr>
          <w:rFonts w:ascii="黑体" w:hAnsi="宋体" w:cs="Arial"/>
          <w:color w:val="auto"/>
          <w:highlight w:val="none"/>
        </w:rPr>
      </w:pPr>
      <w:bookmarkStart w:id="268" w:name="_Toc241459703"/>
      <w:bookmarkStart w:id="269" w:name="_Toc342296462"/>
      <w:r>
        <w:rPr>
          <w:rFonts w:hint="eastAsia" w:ascii="黑体" w:hAnsi="宋体" w:cs="Arial"/>
          <w:color w:val="auto"/>
          <w:highlight w:val="none"/>
        </w:rPr>
        <w:t>11.5 承包人的工期延误</w:t>
      </w:r>
      <w:bookmarkEnd w:id="264"/>
      <w:bookmarkEnd w:id="265"/>
      <w:bookmarkEnd w:id="266"/>
      <w:bookmarkEnd w:id="267"/>
      <w:bookmarkEnd w:id="268"/>
      <w:bookmarkEnd w:id="269"/>
    </w:p>
    <w:p>
      <w:pPr>
        <w:pStyle w:val="51"/>
        <w:spacing w:line="336" w:lineRule="exact"/>
        <w:jc w:val="both"/>
        <w:rPr>
          <w:rFonts w:eastAsia="等线"/>
          <w:color w:val="auto"/>
          <w:szCs w:val="21"/>
          <w:highlight w:val="none"/>
          <w:lang w:eastAsia="zh-CN"/>
        </w:rPr>
      </w:pPr>
      <w:bookmarkStart w:id="270" w:name="_Toc144974656"/>
      <w:bookmarkStart w:id="271" w:name="_Toc152045688"/>
      <w:bookmarkStart w:id="272" w:name="_Toc152042466"/>
      <w:bookmarkStart w:id="273" w:name="_Toc179632706"/>
      <w:r>
        <w:rPr>
          <w:rFonts w:hint="eastAsia"/>
          <w:color w:val="auto"/>
          <w:szCs w:val="21"/>
          <w:highlight w:val="none"/>
        </w:rPr>
        <w:t>11.5.2 逾期竣工违约金的计算标准和计算方法：</w:t>
      </w:r>
    </w:p>
    <w:p>
      <w:pPr>
        <w:pStyle w:val="51"/>
        <w:spacing w:line="336" w:lineRule="exact"/>
        <w:jc w:val="both"/>
        <w:rPr>
          <w:rFonts w:hint="eastAsia" w:eastAsia="宋体"/>
          <w:color w:val="auto"/>
          <w:highlight w:val="none"/>
          <w:u w:val="single"/>
          <w:lang w:eastAsia="zh-CN"/>
        </w:rPr>
      </w:pPr>
      <w:r>
        <w:rPr>
          <w:rFonts w:hint="eastAsia"/>
          <w:color w:val="auto"/>
          <w:szCs w:val="21"/>
          <w:highlight w:val="none"/>
          <w:u w:val="single"/>
          <w:lang w:val="en-US" w:eastAsia="zh-CN"/>
        </w:rPr>
        <w:t>以实际竣工验收合格之日与签约合同约定竣工之日的差值计算，</w:t>
      </w:r>
      <w:r>
        <w:rPr>
          <w:color w:val="auto"/>
          <w:highlight w:val="none"/>
          <w:u w:val="single"/>
        </w:rPr>
        <w:t>总工期每延误一天，承包人应当向发包人赔偿人民币结算价的</w:t>
      </w:r>
      <w:r>
        <w:rPr>
          <w:rFonts w:hint="eastAsia"/>
          <w:color w:val="auto"/>
          <w:highlight w:val="none"/>
          <w:u w:val="single"/>
          <w:lang w:val="en-US" w:eastAsia="zh-CN"/>
        </w:rPr>
        <w:t>万</w:t>
      </w:r>
      <w:r>
        <w:rPr>
          <w:color w:val="auto"/>
          <w:highlight w:val="none"/>
          <w:u w:val="single"/>
        </w:rPr>
        <w:t>分之</w:t>
      </w:r>
      <w:r>
        <w:rPr>
          <w:rFonts w:hint="eastAsia"/>
          <w:color w:val="auto"/>
          <w:highlight w:val="none"/>
          <w:u w:val="single"/>
          <w:lang w:val="en-US" w:eastAsia="zh-CN"/>
        </w:rPr>
        <w:t>二</w:t>
      </w:r>
      <w:r>
        <w:rPr>
          <w:color w:val="auto"/>
          <w:highlight w:val="none"/>
          <w:u w:val="single"/>
        </w:rPr>
        <w:t>，不足一天按一天计，即：逾期竣工违约金=工程结算总价</w:t>
      </w:r>
      <w:r>
        <w:rPr>
          <w:rFonts w:ascii="Times New Roman" w:hAnsi="Times New Roman" w:eastAsia="Times New Roman" w:cs="Times New Roman"/>
          <w:color w:val="auto"/>
          <w:sz w:val="22"/>
          <w:szCs w:val="22"/>
          <w:highlight w:val="none"/>
          <w:u w:val="single"/>
          <w:lang w:val="en-US" w:eastAsia="zh-CN" w:bidi="en-US"/>
        </w:rPr>
        <w:t>x</w:t>
      </w:r>
      <w:r>
        <w:rPr>
          <w:rFonts w:hint="eastAsia"/>
          <w:color w:val="auto"/>
          <w:highlight w:val="none"/>
          <w:u w:val="single"/>
          <w:lang w:val="en-US" w:eastAsia="zh-CN"/>
        </w:rPr>
        <w:t>万</w:t>
      </w:r>
      <w:r>
        <w:rPr>
          <w:color w:val="auto"/>
          <w:highlight w:val="none"/>
          <w:u w:val="single"/>
        </w:rPr>
        <w:t>分之</w:t>
      </w:r>
      <w:r>
        <w:rPr>
          <w:rFonts w:hint="eastAsia"/>
          <w:color w:val="auto"/>
          <w:highlight w:val="none"/>
          <w:u w:val="single"/>
          <w:lang w:val="en-US" w:eastAsia="zh-CN"/>
        </w:rPr>
        <w:t>二</w:t>
      </w:r>
      <w:r>
        <w:rPr>
          <w:rFonts w:ascii="Times New Roman" w:hAnsi="Times New Roman" w:eastAsia="Times New Roman" w:cs="Times New Roman"/>
          <w:color w:val="auto"/>
          <w:sz w:val="22"/>
          <w:szCs w:val="22"/>
          <w:highlight w:val="none"/>
          <w:u w:val="single"/>
          <w:lang w:val="en-US" w:eastAsia="zh-CN" w:bidi="en-US"/>
        </w:rPr>
        <w:t>x</w:t>
      </w:r>
      <w:r>
        <w:rPr>
          <w:color w:val="auto"/>
          <w:highlight w:val="none"/>
          <w:u w:val="single"/>
        </w:rPr>
        <w:t>工期延误天数</w:t>
      </w:r>
      <w:r>
        <w:rPr>
          <w:rFonts w:hint="eastAsia"/>
          <w:color w:val="auto"/>
          <w:highlight w:val="none"/>
          <w:u w:val="single"/>
          <w:lang w:eastAsia="zh-CN"/>
        </w:rPr>
        <w:t>。</w:t>
      </w:r>
    </w:p>
    <w:p>
      <w:pPr>
        <w:pStyle w:val="51"/>
        <w:spacing w:after="380" w:line="386" w:lineRule="exact"/>
        <w:ind w:firstLine="460"/>
        <w:jc w:val="both"/>
        <w:rPr>
          <w:color w:val="auto"/>
          <w:highlight w:val="none"/>
          <w:lang w:eastAsia="zh-CN"/>
        </w:rPr>
      </w:pPr>
      <w:r>
        <w:rPr>
          <w:rFonts w:hint="eastAsia"/>
          <w:color w:val="auto"/>
          <w:szCs w:val="21"/>
          <w:highlight w:val="none"/>
        </w:rPr>
        <w:t>逾期竣工违约金最高限额：</w:t>
      </w:r>
      <w:r>
        <w:rPr>
          <w:rFonts w:hint="eastAsia"/>
          <w:color w:val="auto"/>
          <w:highlight w:val="none"/>
          <w:u w:val="single"/>
        </w:rPr>
        <w:t>结算价款的</w:t>
      </w:r>
      <w:r>
        <w:rPr>
          <w:rFonts w:ascii="Times New Roman" w:hAnsi="Times New Roman" w:eastAsia="Times New Roman" w:cs="Times New Roman"/>
          <w:color w:val="auto"/>
          <w:sz w:val="22"/>
          <w:szCs w:val="22"/>
          <w:highlight w:val="none"/>
          <w:u w:val="single"/>
        </w:rPr>
        <w:t>3%</w:t>
      </w:r>
    </w:p>
    <w:p>
      <w:pPr>
        <w:pStyle w:val="49"/>
        <w:rPr>
          <w:rFonts w:ascii="黑体" w:hAnsi="宋体" w:cs="Arial"/>
          <w:color w:val="auto"/>
          <w:highlight w:val="none"/>
        </w:rPr>
      </w:pPr>
      <w:bookmarkStart w:id="274" w:name="_Toc342296463"/>
      <w:bookmarkStart w:id="275" w:name="_Toc241459704"/>
      <w:r>
        <w:rPr>
          <w:rFonts w:hint="eastAsia" w:ascii="黑体" w:hAnsi="宋体" w:cs="Arial"/>
          <w:color w:val="auto"/>
          <w:highlight w:val="none"/>
        </w:rPr>
        <w:t>11.6</w:t>
      </w:r>
      <w:bookmarkEnd w:id="270"/>
      <w:bookmarkStart w:id="276" w:name="_Toc144974657"/>
      <w:r>
        <w:rPr>
          <w:rFonts w:hint="eastAsia" w:ascii="黑体" w:hAnsi="宋体" w:cs="Arial"/>
          <w:color w:val="auto"/>
          <w:highlight w:val="none"/>
        </w:rPr>
        <w:t xml:space="preserve"> 工期提前</w:t>
      </w:r>
      <w:bookmarkEnd w:id="271"/>
      <w:bookmarkEnd w:id="272"/>
      <w:bookmarkEnd w:id="273"/>
      <w:bookmarkEnd w:id="274"/>
      <w:bookmarkEnd w:id="275"/>
      <w:bookmarkEnd w:id="276"/>
    </w:p>
    <w:p>
      <w:pPr>
        <w:pStyle w:val="51"/>
        <w:spacing w:after="440" w:line="362" w:lineRule="exact"/>
        <w:ind w:left="360" w:firstLine="120"/>
        <w:jc w:val="both"/>
        <w:rPr>
          <w:color w:val="auto"/>
          <w:szCs w:val="21"/>
          <w:highlight w:val="none"/>
          <w:lang w:eastAsia="zh-CN"/>
        </w:rPr>
      </w:pPr>
      <w:bookmarkStart w:id="277" w:name="_Toc144974658"/>
      <w:bookmarkStart w:id="278" w:name="_Toc179632707"/>
      <w:bookmarkStart w:id="279" w:name="_Toc152042467"/>
      <w:bookmarkStart w:id="280" w:name="_Toc152045689"/>
      <w:r>
        <w:rPr>
          <w:rFonts w:hint="eastAsia"/>
          <w:color w:val="auto"/>
          <w:szCs w:val="21"/>
          <w:highlight w:val="none"/>
        </w:rPr>
        <w:t>提前竣工的奖励办法：</w:t>
      </w:r>
      <w:r>
        <w:rPr>
          <w:rFonts w:hint="eastAsia"/>
          <w:color w:val="auto"/>
          <w:szCs w:val="21"/>
          <w:highlight w:val="none"/>
          <w:u w:val="single"/>
          <w:lang w:val="en-US" w:eastAsia="zh-CN"/>
        </w:rPr>
        <w:t>/</w:t>
      </w:r>
    </w:p>
    <w:p>
      <w:pPr>
        <w:pStyle w:val="48"/>
        <w:spacing w:before="0"/>
        <w:rPr>
          <w:color w:val="auto"/>
          <w:highlight w:val="none"/>
        </w:rPr>
      </w:pPr>
      <w:bookmarkStart w:id="281" w:name="_Toc241484601"/>
      <w:bookmarkStart w:id="282" w:name="_Toc342296464"/>
      <w:bookmarkStart w:id="283" w:name="_Toc241459705"/>
      <w:r>
        <w:rPr>
          <w:rFonts w:hint="eastAsia"/>
          <w:color w:val="auto"/>
          <w:highlight w:val="none"/>
        </w:rPr>
        <w:t>12. 暂停施工</w:t>
      </w:r>
      <w:bookmarkEnd w:id="277"/>
      <w:bookmarkEnd w:id="278"/>
      <w:bookmarkEnd w:id="279"/>
      <w:bookmarkEnd w:id="280"/>
      <w:bookmarkEnd w:id="281"/>
      <w:bookmarkEnd w:id="282"/>
      <w:bookmarkEnd w:id="283"/>
    </w:p>
    <w:p>
      <w:pPr>
        <w:pStyle w:val="49"/>
        <w:rPr>
          <w:rFonts w:ascii="黑体" w:hAnsi="宋体" w:cs="Arial"/>
          <w:color w:val="auto"/>
          <w:highlight w:val="none"/>
        </w:rPr>
      </w:pPr>
      <w:bookmarkStart w:id="284" w:name="_Toc241459706"/>
      <w:bookmarkStart w:id="285" w:name="_Toc144974659"/>
      <w:bookmarkStart w:id="286" w:name="_Toc179632708"/>
      <w:bookmarkStart w:id="287" w:name="_Toc152042468"/>
      <w:bookmarkStart w:id="288" w:name="_Toc152045690"/>
      <w:bookmarkStart w:id="289" w:name="_Toc342296465"/>
      <w:r>
        <w:rPr>
          <w:rFonts w:hint="eastAsia" w:ascii="黑体" w:hAnsi="宋体" w:cs="Arial"/>
          <w:color w:val="auto"/>
          <w:highlight w:val="none"/>
        </w:rPr>
        <w:t>12.1 承包人暂停施工的责任</w:t>
      </w:r>
      <w:bookmarkEnd w:id="284"/>
      <w:bookmarkEnd w:id="285"/>
      <w:bookmarkEnd w:id="286"/>
      <w:bookmarkEnd w:id="287"/>
      <w:bookmarkEnd w:id="288"/>
      <w:bookmarkEnd w:id="289"/>
    </w:p>
    <w:p>
      <w:pPr>
        <w:pStyle w:val="16"/>
        <w:pBdr>
          <w:top w:val="none" w:color="auto" w:sz="0" w:space="0"/>
          <w:left w:val="none" w:color="auto" w:sz="0" w:space="0"/>
          <w:bottom w:val="none" w:color="auto" w:sz="0" w:space="0"/>
          <w:right w:val="none" w:color="auto" w:sz="0" w:space="0"/>
          <w:between w:val="none" w:color="auto" w:sz="0" w:space="0"/>
        </w:pBdr>
        <w:spacing w:line="400" w:lineRule="exact"/>
        <w:ind w:left="0" w:leftChars="0" w:firstLine="480" w:firstLineChars="200"/>
        <w:rPr>
          <w:rFonts w:ascii="宋体" w:hAnsi="宋体"/>
          <w:color w:val="auto"/>
          <w:szCs w:val="21"/>
          <w:highlight w:val="none"/>
        </w:rPr>
      </w:pPr>
      <w:r>
        <w:rPr>
          <w:rFonts w:hint="eastAsia" w:ascii="宋体" w:hAnsi="宋体"/>
          <w:color w:val="auto"/>
          <w:szCs w:val="21"/>
          <w:highlight w:val="none"/>
        </w:rPr>
        <w:t>(4)承包人承担暂停施工责任的其他情形：</w:t>
      </w:r>
    </w:p>
    <w:p>
      <w:pPr>
        <w:pStyle w:val="51"/>
        <w:pBdr>
          <w:top w:val="none" w:color="auto" w:sz="0" w:space="0"/>
          <w:left w:val="none" w:color="auto" w:sz="0" w:space="0"/>
          <w:bottom w:val="none" w:color="auto" w:sz="0" w:space="0"/>
          <w:right w:val="none" w:color="auto" w:sz="0" w:space="0"/>
          <w:between w:val="none" w:color="auto" w:sz="0" w:space="0"/>
        </w:pBdr>
        <w:tabs>
          <w:tab w:val="left" w:pos="814"/>
        </w:tabs>
        <w:spacing w:line="360" w:lineRule="auto"/>
        <w:ind w:left="0" w:leftChars="0" w:firstLine="616" w:firstLineChars="280"/>
        <w:jc w:val="both"/>
        <w:rPr>
          <w:color w:val="auto"/>
          <w:highlight w:val="none"/>
          <w:u w:val="single"/>
        </w:rPr>
      </w:pPr>
      <w:bookmarkStart w:id="290" w:name="bookmark416"/>
      <w:bookmarkStart w:id="291" w:name="_Toc152045695"/>
      <w:bookmarkStart w:id="292" w:name="_Toc342296467"/>
      <w:bookmarkStart w:id="293" w:name="_Toc241459708"/>
      <w:bookmarkStart w:id="294" w:name="_Toc179632713"/>
      <w:bookmarkStart w:id="295" w:name="_Toc144974664"/>
      <w:bookmarkStart w:id="296" w:name="_Toc152042473"/>
      <w:r>
        <w:rPr>
          <w:rFonts w:ascii="Times New Roman" w:hAnsi="Times New Roman" w:eastAsia="Times New Roman" w:cs="Times New Roman"/>
          <w:color w:val="auto"/>
          <w:sz w:val="22"/>
          <w:szCs w:val="22"/>
          <w:highlight w:val="none"/>
          <w:u w:val="single"/>
        </w:rPr>
        <w:t>1</w:t>
      </w:r>
      <w:bookmarkEnd w:id="290"/>
      <w:r>
        <w:rPr>
          <w:rFonts w:ascii="Times New Roman" w:hAnsi="Times New Roman" w:eastAsia="Times New Roman" w:cs="Times New Roman"/>
          <w:color w:val="auto"/>
          <w:sz w:val="22"/>
          <w:szCs w:val="22"/>
          <w:highlight w:val="none"/>
          <w:u w:val="single"/>
        </w:rPr>
        <w:t>）</w:t>
      </w:r>
      <w:r>
        <w:rPr>
          <w:color w:val="auto"/>
          <w:highlight w:val="none"/>
          <w:u w:val="single"/>
        </w:rPr>
        <w:t>质量事故；</w:t>
      </w:r>
    </w:p>
    <w:p>
      <w:pPr>
        <w:pStyle w:val="51"/>
        <w:pBdr>
          <w:top w:val="none" w:color="auto" w:sz="0" w:space="0"/>
          <w:left w:val="none" w:color="auto" w:sz="0" w:space="0"/>
          <w:bottom w:val="none" w:color="auto" w:sz="0" w:space="0"/>
          <w:right w:val="none" w:color="auto" w:sz="0" w:space="0"/>
          <w:between w:val="none" w:color="auto" w:sz="0" w:space="0"/>
        </w:pBdr>
        <w:tabs>
          <w:tab w:val="left" w:pos="814"/>
        </w:tabs>
        <w:spacing w:line="360" w:lineRule="auto"/>
        <w:ind w:left="0" w:leftChars="0" w:firstLine="616" w:firstLineChars="280"/>
        <w:jc w:val="both"/>
        <w:rPr>
          <w:color w:val="auto"/>
          <w:highlight w:val="none"/>
          <w:u w:val="single"/>
        </w:rPr>
      </w:pPr>
      <w:bookmarkStart w:id="297" w:name="bookmark417"/>
      <w:r>
        <w:rPr>
          <w:rFonts w:ascii="Times New Roman" w:hAnsi="Times New Roman" w:eastAsia="Times New Roman" w:cs="Times New Roman"/>
          <w:color w:val="auto"/>
          <w:sz w:val="22"/>
          <w:szCs w:val="22"/>
          <w:highlight w:val="none"/>
          <w:u w:val="single"/>
        </w:rPr>
        <w:t>2</w:t>
      </w:r>
      <w:bookmarkEnd w:id="297"/>
      <w:r>
        <w:rPr>
          <w:rFonts w:ascii="Times New Roman" w:hAnsi="Times New Roman" w:eastAsia="Times New Roman" w:cs="Times New Roman"/>
          <w:color w:val="auto"/>
          <w:sz w:val="22"/>
          <w:szCs w:val="22"/>
          <w:highlight w:val="none"/>
          <w:u w:val="single"/>
        </w:rPr>
        <w:t>）</w:t>
      </w:r>
      <w:r>
        <w:rPr>
          <w:color w:val="auto"/>
          <w:highlight w:val="none"/>
          <w:u w:val="single"/>
        </w:rPr>
        <w:t>安全生产事故；</w:t>
      </w:r>
    </w:p>
    <w:p>
      <w:pPr>
        <w:pStyle w:val="51"/>
        <w:pBdr>
          <w:top w:val="none" w:color="auto" w:sz="0" w:space="0"/>
          <w:left w:val="none" w:color="auto" w:sz="0" w:space="0"/>
          <w:bottom w:val="none" w:color="auto" w:sz="0" w:space="0"/>
          <w:right w:val="none" w:color="auto" w:sz="0" w:space="0"/>
          <w:between w:val="none" w:color="auto" w:sz="0" w:space="0"/>
        </w:pBdr>
        <w:tabs>
          <w:tab w:val="left" w:pos="818"/>
        </w:tabs>
        <w:spacing w:after="140" w:line="386" w:lineRule="exact"/>
        <w:ind w:left="0" w:leftChars="0" w:firstLine="616" w:firstLineChars="280"/>
        <w:jc w:val="both"/>
        <w:rPr>
          <w:color w:val="auto"/>
          <w:highlight w:val="none"/>
          <w:u w:val="single"/>
        </w:rPr>
      </w:pPr>
      <w:bookmarkStart w:id="298" w:name="bookmark418"/>
      <w:r>
        <w:rPr>
          <w:rFonts w:ascii="Times New Roman" w:hAnsi="Times New Roman" w:eastAsia="Times New Roman" w:cs="Times New Roman"/>
          <w:color w:val="auto"/>
          <w:sz w:val="22"/>
          <w:szCs w:val="22"/>
          <w:highlight w:val="none"/>
          <w:u w:val="single"/>
        </w:rPr>
        <w:t>3</w:t>
      </w:r>
      <w:bookmarkEnd w:id="298"/>
      <w:r>
        <w:rPr>
          <w:rFonts w:ascii="Times New Roman" w:hAnsi="Times New Roman" w:eastAsia="Times New Roman" w:cs="Times New Roman"/>
          <w:color w:val="auto"/>
          <w:sz w:val="22"/>
          <w:szCs w:val="22"/>
          <w:highlight w:val="none"/>
          <w:u w:val="single"/>
        </w:rPr>
        <w:t>）</w:t>
      </w:r>
      <w:r>
        <w:rPr>
          <w:color w:val="auto"/>
          <w:highlight w:val="none"/>
          <w:u w:val="single"/>
        </w:rPr>
        <w:t>拒绝监理人管理；</w:t>
      </w:r>
    </w:p>
    <w:p>
      <w:pPr>
        <w:pStyle w:val="51"/>
        <w:pBdr>
          <w:top w:val="none" w:color="auto" w:sz="0" w:space="0"/>
          <w:left w:val="none" w:color="auto" w:sz="0" w:space="0"/>
          <w:bottom w:val="none" w:color="auto" w:sz="0" w:space="0"/>
          <w:right w:val="none" w:color="auto" w:sz="0" w:space="0"/>
          <w:between w:val="none" w:color="auto" w:sz="0" w:space="0"/>
        </w:pBdr>
        <w:spacing w:after="100" w:line="384" w:lineRule="exact"/>
        <w:ind w:left="0" w:leftChars="0" w:firstLine="616" w:firstLineChars="280"/>
        <w:rPr>
          <w:color w:val="auto"/>
          <w:highlight w:val="none"/>
          <w:u w:val="single"/>
          <w:lang w:eastAsia="zh-CN"/>
        </w:rPr>
      </w:pPr>
      <w:bookmarkStart w:id="299" w:name="bookmark419"/>
      <w:r>
        <w:rPr>
          <w:rFonts w:ascii="Times New Roman" w:hAnsi="Times New Roman" w:eastAsia="Times New Roman" w:cs="Times New Roman"/>
          <w:color w:val="auto"/>
          <w:sz w:val="22"/>
          <w:szCs w:val="22"/>
          <w:highlight w:val="none"/>
          <w:u w:val="single"/>
          <w:lang w:val="zh-CN" w:eastAsia="zh-CN" w:bidi="zh-CN"/>
        </w:rPr>
        <w:t>4</w:t>
      </w:r>
      <w:bookmarkEnd w:id="299"/>
      <w:r>
        <w:rPr>
          <w:rFonts w:hint="eastAsia"/>
          <w:color w:val="auto"/>
          <w:sz w:val="22"/>
          <w:szCs w:val="22"/>
          <w:highlight w:val="none"/>
          <w:u w:val="single"/>
          <w:lang w:val="zh-CN" w:eastAsia="zh-CN" w:bidi="zh-CN"/>
        </w:rPr>
        <w:t>）</w:t>
      </w:r>
      <w:r>
        <w:rPr>
          <w:rFonts w:hint="eastAsia"/>
          <w:color w:val="auto"/>
          <w:highlight w:val="none"/>
          <w:u w:val="single"/>
        </w:rPr>
        <w:t>施工组织计划（方案）未获总监理工程师批准而进行施工；</w:t>
      </w:r>
      <w:bookmarkStart w:id="300" w:name="bookmark420"/>
    </w:p>
    <w:p>
      <w:pPr>
        <w:pStyle w:val="51"/>
        <w:pBdr>
          <w:top w:val="none" w:color="auto" w:sz="0" w:space="0"/>
          <w:left w:val="none" w:color="auto" w:sz="0" w:space="0"/>
          <w:bottom w:val="none" w:color="auto" w:sz="0" w:space="0"/>
          <w:right w:val="none" w:color="auto" w:sz="0" w:space="0"/>
          <w:between w:val="none" w:color="auto" w:sz="0" w:space="0"/>
        </w:pBdr>
        <w:spacing w:after="100" w:line="384" w:lineRule="exact"/>
        <w:ind w:left="0" w:leftChars="0" w:firstLine="616" w:firstLineChars="280"/>
        <w:rPr>
          <w:color w:val="auto"/>
          <w:highlight w:val="none"/>
          <w:u w:val="single"/>
          <w:lang w:eastAsia="zh-CN"/>
        </w:rPr>
      </w:pPr>
      <w:r>
        <w:rPr>
          <w:rFonts w:ascii="Times New Roman" w:hAnsi="Times New Roman" w:eastAsia="Times New Roman" w:cs="Times New Roman"/>
          <w:color w:val="auto"/>
          <w:sz w:val="22"/>
          <w:szCs w:val="22"/>
          <w:highlight w:val="none"/>
          <w:u w:val="single"/>
        </w:rPr>
        <w:t>5</w:t>
      </w:r>
      <w:bookmarkEnd w:id="300"/>
      <w:r>
        <w:rPr>
          <w:rFonts w:hint="eastAsia"/>
          <w:color w:val="auto"/>
          <w:sz w:val="22"/>
          <w:szCs w:val="22"/>
          <w:highlight w:val="none"/>
          <w:u w:val="single"/>
        </w:rPr>
        <w:t>）</w:t>
      </w:r>
      <w:r>
        <w:rPr>
          <w:rFonts w:hint="eastAsia"/>
          <w:color w:val="auto"/>
          <w:highlight w:val="none"/>
          <w:u w:val="single"/>
        </w:rPr>
        <w:t>未经监理人检验而进行下一道工序作业者</w:t>
      </w:r>
      <w:bookmarkStart w:id="301" w:name="bookmark421"/>
    </w:p>
    <w:p>
      <w:pPr>
        <w:pStyle w:val="51"/>
        <w:pBdr>
          <w:top w:val="none" w:color="auto" w:sz="0" w:space="0"/>
          <w:left w:val="none" w:color="auto" w:sz="0" w:space="0"/>
          <w:bottom w:val="none" w:color="auto" w:sz="0" w:space="0"/>
          <w:right w:val="none" w:color="auto" w:sz="0" w:space="0"/>
          <w:between w:val="none" w:color="auto" w:sz="0" w:space="0"/>
        </w:pBdr>
        <w:spacing w:after="100" w:line="384" w:lineRule="exact"/>
        <w:ind w:firstLine="616" w:firstLineChars="280"/>
        <w:rPr>
          <w:color w:val="auto"/>
          <w:highlight w:val="none"/>
          <w:u w:val="single"/>
          <w:lang w:eastAsia="zh-CN"/>
        </w:rPr>
      </w:pPr>
      <w:r>
        <w:rPr>
          <w:rFonts w:ascii="Times New Roman" w:hAnsi="Times New Roman" w:eastAsia="Times New Roman" w:cs="Times New Roman"/>
          <w:color w:val="auto"/>
          <w:sz w:val="22"/>
          <w:szCs w:val="22"/>
          <w:highlight w:val="none"/>
          <w:u w:val="single"/>
        </w:rPr>
        <w:t>6</w:t>
      </w:r>
      <w:bookmarkEnd w:id="301"/>
      <w:r>
        <w:rPr>
          <w:rFonts w:ascii="Times New Roman" w:hAnsi="Times New Roman" w:eastAsia="Times New Roman" w:cs="Times New Roman"/>
          <w:color w:val="auto"/>
          <w:sz w:val="22"/>
          <w:szCs w:val="22"/>
          <w:highlight w:val="none"/>
          <w:u w:val="single"/>
        </w:rPr>
        <w:t>）</w:t>
      </w:r>
      <w:r>
        <w:rPr>
          <w:color w:val="auto"/>
          <w:highlight w:val="none"/>
          <w:u w:val="single"/>
        </w:rPr>
        <w:t>擅自釆用未经监理人及发包人认可获批准的材料，或者使用的原材料、构配件不</w:t>
      </w:r>
      <w:r>
        <w:rPr>
          <w:rFonts w:hint="eastAsia" w:ascii="等线" w:hAnsi="等线" w:eastAsia="等线"/>
          <w:color w:val="auto"/>
          <w:highlight w:val="none"/>
          <w:u w:val="single"/>
          <w:lang w:eastAsia="zh-CN"/>
        </w:rPr>
        <w:t>合</w:t>
      </w:r>
    </w:p>
    <w:p>
      <w:pPr>
        <w:pStyle w:val="51"/>
        <w:pBdr>
          <w:top w:val="none" w:color="auto" w:sz="0" w:space="0"/>
          <w:left w:val="none" w:color="auto" w:sz="0" w:space="0"/>
          <w:bottom w:val="none" w:color="auto" w:sz="0" w:space="0"/>
          <w:right w:val="none" w:color="auto" w:sz="0" w:space="0"/>
          <w:between w:val="none" w:color="auto" w:sz="0" w:space="0"/>
        </w:pBdr>
        <w:spacing w:after="140" w:line="240" w:lineRule="auto"/>
        <w:ind w:firstLine="618" w:firstLineChars="309"/>
        <w:rPr>
          <w:color w:val="auto"/>
          <w:highlight w:val="none"/>
          <w:u w:val="single"/>
        </w:rPr>
      </w:pPr>
      <w:r>
        <w:rPr>
          <w:color w:val="auto"/>
          <w:highlight w:val="none"/>
          <w:u w:val="single"/>
        </w:rPr>
        <w:t>格或未经检査确认，或者擅自釆用未经认可的代用材料的；</w:t>
      </w:r>
    </w:p>
    <w:p>
      <w:pPr>
        <w:pStyle w:val="51"/>
        <w:pBdr>
          <w:top w:val="none" w:color="auto" w:sz="0" w:space="0"/>
          <w:left w:val="none" w:color="auto" w:sz="0" w:space="0"/>
          <w:bottom w:val="none" w:color="auto" w:sz="0" w:space="0"/>
          <w:right w:val="none" w:color="auto" w:sz="0" w:space="0"/>
          <w:between w:val="none" w:color="auto" w:sz="0" w:space="0"/>
        </w:pBdr>
        <w:tabs>
          <w:tab w:val="left" w:pos="798"/>
        </w:tabs>
        <w:spacing w:line="360" w:lineRule="auto"/>
        <w:ind w:firstLine="616" w:firstLineChars="280"/>
        <w:rPr>
          <w:color w:val="auto"/>
          <w:highlight w:val="none"/>
          <w:u w:val="single"/>
        </w:rPr>
      </w:pPr>
      <w:bookmarkStart w:id="302" w:name="bookmark422"/>
      <w:r>
        <w:rPr>
          <w:rFonts w:ascii="Times New Roman" w:hAnsi="Times New Roman" w:eastAsia="Times New Roman" w:cs="Times New Roman"/>
          <w:color w:val="auto"/>
          <w:sz w:val="22"/>
          <w:szCs w:val="22"/>
          <w:highlight w:val="none"/>
          <w:u w:val="single"/>
        </w:rPr>
        <w:t>7</w:t>
      </w:r>
      <w:bookmarkEnd w:id="302"/>
      <w:r>
        <w:rPr>
          <w:rFonts w:ascii="Times New Roman" w:hAnsi="Times New Roman" w:eastAsia="Times New Roman" w:cs="Times New Roman"/>
          <w:color w:val="auto"/>
          <w:sz w:val="22"/>
          <w:szCs w:val="22"/>
          <w:highlight w:val="none"/>
          <w:u w:val="single"/>
        </w:rPr>
        <w:t>）</w:t>
      </w:r>
      <w:r>
        <w:rPr>
          <w:color w:val="auto"/>
          <w:highlight w:val="none"/>
          <w:u w:val="single"/>
        </w:rPr>
        <w:t>擅自变更实际图纸的要求；</w:t>
      </w:r>
    </w:p>
    <w:p>
      <w:pPr>
        <w:pStyle w:val="51"/>
        <w:pBdr>
          <w:top w:val="none" w:color="auto" w:sz="0" w:space="0"/>
          <w:left w:val="none" w:color="auto" w:sz="0" w:space="0"/>
          <w:bottom w:val="none" w:color="auto" w:sz="0" w:space="0"/>
          <w:right w:val="none" w:color="auto" w:sz="0" w:space="0"/>
          <w:between w:val="none" w:color="auto" w:sz="0" w:space="0"/>
        </w:pBdr>
        <w:tabs>
          <w:tab w:val="left" w:pos="798"/>
        </w:tabs>
        <w:spacing w:line="360" w:lineRule="auto"/>
        <w:ind w:firstLine="616" w:firstLineChars="280"/>
        <w:rPr>
          <w:color w:val="auto"/>
          <w:highlight w:val="none"/>
          <w:u w:val="single"/>
        </w:rPr>
      </w:pPr>
      <w:bookmarkStart w:id="303" w:name="bookmark423"/>
      <w:r>
        <w:rPr>
          <w:rFonts w:ascii="Times New Roman" w:hAnsi="Times New Roman" w:eastAsia="Times New Roman" w:cs="Times New Roman"/>
          <w:color w:val="auto"/>
          <w:sz w:val="22"/>
          <w:szCs w:val="22"/>
          <w:highlight w:val="none"/>
          <w:u w:val="single"/>
        </w:rPr>
        <w:t>8</w:t>
      </w:r>
      <w:bookmarkEnd w:id="303"/>
      <w:r>
        <w:rPr>
          <w:rFonts w:ascii="Times New Roman" w:hAnsi="Times New Roman" w:eastAsia="Times New Roman" w:cs="Times New Roman"/>
          <w:color w:val="auto"/>
          <w:sz w:val="22"/>
          <w:szCs w:val="22"/>
          <w:highlight w:val="none"/>
          <w:u w:val="single"/>
        </w:rPr>
        <w:t>）</w:t>
      </w:r>
      <w:r>
        <w:rPr>
          <w:color w:val="auto"/>
          <w:highlight w:val="none"/>
          <w:u w:val="single"/>
        </w:rPr>
        <w:t>转包工程；</w:t>
      </w:r>
    </w:p>
    <w:p>
      <w:pPr>
        <w:pStyle w:val="51"/>
        <w:pBdr>
          <w:top w:val="none" w:color="auto" w:sz="0" w:space="0"/>
          <w:left w:val="none" w:color="auto" w:sz="0" w:space="0"/>
          <w:bottom w:val="none" w:color="auto" w:sz="0" w:space="0"/>
          <w:right w:val="none" w:color="auto" w:sz="0" w:space="0"/>
          <w:between w:val="none" w:color="auto" w:sz="0" w:space="0"/>
        </w:pBdr>
        <w:tabs>
          <w:tab w:val="left" w:pos="798"/>
        </w:tabs>
        <w:spacing w:line="360" w:lineRule="auto"/>
        <w:ind w:firstLine="616" w:firstLineChars="280"/>
        <w:rPr>
          <w:color w:val="auto"/>
          <w:highlight w:val="none"/>
          <w:u w:val="single"/>
        </w:rPr>
      </w:pPr>
      <w:bookmarkStart w:id="304" w:name="bookmark424"/>
      <w:r>
        <w:rPr>
          <w:rFonts w:ascii="Times New Roman" w:hAnsi="Times New Roman" w:eastAsia="Times New Roman" w:cs="Times New Roman"/>
          <w:color w:val="auto"/>
          <w:sz w:val="22"/>
          <w:szCs w:val="22"/>
          <w:highlight w:val="none"/>
          <w:u w:val="single"/>
        </w:rPr>
        <w:t>9</w:t>
      </w:r>
      <w:bookmarkEnd w:id="304"/>
      <w:r>
        <w:rPr>
          <w:rFonts w:ascii="Times New Roman" w:hAnsi="Times New Roman" w:eastAsia="Times New Roman" w:cs="Times New Roman"/>
          <w:color w:val="auto"/>
          <w:sz w:val="22"/>
          <w:szCs w:val="22"/>
          <w:highlight w:val="none"/>
          <w:u w:val="single"/>
        </w:rPr>
        <w:t>）</w:t>
      </w:r>
      <w:r>
        <w:rPr>
          <w:color w:val="auto"/>
          <w:highlight w:val="none"/>
          <w:u w:val="single"/>
        </w:rPr>
        <w:t>擅自让未经总监理工程师的分包单位进场作业；</w:t>
      </w:r>
    </w:p>
    <w:p>
      <w:pPr>
        <w:pStyle w:val="51"/>
        <w:pBdr>
          <w:top w:val="none" w:color="auto" w:sz="0" w:space="0"/>
          <w:left w:val="none" w:color="auto" w:sz="0" w:space="0"/>
          <w:bottom w:val="none" w:color="auto" w:sz="0" w:space="0"/>
          <w:right w:val="none" w:color="auto" w:sz="0" w:space="0"/>
          <w:between w:val="none" w:color="auto" w:sz="0" w:space="0"/>
        </w:pBdr>
        <w:tabs>
          <w:tab w:val="left" w:pos="909"/>
        </w:tabs>
        <w:spacing w:line="360" w:lineRule="auto"/>
        <w:ind w:firstLine="616" w:firstLineChars="280"/>
        <w:rPr>
          <w:rFonts w:eastAsia="等线"/>
          <w:color w:val="auto"/>
          <w:highlight w:val="none"/>
          <w:u w:val="single"/>
          <w:lang w:eastAsia="zh-CN"/>
        </w:rPr>
      </w:pPr>
      <w:bookmarkStart w:id="305" w:name="bookmark425"/>
      <w:r>
        <w:rPr>
          <w:rFonts w:ascii="Times New Roman" w:hAnsi="Times New Roman" w:eastAsia="Times New Roman" w:cs="Times New Roman"/>
          <w:color w:val="auto"/>
          <w:sz w:val="22"/>
          <w:szCs w:val="22"/>
          <w:highlight w:val="none"/>
          <w:u w:val="single"/>
        </w:rPr>
        <w:t>1</w:t>
      </w:r>
      <w:bookmarkEnd w:id="305"/>
      <w:r>
        <w:rPr>
          <w:rFonts w:ascii="Times New Roman" w:hAnsi="Times New Roman" w:eastAsia="Times New Roman" w:cs="Times New Roman"/>
          <w:color w:val="auto"/>
          <w:sz w:val="22"/>
          <w:szCs w:val="22"/>
          <w:highlight w:val="none"/>
          <w:u w:val="single"/>
        </w:rPr>
        <w:t>0）</w:t>
      </w:r>
      <w:r>
        <w:rPr>
          <w:color w:val="auto"/>
          <w:highlight w:val="none"/>
          <w:u w:val="single"/>
        </w:rPr>
        <w:t>存在安全隐患，未按监理人要求及时进行整改；</w:t>
      </w:r>
      <w:bookmarkStart w:id="306" w:name="bookmark426"/>
    </w:p>
    <w:p>
      <w:pPr>
        <w:pStyle w:val="51"/>
        <w:pBdr>
          <w:top w:val="none" w:color="auto" w:sz="0" w:space="0"/>
          <w:left w:val="none" w:color="auto" w:sz="0" w:space="0"/>
          <w:bottom w:val="none" w:color="auto" w:sz="0" w:space="0"/>
          <w:right w:val="none" w:color="auto" w:sz="0" w:space="0"/>
          <w:between w:val="none" w:color="auto" w:sz="0" w:space="0"/>
        </w:pBdr>
        <w:tabs>
          <w:tab w:val="left" w:pos="909"/>
        </w:tabs>
        <w:spacing w:line="360" w:lineRule="auto"/>
        <w:ind w:firstLine="616" w:firstLineChars="280"/>
        <w:rPr>
          <w:rFonts w:eastAsia="等线"/>
          <w:color w:val="auto"/>
          <w:highlight w:val="none"/>
          <w:u w:val="single"/>
          <w:lang w:eastAsia="zh-CN"/>
        </w:rPr>
      </w:pPr>
      <w:r>
        <w:rPr>
          <w:rFonts w:ascii="Times New Roman" w:hAnsi="Times New Roman" w:eastAsia="Times New Roman" w:cs="Times New Roman"/>
          <w:color w:val="auto"/>
          <w:sz w:val="22"/>
          <w:szCs w:val="22"/>
          <w:highlight w:val="none"/>
          <w:u w:val="single"/>
        </w:rPr>
        <w:t>1</w:t>
      </w:r>
      <w:bookmarkEnd w:id="306"/>
      <w:r>
        <w:rPr>
          <w:rFonts w:ascii="Times New Roman" w:hAnsi="Times New Roman" w:eastAsia="Times New Roman" w:cs="Times New Roman"/>
          <w:color w:val="auto"/>
          <w:sz w:val="22"/>
          <w:szCs w:val="22"/>
          <w:highlight w:val="none"/>
          <w:u w:val="single"/>
        </w:rPr>
        <w:t>1）</w:t>
      </w:r>
      <w:r>
        <w:rPr>
          <w:color w:val="auto"/>
          <w:highlight w:val="none"/>
          <w:u w:val="single"/>
        </w:rPr>
        <w:t>未按上方约定的资料上报要求分包所需资料。</w:t>
      </w:r>
    </w:p>
    <w:p>
      <w:pPr>
        <w:pStyle w:val="48"/>
        <w:spacing w:before="0"/>
        <w:rPr>
          <w:color w:val="auto"/>
          <w:highlight w:val="none"/>
        </w:rPr>
      </w:pPr>
      <w:r>
        <w:rPr>
          <w:rFonts w:hint="eastAsia"/>
          <w:color w:val="auto"/>
          <w:highlight w:val="none"/>
        </w:rPr>
        <w:t>13. 工程质量</w:t>
      </w:r>
      <w:bookmarkEnd w:id="291"/>
      <w:bookmarkEnd w:id="292"/>
      <w:bookmarkEnd w:id="293"/>
      <w:bookmarkEnd w:id="294"/>
      <w:bookmarkEnd w:id="295"/>
      <w:bookmarkEnd w:id="296"/>
      <w:bookmarkStart w:id="307" w:name="_Toc152042475"/>
      <w:bookmarkStart w:id="308" w:name="_Toc152045697"/>
      <w:bookmarkStart w:id="309" w:name="_Toc179632715"/>
      <w:bookmarkStart w:id="310" w:name="_Toc144974666"/>
    </w:p>
    <w:p>
      <w:pPr>
        <w:pStyle w:val="49"/>
        <w:rPr>
          <w:rFonts w:ascii="黑体" w:hAnsi="宋体" w:cs="Arial"/>
          <w:color w:val="auto"/>
          <w:highlight w:val="none"/>
        </w:rPr>
      </w:pPr>
      <w:bookmarkStart w:id="311" w:name="_Toc241459709"/>
      <w:bookmarkStart w:id="312" w:name="_Toc342296468"/>
      <w:r>
        <w:rPr>
          <w:rFonts w:hint="eastAsia" w:ascii="黑体" w:hAnsi="宋体" w:cs="Arial"/>
          <w:color w:val="auto"/>
          <w:highlight w:val="none"/>
        </w:rPr>
        <w:t>13.2 承包人的质量管理</w:t>
      </w:r>
      <w:bookmarkEnd w:id="307"/>
      <w:bookmarkEnd w:id="308"/>
      <w:bookmarkEnd w:id="309"/>
      <w:bookmarkEnd w:id="310"/>
      <w:bookmarkEnd w:id="311"/>
      <w:bookmarkEnd w:id="312"/>
    </w:p>
    <w:p>
      <w:pPr>
        <w:spacing w:line="400" w:lineRule="exact"/>
        <w:ind w:firstLine="440" w:firstLineChars="200"/>
        <w:rPr>
          <w:rFonts w:hint="default" w:ascii="宋体" w:hAnsi="宋体" w:eastAsia="宋体" w:cs="Arial"/>
          <w:color w:val="auto"/>
          <w:highlight w:val="none"/>
          <w:lang w:val="en-US" w:eastAsia="zh-CN"/>
        </w:rPr>
      </w:pPr>
      <w:bookmarkStart w:id="313" w:name="_Toc152042476"/>
      <w:bookmarkStart w:id="314" w:name="_Toc179632716"/>
      <w:bookmarkStart w:id="315" w:name="_Toc144974667"/>
      <w:bookmarkStart w:id="316" w:name="_Toc152045698"/>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1承包人向监理人提交工程质量保证措施文件的期限：</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施工进场前</w:t>
      </w:r>
      <w:r>
        <w:rPr>
          <w:rFonts w:hint="eastAsia" w:ascii="宋体" w:hAnsi="宋体"/>
          <w:color w:val="auto"/>
          <w:szCs w:val="21"/>
          <w:highlight w:val="none"/>
          <w:u w:val="single"/>
          <w:lang w:val="en-US" w:eastAsia="zh-CN"/>
        </w:rPr>
        <w:t xml:space="preserve">  </w:t>
      </w:r>
    </w:p>
    <w:p>
      <w:pPr>
        <w:spacing w:line="400" w:lineRule="exact"/>
        <w:ind w:firstLine="440" w:firstLineChars="200"/>
        <w:rPr>
          <w:rFonts w:hint="default" w:ascii="宋体" w:hAnsi="宋体" w:eastAsia="宋体"/>
          <w:color w:val="auto"/>
          <w:szCs w:val="21"/>
          <w:highlight w:val="none"/>
          <w:u w:val="none"/>
          <w:lang w:val="en-US" w:eastAsia="zh-CN"/>
        </w:rPr>
      </w:pPr>
      <w:r>
        <w:rPr>
          <w:rFonts w:hint="eastAsia" w:ascii="宋体" w:hAnsi="宋体"/>
          <w:color w:val="auto"/>
          <w:szCs w:val="21"/>
          <w:highlight w:val="none"/>
        </w:rPr>
        <w:t>监理人审批工程质量保证措施文件的期限：</w:t>
      </w:r>
      <w:bookmarkStart w:id="317" w:name="_Toc342296469"/>
      <w:bookmarkStart w:id="318" w:name="_Toc241459710"/>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上报7天之内</w:t>
      </w:r>
      <w:r>
        <w:rPr>
          <w:rFonts w:hint="eastAsia" w:ascii="宋体" w:hAnsi="宋体"/>
          <w:color w:val="auto"/>
          <w:szCs w:val="21"/>
          <w:highlight w:val="none"/>
          <w:u w:val="none"/>
          <w:lang w:val="en-US" w:eastAsia="zh-CN"/>
        </w:rPr>
        <w:t xml:space="preserve">  </w:t>
      </w:r>
    </w:p>
    <w:p>
      <w:pPr>
        <w:spacing w:line="400" w:lineRule="exact"/>
        <w:ind w:firstLine="440" w:firstLineChars="200"/>
        <w:rPr>
          <w:rFonts w:ascii="黑体" w:hAnsi="宋体" w:cs="Arial"/>
          <w:color w:val="auto"/>
          <w:highlight w:val="none"/>
        </w:rPr>
      </w:pPr>
      <w:r>
        <w:rPr>
          <w:rFonts w:hint="eastAsia" w:ascii="黑体" w:hAnsi="宋体" w:cs="Arial"/>
          <w:color w:val="auto"/>
          <w:highlight w:val="none"/>
        </w:rPr>
        <w:t>13.3 承包人的质量检查</w:t>
      </w:r>
      <w:bookmarkEnd w:id="313"/>
      <w:bookmarkEnd w:id="314"/>
      <w:bookmarkEnd w:id="315"/>
      <w:bookmarkEnd w:id="316"/>
      <w:bookmarkEnd w:id="317"/>
      <w:bookmarkEnd w:id="318"/>
    </w:p>
    <w:p>
      <w:pPr>
        <w:spacing w:line="400" w:lineRule="exact"/>
        <w:ind w:firstLine="440" w:firstLineChars="200"/>
        <w:rPr>
          <w:rFonts w:ascii="宋体" w:hAnsi="宋体" w:cs="Arial"/>
          <w:color w:val="auto"/>
          <w:highlight w:val="none"/>
        </w:rPr>
      </w:pPr>
      <w:bookmarkStart w:id="319" w:name="_Toc152045699"/>
      <w:bookmarkStart w:id="320" w:name="_Toc179632717"/>
      <w:bookmarkStart w:id="321" w:name="_Toc144974668"/>
      <w:bookmarkStart w:id="322" w:name="_Toc152042477"/>
      <w:r>
        <w:rPr>
          <w:rFonts w:hint="eastAsia" w:ascii="宋体" w:hAnsi="宋体"/>
          <w:color w:val="auto"/>
          <w:szCs w:val="21"/>
          <w:highlight w:val="none"/>
        </w:rPr>
        <w:t>承包人向监理人报送工程质量报表的期限：</w:t>
      </w:r>
      <w:r>
        <w:rPr>
          <w:color w:val="auto"/>
          <w:highlight w:val="none"/>
          <w:u w:val="single"/>
        </w:rPr>
        <w:t>开工后每月的</w:t>
      </w:r>
      <w:r>
        <w:rPr>
          <w:rFonts w:eastAsia="Times New Roman"/>
          <w:color w:val="auto"/>
          <w:sz w:val="22"/>
          <w:szCs w:val="22"/>
          <w:highlight w:val="none"/>
          <w:u w:val="single"/>
        </w:rPr>
        <w:t>28</w:t>
      </w:r>
      <w:r>
        <w:rPr>
          <w:color w:val="auto"/>
          <w:highlight w:val="none"/>
          <w:u w:val="single"/>
        </w:rPr>
        <w:t>日前</w:t>
      </w:r>
      <w:r>
        <w:rPr>
          <w:rFonts w:ascii="宋体" w:hAnsi="宋体"/>
          <w:color w:val="auto"/>
          <w:szCs w:val="21"/>
          <w:highlight w:val="none"/>
        </w:rPr>
        <w:t>。</w:t>
      </w:r>
    </w:p>
    <w:bookmarkEnd w:id="319"/>
    <w:bookmarkEnd w:id="320"/>
    <w:bookmarkEnd w:id="321"/>
    <w:bookmarkEnd w:id="322"/>
    <w:p>
      <w:pPr>
        <w:spacing w:line="400" w:lineRule="exact"/>
        <w:ind w:firstLine="440" w:firstLineChars="200"/>
        <w:rPr>
          <w:rFonts w:ascii="宋体" w:hAnsi="宋体"/>
          <w:color w:val="auto"/>
          <w:szCs w:val="21"/>
          <w:highlight w:val="none"/>
          <w:u w:val="single"/>
        </w:rPr>
      </w:pPr>
      <w:bookmarkStart w:id="323" w:name="_Toc179632718"/>
      <w:bookmarkStart w:id="324" w:name="_Toc152042478"/>
      <w:bookmarkStart w:id="325" w:name="_Toc152045700"/>
      <w:bookmarkStart w:id="326" w:name="_Toc144974669"/>
      <w:r>
        <w:rPr>
          <w:rFonts w:hint="eastAsia" w:ascii="宋体" w:hAnsi="宋体"/>
          <w:color w:val="auto"/>
          <w:szCs w:val="21"/>
          <w:highlight w:val="none"/>
        </w:rPr>
        <w:t>承包人向监理人报送工程质量报表的要求：</w:t>
      </w:r>
      <w:r>
        <w:rPr>
          <w:color w:val="auto"/>
          <w:highlight w:val="none"/>
          <w:u w:val="single"/>
        </w:rPr>
        <w:t>同时提交施工方案及质量控制措施，材料设备应提交材料设备的质检报告（产品合格证）等资料。</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监理人审查工程质量报表的期限：</w:t>
      </w:r>
      <w:r>
        <w:rPr>
          <w:color w:val="auto"/>
          <w:highlight w:val="none"/>
          <w:u w:val="single"/>
        </w:rPr>
        <w:t>收到报表资料后</w:t>
      </w:r>
      <w:r>
        <w:rPr>
          <w:rFonts w:eastAsia="Times New Roman"/>
          <w:color w:val="auto"/>
          <w:sz w:val="22"/>
          <w:szCs w:val="22"/>
          <w:highlight w:val="none"/>
          <w:u w:val="single"/>
        </w:rPr>
        <w:t>7</w:t>
      </w:r>
      <w:r>
        <w:rPr>
          <w:color w:val="auto"/>
          <w:highlight w:val="none"/>
          <w:u w:val="single"/>
        </w:rPr>
        <w:t>日内</w:t>
      </w:r>
      <w:r>
        <w:rPr>
          <w:rFonts w:ascii="宋体" w:hAnsi="宋体"/>
          <w:color w:val="auto"/>
          <w:szCs w:val="21"/>
          <w:highlight w:val="none"/>
        </w:rPr>
        <w:t>。</w:t>
      </w:r>
    </w:p>
    <w:p>
      <w:pPr>
        <w:pStyle w:val="49"/>
        <w:rPr>
          <w:rFonts w:ascii="黑体" w:hAnsi="宋体" w:cs="Arial"/>
          <w:color w:val="auto"/>
          <w:highlight w:val="none"/>
        </w:rPr>
      </w:pPr>
      <w:bookmarkStart w:id="327" w:name="_Toc241459711"/>
      <w:bookmarkStart w:id="328" w:name="_Toc342296470"/>
      <w:r>
        <w:rPr>
          <w:rFonts w:hint="eastAsia" w:ascii="黑体" w:hAnsi="宋体" w:cs="Arial"/>
          <w:color w:val="auto"/>
          <w:highlight w:val="none"/>
        </w:rPr>
        <w:t>13.4 监理人的质量检查</w:t>
      </w:r>
      <w:bookmarkEnd w:id="327"/>
      <w:bookmarkEnd w:id="328"/>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承包人应当为监理人的检查和检验提供方便，监理人可以进行察看和查阅施工原始记录的其他地方包括：</w:t>
      </w:r>
      <w:r>
        <w:rPr>
          <w:rFonts w:hint="eastAsia" w:ascii="宋体" w:hAnsi="宋体"/>
          <w:color w:val="auto"/>
          <w:szCs w:val="21"/>
          <w:highlight w:val="none"/>
          <w:u w:val="single"/>
        </w:rPr>
        <w:t>/</w:t>
      </w:r>
    </w:p>
    <w:p>
      <w:pPr>
        <w:pStyle w:val="49"/>
        <w:rPr>
          <w:rFonts w:ascii="黑体" w:hAnsi="宋体" w:cs="Arial"/>
          <w:color w:val="auto"/>
          <w:highlight w:val="none"/>
        </w:rPr>
      </w:pPr>
      <w:bookmarkStart w:id="329" w:name="_Toc241459712"/>
      <w:bookmarkStart w:id="330" w:name="_Toc342296471"/>
      <w:r>
        <w:rPr>
          <w:rFonts w:hint="eastAsia" w:ascii="黑体" w:hAnsi="宋体" w:cs="Arial"/>
          <w:color w:val="auto"/>
          <w:highlight w:val="none"/>
        </w:rPr>
        <w:t>13.5 工程隐蔽部位覆盖前的检查</w:t>
      </w:r>
      <w:bookmarkEnd w:id="323"/>
      <w:bookmarkEnd w:id="324"/>
      <w:bookmarkEnd w:id="325"/>
      <w:bookmarkEnd w:id="326"/>
      <w:bookmarkEnd w:id="329"/>
      <w:bookmarkEnd w:id="330"/>
    </w:p>
    <w:p>
      <w:pPr>
        <w:pStyle w:val="51"/>
        <w:pBdr>
          <w:bottom w:val="single" w:color="auto" w:sz="4" w:space="0"/>
        </w:pBdr>
        <w:spacing w:after="100" w:line="384" w:lineRule="exact"/>
        <w:ind w:firstLine="440"/>
        <w:rPr>
          <w:rFonts w:eastAsia="等线"/>
          <w:color w:val="auto"/>
          <w:highlight w:val="none"/>
          <w:lang w:eastAsia="zh-CN"/>
        </w:rPr>
      </w:pPr>
      <w:r>
        <w:rPr>
          <w:color w:val="auto"/>
          <w:szCs w:val="21"/>
          <w:highlight w:val="none"/>
        </w:rPr>
        <w:t>1</w:t>
      </w:r>
      <w:r>
        <w:rPr>
          <w:rFonts w:hint="eastAsia"/>
          <w:color w:val="auto"/>
          <w:szCs w:val="21"/>
          <w:highlight w:val="none"/>
        </w:rPr>
        <w:t>3</w:t>
      </w:r>
      <w:r>
        <w:rPr>
          <w:color w:val="auto"/>
          <w:szCs w:val="21"/>
          <w:highlight w:val="none"/>
        </w:rPr>
        <w:t>.</w:t>
      </w:r>
      <w:r>
        <w:rPr>
          <w:rFonts w:hint="eastAsia"/>
          <w:color w:val="auto"/>
          <w:szCs w:val="21"/>
          <w:highlight w:val="none"/>
        </w:rPr>
        <w:t>5</w:t>
      </w:r>
      <w:r>
        <w:rPr>
          <w:color w:val="auto"/>
          <w:szCs w:val="21"/>
          <w:highlight w:val="none"/>
        </w:rPr>
        <w:t>.</w:t>
      </w:r>
      <w:r>
        <w:rPr>
          <w:rFonts w:hint="eastAsia"/>
          <w:color w:val="auto"/>
          <w:szCs w:val="21"/>
          <w:highlight w:val="none"/>
        </w:rPr>
        <w:t>1监理人对工程隐蔽部位进行检查的期限：</w:t>
      </w:r>
      <w:r>
        <w:rPr>
          <w:color w:val="auto"/>
          <w:highlight w:val="none"/>
        </w:rPr>
        <w:t>收到承包人自检确认的工程隐蔽部位具备覆盖条件后</w:t>
      </w:r>
      <w:r>
        <w:rPr>
          <w:rFonts w:ascii="Times New Roman" w:hAnsi="Times New Roman" w:eastAsia="Times New Roman" w:cs="Times New Roman"/>
          <w:color w:val="auto"/>
          <w:sz w:val="22"/>
          <w:szCs w:val="22"/>
          <w:highlight w:val="none"/>
        </w:rPr>
        <w:t>24</w:t>
      </w:r>
      <w:r>
        <w:rPr>
          <w:color w:val="auto"/>
          <w:highlight w:val="none"/>
        </w:rPr>
        <w:t>小时内进行检査并签字确认。</w:t>
      </w:r>
    </w:p>
    <w:p>
      <w:pPr>
        <w:pStyle w:val="48"/>
        <w:spacing w:before="0"/>
        <w:rPr>
          <w:color w:val="auto"/>
          <w:highlight w:val="none"/>
        </w:rPr>
      </w:pPr>
      <w:bookmarkStart w:id="331" w:name="_Toc342296473"/>
      <w:bookmarkStart w:id="332" w:name="_Toc241459714"/>
      <w:bookmarkStart w:id="333" w:name="_Toc179632724"/>
      <w:bookmarkStart w:id="334" w:name="_Toc152045706"/>
      <w:bookmarkStart w:id="335" w:name="_Toc152042484"/>
      <w:bookmarkStart w:id="336" w:name="_Toc144974675"/>
      <w:r>
        <w:rPr>
          <w:rFonts w:hint="eastAsia"/>
          <w:color w:val="auto"/>
          <w:highlight w:val="none"/>
        </w:rPr>
        <w:t>15. 变更</w:t>
      </w:r>
      <w:bookmarkEnd w:id="331"/>
      <w:bookmarkEnd w:id="332"/>
      <w:bookmarkEnd w:id="333"/>
      <w:bookmarkEnd w:id="334"/>
      <w:bookmarkEnd w:id="335"/>
      <w:bookmarkEnd w:id="336"/>
    </w:p>
    <w:p>
      <w:pPr>
        <w:pStyle w:val="49"/>
        <w:rPr>
          <w:rFonts w:ascii="黑体" w:hAnsi="宋体" w:cs="Arial"/>
          <w:color w:val="auto"/>
          <w:highlight w:val="none"/>
        </w:rPr>
      </w:pPr>
      <w:bookmarkStart w:id="337" w:name="_Toc179632725"/>
      <w:bookmarkStart w:id="338" w:name="_Toc152042485"/>
      <w:bookmarkStart w:id="339" w:name="_Toc152045707"/>
      <w:bookmarkStart w:id="340" w:name="_Toc241459715"/>
      <w:bookmarkStart w:id="341" w:name="_Toc342296474"/>
      <w:bookmarkStart w:id="342" w:name="_Toc144974676"/>
      <w:r>
        <w:rPr>
          <w:rFonts w:hint="eastAsia" w:ascii="黑体" w:hAnsi="宋体" w:cs="Arial"/>
          <w:color w:val="auto"/>
          <w:highlight w:val="none"/>
        </w:rPr>
        <w:t>15.1 变更的范围和内容</w:t>
      </w:r>
      <w:bookmarkEnd w:id="337"/>
      <w:bookmarkEnd w:id="338"/>
      <w:bookmarkEnd w:id="339"/>
      <w:bookmarkEnd w:id="340"/>
      <w:bookmarkEnd w:id="341"/>
      <w:bookmarkEnd w:id="342"/>
    </w:p>
    <w:p>
      <w:pPr>
        <w:pStyle w:val="49"/>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15.1.1 在履行合同中发生以下情形之一，应按照本条规定进行变更。</w:t>
      </w:r>
    </w:p>
    <w:p>
      <w:pPr>
        <w:pStyle w:val="49"/>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(6)变更的其他情形：</w:t>
      </w:r>
    </w:p>
    <w:p>
      <w:pPr>
        <w:pStyle w:val="49"/>
        <w:ind w:firstLine="315" w:firstLineChars="150"/>
        <w:rPr>
          <w:rFonts w:ascii="宋体" w:hAnsi="宋体" w:eastAsia="宋体"/>
          <w:color w:val="auto"/>
          <w:sz w:val="21"/>
          <w:szCs w:val="21"/>
          <w:highlight w:val="none"/>
          <w:u w:val="single"/>
          <w:lang w:val="en-US"/>
        </w:rPr>
      </w:pPr>
      <w:bookmarkStart w:id="343" w:name="_Toc179632727"/>
      <w:bookmarkStart w:id="344" w:name="_Toc342296475"/>
      <w:bookmarkStart w:id="345" w:name="_Toc241459716"/>
      <w:bookmarkStart w:id="346" w:name="_Toc152042487"/>
      <w:bookmarkStart w:id="347" w:name="_Toc152045709"/>
      <w:bookmarkStart w:id="348" w:name="_Toc144974678"/>
      <w:r>
        <w:rPr>
          <w:rFonts w:ascii="宋体" w:hAnsi="宋体" w:eastAsia="宋体"/>
          <w:color w:val="auto"/>
          <w:sz w:val="21"/>
          <w:szCs w:val="21"/>
          <w:highlight w:val="none"/>
          <w:u w:val="single"/>
          <w:lang w:val="en-US"/>
        </w:rPr>
        <w:t>合同履行阶段，因招标工程量清单漏项或者新增分部分项工程量清单子目的，此类新增分部分项工程量清单子目均应当视为变更。</w:t>
      </w:r>
    </w:p>
    <w:p>
      <w:pPr>
        <w:pStyle w:val="49"/>
        <w:rPr>
          <w:rFonts w:ascii="黑体" w:hAnsi="宋体" w:cs="Arial"/>
          <w:color w:val="auto"/>
          <w:highlight w:val="none"/>
        </w:rPr>
      </w:pPr>
      <w:r>
        <w:rPr>
          <w:rFonts w:hint="eastAsia" w:ascii="黑体" w:hAnsi="宋体" w:cs="Arial"/>
          <w:color w:val="auto"/>
          <w:highlight w:val="none"/>
        </w:rPr>
        <w:t>15.3 变更程序</w:t>
      </w:r>
      <w:bookmarkEnd w:id="343"/>
      <w:bookmarkEnd w:id="344"/>
      <w:bookmarkEnd w:id="345"/>
      <w:bookmarkEnd w:id="346"/>
      <w:bookmarkEnd w:id="347"/>
      <w:bookmarkEnd w:id="348"/>
    </w:p>
    <w:p>
      <w:pPr>
        <w:spacing w:line="400" w:lineRule="exact"/>
        <w:ind w:firstLine="440" w:firstLineChars="200"/>
        <w:rPr>
          <w:rFonts w:ascii="黑体" w:hAnsi="宋体" w:eastAsia="黑体" w:cs="Arial"/>
          <w:color w:val="auto"/>
          <w:highlight w:val="none"/>
        </w:rPr>
      </w:pPr>
      <w:r>
        <w:rPr>
          <w:rFonts w:hint="eastAsia" w:ascii="黑体" w:hAnsi="宋体" w:eastAsia="黑体" w:cs="Arial"/>
          <w:color w:val="auto"/>
          <w:highlight w:val="none"/>
        </w:rPr>
        <w:t>15.3.2 变更估价</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（1）承包人提交变更报价书的期限：</w:t>
      </w:r>
      <w:r>
        <w:rPr>
          <w:rFonts w:hint="eastAsia" w:ascii="宋体" w:hAnsi="宋体"/>
          <w:color w:val="auto"/>
          <w:szCs w:val="21"/>
          <w:highlight w:val="none"/>
          <w:u w:val="single"/>
        </w:rPr>
        <w:t>承包人收到变更指示或变更意向书后的 14 天内</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（3）监理人商定或确定变更价格的期限：</w:t>
      </w:r>
      <w:r>
        <w:rPr>
          <w:rFonts w:hint="eastAsia" w:ascii="宋体" w:hAnsi="宋体"/>
          <w:color w:val="auto"/>
          <w:szCs w:val="21"/>
          <w:highlight w:val="none"/>
          <w:u w:val="single"/>
        </w:rPr>
        <w:t>监理人收到承包人变更报价书后的 14 天内</w:t>
      </w:r>
    </w:p>
    <w:p>
      <w:pPr>
        <w:pStyle w:val="49"/>
        <w:rPr>
          <w:rFonts w:ascii="黑体" w:hAnsi="宋体" w:cs="Arial"/>
          <w:color w:val="auto"/>
          <w:highlight w:val="none"/>
        </w:rPr>
      </w:pPr>
      <w:bookmarkStart w:id="349" w:name="_Toc241459717"/>
      <w:bookmarkStart w:id="350" w:name="_Toc152042488"/>
      <w:bookmarkStart w:id="351" w:name="_Toc342296476"/>
      <w:bookmarkStart w:id="352" w:name="_Toc152045710"/>
      <w:bookmarkStart w:id="353" w:name="_Toc144974679"/>
      <w:bookmarkStart w:id="354" w:name="_Toc179632728"/>
      <w:r>
        <w:rPr>
          <w:rFonts w:hint="eastAsia" w:ascii="黑体" w:hAnsi="宋体" w:cs="Arial"/>
          <w:color w:val="auto"/>
          <w:highlight w:val="none"/>
        </w:rPr>
        <w:t>15.4 变更的估价原则</w:t>
      </w:r>
      <w:bookmarkEnd w:id="349"/>
      <w:bookmarkEnd w:id="350"/>
      <w:bookmarkEnd w:id="351"/>
      <w:bookmarkEnd w:id="352"/>
      <w:bookmarkEnd w:id="353"/>
      <w:bookmarkEnd w:id="354"/>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 xml:space="preserve">15.4.5 合同协议书约定采用单价合同形式时，因非承包人原因引起已标价工程量清单中列明的工程量发生增减，且单个子目工程量变化幅度在 </w:t>
      </w:r>
      <w:r>
        <w:rPr>
          <w:rFonts w:hint="eastAsia" w:ascii="宋体" w:hAnsi="宋体"/>
          <w:color w:val="auto"/>
          <w:szCs w:val="21"/>
          <w:highlight w:val="none"/>
          <w:lang w:val="en-US" w:eastAsia="zh-CN"/>
        </w:rPr>
        <w:t>±</w:t>
      </w:r>
      <w:r>
        <w:rPr>
          <w:rFonts w:hint="eastAsia" w:ascii="宋体" w:hAnsi="宋体"/>
          <w:color w:val="auto"/>
          <w:szCs w:val="21"/>
          <w:highlight w:val="none"/>
          <w:u w:val="single"/>
        </w:rPr>
        <w:t>15%</w:t>
      </w:r>
      <w:r>
        <w:rPr>
          <w:rFonts w:hint="eastAsia" w:ascii="宋体" w:hAnsi="宋体"/>
          <w:color w:val="auto"/>
          <w:szCs w:val="21"/>
          <w:highlight w:val="none"/>
        </w:rPr>
        <w:t xml:space="preserve">以内（含）时，应执行已标价工程量清单中列明的该子目的单价；单个子目工程量变化幅度在 </w:t>
      </w:r>
      <w:r>
        <w:rPr>
          <w:rFonts w:hint="eastAsia" w:ascii="宋体" w:hAnsi="宋体"/>
          <w:color w:val="auto"/>
          <w:szCs w:val="21"/>
          <w:highlight w:val="none"/>
          <w:lang w:val="en-US" w:eastAsia="zh-CN"/>
        </w:rPr>
        <w:t>±</w:t>
      </w:r>
      <w:r>
        <w:rPr>
          <w:rFonts w:hint="eastAsia" w:ascii="宋体" w:hAnsi="宋体"/>
          <w:color w:val="auto"/>
          <w:szCs w:val="21"/>
          <w:highlight w:val="none"/>
          <w:u w:val="single"/>
        </w:rPr>
        <w:t>15%</w:t>
      </w:r>
      <w:r>
        <w:rPr>
          <w:rFonts w:hint="eastAsia" w:ascii="宋体" w:hAnsi="宋体"/>
          <w:color w:val="auto"/>
          <w:szCs w:val="21"/>
          <w:highlight w:val="none"/>
        </w:rPr>
        <w:t>以外（不含），且导致分部分项工程费总额变化幅度超过</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w:t>
      </w:r>
      <w:r>
        <w:rPr>
          <w:rFonts w:hint="eastAsia" w:ascii="宋体" w:hAnsi="宋体"/>
          <w:color w:val="auto"/>
          <w:szCs w:val="21"/>
          <w:highlight w:val="none"/>
        </w:rPr>
        <w:t>时，由承包人提出并由监理人按</w:t>
      </w:r>
      <w:r>
        <w:rPr>
          <w:rFonts w:hint="eastAsia" w:ascii="宋体" w:hAnsi="宋体"/>
          <w:color w:val="auto"/>
          <w:szCs w:val="21"/>
          <w:highlight w:val="none"/>
          <w:lang w:val="en-US" w:eastAsia="zh-CN"/>
        </w:rPr>
        <w:t>通用合同条款</w:t>
      </w:r>
      <w:r>
        <w:rPr>
          <w:rFonts w:hint="eastAsia" w:ascii="宋体" w:hAnsi="宋体"/>
          <w:color w:val="auto"/>
          <w:szCs w:val="21"/>
          <w:highlight w:val="none"/>
        </w:rPr>
        <w:t>第 3.5 款商定或确定新的单价，该子目按修正后的新的单价计价</w:t>
      </w:r>
    </w:p>
    <w:p>
      <w:pPr>
        <w:spacing w:line="360" w:lineRule="auto"/>
        <w:ind w:firstLine="440" w:firstLineChars="200"/>
        <w:rPr>
          <w:rFonts w:ascii="宋体" w:hAnsi="宋体"/>
          <w:color w:val="auto"/>
          <w:szCs w:val="21"/>
          <w:highlight w:val="none"/>
        </w:rPr>
      </w:pPr>
      <w:r>
        <w:rPr>
          <w:rFonts w:hint="eastAsia" w:ascii="宋体" w:hAnsi="宋体"/>
          <w:color w:val="auto"/>
          <w:szCs w:val="21"/>
          <w:highlight w:val="none"/>
        </w:rPr>
        <w:t>15.4.6 因变更引起价格调整的其他处理方式：</w:t>
      </w:r>
    </w:p>
    <w:p>
      <w:pPr>
        <w:spacing w:line="360" w:lineRule="auto"/>
        <w:ind w:firstLine="440" w:firstLineChars="200"/>
        <w:rPr>
          <w:rFonts w:ascii="宋体" w:hAnsi="宋体"/>
          <w:color w:val="auto"/>
          <w:szCs w:val="21"/>
          <w:highlight w:val="none"/>
          <w:u w:val="single"/>
        </w:rPr>
      </w:pPr>
      <w:r>
        <w:rPr>
          <w:rFonts w:hint="eastAsia" w:ascii="宋体" w:hAnsi="宋体"/>
          <w:color w:val="auto"/>
          <w:szCs w:val="21"/>
          <w:highlight w:val="none"/>
          <w:u w:val="single"/>
        </w:rPr>
        <w:t xml:space="preserve">合同中没有适用或类似于变更工作的价格，由承包人或发包人提出适当的变更价格，经监理人审核后，报对方确认后执行。计价原则为 ： </w:t>
      </w:r>
    </w:p>
    <w:p>
      <w:pPr>
        <w:numPr>
          <w:ilvl w:val="0"/>
          <w:numId w:val="10"/>
        </w:numPr>
        <w:spacing w:line="360" w:lineRule="auto"/>
        <w:ind w:firstLine="440" w:firstLineChars="200"/>
        <w:rPr>
          <w:rFonts w:ascii="宋体" w:hAnsi="宋体"/>
          <w:color w:val="auto"/>
          <w:szCs w:val="21"/>
          <w:highlight w:val="none"/>
          <w:u w:val="single"/>
        </w:rPr>
      </w:pPr>
      <w:r>
        <w:rPr>
          <w:rFonts w:hint="eastAsia" w:ascii="宋体" w:hAnsi="宋体"/>
          <w:color w:val="auto"/>
          <w:szCs w:val="21"/>
          <w:highlight w:val="none"/>
          <w:u w:val="single"/>
        </w:rPr>
        <w:t>消耗量依据 2021年《北京市建设工程计价依据——预算消耗量标准》。</w:t>
      </w:r>
    </w:p>
    <w:p>
      <w:pPr>
        <w:numPr>
          <w:ilvl w:val="0"/>
          <w:numId w:val="10"/>
        </w:numPr>
        <w:spacing w:line="360" w:lineRule="auto"/>
        <w:ind w:firstLine="440" w:firstLineChars="200"/>
        <w:rPr>
          <w:rFonts w:ascii="宋体" w:hAnsi="宋体"/>
          <w:color w:val="auto"/>
          <w:szCs w:val="21"/>
          <w:highlight w:val="none"/>
          <w:u w:val="single"/>
        </w:rPr>
      </w:pPr>
      <w:r>
        <w:rPr>
          <w:rFonts w:hint="eastAsia" w:ascii="宋体" w:hAnsi="宋体"/>
          <w:color w:val="auto"/>
          <w:szCs w:val="21"/>
          <w:highlight w:val="none"/>
          <w:u w:val="single"/>
        </w:rPr>
        <w:t>变更工作的取费费率按照合同文件中的《费率报价表》中的费率执行；</w:t>
      </w:r>
    </w:p>
    <w:p>
      <w:pPr>
        <w:numPr>
          <w:ilvl w:val="0"/>
          <w:numId w:val="10"/>
        </w:numPr>
        <w:spacing w:line="360" w:lineRule="auto"/>
        <w:ind w:firstLine="440" w:firstLineChars="200"/>
        <w:rPr>
          <w:rFonts w:ascii="宋体" w:hAnsi="宋体"/>
          <w:color w:val="auto"/>
          <w:szCs w:val="21"/>
          <w:highlight w:val="none"/>
          <w:u w:val="single"/>
        </w:rPr>
      </w:pPr>
      <w:r>
        <w:rPr>
          <w:rFonts w:hint="eastAsia" w:ascii="宋体" w:hAnsi="宋体"/>
          <w:color w:val="auto"/>
          <w:szCs w:val="21"/>
          <w:highlight w:val="none"/>
          <w:u w:val="single"/>
        </w:rPr>
        <w:t>人工工日单价按照合同文件中的人工单价执行；</w:t>
      </w:r>
    </w:p>
    <w:p>
      <w:pPr>
        <w:numPr>
          <w:ilvl w:val="0"/>
          <w:numId w:val="10"/>
        </w:numPr>
        <w:spacing w:line="360" w:lineRule="auto"/>
        <w:ind w:firstLine="440" w:firstLineChars="200"/>
        <w:rPr>
          <w:rFonts w:ascii="宋体" w:hAnsi="宋体"/>
          <w:color w:val="auto"/>
          <w:szCs w:val="21"/>
          <w:highlight w:val="none"/>
          <w:u w:val="single"/>
        </w:rPr>
      </w:pPr>
      <w:r>
        <w:rPr>
          <w:rFonts w:hint="eastAsia" w:ascii="宋体" w:hAnsi="宋体"/>
          <w:color w:val="auto"/>
          <w:szCs w:val="21"/>
          <w:highlight w:val="none"/>
          <w:u w:val="single"/>
        </w:rPr>
        <w:t>如材料为合同文件中已有的材料，价格按照合同执行；合同中没有适用或类似的材料，价格按照采购期《北京市工程造价信息》中的价格，《北京市工程造价信息》没有的材料按监理人审批，发包人确认价格执行（签字为准）；</w:t>
      </w:r>
    </w:p>
    <w:p>
      <w:pPr>
        <w:numPr>
          <w:ilvl w:val="0"/>
          <w:numId w:val="10"/>
        </w:numPr>
        <w:spacing w:line="360" w:lineRule="auto"/>
        <w:ind w:firstLine="440" w:firstLineChars="200"/>
        <w:rPr>
          <w:rFonts w:ascii="宋体" w:hAnsi="宋体"/>
          <w:color w:val="auto"/>
          <w:szCs w:val="21"/>
          <w:highlight w:val="none"/>
          <w:u w:val="single"/>
        </w:rPr>
      </w:pPr>
      <w:r>
        <w:rPr>
          <w:rFonts w:hint="eastAsia" w:ascii="宋体" w:hAnsi="宋体"/>
          <w:color w:val="auto"/>
          <w:szCs w:val="21"/>
          <w:highlight w:val="none"/>
          <w:u w:val="single"/>
        </w:rPr>
        <w:t>如机械为合同《人材机汇总表》中已有的机械，价格按照合同执行；合同中没有适</w:t>
      </w:r>
    </w:p>
    <w:p>
      <w:pPr>
        <w:spacing w:line="360" w:lineRule="auto"/>
        <w:rPr>
          <w:rFonts w:ascii="宋体" w:hAnsi="宋体"/>
          <w:color w:val="auto"/>
          <w:szCs w:val="21"/>
          <w:highlight w:val="none"/>
          <w:u w:val="single"/>
        </w:rPr>
      </w:pPr>
      <w:r>
        <w:rPr>
          <w:rFonts w:hint="eastAsia" w:ascii="宋体" w:hAnsi="宋体"/>
          <w:color w:val="auto"/>
          <w:szCs w:val="21"/>
          <w:highlight w:val="none"/>
          <w:u w:val="single"/>
        </w:rPr>
        <w:t>用或类似的机械，单价按照《北京市工程造价信息》中的价格执行；</w:t>
      </w:r>
    </w:p>
    <w:p>
      <w:pPr>
        <w:spacing w:line="360" w:lineRule="auto"/>
        <w:ind w:firstLine="440" w:firstLineChars="200"/>
        <w:rPr>
          <w:rFonts w:ascii="宋体" w:hAnsi="宋体"/>
          <w:color w:val="auto"/>
          <w:szCs w:val="21"/>
          <w:highlight w:val="none"/>
          <w:u w:val="single"/>
        </w:rPr>
      </w:pPr>
      <w:r>
        <w:rPr>
          <w:rFonts w:hint="eastAsia" w:ascii="宋体" w:hAnsi="宋体"/>
          <w:color w:val="auto"/>
          <w:szCs w:val="21"/>
          <w:highlight w:val="none"/>
          <w:u w:val="single"/>
        </w:rPr>
        <w:t>(f)如双方不能达成一致的，双方可提请工程所在地工程造价管理机构进行咨询或直接按本合同第24 条解决 。</w:t>
      </w:r>
      <w:r>
        <w:rPr>
          <w:rFonts w:ascii="宋体" w:hAnsi="宋体"/>
          <w:color w:val="auto"/>
          <w:szCs w:val="21"/>
          <w:highlight w:val="none"/>
          <w:u w:val="single"/>
        </w:rPr>
        <w:t>新增项目的综合单价确认亦依据本条款约定执行。</w:t>
      </w:r>
    </w:p>
    <w:p>
      <w:pPr>
        <w:pStyle w:val="49"/>
        <w:rPr>
          <w:rFonts w:ascii="黑体" w:hAnsi="宋体" w:cs="Arial"/>
          <w:color w:val="auto"/>
          <w:highlight w:val="none"/>
        </w:rPr>
      </w:pPr>
      <w:bookmarkStart w:id="355" w:name="_Toc144974680"/>
      <w:bookmarkStart w:id="356" w:name="_Toc342296477"/>
      <w:bookmarkStart w:id="357" w:name="_Toc152042489"/>
      <w:bookmarkStart w:id="358" w:name="_Toc152045711"/>
      <w:bookmarkStart w:id="359" w:name="_Toc241459718"/>
      <w:bookmarkStart w:id="360" w:name="_Toc179632729"/>
      <w:r>
        <w:rPr>
          <w:rFonts w:hint="eastAsia" w:ascii="黑体" w:hAnsi="宋体" w:cs="Arial"/>
          <w:color w:val="auto"/>
          <w:highlight w:val="none"/>
        </w:rPr>
        <w:t>15.5 承包人的合理化建议</w:t>
      </w:r>
      <w:bookmarkEnd w:id="355"/>
      <w:bookmarkEnd w:id="356"/>
      <w:bookmarkEnd w:id="357"/>
      <w:bookmarkEnd w:id="358"/>
      <w:bookmarkEnd w:id="359"/>
      <w:bookmarkEnd w:id="360"/>
    </w:p>
    <w:p>
      <w:pPr>
        <w:spacing w:line="400" w:lineRule="exact"/>
        <w:rPr>
          <w:rFonts w:ascii="宋体" w:hAnsi="宋体"/>
          <w:color w:val="auto"/>
          <w:szCs w:val="21"/>
          <w:highlight w:val="none"/>
        </w:rPr>
      </w:pPr>
      <w:r>
        <w:rPr>
          <w:rFonts w:hint="eastAsia" w:ascii="宋体" w:hAnsi="宋体"/>
          <w:color w:val="auto"/>
          <w:szCs w:val="21"/>
          <w:highlight w:val="none"/>
        </w:rPr>
        <w:t>15.5.2对承包人提出合理化建议的奖励方法：</w:t>
      </w:r>
      <w:r>
        <w:rPr>
          <w:rFonts w:hint="eastAsia" w:ascii="宋体" w:hAnsi="宋体"/>
          <w:color w:val="auto"/>
          <w:szCs w:val="21"/>
          <w:highlight w:val="none"/>
          <w:u w:val="single"/>
        </w:rPr>
        <w:t>/</w:t>
      </w:r>
      <w:r>
        <w:rPr>
          <w:rFonts w:hint="eastAsia" w:ascii="宋体" w:hAnsi="宋体"/>
          <w:color w:val="auto"/>
          <w:szCs w:val="21"/>
          <w:highlight w:val="none"/>
        </w:rPr>
        <w:t>。</w:t>
      </w:r>
    </w:p>
    <w:p>
      <w:pPr>
        <w:pStyle w:val="49"/>
        <w:rPr>
          <w:rFonts w:ascii="黑体" w:hAnsi="宋体" w:cs="Arial"/>
          <w:color w:val="auto"/>
          <w:highlight w:val="none"/>
        </w:rPr>
      </w:pPr>
      <w:bookmarkStart w:id="361" w:name="_Toc241459719"/>
      <w:bookmarkStart w:id="362" w:name="_Toc342296478"/>
      <w:bookmarkStart w:id="363" w:name="_Toc179632732"/>
      <w:bookmarkStart w:id="364" w:name="_Toc152042492"/>
      <w:bookmarkStart w:id="365" w:name="_Toc152045714"/>
      <w:bookmarkStart w:id="366" w:name="_Toc144974683"/>
      <w:r>
        <w:rPr>
          <w:rFonts w:hint="eastAsia" w:ascii="黑体" w:hAnsi="宋体" w:cs="Arial"/>
          <w:color w:val="auto"/>
          <w:highlight w:val="none"/>
        </w:rPr>
        <w:t>15.8 暂估价</w:t>
      </w:r>
      <w:bookmarkEnd w:id="361"/>
      <w:bookmarkEnd w:id="362"/>
      <w:bookmarkEnd w:id="363"/>
      <w:bookmarkEnd w:id="364"/>
      <w:bookmarkEnd w:id="365"/>
      <w:bookmarkEnd w:id="366"/>
    </w:p>
    <w:p>
      <w:pPr>
        <w:spacing w:line="400" w:lineRule="exact"/>
        <w:rPr>
          <w:rFonts w:ascii="宋体" w:hAnsi="宋体"/>
          <w:color w:val="auto"/>
          <w:szCs w:val="21"/>
          <w:highlight w:val="none"/>
        </w:rPr>
      </w:pPr>
      <w:r>
        <w:rPr>
          <w:rFonts w:hint="eastAsia" w:ascii="宋体" w:hAnsi="宋体"/>
          <w:color w:val="auto"/>
          <w:szCs w:val="21"/>
          <w:highlight w:val="none"/>
        </w:rPr>
        <w:t>15.8.1按合同约定应当由发包人和承包人采用招标方式选择专项供应商或专业分包人的：</w:t>
      </w:r>
    </w:p>
    <w:p>
      <w:pPr>
        <w:spacing w:line="400" w:lineRule="exact"/>
        <w:rPr>
          <w:rFonts w:ascii="宋体" w:hAnsi="宋体"/>
          <w:color w:val="auto"/>
          <w:szCs w:val="21"/>
          <w:highlight w:val="none"/>
          <w:u w:val="single"/>
        </w:rPr>
      </w:pPr>
      <w:r>
        <w:rPr>
          <w:rFonts w:hint="eastAsia" w:ascii="宋体" w:hAnsi="宋体"/>
          <w:color w:val="auto"/>
          <w:szCs w:val="21"/>
          <w:highlight w:val="none"/>
        </w:rPr>
        <w:t>(4)承包人报送招标计划期限：</w:t>
      </w:r>
      <w:r>
        <w:rPr>
          <w:rFonts w:eastAsia="Times New Roman"/>
          <w:color w:val="auto"/>
          <w:sz w:val="22"/>
          <w:szCs w:val="22"/>
          <w:highlight w:val="none"/>
          <w:u w:val="single"/>
        </w:rPr>
        <w:t>7</w:t>
      </w:r>
      <w:r>
        <w:rPr>
          <w:color w:val="auto"/>
          <w:highlight w:val="none"/>
          <w:u w:val="single"/>
        </w:rPr>
        <w:t>日</w:t>
      </w:r>
    </w:p>
    <w:p>
      <w:pPr>
        <w:spacing w:line="400" w:lineRule="exact"/>
        <w:rPr>
          <w:rFonts w:ascii="宋体" w:hAnsi="宋体"/>
          <w:color w:val="auto"/>
          <w:szCs w:val="21"/>
          <w:highlight w:val="none"/>
          <w:u w:val="single"/>
        </w:rPr>
      </w:pPr>
      <w:r>
        <w:rPr>
          <w:rFonts w:hint="eastAsia" w:ascii="宋体" w:hAnsi="宋体"/>
          <w:color w:val="auto"/>
          <w:szCs w:val="21"/>
          <w:highlight w:val="none"/>
        </w:rPr>
        <w:t>发包人审批招标工作计划时限：</w:t>
      </w:r>
      <w:r>
        <w:rPr>
          <w:rFonts w:eastAsia="Times New Roman"/>
          <w:color w:val="auto"/>
          <w:sz w:val="22"/>
          <w:szCs w:val="22"/>
          <w:highlight w:val="none"/>
          <w:u w:val="single"/>
        </w:rPr>
        <w:t>7</w:t>
      </w:r>
      <w:r>
        <w:rPr>
          <w:color w:val="auto"/>
          <w:highlight w:val="none"/>
          <w:u w:val="single"/>
        </w:rPr>
        <w:t>日</w:t>
      </w:r>
    </w:p>
    <w:p>
      <w:pPr>
        <w:spacing w:line="400" w:lineRule="exact"/>
        <w:rPr>
          <w:rFonts w:ascii="宋体" w:hAnsi="宋体"/>
          <w:color w:val="auto"/>
          <w:szCs w:val="21"/>
          <w:highlight w:val="none"/>
          <w:u w:val="single"/>
        </w:rPr>
      </w:pPr>
      <w:r>
        <w:rPr>
          <w:rFonts w:hint="eastAsia" w:ascii="宋体" w:hAnsi="宋体"/>
          <w:color w:val="auto"/>
          <w:szCs w:val="21"/>
          <w:highlight w:val="none"/>
        </w:rPr>
        <w:t>(5)承包人报送相关文件时限：</w:t>
      </w:r>
      <w:r>
        <w:rPr>
          <w:rFonts w:eastAsia="Times New Roman"/>
          <w:color w:val="auto"/>
          <w:sz w:val="22"/>
          <w:szCs w:val="22"/>
          <w:highlight w:val="none"/>
          <w:u w:val="single"/>
        </w:rPr>
        <w:t>7日</w:t>
      </w:r>
    </w:p>
    <w:p>
      <w:pPr>
        <w:spacing w:line="400" w:lineRule="exact"/>
        <w:rPr>
          <w:rFonts w:ascii="宋体" w:hAnsi="宋体"/>
          <w:color w:val="auto"/>
          <w:szCs w:val="21"/>
          <w:highlight w:val="none"/>
          <w:u w:val="single"/>
        </w:rPr>
      </w:pPr>
      <w:r>
        <w:rPr>
          <w:rFonts w:hint="eastAsia" w:ascii="宋体" w:hAnsi="宋体"/>
          <w:color w:val="auto"/>
          <w:szCs w:val="21"/>
          <w:highlight w:val="none"/>
        </w:rPr>
        <w:t>发包人审批相关文件时限：</w:t>
      </w:r>
      <w:r>
        <w:rPr>
          <w:rFonts w:eastAsia="Times New Roman"/>
          <w:color w:val="auto"/>
          <w:sz w:val="22"/>
          <w:szCs w:val="22"/>
          <w:highlight w:val="none"/>
          <w:u w:val="single"/>
        </w:rPr>
        <w:t>7日</w:t>
      </w:r>
    </w:p>
    <w:p>
      <w:pPr>
        <w:spacing w:line="400" w:lineRule="exact"/>
        <w:rPr>
          <w:rFonts w:ascii="宋体" w:hAnsi="宋体"/>
          <w:color w:val="auto"/>
          <w:szCs w:val="21"/>
          <w:highlight w:val="none"/>
        </w:rPr>
      </w:pPr>
      <w:r>
        <w:rPr>
          <w:rFonts w:hint="eastAsia" w:ascii="宋体" w:hAnsi="宋体"/>
          <w:color w:val="auto"/>
          <w:szCs w:val="21"/>
          <w:highlight w:val="none"/>
        </w:rPr>
        <w:t>(10)承包人申报合同文件时限：</w:t>
      </w:r>
      <w:r>
        <w:rPr>
          <w:rFonts w:eastAsia="Times New Roman"/>
          <w:color w:val="auto"/>
          <w:sz w:val="22"/>
          <w:szCs w:val="22"/>
          <w:highlight w:val="none"/>
          <w:u w:val="single"/>
        </w:rPr>
        <w:t>7日</w:t>
      </w:r>
    </w:p>
    <w:p>
      <w:pPr>
        <w:spacing w:line="400" w:lineRule="exact"/>
        <w:rPr>
          <w:rFonts w:ascii="宋体" w:hAnsi="宋体"/>
          <w:color w:val="auto"/>
          <w:szCs w:val="21"/>
          <w:highlight w:val="none"/>
          <w:u w:val="single"/>
        </w:rPr>
      </w:pPr>
      <w:r>
        <w:rPr>
          <w:rFonts w:hint="eastAsia" w:ascii="宋体" w:hAnsi="宋体"/>
          <w:color w:val="auto"/>
          <w:szCs w:val="21"/>
          <w:highlight w:val="none"/>
        </w:rPr>
        <w:t>发包人审批合同文件时限：</w:t>
      </w:r>
      <w:r>
        <w:rPr>
          <w:rFonts w:eastAsia="Times New Roman"/>
          <w:color w:val="auto"/>
          <w:sz w:val="22"/>
          <w:szCs w:val="22"/>
          <w:highlight w:val="none"/>
          <w:u w:val="single"/>
        </w:rPr>
        <w:t>7日</w:t>
      </w:r>
    </w:p>
    <w:p>
      <w:pPr>
        <w:spacing w:line="400" w:lineRule="exact"/>
        <w:rPr>
          <w:rFonts w:ascii="宋体" w:hAnsi="宋体"/>
          <w:color w:val="auto"/>
          <w:szCs w:val="21"/>
          <w:highlight w:val="none"/>
          <w:u w:val="single"/>
        </w:rPr>
      </w:pPr>
      <w:r>
        <w:rPr>
          <w:rFonts w:hint="eastAsia" w:ascii="宋体" w:hAnsi="宋体"/>
          <w:color w:val="auto"/>
          <w:szCs w:val="21"/>
          <w:highlight w:val="none"/>
        </w:rPr>
        <w:t>承包人报送正式签订合同副本时限：</w:t>
      </w:r>
      <w:r>
        <w:rPr>
          <w:rFonts w:eastAsia="Times New Roman"/>
          <w:color w:val="auto"/>
          <w:sz w:val="22"/>
          <w:szCs w:val="22"/>
          <w:highlight w:val="none"/>
          <w:u w:val="single"/>
        </w:rPr>
        <w:t>7日</w:t>
      </w:r>
    </w:p>
    <w:p>
      <w:pPr>
        <w:spacing w:line="400" w:lineRule="exact"/>
        <w:rPr>
          <w:rFonts w:ascii="宋体" w:hAnsi="宋体"/>
          <w:color w:val="auto"/>
          <w:szCs w:val="21"/>
          <w:highlight w:val="none"/>
        </w:rPr>
      </w:pPr>
      <w:r>
        <w:rPr>
          <w:rFonts w:hint="eastAsia" w:ascii="宋体" w:hAnsi="宋体"/>
          <w:color w:val="auto"/>
          <w:szCs w:val="21"/>
          <w:highlight w:val="none"/>
        </w:rPr>
        <w:t>15.8.3发包人在工程量清单中给定暂估价的专业工程不属于依法必须招标的范围或者未达到依法必须招标的规模标准的，其最终价格的估价人为：</w:t>
      </w:r>
      <w:r>
        <w:rPr>
          <w:rFonts w:hint="eastAsia" w:ascii="宋体" w:hAnsi="宋体"/>
          <w:color w:val="auto"/>
          <w:szCs w:val="21"/>
          <w:highlight w:val="none"/>
          <w:u w:val="single"/>
        </w:rPr>
        <w:t>发包人</w:t>
      </w:r>
      <w:r>
        <w:rPr>
          <w:rFonts w:hint="eastAsia" w:ascii="宋体" w:hAnsi="宋体"/>
          <w:color w:val="auto"/>
          <w:szCs w:val="21"/>
          <w:highlight w:val="none"/>
        </w:rPr>
        <w:t>或者按照下列约定：</w:t>
      </w:r>
      <w:r>
        <w:rPr>
          <w:color w:val="auto"/>
          <w:sz w:val="20"/>
          <w:szCs w:val="20"/>
          <w:highlight w:val="none"/>
          <w:u w:val="single"/>
        </w:rPr>
        <w:t>采用共同比选方式</w:t>
      </w:r>
      <w:r>
        <w:rPr>
          <w:rFonts w:hint="eastAsia" w:ascii="宋体" w:hAnsi="宋体"/>
          <w:color w:val="auto"/>
          <w:szCs w:val="21"/>
          <w:highlight w:val="none"/>
          <w:u w:val="single"/>
        </w:rPr>
        <w:t>。</w:t>
      </w:r>
    </w:p>
    <w:p>
      <w:pPr>
        <w:pStyle w:val="48"/>
        <w:spacing w:before="0"/>
        <w:rPr>
          <w:color w:val="auto"/>
          <w:highlight w:val="none"/>
        </w:rPr>
      </w:pPr>
      <w:bookmarkStart w:id="367" w:name="_Toc241459720"/>
      <w:bookmarkStart w:id="368" w:name="_Toc144974684"/>
      <w:bookmarkStart w:id="369" w:name="_Toc152045715"/>
      <w:bookmarkStart w:id="370" w:name="_Toc179632733"/>
      <w:bookmarkStart w:id="371" w:name="_Toc342296479"/>
      <w:bookmarkStart w:id="372" w:name="_Toc152042493"/>
      <w:r>
        <w:rPr>
          <w:rFonts w:hint="eastAsia"/>
          <w:color w:val="auto"/>
          <w:highlight w:val="none"/>
        </w:rPr>
        <w:t>16. 价格调整</w:t>
      </w:r>
      <w:bookmarkEnd w:id="367"/>
      <w:bookmarkEnd w:id="368"/>
      <w:bookmarkEnd w:id="369"/>
      <w:bookmarkEnd w:id="370"/>
      <w:bookmarkEnd w:id="371"/>
      <w:bookmarkEnd w:id="372"/>
    </w:p>
    <w:p>
      <w:pPr>
        <w:pStyle w:val="49"/>
        <w:rPr>
          <w:rFonts w:ascii="黑体" w:hAnsi="宋体" w:cs="Arial"/>
          <w:color w:val="auto"/>
          <w:highlight w:val="none"/>
        </w:rPr>
      </w:pPr>
      <w:bookmarkStart w:id="373" w:name="_Toc179632734"/>
      <w:bookmarkStart w:id="374" w:name="_Toc152042494"/>
      <w:bookmarkStart w:id="375" w:name="_Toc144974685"/>
      <w:bookmarkStart w:id="376" w:name="_Toc342296480"/>
      <w:bookmarkStart w:id="377" w:name="_Toc152045716"/>
      <w:bookmarkStart w:id="378" w:name="_Toc241459721"/>
      <w:r>
        <w:rPr>
          <w:rFonts w:hint="eastAsia" w:ascii="黑体" w:hAnsi="宋体" w:cs="Arial"/>
          <w:color w:val="auto"/>
          <w:highlight w:val="none"/>
        </w:rPr>
        <w:t>16.1 物价波动引起的价格调整</w:t>
      </w:r>
      <w:bookmarkEnd w:id="373"/>
      <w:bookmarkEnd w:id="374"/>
      <w:bookmarkEnd w:id="375"/>
      <w:bookmarkEnd w:id="376"/>
      <w:bookmarkEnd w:id="377"/>
      <w:bookmarkEnd w:id="378"/>
    </w:p>
    <w:p>
      <w:pPr>
        <w:spacing w:line="360" w:lineRule="auto"/>
        <w:ind w:firstLine="44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物价波动引起的价格调整方法：</w:t>
      </w:r>
      <w:r>
        <w:rPr>
          <w:rFonts w:hint="eastAsia"/>
          <w:color w:val="auto"/>
          <w:sz w:val="20"/>
          <w:szCs w:val="20"/>
          <w:highlight w:val="none"/>
          <w:u w:val="single"/>
          <w:lang w:val="en-US" w:eastAsia="zh-CN"/>
        </w:rPr>
        <w:t>不调整。</w:t>
      </w:r>
    </w:p>
    <w:p>
      <w:pPr>
        <w:spacing w:line="360" w:lineRule="auto"/>
        <w:ind w:firstLine="440" w:firstLineChars="200"/>
        <w:rPr>
          <w:rFonts w:ascii="宋体"/>
          <w:color w:val="auto"/>
          <w:highlight w:val="none"/>
        </w:rPr>
      </w:pPr>
      <w:bookmarkStart w:id="379" w:name="_Toc179632736"/>
      <w:bookmarkStart w:id="380" w:name="_Toc342296481"/>
      <w:bookmarkStart w:id="381" w:name="_Toc144974689"/>
      <w:bookmarkStart w:id="382" w:name="_Toc152045718"/>
      <w:bookmarkStart w:id="383" w:name="_Toc241459722"/>
      <w:bookmarkStart w:id="384" w:name="_Toc152042497"/>
      <w:r>
        <w:rPr>
          <w:rFonts w:ascii="宋体" w:hAnsi="宋体"/>
          <w:color w:val="auto"/>
          <w:szCs w:val="21"/>
          <w:highlight w:val="none"/>
        </w:rPr>
        <w:t xml:space="preserve">16.1.2  </w:t>
      </w:r>
      <w:r>
        <w:rPr>
          <w:rFonts w:hint="eastAsia" w:ascii="宋体" w:hAnsi="宋体"/>
          <w:color w:val="auto"/>
          <w:highlight w:val="none"/>
        </w:rPr>
        <w:t>采用造价信息调整价格差额</w:t>
      </w:r>
    </w:p>
    <w:p>
      <w:pPr>
        <w:spacing w:line="360" w:lineRule="auto"/>
        <w:ind w:firstLine="660" w:firstLineChars="300"/>
        <w:rPr>
          <w:rFonts w:ascii="宋体"/>
          <w:color w:val="auto"/>
          <w:szCs w:val="21"/>
          <w:highlight w:val="none"/>
        </w:rPr>
      </w:pPr>
      <w:r>
        <w:rPr>
          <w:rFonts w:ascii="宋体" w:hAnsi="宋体"/>
          <w:color w:val="auto"/>
          <w:szCs w:val="21"/>
          <w:highlight w:val="none"/>
        </w:rPr>
        <w:t xml:space="preserve">16.1.2.1  </w:t>
      </w:r>
      <w:r>
        <w:rPr>
          <w:rFonts w:hint="eastAsia" w:ascii="宋体" w:hAnsi="宋体"/>
          <w:color w:val="auto"/>
          <w:highlight w:val="none"/>
        </w:rPr>
        <w:t>引起价格调整的物价波动风险范围及幅度</w:t>
      </w:r>
    </w:p>
    <w:p>
      <w:pPr>
        <w:spacing w:line="360" w:lineRule="auto"/>
        <w:ind w:firstLine="440" w:firstLineChars="200"/>
        <w:rPr>
          <w:rFonts w:ascii="宋体"/>
          <w:color w:val="auto"/>
          <w:szCs w:val="21"/>
          <w:highlight w:val="none"/>
        </w:rPr>
      </w:pPr>
      <w:r>
        <w:rPr>
          <w:rFonts w:hint="eastAsia" w:ascii="宋体" w:hAnsi="宋体"/>
          <w:color w:val="auto"/>
          <w:szCs w:val="21"/>
          <w:highlight w:val="none"/>
        </w:rPr>
        <w:t>引起</w:t>
      </w:r>
      <w:r>
        <w:rPr>
          <w:rFonts w:hint="eastAsia" w:ascii="宋体" w:hAnsi="宋体"/>
          <w:color w:val="auto"/>
          <w:highlight w:val="none"/>
        </w:rPr>
        <w:t>价格调整的</w:t>
      </w:r>
      <w:r>
        <w:rPr>
          <w:rFonts w:hint="eastAsia" w:ascii="宋体" w:hAnsi="宋体"/>
          <w:color w:val="auto"/>
          <w:szCs w:val="21"/>
          <w:highlight w:val="none"/>
        </w:rPr>
        <w:t>物价波动</w:t>
      </w:r>
      <w:r>
        <w:rPr>
          <w:rFonts w:hint="eastAsia" w:ascii="宋体" w:hAnsi="宋体"/>
          <w:color w:val="auto"/>
          <w:highlight w:val="none"/>
        </w:rPr>
        <w:t>风险范围</w:t>
      </w:r>
      <w:r>
        <w:rPr>
          <w:rFonts w:hint="eastAsia" w:ascii="宋体" w:hAnsi="宋体"/>
          <w:color w:val="auto"/>
          <w:szCs w:val="21"/>
          <w:highlight w:val="none"/>
        </w:rPr>
        <w:t>：</w:t>
      </w:r>
      <w:r>
        <w:rPr>
          <w:rFonts w:hint="eastAsia" w:ascii="宋体" w:hAnsi="宋体"/>
          <w:color w:val="auto"/>
          <w:szCs w:val="21"/>
          <w:highlight w:val="none"/>
          <w:u w:val="single"/>
          <w:lang w:val="en-US" w:eastAsia="zh-CN"/>
        </w:rPr>
        <w:t>无</w:t>
      </w:r>
    </w:p>
    <w:p>
      <w:pPr>
        <w:spacing w:line="360" w:lineRule="auto"/>
        <w:ind w:firstLine="440" w:firstLineChars="200"/>
        <w:rPr>
          <w:rFonts w:hint="eastAsia" w:ascii="宋体" w:eastAsia="宋体"/>
          <w:color w:val="auto"/>
          <w:szCs w:val="21"/>
          <w:highlight w:val="none"/>
          <w:u w:val="single"/>
          <w:lang w:eastAsia="zh-CN"/>
        </w:rPr>
      </w:pPr>
      <w:r>
        <w:rPr>
          <w:rFonts w:hint="eastAsia" w:ascii="宋体" w:hAnsi="宋体"/>
          <w:color w:val="auto"/>
          <w:szCs w:val="21"/>
          <w:highlight w:val="none"/>
        </w:rPr>
        <w:t>引起</w:t>
      </w:r>
      <w:r>
        <w:rPr>
          <w:rFonts w:hint="eastAsia" w:ascii="宋体" w:hAnsi="宋体"/>
          <w:color w:val="auto"/>
          <w:highlight w:val="none"/>
        </w:rPr>
        <w:t>价格调整的</w:t>
      </w:r>
      <w:r>
        <w:rPr>
          <w:rFonts w:hint="eastAsia" w:ascii="宋体" w:hAnsi="宋体"/>
          <w:color w:val="auto"/>
          <w:szCs w:val="21"/>
          <w:highlight w:val="none"/>
        </w:rPr>
        <w:t>物价波动</w:t>
      </w:r>
      <w:r>
        <w:rPr>
          <w:rFonts w:hint="eastAsia" w:ascii="宋体" w:hAnsi="宋体"/>
          <w:color w:val="auto"/>
          <w:highlight w:val="none"/>
        </w:rPr>
        <w:t>风险幅度：</w:t>
      </w:r>
      <w:r>
        <w:rPr>
          <w:rFonts w:hint="eastAsia"/>
          <w:color w:val="auto"/>
          <w:sz w:val="22"/>
          <w:szCs w:val="22"/>
          <w:highlight w:val="none"/>
          <w:u w:val="single"/>
          <w:lang w:val="en-US" w:eastAsia="zh-CN"/>
        </w:rPr>
        <w:t>无</w:t>
      </w:r>
    </w:p>
    <w:p>
      <w:pPr>
        <w:spacing w:line="360" w:lineRule="auto"/>
        <w:ind w:firstLine="660" w:firstLineChars="300"/>
        <w:rPr>
          <w:rFonts w:ascii="宋体"/>
          <w:color w:val="auto"/>
          <w:szCs w:val="21"/>
          <w:highlight w:val="none"/>
        </w:rPr>
      </w:pPr>
      <w:r>
        <w:rPr>
          <w:rFonts w:ascii="宋体" w:hAnsi="宋体"/>
          <w:color w:val="auto"/>
          <w:szCs w:val="21"/>
          <w:highlight w:val="none"/>
        </w:rPr>
        <w:t>16.1.2</w:t>
      </w:r>
      <w:r>
        <w:rPr>
          <w:rFonts w:ascii="宋体"/>
          <w:color w:val="auto"/>
          <w:szCs w:val="21"/>
          <w:highlight w:val="none"/>
        </w:rPr>
        <w:t>.</w:t>
      </w:r>
      <w:r>
        <w:rPr>
          <w:rFonts w:ascii="宋体" w:hAnsi="宋体"/>
          <w:color w:val="auto"/>
          <w:szCs w:val="21"/>
          <w:highlight w:val="none"/>
        </w:rPr>
        <w:t xml:space="preserve">2   </w:t>
      </w:r>
      <w:r>
        <w:rPr>
          <w:rFonts w:hint="eastAsia" w:ascii="宋体" w:hAnsi="宋体"/>
          <w:color w:val="auto"/>
          <w:szCs w:val="21"/>
          <w:highlight w:val="none"/>
        </w:rPr>
        <w:t>物价波动引起价格调整的风险幅度的计算方法</w:t>
      </w:r>
    </w:p>
    <w:p>
      <w:pPr>
        <w:pStyle w:val="50"/>
        <w:numPr>
          <w:ilvl w:val="0"/>
          <w:numId w:val="11"/>
        </w:numPr>
        <w:tabs>
          <w:tab w:val="left" w:pos="1090"/>
        </w:tabs>
        <w:spacing w:after="120" w:line="240" w:lineRule="auto"/>
        <w:ind w:left="0" w:firstLine="640"/>
        <w:jc w:val="both"/>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投标报价基准期：</w:t>
      </w:r>
      <w:r>
        <w:rPr>
          <w:rFonts w:hint="eastAsia" w:ascii="宋体" w:hAnsi="宋体" w:eastAsia="宋体" w:cs="宋体"/>
          <w:color w:val="auto"/>
          <w:kern w:val="0"/>
          <w:sz w:val="22"/>
          <w:szCs w:val="21"/>
          <w:highlight w:val="none"/>
          <w:lang w:val="en-US" w:eastAsia="zh-CN" w:bidi="ar-SA"/>
        </w:rPr>
        <w:t xml:space="preserve"> 2024 </w:t>
      </w:r>
      <w:r>
        <w:rPr>
          <w:rFonts w:hint="eastAsia" w:ascii="宋体" w:hAnsi="宋体" w:eastAsia="宋体" w:cs="宋体"/>
          <w:color w:val="auto"/>
          <w:kern w:val="0"/>
          <w:sz w:val="22"/>
          <w:szCs w:val="21"/>
          <w:highlight w:val="none"/>
          <w:lang w:val="en-US" w:eastAsia="en-US" w:bidi="ar-SA"/>
        </w:rPr>
        <w:t>年</w:t>
      </w:r>
      <w:r>
        <w:rPr>
          <w:rFonts w:hint="eastAsia" w:ascii="宋体" w:hAnsi="宋体" w:eastAsia="宋体" w:cs="宋体"/>
          <w:color w:val="auto"/>
          <w:kern w:val="0"/>
          <w:sz w:val="22"/>
          <w:szCs w:val="21"/>
          <w:highlight w:val="none"/>
          <w:lang w:val="en-US" w:eastAsia="zh-CN" w:bidi="ar-SA"/>
        </w:rPr>
        <w:t>4</w:t>
      </w:r>
      <w:r>
        <w:rPr>
          <w:rFonts w:hint="eastAsia" w:ascii="宋体" w:hAnsi="宋体" w:eastAsia="宋体" w:cs="宋体"/>
          <w:color w:val="auto"/>
          <w:kern w:val="0"/>
          <w:sz w:val="22"/>
          <w:szCs w:val="21"/>
          <w:highlight w:val="none"/>
          <w:lang w:val="en-US" w:eastAsia="en-US" w:bidi="ar-SA"/>
        </w:rPr>
        <w:t>月。</w:t>
      </w:r>
    </w:p>
    <w:p>
      <w:pPr>
        <w:pStyle w:val="50"/>
        <w:numPr>
          <w:ilvl w:val="0"/>
          <w:numId w:val="11"/>
        </w:numPr>
        <w:tabs>
          <w:tab w:val="left" w:pos="1091"/>
        </w:tabs>
        <w:spacing w:line="240" w:lineRule="auto"/>
        <w:ind w:left="0" w:firstLine="640"/>
        <w:rPr>
          <w:rFonts w:hint="eastAsia" w:ascii="宋体" w:hAnsi="宋体" w:eastAsia="宋体" w:cs="宋体"/>
          <w:color w:val="auto"/>
          <w:kern w:val="0"/>
          <w:sz w:val="22"/>
          <w:szCs w:val="21"/>
          <w:highlight w:val="none"/>
          <w:lang w:val="en-US" w:eastAsia="en-US" w:bidi="ar-SA"/>
        </w:rPr>
      </w:pPr>
      <w:bookmarkStart w:id="385" w:name="bookmark450"/>
      <w:bookmarkEnd w:id="385"/>
      <w:r>
        <w:rPr>
          <w:rFonts w:hint="eastAsia" w:ascii="宋体" w:hAnsi="宋体" w:eastAsia="宋体" w:cs="宋体"/>
          <w:color w:val="auto"/>
          <w:kern w:val="0"/>
          <w:sz w:val="22"/>
          <w:szCs w:val="21"/>
          <w:highlight w:val="none"/>
          <w:lang w:val="en-US" w:eastAsia="en-US" w:bidi="ar-SA"/>
        </w:rPr>
        <w:t>《北京工程造价信息》市场价格信息中没有的，基准价的确定方法：</w:t>
      </w:r>
    </w:p>
    <w:p>
      <w:pPr>
        <w:pStyle w:val="51"/>
        <w:spacing w:after="120" w:line="384" w:lineRule="exact"/>
        <w:ind w:firstLine="660"/>
        <w:jc w:val="both"/>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以发包人和承包人共同确认的施工期采购量和相应采购价为依据，以采购量计算市场价格所占权重，再乘以相应釆购量对应的采购价，累计计算的施工期市场价格确定为基准价。</w:t>
      </w:r>
    </w:p>
    <w:p>
      <w:pPr>
        <w:pStyle w:val="50"/>
        <w:numPr>
          <w:ilvl w:val="0"/>
          <w:numId w:val="11"/>
        </w:numPr>
        <w:tabs>
          <w:tab w:val="left" w:pos="1110"/>
        </w:tabs>
        <w:spacing w:line="240" w:lineRule="auto"/>
        <w:ind w:left="0" w:firstLine="660"/>
        <w:jc w:val="both"/>
        <w:rPr>
          <w:rFonts w:hint="eastAsia" w:ascii="宋体" w:hAnsi="宋体" w:eastAsia="宋体" w:cs="宋体"/>
          <w:color w:val="auto"/>
          <w:kern w:val="0"/>
          <w:sz w:val="22"/>
          <w:szCs w:val="21"/>
          <w:highlight w:val="none"/>
          <w:lang w:val="en-US" w:eastAsia="en-US" w:bidi="ar-SA"/>
        </w:rPr>
      </w:pPr>
      <w:bookmarkStart w:id="386" w:name="bookmark451"/>
      <w:bookmarkEnd w:id="386"/>
      <w:r>
        <w:rPr>
          <w:rFonts w:hint="eastAsia" w:ascii="宋体" w:hAnsi="宋体" w:eastAsia="宋体" w:cs="宋体"/>
          <w:color w:val="auto"/>
          <w:kern w:val="0"/>
          <w:sz w:val="22"/>
          <w:szCs w:val="21"/>
          <w:highlight w:val="none"/>
          <w:lang w:val="en-US" w:eastAsia="en-US" w:bidi="ar-SA"/>
        </w:rPr>
        <w:t>合同施工期市场价格的确定方法：</w:t>
      </w:r>
    </w:p>
    <w:p>
      <w:pPr>
        <w:pStyle w:val="51"/>
        <w:spacing w:after="120" w:line="370" w:lineRule="exact"/>
        <w:ind w:firstLine="660"/>
        <w:jc w:val="both"/>
        <w:rPr>
          <w:rFonts w:hint="eastAsia" w:ascii="宋体" w:hAnsi="宋体" w:eastAsia="宋体" w:cs="宋体"/>
          <w:color w:val="auto"/>
          <w:kern w:val="0"/>
          <w:sz w:val="22"/>
          <w:szCs w:val="21"/>
          <w:highlight w:val="none"/>
          <w:lang w:val="en-US" w:eastAsia="zh-CN" w:bidi="ar-SA"/>
        </w:rPr>
      </w:pPr>
      <w:r>
        <w:rPr>
          <w:rFonts w:hint="eastAsia" w:ascii="宋体" w:hAnsi="宋体" w:eastAsia="宋体" w:cs="宋体"/>
          <w:color w:val="auto"/>
          <w:kern w:val="0"/>
          <w:sz w:val="22"/>
          <w:szCs w:val="21"/>
          <w:highlight w:val="none"/>
          <w:lang w:val="en-US" w:eastAsia="en-US" w:bidi="ar-SA"/>
        </w:rPr>
        <w:t>按发包人、承包人共同确认的价格为准，若发包人、承包人未能就共同确认价格达成一致，则以《北京工程造价信息》中的市场信息价格(以下简称造价信息价格)作为合同施工期市场价格，造价信息价格中有上、下限的，以下限为准，《北京工程造价信息》中市场信息价格没有的，按本章第24条的约定办理。</w:t>
      </w:r>
    </w:p>
    <w:p>
      <w:pPr>
        <w:pStyle w:val="51"/>
        <w:spacing w:after="120" w:line="370" w:lineRule="exact"/>
        <w:ind w:firstLine="660"/>
        <w:jc w:val="both"/>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zh-CN" w:bidi="ar-SA"/>
        </w:rPr>
        <w:t xml:space="preserve">16.1. 2. </w:t>
      </w:r>
      <w:r>
        <w:rPr>
          <w:rFonts w:hint="eastAsia" w:ascii="宋体" w:hAnsi="宋体" w:eastAsia="宋体" w:cs="宋体"/>
          <w:color w:val="auto"/>
          <w:kern w:val="0"/>
          <w:sz w:val="22"/>
          <w:szCs w:val="21"/>
          <w:highlight w:val="none"/>
          <w:lang w:val="en-US" w:eastAsia="en-US" w:bidi="ar-SA"/>
        </w:rPr>
        <w:t>3物价波动引起价格调整的方法</w:t>
      </w:r>
    </w:p>
    <w:p>
      <w:pPr>
        <w:pStyle w:val="50"/>
        <w:numPr>
          <w:ilvl w:val="0"/>
          <w:numId w:val="12"/>
        </w:numPr>
        <w:spacing w:line="240" w:lineRule="auto"/>
        <w:ind w:left="0" w:firstLine="640"/>
        <w:jc w:val="both"/>
        <w:rPr>
          <w:rFonts w:hint="eastAsia" w:ascii="宋体" w:hAnsi="宋体" w:eastAsia="宋体" w:cs="宋体"/>
          <w:color w:val="auto"/>
          <w:kern w:val="0"/>
          <w:sz w:val="22"/>
          <w:szCs w:val="21"/>
          <w:highlight w:val="none"/>
          <w:lang w:val="en-US" w:eastAsia="en-US" w:bidi="ar-SA"/>
        </w:rPr>
      </w:pPr>
      <w:bookmarkStart w:id="387" w:name="bookmark452"/>
      <w:bookmarkEnd w:id="387"/>
      <w:r>
        <w:rPr>
          <w:rFonts w:hint="eastAsia" w:ascii="宋体" w:hAnsi="宋体" w:eastAsia="宋体" w:cs="宋体"/>
          <w:color w:val="auto"/>
          <w:kern w:val="0"/>
          <w:sz w:val="22"/>
          <w:szCs w:val="21"/>
          <w:highlight w:val="none"/>
          <w:lang w:val="en-US" w:eastAsia="en-US" w:bidi="ar-SA"/>
        </w:rPr>
        <w:t>本工程单价调整方法釆用</w:t>
      </w:r>
      <w:r>
        <w:rPr>
          <w:rFonts w:hint="eastAsia" w:ascii="宋体" w:hAnsi="宋体" w:eastAsia="宋体" w:cs="宋体"/>
          <w:color w:val="auto"/>
          <w:kern w:val="0"/>
          <w:sz w:val="22"/>
          <w:szCs w:val="21"/>
          <w:highlight w:val="none"/>
          <w:lang w:val="en-US" w:eastAsia="zh-CN" w:bidi="ar-SA"/>
        </w:rPr>
        <w:t xml:space="preserve"> / </w:t>
      </w:r>
      <w:r>
        <w:rPr>
          <w:rFonts w:hint="eastAsia" w:ascii="宋体" w:hAnsi="宋体" w:eastAsia="宋体" w:cs="宋体"/>
          <w:color w:val="auto"/>
          <w:kern w:val="0"/>
          <w:sz w:val="22"/>
          <w:szCs w:val="21"/>
          <w:highlight w:val="none"/>
          <w:lang w:val="en-US" w:eastAsia="en-US" w:bidi="ar-SA"/>
        </w:rPr>
        <w:t>(加权平均法/算数平均法/其他计算方法)。</w:t>
      </w:r>
    </w:p>
    <w:p>
      <w:pPr>
        <w:pStyle w:val="51"/>
        <w:tabs>
          <w:tab w:val="left" w:pos="2811"/>
        </w:tabs>
        <w:spacing w:after="120" w:line="377" w:lineRule="exact"/>
        <w:ind w:firstLine="560"/>
        <w:jc w:val="both"/>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釆用加权平均法：依据本章</w:t>
      </w:r>
      <w:r>
        <w:rPr>
          <w:rFonts w:hint="eastAsia" w:ascii="宋体" w:hAnsi="宋体" w:eastAsia="宋体" w:cs="宋体"/>
          <w:color w:val="auto"/>
          <w:kern w:val="0"/>
          <w:sz w:val="22"/>
          <w:szCs w:val="21"/>
          <w:highlight w:val="none"/>
          <w:lang w:val="en-US" w:eastAsia="zh-CN" w:bidi="ar-SA"/>
        </w:rPr>
        <w:t>17.1.3</w:t>
      </w:r>
      <w:r>
        <w:rPr>
          <w:rFonts w:hint="eastAsia" w:ascii="宋体" w:hAnsi="宋体" w:eastAsia="宋体" w:cs="宋体"/>
          <w:color w:val="auto"/>
          <w:kern w:val="0"/>
          <w:sz w:val="22"/>
          <w:szCs w:val="21"/>
          <w:highlight w:val="none"/>
          <w:lang w:val="en-US" w:eastAsia="en-US" w:bidi="ar-SA"/>
        </w:rPr>
        <w:t>项约定所确定的计量周期以及本章第</w:t>
      </w:r>
      <w:r>
        <w:rPr>
          <w:rFonts w:hint="eastAsia" w:ascii="宋体" w:hAnsi="宋体" w:eastAsia="宋体" w:cs="宋体"/>
          <w:color w:val="auto"/>
          <w:kern w:val="0"/>
          <w:sz w:val="22"/>
          <w:szCs w:val="21"/>
          <w:highlight w:val="none"/>
          <w:lang w:val="en-US" w:eastAsia="zh-CN" w:bidi="ar-SA"/>
        </w:rPr>
        <w:t>16.1.2.1</w:t>
      </w:r>
      <w:r>
        <w:rPr>
          <w:rFonts w:hint="eastAsia" w:ascii="宋体" w:hAnsi="宋体" w:eastAsia="宋体" w:cs="宋体"/>
          <w:color w:val="auto"/>
          <w:kern w:val="0"/>
          <w:sz w:val="22"/>
          <w:szCs w:val="21"/>
          <w:highlight w:val="none"/>
          <w:lang w:val="en-US" w:eastAsia="en-US" w:bidi="ar-SA"/>
        </w:rPr>
        <w:t>目约定所</w:t>
      </w:r>
    </w:p>
    <w:p>
      <w:pPr>
        <w:pStyle w:val="51"/>
        <w:spacing w:line="384" w:lineRule="exact"/>
        <w:ind w:firstLine="560"/>
        <w:jc w:val="both"/>
        <w:rPr>
          <w:rFonts w:hint="eastAsia" w:ascii="宋体" w:hAnsi="宋体" w:eastAsia="宋体" w:cs="宋体"/>
          <w:color w:val="auto"/>
          <w:kern w:val="0"/>
          <w:sz w:val="22"/>
          <w:szCs w:val="21"/>
          <w:highlight w:val="none"/>
          <w:lang w:val="en-US" w:eastAsia="zh-CN" w:bidi="ar-SA"/>
        </w:rPr>
      </w:pPr>
      <w:r>
        <w:rPr>
          <w:rFonts w:hint="eastAsia" w:ascii="宋体" w:hAnsi="宋体" w:eastAsia="宋体" w:cs="宋体"/>
          <w:color w:val="auto"/>
          <w:kern w:val="0"/>
          <w:sz w:val="22"/>
          <w:szCs w:val="21"/>
          <w:highlight w:val="none"/>
          <w:lang w:val="en-US" w:eastAsia="en-US" w:bidi="ar-SA"/>
        </w:rPr>
        <w:t>确定的能够引起价格调整的物价波动风险范围和幅度，分别按照当期双方确认的每次釆购数量和对应的价格以及当期双方确认的釆购次数确定相应的加权平均价格。</w:t>
      </w:r>
    </w:p>
    <w:p>
      <w:pPr>
        <w:pStyle w:val="50"/>
        <w:spacing w:line="384" w:lineRule="exact"/>
        <w:ind w:left="0" w:firstLine="560"/>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釆用算数平均法:/</w:t>
      </w:r>
    </w:p>
    <w:p>
      <w:pPr>
        <w:pStyle w:val="50"/>
        <w:spacing w:after="120" w:line="384" w:lineRule="exact"/>
        <w:ind w:left="0" w:firstLine="560"/>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釆用其他计算方法：/</w:t>
      </w:r>
    </w:p>
    <w:p>
      <w:pPr>
        <w:pStyle w:val="52"/>
        <w:spacing w:line="360" w:lineRule="auto"/>
        <w:ind w:left="0" w:firstLine="560"/>
        <w:rPr>
          <w:rFonts w:hint="eastAsia" w:ascii="宋体" w:hAnsi="宋体" w:eastAsia="宋体" w:cs="宋体"/>
          <w:color w:val="auto"/>
          <w:kern w:val="0"/>
          <w:sz w:val="22"/>
          <w:szCs w:val="21"/>
          <w:highlight w:val="none"/>
          <w:lang w:val="en-US" w:eastAsia="en-US" w:bidi="ar-SA"/>
        </w:rPr>
      </w:pPr>
      <w:r>
        <w:rPr>
          <w:rFonts w:hint="eastAsia" w:ascii="宋体" w:hAnsi="宋体" w:eastAsia="宋体" w:cs="宋体"/>
          <w:color w:val="auto"/>
          <w:kern w:val="0"/>
          <w:sz w:val="22"/>
          <w:szCs w:val="21"/>
          <w:highlight w:val="none"/>
          <w:lang w:val="en-US" w:eastAsia="en-US" w:bidi="ar-SA"/>
        </w:rPr>
        <w:t>16.1.2.4其他约定：</w:t>
      </w:r>
    </w:p>
    <w:p>
      <w:pPr>
        <w:pStyle w:val="50"/>
        <w:numPr>
          <w:ilvl w:val="0"/>
          <w:numId w:val="13"/>
        </w:numPr>
        <w:tabs>
          <w:tab w:val="left" w:pos="964"/>
        </w:tabs>
        <w:spacing w:line="360" w:lineRule="auto"/>
        <w:ind w:left="0" w:firstLine="380"/>
        <w:rPr>
          <w:rFonts w:hint="eastAsia" w:ascii="宋体" w:hAnsi="宋体" w:eastAsia="宋体" w:cs="宋体"/>
          <w:color w:val="auto"/>
          <w:kern w:val="0"/>
          <w:sz w:val="22"/>
          <w:szCs w:val="21"/>
          <w:highlight w:val="none"/>
          <w:lang w:val="en-US" w:eastAsia="en-US" w:bidi="ar-SA"/>
        </w:rPr>
      </w:pPr>
      <w:bookmarkStart w:id="388" w:name="bookmark453"/>
      <w:bookmarkEnd w:id="388"/>
      <w:r>
        <w:rPr>
          <w:rFonts w:hint="eastAsia" w:ascii="宋体" w:hAnsi="宋体" w:eastAsia="宋体" w:cs="宋体"/>
          <w:color w:val="auto"/>
          <w:kern w:val="0"/>
          <w:sz w:val="22"/>
          <w:szCs w:val="21"/>
          <w:highlight w:val="none"/>
          <w:lang w:val="en-US" w:eastAsia="en-US" w:bidi="ar-SA"/>
        </w:rPr>
        <w:t>3其他价格调整方法</w:t>
      </w:r>
      <w:r>
        <w:rPr>
          <w:rFonts w:hint="eastAsia" w:ascii="宋体" w:hAnsi="宋体" w:eastAsia="宋体" w:cs="宋体"/>
          <w:color w:val="auto"/>
          <w:kern w:val="0"/>
          <w:sz w:val="22"/>
          <w:szCs w:val="21"/>
          <w:highlight w:val="none"/>
          <w:lang w:val="en-US" w:eastAsia="zh-CN" w:bidi="ar-SA"/>
        </w:rPr>
        <w:t>：/</w:t>
      </w:r>
    </w:p>
    <w:p>
      <w:pPr>
        <w:pStyle w:val="49"/>
        <w:rPr>
          <w:rFonts w:hint="eastAsia" w:ascii="黑体" w:hAnsi="宋体" w:cs="Arial"/>
          <w:color w:val="auto"/>
          <w:highlight w:val="none"/>
        </w:rPr>
      </w:pPr>
      <w:r>
        <w:rPr>
          <w:rFonts w:hint="eastAsia" w:ascii="黑体" w:hAnsi="宋体" w:cs="Arial"/>
          <w:color w:val="auto"/>
          <w:highlight w:val="none"/>
        </w:rPr>
        <w:t>16.</w:t>
      </w:r>
      <w:r>
        <w:rPr>
          <w:rFonts w:hint="eastAsia" w:ascii="黑体" w:hAnsi="宋体" w:cs="Arial"/>
          <w:color w:val="auto"/>
          <w:highlight w:val="none"/>
          <w:lang w:val="en-US" w:eastAsia="zh-CN"/>
        </w:rPr>
        <w:t>2</w:t>
      </w:r>
      <w:r>
        <w:rPr>
          <w:rFonts w:hint="eastAsia" w:ascii="黑体" w:hAnsi="宋体" w:cs="Arial"/>
          <w:color w:val="auto"/>
          <w:highlight w:val="none"/>
        </w:rPr>
        <w:t xml:space="preserve"> </w:t>
      </w:r>
      <w:r>
        <w:rPr>
          <w:rFonts w:hint="eastAsia" w:ascii="黑体" w:hAnsi="宋体" w:cs="Arial"/>
          <w:color w:val="auto"/>
          <w:highlight w:val="none"/>
          <w:lang w:val="en-US" w:eastAsia="zh-CN"/>
        </w:rPr>
        <w:t>质检费用争议</w:t>
      </w:r>
      <w:r>
        <w:rPr>
          <w:rFonts w:hint="eastAsia" w:ascii="黑体" w:hAnsi="宋体" w:cs="Arial"/>
          <w:color w:val="auto"/>
          <w:highlight w:val="none"/>
        </w:rPr>
        <w:t>引起的价格调整</w:t>
      </w:r>
    </w:p>
    <w:p>
      <w:pPr>
        <w:pStyle w:val="51"/>
        <w:spacing w:line="384" w:lineRule="exact"/>
        <w:ind w:firstLine="560"/>
        <w:jc w:val="both"/>
        <w:rPr>
          <w:color w:val="auto"/>
          <w:highlight w:val="none"/>
          <w:u w:val="single"/>
          <w:lang w:val="zh-TW" w:eastAsia="zh-TW"/>
        </w:rPr>
      </w:pPr>
      <w:r>
        <w:rPr>
          <w:rFonts w:hint="eastAsia"/>
          <w:color w:val="auto"/>
          <w:highlight w:val="none"/>
          <w:u w:val="single"/>
          <w:lang w:val="en-US" w:eastAsia="zh-CN"/>
        </w:rPr>
        <w:t>本项目对建筑材料检测、构件和建筑物进行一般的鉴定、检查等所发生的费用均包含在签约合同价中，后期项目实施过程中不承包人的报价错误而新增质检费用</w:t>
      </w:r>
      <w:r>
        <w:rPr>
          <w:color w:val="auto"/>
          <w:highlight w:val="none"/>
          <w:u w:val="single"/>
          <w:lang w:val="zh-TW" w:eastAsia="zh-TW"/>
        </w:rPr>
        <w:t>。</w:t>
      </w:r>
    </w:p>
    <w:p>
      <w:pPr>
        <w:pStyle w:val="49"/>
        <w:rPr>
          <w:rFonts w:hint="eastAsia" w:ascii="黑体" w:hAnsi="宋体" w:cs="Arial"/>
          <w:color w:val="auto"/>
          <w:highlight w:val="none"/>
        </w:rPr>
      </w:pPr>
      <w:r>
        <w:rPr>
          <w:rFonts w:hint="eastAsia" w:ascii="黑体" w:hAnsi="宋体" w:cs="Arial"/>
          <w:color w:val="auto"/>
          <w:highlight w:val="none"/>
        </w:rPr>
        <w:t>16.</w:t>
      </w:r>
      <w:r>
        <w:rPr>
          <w:rFonts w:hint="eastAsia" w:ascii="黑体" w:hAnsi="宋体" w:cs="Arial"/>
          <w:color w:val="auto"/>
          <w:highlight w:val="none"/>
          <w:lang w:val="en-US" w:eastAsia="zh-CN"/>
        </w:rPr>
        <w:t>3</w:t>
      </w:r>
      <w:r>
        <w:rPr>
          <w:rFonts w:hint="eastAsia" w:ascii="黑体" w:hAnsi="宋体" w:cs="Arial"/>
          <w:color w:val="auto"/>
          <w:highlight w:val="none"/>
        </w:rPr>
        <w:t xml:space="preserve"> </w:t>
      </w:r>
      <w:r>
        <w:rPr>
          <w:rFonts w:hint="eastAsia" w:ascii="黑体" w:hAnsi="宋体" w:cs="Arial"/>
          <w:color w:val="auto"/>
          <w:highlight w:val="none"/>
          <w:lang w:val="en-US" w:eastAsia="zh-CN"/>
        </w:rPr>
        <w:t>措施项目变化</w:t>
      </w:r>
      <w:r>
        <w:rPr>
          <w:rFonts w:hint="eastAsia" w:ascii="黑体" w:hAnsi="宋体" w:cs="Arial"/>
          <w:color w:val="auto"/>
          <w:highlight w:val="none"/>
        </w:rPr>
        <w:t>引起的价格调整</w:t>
      </w:r>
    </w:p>
    <w:p>
      <w:pPr>
        <w:pStyle w:val="51"/>
        <w:spacing w:line="384" w:lineRule="exact"/>
        <w:ind w:firstLine="560"/>
        <w:jc w:val="both"/>
        <w:rPr>
          <w:color w:val="auto"/>
          <w:highlight w:val="none"/>
          <w:u w:val="single"/>
          <w:lang w:val="zh-TW" w:eastAsia="zh-TW"/>
        </w:rPr>
      </w:pPr>
      <w:r>
        <w:rPr>
          <w:rFonts w:hint="eastAsia"/>
          <w:color w:val="auto"/>
          <w:highlight w:val="none"/>
          <w:u w:val="single"/>
          <w:lang w:val="en-US" w:eastAsia="zh-CN"/>
        </w:rPr>
        <w:t>承包人在其已标价工程量清单中的所列</w:t>
      </w:r>
      <w:r>
        <w:rPr>
          <w:color w:val="auto"/>
          <w:highlight w:val="none"/>
          <w:u w:val="single"/>
          <w:lang w:val="zh-TW" w:eastAsia="zh-TW"/>
        </w:rPr>
        <w:t>措施项目费</w:t>
      </w:r>
      <w:r>
        <w:rPr>
          <w:rFonts w:hint="eastAsia"/>
          <w:color w:val="auto"/>
          <w:highlight w:val="none"/>
          <w:u w:val="single"/>
          <w:lang w:val="en-US" w:eastAsia="zh-CN"/>
        </w:rPr>
        <w:t>用项</w:t>
      </w:r>
      <w:r>
        <w:rPr>
          <w:color w:val="auto"/>
          <w:highlight w:val="none"/>
          <w:u w:val="single"/>
          <w:lang w:val="zh-TW" w:eastAsia="zh-TW"/>
        </w:rPr>
        <w:t>，</w:t>
      </w:r>
      <w:r>
        <w:rPr>
          <w:rFonts w:hint="eastAsia"/>
          <w:color w:val="auto"/>
          <w:highlight w:val="none"/>
          <w:u w:val="single"/>
          <w:lang w:val="en-US" w:eastAsia="zh-CN"/>
        </w:rPr>
        <w:t>为承包人承诺于本项目中所预见可发生的所有措施项目项，后期项目实施过程中不因招标工程量清单中的措施项目清单漏项或不准确等而新增措施项目项</w:t>
      </w:r>
      <w:r>
        <w:rPr>
          <w:color w:val="auto"/>
          <w:highlight w:val="none"/>
          <w:u w:val="single"/>
          <w:lang w:val="zh-TW" w:eastAsia="zh-TW"/>
        </w:rPr>
        <w:t>。</w:t>
      </w:r>
    </w:p>
    <w:p>
      <w:pPr>
        <w:pStyle w:val="49"/>
        <w:rPr>
          <w:color w:val="auto"/>
          <w:highlight w:val="none"/>
          <w:u w:val="single"/>
          <w:lang w:val="zh-TW" w:eastAsia="zh-TW"/>
        </w:rPr>
      </w:pPr>
      <w:r>
        <w:rPr>
          <w:rFonts w:hint="eastAsia" w:ascii="黑体" w:hAnsi="宋体" w:cs="Arial"/>
          <w:color w:val="auto"/>
          <w:highlight w:val="none"/>
        </w:rPr>
        <w:t>16.</w:t>
      </w:r>
      <w:r>
        <w:rPr>
          <w:rFonts w:hint="eastAsia" w:ascii="黑体" w:hAnsi="宋体" w:cs="Arial"/>
          <w:color w:val="auto"/>
          <w:highlight w:val="none"/>
          <w:lang w:val="en-US" w:eastAsia="zh-CN"/>
        </w:rPr>
        <w:t>4</w:t>
      </w:r>
      <w:r>
        <w:rPr>
          <w:rFonts w:hint="eastAsia" w:ascii="黑体" w:hAnsi="宋体" w:cs="Arial"/>
          <w:color w:val="auto"/>
          <w:highlight w:val="none"/>
        </w:rPr>
        <w:t xml:space="preserve"> </w:t>
      </w:r>
      <w:r>
        <w:rPr>
          <w:rFonts w:hint="eastAsia" w:ascii="黑体" w:hAnsi="宋体" w:cs="Arial"/>
          <w:color w:val="auto"/>
          <w:highlight w:val="none"/>
          <w:lang w:val="en-US" w:eastAsia="zh-CN"/>
        </w:rPr>
        <w:t>其他可</w:t>
      </w:r>
      <w:r>
        <w:rPr>
          <w:rFonts w:hint="eastAsia" w:ascii="黑体" w:hAnsi="宋体" w:cs="Arial"/>
          <w:color w:val="auto"/>
          <w:highlight w:val="none"/>
        </w:rPr>
        <w:t>引起的价格调整</w:t>
      </w:r>
    </w:p>
    <w:p>
      <w:pPr>
        <w:pStyle w:val="51"/>
        <w:spacing w:line="384" w:lineRule="exact"/>
        <w:ind w:firstLine="560"/>
        <w:jc w:val="both"/>
        <w:rPr>
          <w:rFonts w:hint="eastAsia" w:eastAsia="宋体"/>
          <w:color w:val="auto"/>
          <w:highlight w:val="none"/>
          <w:u w:val="single"/>
          <w:lang w:val="en-US" w:eastAsia="zh-CN"/>
        </w:rPr>
      </w:pPr>
      <w:r>
        <w:rPr>
          <w:rFonts w:hint="eastAsia"/>
          <w:color w:val="auto"/>
          <w:highlight w:val="none"/>
          <w:u w:val="single"/>
          <w:lang w:val="en-US" w:eastAsia="zh-CN"/>
        </w:rPr>
        <w:t>未提及内容参照《建设工程工程量清单计价规范》（GB50500-2013）执行。</w:t>
      </w:r>
    </w:p>
    <w:p>
      <w:pPr>
        <w:pStyle w:val="50"/>
        <w:numPr>
          <w:ilvl w:val="0"/>
          <w:numId w:val="0"/>
        </w:numPr>
        <w:tabs>
          <w:tab w:val="left" w:pos="964"/>
        </w:tabs>
        <w:spacing w:line="360" w:lineRule="auto"/>
        <w:ind w:left="380" w:leftChars="0"/>
        <w:rPr>
          <w:color w:val="auto"/>
          <w:highlight w:val="none"/>
        </w:rPr>
      </w:pPr>
    </w:p>
    <w:p>
      <w:pPr>
        <w:pStyle w:val="48"/>
        <w:spacing w:before="0"/>
        <w:rPr>
          <w:color w:val="auto"/>
          <w:highlight w:val="none"/>
        </w:rPr>
      </w:pPr>
      <w:r>
        <w:rPr>
          <w:rFonts w:hint="eastAsia"/>
          <w:color w:val="auto"/>
          <w:highlight w:val="none"/>
        </w:rPr>
        <w:t>17. 计量与支付</w:t>
      </w:r>
      <w:bookmarkEnd w:id="379"/>
      <w:bookmarkEnd w:id="380"/>
      <w:bookmarkEnd w:id="381"/>
      <w:bookmarkEnd w:id="382"/>
      <w:bookmarkEnd w:id="383"/>
      <w:bookmarkEnd w:id="384"/>
    </w:p>
    <w:p>
      <w:pPr>
        <w:pStyle w:val="49"/>
        <w:rPr>
          <w:rFonts w:ascii="黑体" w:hAnsi="宋体" w:cs="Arial"/>
          <w:color w:val="auto"/>
          <w:highlight w:val="none"/>
        </w:rPr>
      </w:pPr>
      <w:bookmarkStart w:id="389" w:name="_Toc179632737"/>
      <w:bookmarkStart w:id="390" w:name="_Toc152045719"/>
      <w:bookmarkStart w:id="391" w:name="_Toc241459723"/>
      <w:bookmarkStart w:id="392" w:name="_Toc342296482"/>
      <w:bookmarkStart w:id="393" w:name="_Toc144974690"/>
      <w:bookmarkStart w:id="394" w:name="_Toc152042498"/>
      <w:r>
        <w:rPr>
          <w:rFonts w:hint="eastAsia" w:ascii="黑体" w:hAnsi="宋体" w:cs="Arial"/>
          <w:color w:val="auto"/>
          <w:highlight w:val="none"/>
        </w:rPr>
        <w:t>17.1 计量</w:t>
      </w:r>
      <w:bookmarkEnd w:id="389"/>
      <w:bookmarkEnd w:id="390"/>
      <w:bookmarkEnd w:id="391"/>
      <w:bookmarkEnd w:id="392"/>
      <w:bookmarkEnd w:id="393"/>
      <w:bookmarkEnd w:id="394"/>
    </w:p>
    <w:p>
      <w:pPr>
        <w:spacing w:line="400" w:lineRule="exact"/>
        <w:ind w:firstLine="440" w:firstLineChars="200"/>
        <w:rPr>
          <w:rFonts w:ascii="黑体" w:hAnsi="宋体" w:eastAsia="黑体" w:cs="Arial"/>
          <w:color w:val="auto"/>
          <w:highlight w:val="none"/>
        </w:rPr>
      </w:pPr>
      <w:r>
        <w:rPr>
          <w:rFonts w:hint="eastAsia" w:ascii="黑体" w:hAnsi="宋体" w:eastAsia="黑体" w:cs="Arial"/>
          <w:color w:val="auto"/>
          <w:highlight w:val="none"/>
        </w:rPr>
        <w:t>17.1.3 计量周期</w:t>
      </w:r>
    </w:p>
    <w:p>
      <w:pPr>
        <w:spacing w:line="400" w:lineRule="exact"/>
        <w:ind w:firstLine="440" w:firstLineChars="200"/>
        <w:rPr>
          <w:rFonts w:ascii="宋体" w:hAnsi="宋体" w:cs="Arial"/>
          <w:color w:val="auto"/>
          <w:highlight w:val="none"/>
        </w:rPr>
      </w:pPr>
      <w:r>
        <w:rPr>
          <w:rFonts w:hint="eastAsia" w:ascii="宋体" w:hAnsi="宋体" w:cs="Arial"/>
          <w:color w:val="auto"/>
          <w:highlight w:val="none"/>
        </w:rPr>
        <w:t>(1)每月</w:t>
      </w:r>
      <w:r>
        <w:rPr>
          <w:rFonts w:hint="eastAsia" w:ascii="宋体" w:hAnsi="宋体" w:cs="Arial"/>
          <w:color w:val="auto"/>
          <w:highlight w:val="none"/>
          <w:u w:val="single"/>
        </w:rPr>
        <w:t xml:space="preserve"> 25 </w:t>
      </w:r>
      <w:r>
        <w:rPr>
          <w:rFonts w:hint="eastAsia" w:ascii="宋体" w:hAnsi="宋体" w:cs="Arial"/>
          <w:color w:val="auto"/>
          <w:highlight w:val="none"/>
        </w:rPr>
        <w:t>日为当月计量截止日期（不含当日）和下月计量起始日期（含当日）。</w:t>
      </w:r>
    </w:p>
    <w:p>
      <w:pPr>
        <w:spacing w:line="400" w:lineRule="exact"/>
        <w:ind w:firstLine="440" w:firstLineChars="200"/>
        <w:rPr>
          <w:rFonts w:ascii="宋体" w:hAnsi="宋体" w:cs="Arial"/>
          <w:color w:val="auto"/>
          <w:highlight w:val="none"/>
        </w:rPr>
      </w:pPr>
      <w:r>
        <w:rPr>
          <w:rFonts w:hint="eastAsia" w:ascii="宋体" w:hAnsi="宋体" w:cs="Arial"/>
          <w:color w:val="auto"/>
          <w:highlight w:val="none"/>
        </w:rPr>
        <w:t>(2)本合同</w:t>
      </w:r>
      <w:r>
        <w:rPr>
          <w:rFonts w:hint="eastAsia" w:ascii="宋体" w:hAnsi="宋体" w:cs="Arial"/>
          <w:color w:val="auto"/>
          <w:highlight w:val="none"/>
          <w:u w:val="single"/>
        </w:rPr>
        <w:t>执行</w:t>
      </w:r>
      <w:r>
        <w:rPr>
          <w:rFonts w:hint="eastAsia" w:ascii="宋体" w:hAnsi="宋体" w:cs="Arial"/>
          <w:color w:val="auto"/>
          <w:highlight w:val="none"/>
        </w:rPr>
        <w:t>（执行（采用单价合同形式时）/不执行（采用总价合同形式时））单价子目已完成工程量按月计量。</w:t>
      </w:r>
    </w:p>
    <w:p>
      <w:pPr>
        <w:spacing w:line="400" w:lineRule="exact"/>
        <w:ind w:firstLine="440" w:firstLineChars="200"/>
        <w:rPr>
          <w:rFonts w:ascii="宋体" w:hAnsi="宋体" w:cs="Arial"/>
          <w:color w:val="auto"/>
          <w:highlight w:val="none"/>
        </w:rPr>
      </w:pPr>
      <w:r>
        <w:rPr>
          <w:rFonts w:hint="eastAsia" w:ascii="宋体" w:hAnsi="宋体" w:cs="Arial"/>
          <w:color w:val="auto"/>
          <w:highlight w:val="none"/>
        </w:rPr>
        <w:t>(3)总价子目计量方式采用</w:t>
      </w:r>
      <w:r>
        <w:rPr>
          <w:rFonts w:hint="eastAsia" w:ascii="宋体" w:hAnsi="宋体" w:cs="Arial"/>
          <w:color w:val="auto"/>
          <w:highlight w:val="none"/>
          <w:u w:val="single"/>
        </w:rPr>
        <w:t>按实际完成工程量计量</w:t>
      </w:r>
      <w:r>
        <w:rPr>
          <w:rFonts w:hint="eastAsia" w:ascii="宋体" w:hAnsi="宋体" w:cs="Arial"/>
          <w:color w:val="auto"/>
          <w:highlight w:val="none"/>
        </w:rPr>
        <w:t>（支付分解报告/按实际完成工程量计量）。</w:t>
      </w:r>
    </w:p>
    <w:p>
      <w:pPr>
        <w:spacing w:line="400" w:lineRule="exact"/>
        <w:ind w:firstLine="440" w:firstLineChars="200"/>
        <w:rPr>
          <w:rFonts w:ascii="黑体" w:hAnsi="宋体" w:eastAsia="黑体" w:cs="Arial"/>
          <w:color w:val="auto"/>
          <w:highlight w:val="none"/>
        </w:rPr>
      </w:pPr>
      <w:r>
        <w:rPr>
          <w:rFonts w:hint="eastAsia" w:ascii="黑体" w:hAnsi="宋体" w:eastAsia="黑体" w:cs="Arial"/>
          <w:color w:val="auto"/>
          <w:highlight w:val="none"/>
        </w:rPr>
        <w:t>17.1.5  总价子目的计量（适用于采用支付分解报告）</w:t>
      </w:r>
    </w:p>
    <w:p>
      <w:pPr>
        <w:spacing w:line="400" w:lineRule="exact"/>
        <w:ind w:firstLine="440" w:firstLineChars="200"/>
        <w:rPr>
          <w:rFonts w:ascii="宋体" w:hAnsi="宋体" w:cs="Arial"/>
          <w:color w:val="auto"/>
          <w:highlight w:val="none"/>
          <w:u w:val="single"/>
        </w:rPr>
      </w:pPr>
      <w:r>
        <w:rPr>
          <w:rFonts w:hint="eastAsia" w:ascii="宋体" w:hAnsi="宋体"/>
          <w:color w:val="auto"/>
          <w:szCs w:val="21"/>
          <w:highlight w:val="none"/>
        </w:rPr>
        <w:t>1)采用支付分解报告计量方式的，总价子目的价格调整方法：</w:t>
      </w:r>
      <w:r>
        <w:rPr>
          <w:rFonts w:ascii="宋体" w:hAnsi="宋体"/>
          <w:color w:val="auto"/>
          <w:szCs w:val="21"/>
          <w:highlight w:val="none"/>
          <w:u w:val="single"/>
        </w:rPr>
        <w:t>/</w:t>
      </w:r>
      <w:r>
        <w:rPr>
          <w:rFonts w:hint="eastAsia" w:ascii="宋体" w:hAnsi="宋体" w:cs="Arial"/>
          <w:color w:val="auto"/>
          <w:highlight w:val="none"/>
        </w:rPr>
        <w:t>。</w:t>
      </w:r>
    </w:p>
    <w:p>
      <w:pPr>
        <w:spacing w:line="400" w:lineRule="exact"/>
        <w:ind w:firstLine="440" w:firstLineChars="200"/>
        <w:rPr>
          <w:rFonts w:ascii="黑体" w:hAnsi="宋体" w:eastAsia="黑体" w:cs="Arial"/>
          <w:color w:val="auto"/>
          <w:highlight w:val="none"/>
        </w:rPr>
      </w:pPr>
      <w:bookmarkStart w:id="395" w:name="_Toc179632738"/>
      <w:bookmarkStart w:id="396" w:name="_Toc152045720"/>
      <w:bookmarkStart w:id="397" w:name="_Toc144974691"/>
      <w:bookmarkStart w:id="398" w:name="_Toc152042499"/>
      <w:r>
        <w:rPr>
          <w:rFonts w:hint="eastAsia" w:ascii="黑体" w:hAnsi="宋体" w:eastAsia="黑体" w:cs="Arial"/>
          <w:color w:val="auto"/>
          <w:highlight w:val="none"/>
        </w:rPr>
        <w:t>17.1.5 总价子目的计量（适用于采用按实际完成工程量计量）</w:t>
      </w:r>
    </w:p>
    <w:p>
      <w:pPr>
        <w:pStyle w:val="49"/>
        <w:ind w:firstLine="420" w:firstLineChars="200"/>
        <w:rPr>
          <w:rFonts w:hint="eastAsia" w:eastAsia="宋体"/>
          <w:color w:val="auto"/>
          <w:highlight w:val="none"/>
          <w:u w:val="single"/>
          <w:lang w:eastAsia="zh-CN"/>
        </w:rPr>
      </w:pPr>
      <w:bookmarkStart w:id="399" w:name="_Toc241459724"/>
      <w:bookmarkStart w:id="400" w:name="_Toc342296483"/>
      <w:r>
        <w:rPr>
          <w:rFonts w:hint="eastAsia" w:ascii="宋体" w:hAnsi="宋体" w:eastAsia="宋体" w:cs="Arial"/>
          <w:color w:val="auto"/>
          <w:sz w:val="21"/>
          <w:szCs w:val="24"/>
          <w:highlight w:val="none"/>
          <w:lang w:val="en-US"/>
        </w:rPr>
        <w:t>(1)采用按实际完成工程量计量方式的,总价子目的价格调整方法：</w:t>
      </w:r>
      <w:r>
        <w:rPr>
          <w:rFonts w:hint="eastAsia"/>
          <w:color w:val="auto"/>
          <w:highlight w:val="none"/>
          <w:u w:val="single"/>
          <w:lang w:val="en-US" w:eastAsia="zh-CN"/>
        </w:rPr>
        <w:t>/</w:t>
      </w:r>
    </w:p>
    <w:p>
      <w:pPr>
        <w:pStyle w:val="49"/>
        <w:rPr>
          <w:rFonts w:ascii="黑体" w:hAnsi="宋体" w:cs="Arial"/>
          <w:color w:val="auto"/>
          <w:highlight w:val="none"/>
        </w:rPr>
      </w:pPr>
      <w:r>
        <w:rPr>
          <w:rFonts w:hint="eastAsia" w:ascii="黑体" w:hAnsi="宋体" w:cs="Arial"/>
          <w:color w:val="auto"/>
          <w:highlight w:val="none"/>
        </w:rPr>
        <w:t>17.2 预付款</w:t>
      </w:r>
      <w:bookmarkEnd w:id="395"/>
      <w:bookmarkEnd w:id="396"/>
      <w:bookmarkEnd w:id="397"/>
      <w:bookmarkEnd w:id="398"/>
      <w:bookmarkEnd w:id="399"/>
      <w:bookmarkEnd w:id="400"/>
    </w:p>
    <w:p>
      <w:pPr>
        <w:spacing w:line="400" w:lineRule="exact"/>
        <w:ind w:firstLine="440" w:firstLineChars="200"/>
        <w:rPr>
          <w:rFonts w:ascii="黑体" w:hAnsi="宋体" w:eastAsia="黑体" w:cs="Arial"/>
          <w:color w:val="auto"/>
          <w:highlight w:val="none"/>
        </w:rPr>
      </w:pPr>
      <w:r>
        <w:rPr>
          <w:rFonts w:hint="eastAsia" w:ascii="黑体" w:hAnsi="宋体" w:eastAsia="黑体" w:cs="Arial"/>
          <w:color w:val="auto"/>
          <w:highlight w:val="none"/>
        </w:rPr>
        <w:t>17.2.1 预付款</w:t>
      </w:r>
    </w:p>
    <w:p>
      <w:pPr>
        <w:spacing w:line="400" w:lineRule="exact"/>
        <w:ind w:firstLine="440" w:firstLineChars="200"/>
        <w:rPr>
          <w:rFonts w:ascii="黑体" w:hAnsi="宋体" w:eastAsia="黑体"/>
          <w:color w:val="auto"/>
          <w:szCs w:val="21"/>
          <w:highlight w:val="none"/>
        </w:rPr>
      </w:pPr>
      <w:bookmarkStart w:id="401" w:name="_Toc152045722"/>
      <w:bookmarkStart w:id="402" w:name="_Toc144974693"/>
      <w:bookmarkStart w:id="403" w:name="_Toc152042501"/>
      <w:bookmarkStart w:id="404" w:name="_Toc342296485"/>
      <w:bookmarkStart w:id="405" w:name="_Toc241459726"/>
      <w:bookmarkStart w:id="406" w:name="_Toc179632740"/>
      <w:r>
        <w:rPr>
          <w:rFonts w:hint="eastAsia" w:ascii="黑体" w:hAnsi="宋体" w:eastAsia="黑体"/>
          <w:color w:val="auto"/>
          <w:szCs w:val="21"/>
          <w:highlight w:val="none"/>
        </w:rPr>
        <w:t>（1）预付款额度</w:t>
      </w:r>
    </w:p>
    <w:p>
      <w:pPr>
        <w:spacing w:line="400" w:lineRule="exact"/>
        <w:ind w:firstLine="440" w:firstLineChars="200"/>
        <w:rPr>
          <w:rFonts w:ascii="宋体" w:hAnsi="宋体"/>
          <w:color w:val="auto"/>
          <w:szCs w:val="21"/>
          <w:highlight w:val="none"/>
          <w:u w:val="single"/>
        </w:rPr>
      </w:pPr>
      <w:r>
        <w:rPr>
          <w:rFonts w:hint="eastAsia" w:ascii="宋体" w:hAnsi="宋体"/>
          <w:color w:val="auto"/>
          <w:szCs w:val="21"/>
          <w:highlight w:val="none"/>
        </w:rPr>
        <w:t>预付款额度：</w:t>
      </w:r>
      <w:r>
        <w:rPr>
          <w:rFonts w:hint="eastAsia" w:ascii="宋体" w:hAnsi="宋体"/>
          <w:color w:val="auto"/>
          <w:szCs w:val="21"/>
          <w:highlight w:val="none"/>
          <w:u w:val="single"/>
        </w:rPr>
        <w:t>签约合同价（扣除</w:t>
      </w:r>
      <w:r>
        <w:rPr>
          <w:rFonts w:hint="eastAsia" w:ascii="宋体" w:hAnsi="宋体"/>
          <w:color w:val="auto"/>
          <w:szCs w:val="21"/>
          <w:highlight w:val="none"/>
          <w:u w:val="single"/>
          <w:lang w:val="en-US" w:eastAsia="zh-CN"/>
        </w:rPr>
        <w:t>安全文明施工费和其他项目费用</w:t>
      </w:r>
      <w:r>
        <w:rPr>
          <w:rFonts w:hint="eastAsia" w:ascii="宋体" w:hAnsi="宋体"/>
          <w:color w:val="auto"/>
          <w:szCs w:val="21"/>
          <w:highlight w:val="none"/>
          <w:u w:val="single"/>
        </w:rPr>
        <w:t>）的</w:t>
      </w:r>
      <w:r>
        <w:rPr>
          <w:rFonts w:hint="eastAsia" w:ascii="宋体" w:hAnsi="宋体"/>
          <w:color w:val="auto"/>
          <w:szCs w:val="21"/>
          <w:highlight w:val="none"/>
          <w:u w:val="single"/>
          <w:lang w:val="en-US" w:eastAsia="zh-CN"/>
        </w:rPr>
        <w:t>3</w:t>
      </w:r>
      <w:r>
        <w:rPr>
          <w:rFonts w:hint="eastAsia" w:ascii="宋体" w:hAnsi="宋体"/>
          <w:color w:val="auto"/>
          <w:szCs w:val="21"/>
          <w:highlight w:val="none"/>
          <w:u w:val="single"/>
        </w:rPr>
        <w:t>0%</w:t>
      </w:r>
    </w:p>
    <w:p>
      <w:pPr>
        <w:spacing w:line="400" w:lineRule="exact"/>
        <w:ind w:firstLine="440" w:firstLineChars="200"/>
        <w:rPr>
          <w:rFonts w:hint="eastAsia" w:ascii="宋体" w:hAnsi="宋体"/>
          <w:color w:val="auto"/>
          <w:szCs w:val="21"/>
          <w:highlight w:val="none"/>
          <w:u w:val="single"/>
          <w:lang w:val="en-US" w:eastAsia="zh-CN"/>
        </w:rPr>
      </w:pPr>
      <w:r>
        <w:rPr>
          <w:rFonts w:hint="eastAsia" w:ascii="宋体" w:hAnsi="宋体"/>
          <w:color w:val="auto"/>
          <w:szCs w:val="21"/>
          <w:highlight w:val="none"/>
        </w:rPr>
        <w:t>其中：</w:t>
      </w:r>
      <w:r>
        <w:rPr>
          <w:rFonts w:hint="eastAsia" w:ascii="宋体" w:hAnsi="宋体"/>
          <w:color w:val="auto"/>
          <w:szCs w:val="21"/>
          <w:highlight w:val="none"/>
          <w:u w:val="single"/>
          <w:lang w:val="en-US" w:eastAsia="zh-CN"/>
        </w:rPr>
        <w:t>/</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 xml:space="preserve"> (2)预付办法</w:t>
      </w:r>
    </w:p>
    <w:p>
      <w:pPr>
        <w:pStyle w:val="51"/>
        <w:spacing w:line="382" w:lineRule="exact"/>
        <w:ind w:firstLine="560"/>
        <w:rPr>
          <w:color w:val="auto"/>
          <w:highlight w:val="none"/>
          <w:lang w:eastAsia="zh-CN"/>
        </w:rPr>
      </w:pPr>
      <w:r>
        <w:rPr>
          <w:rFonts w:hint="eastAsia"/>
          <w:color w:val="auto"/>
          <w:szCs w:val="21"/>
          <w:highlight w:val="none"/>
        </w:rPr>
        <w:t>预付款预付办法：</w:t>
      </w:r>
      <w:r>
        <w:rPr>
          <w:rFonts w:hint="eastAsia"/>
          <w:color w:val="auto"/>
          <w:highlight w:val="none"/>
        </w:rPr>
        <w:t>在收到承包人提交的正式发票后，发包人一次性向承包人支付预付款</w:t>
      </w:r>
    </w:p>
    <w:p>
      <w:pPr>
        <w:spacing w:line="400" w:lineRule="exact"/>
        <w:ind w:firstLine="440" w:firstLineChars="200"/>
        <w:rPr>
          <w:color w:val="auto"/>
          <w:sz w:val="18"/>
          <w:szCs w:val="18"/>
          <w:highlight w:val="none"/>
          <w:u w:val="single"/>
        </w:rPr>
      </w:pPr>
      <w:r>
        <w:rPr>
          <w:rFonts w:hint="eastAsia" w:ascii="宋体" w:hAnsi="宋体"/>
          <w:color w:val="auto"/>
          <w:szCs w:val="21"/>
          <w:highlight w:val="none"/>
        </w:rPr>
        <w:t>预付款的支付时间：</w:t>
      </w:r>
      <w:r>
        <w:rPr>
          <w:color w:val="auto"/>
          <w:highlight w:val="none"/>
          <w:u w:val="single"/>
        </w:rPr>
        <w:t>收到承包人提供的支付材料后</w:t>
      </w:r>
      <w:r>
        <w:rPr>
          <w:rFonts w:eastAsia="Times New Roman"/>
          <w:color w:val="auto"/>
          <w:sz w:val="22"/>
          <w:szCs w:val="22"/>
          <w:highlight w:val="none"/>
          <w:u w:val="single"/>
        </w:rPr>
        <w:t>30</w:t>
      </w:r>
      <w:r>
        <w:rPr>
          <w:color w:val="auto"/>
          <w:sz w:val="18"/>
          <w:szCs w:val="18"/>
          <w:highlight w:val="none"/>
          <w:u w:val="single"/>
        </w:rPr>
        <w:t>内</w:t>
      </w:r>
    </w:p>
    <w:p>
      <w:pPr>
        <w:pStyle w:val="50"/>
        <w:tabs>
          <w:tab w:val="left" w:pos="910"/>
        </w:tabs>
        <w:spacing w:line="360" w:lineRule="auto"/>
        <w:ind w:left="0" w:firstLine="460"/>
        <w:rPr>
          <w:color w:val="auto"/>
          <w:highlight w:val="none"/>
        </w:rPr>
      </w:pPr>
      <w:bookmarkStart w:id="407" w:name="bookmark464"/>
      <w:r>
        <w:rPr>
          <w:rFonts w:ascii="Times New Roman" w:hAnsi="Times New Roman" w:eastAsia="Times New Roman" w:cs="Times New Roman"/>
          <w:color w:val="auto"/>
          <w:sz w:val="22"/>
          <w:szCs w:val="22"/>
          <w:highlight w:val="none"/>
        </w:rPr>
        <w:t>（</w:t>
      </w:r>
      <w:bookmarkEnd w:id="407"/>
      <w:r>
        <w:rPr>
          <w:rFonts w:ascii="Times New Roman" w:hAnsi="Times New Roman" w:eastAsia="Times New Roman" w:cs="Times New Roman"/>
          <w:color w:val="auto"/>
          <w:sz w:val="22"/>
          <w:szCs w:val="22"/>
          <w:highlight w:val="none"/>
        </w:rPr>
        <w:t>3）</w:t>
      </w:r>
      <w:r>
        <w:rPr>
          <w:color w:val="auto"/>
          <w:highlight w:val="none"/>
        </w:rPr>
        <w:t>安全文明施工费用预付额度及方式：</w:t>
      </w:r>
    </w:p>
    <w:p>
      <w:pPr>
        <w:pStyle w:val="50"/>
        <w:spacing w:line="378" w:lineRule="exact"/>
        <w:ind w:left="0" w:firstLine="380"/>
        <w:jc w:val="both"/>
        <w:rPr>
          <w:color w:val="auto"/>
          <w:highlight w:val="none"/>
        </w:rPr>
      </w:pPr>
      <w:r>
        <w:rPr>
          <w:color w:val="auto"/>
          <w:highlight w:val="none"/>
        </w:rPr>
        <w:t>安全文明施工费用的预付不受上述预付办法和支付时间约定的制约。安全文明施工费用按以下时间节点和金额进行预付:</w:t>
      </w:r>
    </w:p>
    <w:p>
      <w:pPr>
        <w:pStyle w:val="50"/>
        <w:spacing w:line="378" w:lineRule="exact"/>
        <w:ind w:left="0" w:firstLine="380"/>
        <w:jc w:val="both"/>
        <w:rPr>
          <w:color w:val="auto"/>
          <w:highlight w:val="none"/>
        </w:rPr>
      </w:pPr>
      <w:r>
        <w:rPr>
          <w:color w:val="auto"/>
          <w:highlight w:val="none"/>
        </w:rPr>
        <w:t xml:space="preserve"> 发包人应当在不迟于第</w:t>
      </w:r>
      <w:r>
        <w:rPr>
          <w:rFonts w:ascii="Times New Roman" w:hAnsi="Times New Roman" w:eastAsia="Times New Roman" w:cs="Times New Roman"/>
          <w:color w:val="auto"/>
          <w:sz w:val="20"/>
          <w:szCs w:val="20"/>
          <w:highlight w:val="none"/>
          <w:lang w:val="en-US" w:eastAsia="zh-CN" w:bidi="en-US"/>
        </w:rPr>
        <w:t xml:space="preserve">11. 1. </w:t>
      </w:r>
      <w:r>
        <w:rPr>
          <w:rFonts w:ascii="Times New Roman" w:hAnsi="Times New Roman" w:eastAsia="Times New Roman" w:cs="Times New Roman"/>
          <w:color w:val="auto"/>
          <w:sz w:val="20"/>
          <w:szCs w:val="20"/>
          <w:highlight w:val="none"/>
        </w:rPr>
        <w:t>1</w:t>
      </w:r>
      <w:r>
        <w:rPr>
          <w:color w:val="auto"/>
          <w:highlight w:val="none"/>
        </w:rPr>
        <w:t>项约定的开工日期前的</w:t>
      </w:r>
      <w:r>
        <w:rPr>
          <w:rFonts w:ascii="Times New Roman" w:hAnsi="Times New Roman" w:eastAsia="Times New Roman" w:cs="Times New Roman"/>
          <w:color w:val="auto"/>
          <w:sz w:val="20"/>
          <w:szCs w:val="20"/>
          <w:highlight w:val="none"/>
        </w:rPr>
        <w:t>7</w:t>
      </w:r>
      <w:r>
        <w:rPr>
          <w:color w:val="auto"/>
          <w:highlight w:val="none"/>
        </w:rPr>
        <w:t>天内，将签约合同价中载明的安全文明施工费用总额的</w:t>
      </w:r>
      <w:r>
        <w:rPr>
          <w:rFonts w:ascii="Times New Roman" w:hAnsi="Times New Roman" w:eastAsia="Times New Roman" w:cs="Times New Roman"/>
          <w:color w:val="auto"/>
          <w:sz w:val="20"/>
          <w:szCs w:val="20"/>
          <w:highlight w:val="none"/>
        </w:rPr>
        <w:t>50%</w:t>
      </w:r>
      <w:r>
        <w:rPr>
          <w:color w:val="auto"/>
          <w:highlight w:val="none"/>
        </w:rPr>
        <w:t>一次性预付给承包人。</w:t>
      </w:r>
    </w:p>
    <w:p>
      <w:pPr>
        <w:pStyle w:val="50"/>
        <w:spacing w:line="378" w:lineRule="exact"/>
        <w:ind w:left="0" w:firstLine="380"/>
        <w:jc w:val="both"/>
        <w:rPr>
          <w:color w:val="auto"/>
          <w:highlight w:val="none"/>
        </w:rPr>
      </w:pPr>
      <w:r>
        <w:rPr>
          <w:color w:val="auto"/>
          <w:highlight w:val="none"/>
        </w:rPr>
        <w:t>发包人应当在土</w:t>
      </w:r>
      <w:r>
        <w:rPr>
          <w:rFonts w:ascii="Times New Roman" w:hAnsi="Times New Roman" w:eastAsia="Times New Roman" w:cs="Times New Roman"/>
          <w:color w:val="auto"/>
          <w:sz w:val="20"/>
          <w:szCs w:val="20"/>
          <w:highlight w:val="none"/>
          <w:lang w:val="en-US" w:eastAsia="zh-CN" w:bidi="en-US"/>
        </w:rPr>
        <w:t xml:space="preserve">0. </w:t>
      </w:r>
      <w:r>
        <w:rPr>
          <w:rFonts w:ascii="Times New Roman" w:hAnsi="Times New Roman" w:eastAsia="Times New Roman" w:cs="Times New Roman"/>
          <w:color w:val="auto"/>
          <w:sz w:val="20"/>
          <w:szCs w:val="20"/>
          <w:highlight w:val="none"/>
        </w:rPr>
        <w:t>00</w:t>
      </w:r>
      <w:r>
        <w:rPr>
          <w:color w:val="auto"/>
          <w:highlight w:val="none"/>
        </w:rPr>
        <w:t xml:space="preserve">以下主体结构施工完成或签约合同价中分部分项工程项目的完成价款比例达到 </w:t>
      </w:r>
      <w:r>
        <w:rPr>
          <w:rFonts w:ascii="Times New Roman" w:hAnsi="Times New Roman" w:eastAsia="Times New Roman" w:cs="Times New Roman"/>
          <w:color w:val="auto"/>
          <w:sz w:val="20"/>
          <w:szCs w:val="20"/>
          <w:highlight w:val="none"/>
        </w:rPr>
        <w:t xml:space="preserve">30% </w:t>
      </w:r>
      <w:r>
        <w:rPr>
          <w:color w:val="auto"/>
          <w:highlight w:val="none"/>
        </w:rPr>
        <w:t>（两者中以条件先满足的为准）</w:t>
      </w:r>
      <w:r>
        <w:rPr>
          <w:rFonts w:ascii="Times New Roman" w:hAnsi="Times New Roman" w:eastAsia="Times New Roman" w:cs="Times New Roman"/>
          <w:color w:val="auto"/>
          <w:sz w:val="20"/>
          <w:szCs w:val="20"/>
          <w:highlight w:val="none"/>
        </w:rPr>
        <w:t>7</w:t>
      </w:r>
      <w:r>
        <w:rPr>
          <w:color w:val="auto"/>
          <w:highlight w:val="none"/>
        </w:rPr>
        <w:t>天内，预付至签约合同价中载明的安全文明施工费用总额的</w:t>
      </w:r>
      <w:r>
        <w:rPr>
          <w:rFonts w:ascii="Times New Roman" w:hAnsi="Times New Roman" w:eastAsia="Times New Roman" w:cs="Times New Roman"/>
          <w:color w:val="auto"/>
          <w:sz w:val="20"/>
          <w:szCs w:val="20"/>
          <w:highlight w:val="none"/>
        </w:rPr>
        <w:t>70%</w:t>
      </w:r>
      <w:r>
        <w:rPr>
          <w:color w:val="auto"/>
          <w:highlight w:val="none"/>
        </w:rPr>
        <w:t>。</w:t>
      </w:r>
    </w:p>
    <w:p>
      <w:pPr>
        <w:pStyle w:val="50"/>
        <w:spacing w:line="378" w:lineRule="exact"/>
        <w:ind w:left="0" w:firstLine="380"/>
        <w:jc w:val="both"/>
        <w:rPr>
          <w:color w:val="auto"/>
          <w:highlight w:val="none"/>
        </w:rPr>
      </w:pPr>
      <w:r>
        <w:rPr>
          <w:color w:val="auto"/>
          <w:highlight w:val="none"/>
        </w:rPr>
        <w:t>发包人应当在安全生产标准化考评、评定达到（含整改后达到）或超过合同约定的安全生产标准化管理目标之日起</w:t>
      </w:r>
      <w:r>
        <w:rPr>
          <w:rFonts w:ascii="Times New Roman" w:hAnsi="Times New Roman" w:eastAsia="Times New Roman" w:cs="Times New Roman"/>
          <w:color w:val="auto"/>
          <w:sz w:val="20"/>
          <w:szCs w:val="20"/>
          <w:highlight w:val="none"/>
        </w:rPr>
        <w:t>7</w:t>
      </w:r>
      <w:r>
        <w:rPr>
          <w:color w:val="auto"/>
          <w:highlight w:val="none"/>
        </w:rPr>
        <w:t>天内，预付至签约合同价中载明的安全文明施工费用总额的</w:t>
      </w:r>
      <w:r>
        <w:rPr>
          <w:rFonts w:ascii="Times New Roman" w:hAnsi="Times New Roman" w:eastAsia="Times New Roman" w:cs="Times New Roman"/>
          <w:color w:val="auto"/>
          <w:sz w:val="20"/>
          <w:szCs w:val="20"/>
          <w:highlight w:val="none"/>
        </w:rPr>
        <w:t>90%</w:t>
      </w:r>
      <w:r>
        <w:rPr>
          <w:color w:val="auto"/>
          <w:highlight w:val="none"/>
        </w:rPr>
        <w:t>。</w:t>
      </w:r>
    </w:p>
    <w:p>
      <w:pPr>
        <w:pStyle w:val="50"/>
        <w:spacing w:line="370" w:lineRule="exact"/>
        <w:ind w:left="0" w:firstLine="380"/>
        <w:jc w:val="both"/>
        <w:rPr>
          <w:color w:val="auto"/>
          <w:highlight w:val="none"/>
        </w:rPr>
      </w:pPr>
      <w:r>
        <w:rPr>
          <w:color w:val="auto"/>
          <w:highlight w:val="none"/>
        </w:rPr>
        <w:t>发包人应当在工程竣工</w:t>
      </w:r>
      <w:r>
        <w:rPr>
          <w:rFonts w:hint="eastAsia"/>
          <w:color w:val="auto"/>
          <w:highlight w:val="none"/>
          <w:lang w:val="en-US" w:eastAsia="zh-CN"/>
        </w:rPr>
        <w:t>验收合格</w:t>
      </w:r>
      <w:r>
        <w:rPr>
          <w:color w:val="auto"/>
          <w:highlight w:val="none"/>
        </w:rPr>
        <w:t>后，安全生产标准化考评、认定达到或超过合同约定安全生产标准化管理目标并颁发考评证书之日起的</w:t>
      </w:r>
      <w:r>
        <w:rPr>
          <w:rFonts w:ascii="Times New Roman" w:hAnsi="Times New Roman" w:eastAsia="Times New Roman" w:cs="Times New Roman"/>
          <w:color w:val="auto"/>
          <w:sz w:val="20"/>
          <w:szCs w:val="20"/>
          <w:highlight w:val="none"/>
        </w:rPr>
        <w:t>7</w:t>
      </w:r>
      <w:r>
        <w:rPr>
          <w:color w:val="auto"/>
          <w:highlight w:val="none"/>
        </w:rPr>
        <w:t>天内，预付至签约合同价中载明的安全文明施工费用总额的</w:t>
      </w:r>
      <w:r>
        <w:rPr>
          <w:rFonts w:ascii="Times New Roman" w:hAnsi="Times New Roman" w:eastAsia="Times New Roman" w:cs="Times New Roman"/>
          <w:color w:val="auto"/>
          <w:sz w:val="20"/>
          <w:szCs w:val="20"/>
          <w:highlight w:val="none"/>
        </w:rPr>
        <w:t>100%</w:t>
      </w:r>
      <w:r>
        <w:rPr>
          <w:color w:val="auto"/>
          <w:highlight w:val="none"/>
        </w:rPr>
        <w:t>。</w:t>
      </w:r>
    </w:p>
    <w:p>
      <w:pPr>
        <w:spacing w:line="400" w:lineRule="exact"/>
        <w:ind w:firstLine="440" w:firstLineChars="200"/>
        <w:rPr>
          <w:rFonts w:ascii="宋体" w:hAnsi="宋体"/>
          <w:color w:val="auto"/>
          <w:szCs w:val="21"/>
          <w:highlight w:val="none"/>
          <w:u w:val="single"/>
        </w:rPr>
      </w:pPr>
      <w:r>
        <w:rPr>
          <w:color w:val="auto"/>
          <w:highlight w:val="none"/>
        </w:rPr>
        <w:t>安全文明施工的预付不抵扣。</w:t>
      </w:r>
    </w:p>
    <w:p>
      <w:pPr>
        <w:spacing w:line="400" w:lineRule="exact"/>
        <w:ind w:firstLine="440" w:firstLineChars="200"/>
        <w:rPr>
          <w:rFonts w:ascii="黑体" w:hAnsi="宋体" w:eastAsia="黑体" w:cs="Arial"/>
          <w:color w:val="auto"/>
          <w:highlight w:val="none"/>
        </w:rPr>
      </w:pPr>
      <w:r>
        <w:rPr>
          <w:rFonts w:hint="eastAsia" w:ascii="黑体" w:hAnsi="宋体" w:eastAsia="黑体" w:cs="Arial"/>
          <w:color w:val="auto"/>
          <w:highlight w:val="none"/>
        </w:rPr>
        <w:t>17.2.2 预付款的扣回与还清</w:t>
      </w:r>
    </w:p>
    <w:p>
      <w:pPr>
        <w:spacing w:line="400" w:lineRule="exact"/>
        <w:ind w:firstLine="440" w:firstLineChars="200"/>
        <w:rPr>
          <w:rFonts w:hint="eastAsia" w:ascii="宋体" w:hAnsi="宋体" w:eastAsia="宋体"/>
          <w:color w:val="auto"/>
          <w:szCs w:val="21"/>
          <w:highlight w:val="none"/>
          <w:u w:val="single"/>
          <w:lang w:eastAsia="zh-CN"/>
        </w:rPr>
      </w:pPr>
      <w:bookmarkStart w:id="408" w:name="_Toc152042500"/>
      <w:bookmarkStart w:id="409" w:name="_Toc152045721"/>
      <w:bookmarkStart w:id="410" w:name="_Toc179632739"/>
      <w:bookmarkStart w:id="411" w:name="_Toc144974692"/>
      <w:r>
        <w:rPr>
          <w:rFonts w:hint="eastAsia" w:ascii="宋体" w:hAnsi="宋体"/>
          <w:color w:val="auto"/>
          <w:szCs w:val="21"/>
          <w:highlight w:val="none"/>
        </w:rPr>
        <w:t>预付款的扣回办法：</w:t>
      </w:r>
      <w:r>
        <w:rPr>
          <w:rFonts w:hint="eastAsia" w:ascii="宋体" w:hAnsi="宋体"/>
          <w:color w:val="auto"/>
          <w:szCs w:val="21"/>
          <w:highlight w:val="none"/>
          <w:u w:val="single"/>
        </w:rPr>
        <w:t>在每次支付进度应付款中等比例(按预付款额度</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0%)抵扣预付款，直至</w:t>
      </w:r>
      <w:r>
        <w:rPr>
          <w:rFonts w:hint="eastAsia" w:ascii="宋体" w:hAnsi="宋体"/>
          <w:color w:val="auto"/>
          <w:szCs w:val="21"/>
          <w:highlight w:val="none"/>
          <w:u w:val="single"/>
          <w:lang w:val="en-US" w:eastAsia="zh-CN"/>
        </w:rPr>
        <w:t>工程款累计应付至签约合同金额的70%时</w:t>
      </w:r>
      <w:r>
        <w:rPr>
          <w:rFonts w:hint="eastAsia" w:ascii="宋体" w:hAnsi="宋体"/>
          <w:color w:val="auto"/>
          <w:szCs w:val="21"/>
          <w:highlight w:val="none"/>
          <w:u w:val="single"/>
        </w:rPr>
        <w:t>全部扣清</w:t>
      </w:r>
      <w:r>
        <w:rPr>
          <w:rFonts w:hint="eastAsia" w:ascii="宋体" w:hAnsi="宋体"/>
          <w:color w:val="auto"/>
          <w:szCs w:val="21"/>
          <w:highlight w:val="none"/>
          <w:u w:val="single"/>
          <w:lang w:eastAsia="zh-CN"/>
        </w:rPr>
        <w:t>。</w:t>
      </w:r>
    </w:p>
    <w:p>
      <w:pPr>
        <w:pStyle w:val="49"/>
        <w:ind w:firstLine="560" w:firstLineChars="200"/>
        <w:rPr>
          <w:rFonts w:ascii="黑体" w:hAnsi="宋体" w:cs="Arial"/>
          <w:color w:val="auto"/>
          <w:highlight w:val="none"/>
        </w:rPr>
      </w:pPr>
      <w:bookmarkStart w:id="412" w:name="_Toc241459725"/>
      <w:bookmarkStart w:id="413" w:name="_Toc342296484"/>
      <w:r>
        <w:rPr>
          <w:rFonts w:hint="eastAsia" w:ascii="黑体" w:hAnsi="宋体" w:cs="Arial"/>
          <w:color w:val="auto"/>
          <w:highlight w:val="none"/>
        </w:rPr>
        <w:t>17.3 工程进度付款</w:t>
      </w:r>
      <w:bookmarkEnd w:id="408"/>
      <w:bookmarkEnd w:id="409"/>
      <w:bookmarkEnd w:id="410"/>
      <w:bookmarkEnd w:id="411"/>
      <w:bookmarkEnd w:id="412"/>
      <w:bookmarkEnd w:id="413"/>
    </w:p>
    <w:p>
      <w:pPr>
        <w:spacing w:line="400" w:lineRule="exact"/>
        <w:ind w:firstLine="440" w:firstLineChars="200"/>
        <w:rPr>
          <w:rFonts w:ascii="黑体" w:hAnsi="宋体" w:eastAsia="黑体"/>
          <w:color w:val="auto"/>
          <w:szCs w:val="21"/>
          <w:highlight w:val="none"/>
        </w:rPr>
      </w:pPr>
      <w:r>
        <w:rPr>
          <w:rFonts w:hint="eastAsia" w:ascii="黑体" w:hAnsi="宋体" w:eastAsia="黑体"/>
          <w:color w:val="auto"/>
          <w:szCs w:val="21"/>
          <w:highlight w:val="none"/>
        </w:rPr>
        <w:t>17.3.2进度付款申请单</w:t>
      </w:r>
    </w:p>
    <w:p>
      <w:pPr>
        <w:spacing w:line="400" w:lineRule="exact"/>
        <w:ind w:firstLine="440" w:firstLineChars="200"/>
        <w:rPr>
          <w:rFonts w:ascii="宋体" w:hAnsi="宋体"/>
          <w:color w:val="auto"/>
          <w:szCs w:val="21"/>
          <w:highlight w:val="none"/>
          <w:u w:val="single"/>
        </w:rPr>
      </w:pPr>
      <w:r>
        <w:rPr>
          <w:rFonts w:hint="eastAsia" w:ascii="宋体" w:hAnsi="宋体"/>
          <w:color w:val="auto"/>
          <w:szCs w:val="21"/>
          <w:highlight w:val="none"/>
        </w:rPr>
        <w:t>进度付款申请单的份数：</w:t>
      </w:r>
      <w:r>
        <w:rPr>
          <w:rFonts w:hint="eastAsia" w:ascii="宋体" w:hAnsi="宋体"/>
          <w:color w:val="auto"/>
          <w:szCs w:val="21"/>
          <w:highlight w:val="none"/>
          <w:u w:val="single"/>
          <w:lang w:val="en-US" w:eastAsia="zh-CN"/>
        </w:rPr>
        <w:t>4</w:t>
      </w:r>
      <w:r>
        <w:rPr>
          <w:rFonts w:hint="eastAsia" w:ascii="宋体" w:hAnsi="宋体"/>
          <w:color w:val="auto"/>
          <w:szCs w:val="21"/>
          <w:highlight w:val="none"/>
          <w:u w:val="single"/>
        </w:rPr>
        <w:t>份</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承包人报送监理人</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并抄送发包人</w:t>
      </w:r>
      <w:r>
        <w:rPr>
          <w:rFonts w:hint="eastAsia" w:ascii="宋体" w:hAnsi="宋体"/>
          <w:color w:val="auto"/>
          <w:szCs w:val="21"/>
          <w:highlight w:val="none"/>
          <w:lang w:eastAsia="zh-CN"/>
        </w:rPr>
        <w:t>）</w:t>
      </w:r>
      <w:r>
        <w:rPr>
          <w:rFonts w:hint="eastAsia" w:ascii="宋体" w:hAnsi="宋体"/>
          <w:color w:val="auto"/>
          <w:szCs w:val="21"/>
          <w:highlight w:val="none"/>
        </w:rPr>
        <w:t>的进度付款申请单应包括下列内容：</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(6)根据合同应增加和（或）扣减的其他内容金额：</w:t>
      </w:r>
    </w:p>
    <w:p>
      <w:pPr>
        <w:pStyle w:val="51"/>
        <w:spacing w:line="378" w:lineRule="exact"/>
        <w:ind w:firstLine="480"/>
        <w:jc w:val="both"/>
        <w:rPr>
          <w:color w:val="auto"/>
          <w:highlight w:val="none"/>
          <w:u w:val="single"/>
        </w:rPr>
      </w:pPr>
      <w:r>
        <w:rPr>
          <w:color w:val="auto"/>
          <w:highlight w:val="none"/>
          <w:u w:val="single"/>
        </w:rPr>
        <w:t>付款次数或编号；截止本次付款周期末已实施工程的价款；变更金额；索赔金额；本次应支付的预付款和（或）应扣减的返还预付款；本次扣减的质量保证金；根据合同应增加和扣减的其他金额。</w:t>
      </w:r>
    </w:p>
    <w:p>
      <w:pPr>
        <w:spacing w:line="400" w:lineRule="exact"/>
        <w:ind w:firstLine="440" w:firstLineChars="200"/>
        <w:rPr>
          <w:rFonts w:ascii="黑体" w:hAnsi="宋体" w:eastAsia="黑体"/>
          <w:color w:val="auto"/>
          <w:szCs w:val="21"/>
          <w:highlight w:val="none"/>
        </w:rPr>
      </w:pPr>
      <w:r>
        <w:rPr>
          <w:rFonts w:hint="eastAsia" w:ascii="黑体" w:hAnsi="宋体" w:eastAsia="黑体"/>
          <w:color w:val="auto"/>
          <w:szCs w:val="21"/>
          <w:highlight w:val="none"/>
        </w:rPr>
        <w:t>17.3.3进度付款证书和支付时间</w:t>
      </w:r>
    </w:p>
    <w:p>
      <w:pPr>
        <w:pStyle w:val="49"/>
        <w:ind w:firstLine="210" w:firstLineChars="100"/>
        <w:rPr>
          <w:rFonts w:ascii="宋体" w:hAnsi="宋体" w:eastAsia="宋体"/>
          <w:color w:val="auto"/>
          <w:sz w:val="21"/>
          <w:szCs w:val="21"/>
          <w:highlight w:val="none"/>
          <w:u w:val="single"/>
          <w:lang w:val="en-US"/>
        </w:rPr>
      </w:pPr>
      <w:r>
        <w:rPr>
          <w:rFonts w:hint="eastAsia" w:ascii="宋体" w:hAnsi="宋体" w:eastAsia="宋体"/>
          <w:color w:val="auto"/>
          <w:sz w:val="21"/>
          <w:szCs w:val="21"/>
          <w:highlight w:val="none"/>
          <w:lang w:val="en-US"/>
        </w:rPr>
        <w:t>（2)逾期付款违约金的计算标准：</w:t>
      </w:r>
      <w:r>
        <w:rPr>
          <w:rFonts w:hint="eastAsia" w:ascii="宋体" w:hAnsi="宋体" w:eastAsia="宋体"/>
          <w:color w:val="auto"/>
          <w:sz w:val="21"/>
          <w:szCs w:val="21"/>
          <w:highlight w:val="none"/>
          <w:u w:val="single"/>
          <w:lang w:val="en-US"/>
        </w:rPr>
        <w:t>按照中国人民银行发布的同期同类贷款利率计算</w:t>
      </w:r>
    </w:p>
    <w:p>
      <w:pPr>
        <w:pStyle w:val="49"/>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逾期付款违约金的计算方法：</w:t>
      </w:r>
    </w:p>
    <w:p>
      <w:pPr>
        <w:pStyle w:val="49"/>
        <w:ind w:firstLine="420" w:firstLineChars="200"/>
        <w:rPr>
          <w:color w:val="auto"/>
          <w:highlight w:val="none"/>
          <w:u w:val="single"/>
        </w:rPr>
      </w:pPr>
      <w:r>
        <w:rPr>
          <w:rFonts w:ascii="宋体" w:hAnsi="宋体" w:eastAsia="宋体"/>
          <w:color w:val="auto"/>
          <w:sz w:val="21"/>
          <w:szCs w:val="21"/>
          <w:highlight w:val="none"/>
          <w:u w:val="single"/>
          <w:lang w:val="en-US"/>
        </w:rPr>
        <w:t>逾期付款项总额*中国人民银行发布的同期贷款利率*逾期付款时间。</w:t>
      </w:r>
    </w:p>
    <w:p>
      <w:pPr>
        <w:pStyle w:val="51"/>
        <w:spacing w:line="374" w:lineRule="exact"/>
        <w:ind w:firstLine="210" w:firstLineChars="100"/>
        <w:jc w:val="both"/>
        <w:rPr>
          <w:color w:val="auto"/>
          <w:sz w:val="21"/>
          <w:szCs w:val="21"/>
          <w:highlight w:val="none"/>
          <w:lang w:val="en-US" w:eastAsia="zh-CN"/>
        </w:rPr>
      </w:pPr>
      <w:r>
        <w:rPr>
          <w:rFonts w:hint="eastAsia"/>
          <w:color w:val="auto"/>
          <w:sz w:val="21"/>
          <w:szCs w:val="21"/>
          <w:highlight w:val="none"/>
          <w:lang w:val="en-US" w:eastAsia="zh-CN"/>
        </w:rPr>
        <w:t>（4）</w:t>
      </w:r>
      <w:r>
        <w:rPr>
          <w:rFonts w:hint="eastAsia"/>
          <w:color w:val="auto"/>
          <w:sz w:val="21"/>
          <w:szCs w:val="21"/>
          <w:highlight w:val="none"/>
          <w:lang w:val="en-US"/>
        </w:rPr>
        <w:t>进度付款涉及政府性资金的支付方法：</w:t>
      </w:r>
    </w:p>
    <w:p>
      <w:pPr>
        <w:pStyle w:val="51"/>
        <w:spacing w:line="362" w:lineRule="exact"/>
        <w:ind w:firstLine="402" w:firstLineChars="200"/>
        <w:jc w:val="both"/>
        <w:rPr>
          <w:color w:val="auto"/>
          <w:highlight w:val="none"/>
          <w:u w:val="single"/>
          <w:lang w:eastAsia="zh-CN"/>
        </w:rPr>
      </w:pPr>
      <w:r>
        <w:rPr>
          <w:rFonts w:hint="eastAsia" w:ascii="宋体" w:hAnsi="宋体"/>
          <w:b/>
          <w:bCs/>
          <w:color w:val="auto"/>
          <w:szCs w:val="21"/>
          <w:highlight w:val="none"/>
          <w:u w:val="single"/>
        </w:rPr>
        <w:t>按教委下达指标函进度，施工进场后支付至资金的 30%，竣工验收合格后最高支付至资金的85% ，结算评审报告出具后支付至100%。（最终结算金额以财政结算评审为准）全部支付前，以结算评审价格</w:t>
      </w:r>
      <w:r>
        <w:rPr>
          <w:rFonts w:hint="eastAsia"/>
          <w:b/>
          <w:bCs/>
          <w:color w:val="auto"/>
          <w:szCs w:val="21"/>
          <w:highlight w:val="none"/>
          <w:u w:val="single"/>
          <w:lang w:val="en-US" w:eastAsia="zh-CN"/>
        </w:rPr>
        <w:t>3</w:t>
      </w:r>
      <w:r>
        <w:rPr>
          <w:rFonts w:hint="eastAsia" w:ascii="宋体" w:hAnsi="宋体"/>
          <w:b/>
          <w:bCs/>
          <w:color w:val="auto"/>
          <w:szCs w:val="21"/>
          <w:highlight w:val="none"/>
          <w:u w:val="single"/>
        </w:rPr>
        <w:t>%作为质保金由承包人支付给发包人，质量保修期满3年后无息返还给承包人，最终结算以顺义区财政局评审为准 。甲方付款前，乙方应向甲方提供足额合法增值税发票。</w:t>
      </w:r>
    </w:p>
    <w:p>
      <w:pPr>
        <w:pStyle w:val="49"/>
        <w:rPr>
          <w:rFonts w:ascii="宋体" w:hAnsi="宋体" w:eastAsia="宋体"/>
          <w:color w:val="auto"/>
          <w:sz w:val="21"/>
          <w:szCs w:val="21"/>
          <w:highlight w:val="none"/>
          <w:lang w:val="en-US"/>
        </w:rPr>
      </w:pPr>
      <w:r>
        <w:rPr>
          <w:rFonts w:hint="eastAsia" w:ascii="黑体" w:hAnsi="宋体" w:cs="Arial"/>
          <w:color w:val="auto"/>
          <w:highlight w:val="none"/>
        </w:rPr>
        <w:t xml:space="preserve">17.4 </w:t>
      </w:r>
      <w:bookmarkEnd w:id="401"/>
      <w:bookmarkEnd w:id="402"/>
      <w:bookmarkEnd w:id="403"/>
      <w:r>
        <w:rPr>
          <w:rFonts w:hint="eastAsia" w:ascii="黑体" w:hAnsi="宋体" w:cs="Arial"/>
          <w:color w:val="auto"/>
          <w:highlight w:val="none"/>
        </w:rPr>
        <w:t>质量保证金</w:t>
      </w:r>
      <w:bookmarkEnd w:id="404"/>
      <w:bookmarkEnd w:id="405"/>
      <w:bookmarkEnd w:id="406"/>
    </w:p>
    <w:p>
      <w:pPr>
        <w:pStyle w:val="49"/>
        <w:rPr>
          <w:rFonts w:ascii="宋体" w:hAnsi="宋体" w:eastAsia="宋体"/>
          <w:color w:val="auto"/>
          <w:sz w:val="21"/>
          <w:szCs w:val="21"/>
          <w:highlight w:val="none"/>
          <w:lang w:val="en-US"/>
        </w:rPr>
      </w:pPr>
      <w:bookmarkStart w:id="414" w:name="_Toc179632741"/>
      <w:bookmarkStart w:id="415" w:name="_Toc152045723"/>
      <w:bookmarkStart w:id="416" w:name="_Toc152042502"/>
      <w:bookmarkStart w:id="417" w:name="_Toc342296486"/>
      <w:bookmarkStart w:id="418" w:name="_Toc241459727"/>
      <w:bookmarkStart w:id="419" w:name="_Toc144974694"/>
      <w:r>
        <w:rPr>
          <w:rFonts w:hint="eastAsia" w:ascii="宋体" w:hAnsi="宋体" w:eastAsia="宋体"/>
          <w:color w:val="auto"/>
          <w:sz w:val="21"/>
          <w:szCs w:val="21"/>
          <w:highlight w:val="none"/>
          <w:lang w:val="en-US"/>
        </w:rPr>
        <w:t>17.4.1 质量保证金处理</w:t>
      </w:r>
    </w:p>
    <w:p>
      <w:pPr>
        <w:pStyle w:val="49"/>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(3)质量保证金形式：</w:t>
      </w:r>
      <w:r>
        <w:rPr>
          <w:rFonts w:hint="eastAsia" w:ascii="宋体" w:hAnsi="宋体" w:eastAsia="宋体"/>
          <w:color w:val="auto"/>
          <w:sz w:val="21"/>
          <w:szCs w:val="21"/>
          <w:highlight w:val="none"/>
          <w:u w:val="single"/>
          <w:lang w:val="en-US"/>
        </w:rPr>
        <w:t>采用扣留质量保证金</w:t>
      </w:r>
      <w:r>
        <w:rPr>
          <w:rFonts w:hint="eastAsia" w:ascii="宋体" w:hAnsi="宋体" w:eastAsia="宋体"/>
          <w:color w:val="auto"/>
          <w:sz w:val="21"/>
          <w:szCs w:val="21"/>
          <w:highlight w:val="none"/>
          <w:lang w:val="en-US"/>
        </w:rPr>
        <w:t>（采用银行保函担保或其他保函担保形式╱采用扣留质量保证金）。</w:t>
      </w:r>
    </w:p>
    <w:p>
      <w:pPr>
        <w:pStyle w:val="49"/>
        <w:ind w:firstLine="420" w:firstLineChars="200"/>
        <w:rPr>
          <w:rFonts w:ascii="宋体" w:hAnsi="宋体" w:eastAsia="宋体"/>
          <w:color w:val="auto"/>
          <w:sz w:val="21"/>
          <w:szCs w:val="21"/>
          <w:highlight w:val="none"/>
          <w:u w:val="single"/>
          <w:lang w:val="en-US"/>
        </w:rPr>
      </w:pPr>
      <w:r>
        <w:rPr>
          <w:rFonts w:hint="eastAsia" w:ascii="宋体" w:hAnsi="宋体" w:eastAsia="宋体"/>
          <w:color w:val="auto"/>
          <w:sz w:val="21"/>
          <w:szCs w:val="21"/>
          <w:highlight w:val="none"/>
          <w:lang w:val="en-US"/>
        </w:rPr>
        <w:t>质量保证金约定比例：</w:t>
      </w:r>
      <w:r>
        <w:rPr>
          <w:rFonts w:hint="eastAsia" w:ascii="宋体" w:hAnsi="宋体" w:eastAsia="宋体"/>
          <w:color w:val="auto"/>
          <w:sz w:val="21"/>
          <w:szCs w:val="21"/>
          <w:highlight w:val="none"/>
          <w:u w:val="single"/>
          <w:lang w:val="en-US" w:eastAsia="zh-CN"/>
        </w:rPr>
        <w:t>3</w:t>
      </w:r>
      <w:r>
        <w:rPr>
          <w:rFonts w:hint="eastAsia" w:ascii="宋体" w:hAnsi="宋体" w:eastAsia="宋体"/>
          <w:color w:val="auto"/>
          <w:sz w:val="21"/>
          <w:szCs w:val="21"/>
          <w:highlight w:val="none"/>
          <w:u w:val="single"/>
          <w:lang w:val="en-US"/>
        </w:rPr>
        <w:t>%</w:t>
      </w:r>
    </w:p>
    <w:p>
      <w:pPr>
        <w:pStyle w:val="49"/>
        <w:rPr>
          <w:rFonts w:ascii="黑体" w:hAnsi="宋体" w:cs="Arial"/>
          <w:color w:val="auto"/>
          <w:highlight w:val="none"/>
        </w:rPr>
      </w:pPr>
      <w:r>
        <w:rPr>
          <w:rFonts w:hint="eastAsia" w:ascii="黑体" w:hAnsi="宋体" w:cs="Arial"/>
          <w:color w:val="auto"/>
          <w:highlight w:val="none"/>
        </w:rPr>
        <w:t>17.5 竣工结算</w:t>
      </w:r>
      <w:bookmarkEnd w:id="414"/>
      <w:bookmarkEnd w:id="415"/>
      <w:bookmarkEnd w:id="416"/>
      <w:bookmarkEnd w:id="417"/>
      <w:bookmarkEnd w:id="418"/>
      <w:bookmarkEnd w:id="419"/>
    </w:p>
    <w:p>
      <w:pPr>
        <w:spacing w:line="400" w:lineRule="exact"/>
        <w:ind w:firstLine="440" w:firstLineChars="200"/>
        <w:rPr>
          <w:rFonts w:ascii="黑体" w:hAnsi="宋体" w:eastAsia="黑体"/>
          <w:color w:val="auto"/>
          <w:szCs w:val="21"/>
          <w:highlight w:val="none"/>
        </w:rPr>
      </w:pPr>
      <w:bookmarkStart w:id="420" w:name="_Toc152042503"/>
      <w:bookmarkStart w:id="421" w:name="_Toc144974695"/>
      <w:bookmarkStart w:id="422" w:name="_Toc152045724"/>
      <w:bookmarkStart w:id="423" w:name="_Toc179632742"/>
      <w:r>
        <w:rPr>
          <w:rFonts w:hint="eastAsia" w:ascii="黑体" w:hAnsi="宋体" w:eastAsia="黑体"/>
          <w:color w:val="auto"/>
          <w:szCs w:val="21"/>
          <w:highlight w:val="none"/>
        </w:rPr>
        <w:t>17.5.1竣工付款申请单</w:t>
      </w:r>
    </w:p>
    <w:p>
      <w:pPr>
        <w:pStyle w:val="49"/>
        <w:ind w:firstLine="420" w:firstLineChars="200"/>
        <w:rPr>
          <w:rFonts w:ascii="宋体" w:hAnsi="宋体" w:eastAsia="宋体"/>
          <w:color w:val="auto"/>
          <w:sz w:val="21"/>
          <w:szCs w:val="21"/>
          <w:highlight w:val="none"/>
          <w:u w:val="single"/>
          <w:lang w:val="en-US"/>
        </w:rPr>
      </w:pPr>
      <w:bookmarkStart w:id="424" w:name="_Toc241459728"/>
      <w:bookmarkStart w:id="425" w:name="_Toc342296487"/>
      <w:r>
        <w:rPr>
          <w:rFonts w:hint="eastAsia" w:ascii="宋体" w:hAnsi="宋体" w:eastAsia="宋体"/>
          <w:color w:val="auto"/>
          <w:sz w:val="21"/>
          <w:szCs w:val="21"/>
          <w:highlight w:val="none"/>
          <w:lang w:val="en-US"/>
        </w:rPr>
        <w:t>(1)承包人提交竣工付款申请单的份数：</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u w:val="single"/>
          <w:lang w:val="en-US" w:eastAsia="zh-CN"/>
        </w:rPr>
        <w:t>4</w:t>
      </w:r>
      <w:r>
        <w:rPr>
          <w:rFonts w:hint="eastAsia" w:ascii="宋体" w:hAnsi="宋体" w:eastAsia="宋体"/>
          <w:color w:val="auto"/>
          <w:sz w:val="21"/>
          <w:szCs w:val="21"/>
          <w:highlight w:val="none"/>
          <w:u w:val="single"/>
          <w:lang w:val="en-US"/>
        </w:rPr>
        <w:t xml:space="preserve"> 份</w:t>
      </w:r>
    </w:p>
    <w:p>
      <w:pPr>
        <w:pStyle w:val="49"/>
        <w:ind w:firstLine="630" w:firstLineChars="3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承包人提交竣工付款申请单的期限：</w:t>
      </w:r>
      <w:r>
        <w:rPr>
          <w:rFonts w:hint="eastAsia" w:ascii="宋体" w:hAnsi="宋体" w:eastAsia="宋体"/>
          <w:color w:val="auto"/>
          <w:sz w:val="21"/>
          <w:szCs w:val="21"/>
          <w:highlight w:val="none"/>
          <w:u w:val="single"/>
          <w:lang w:val="en-US"/>
        </w:rPr>
        <w:t>在工程接收证书颁发后 14 天内</w:t>
      </w:r>
    </w:p>
    <w:p>
      <w:pPr>
        <w:pStyle w:val="49"/>
        <w:ind w:firstLine="420" w:firstLineChars="200"/>
        <w:rPr>
          <w:rFonts w:ascii="宋体" w:hAnsi="宋体" w:eastAsia="宋体"/>
          <w:color w:val="auto"/>
          <w:sz w:val="21"/>
          <w:szCs w:val="21"/>
          <w:highlight w:val="none"/>
          <w:u w:val="single"/>
          <w:lang w:val="en-US"/>
        </w:rPr>
      </w:pPr>
      <w:r>
        <w:rPr>
          <w:rFonts w:hint="eastAsia" w:ascii="宋体" w:hAnsi="宋体" w:eastAsia="宋体"/>
          <w:color w:val="auto"/>
          <w:sz w:val="21"/>
          <w:szCs w:val="21"/>
          <w:highlight w:val="none"/>
          <w:lang w:val="en-US"/>
        </w:rPr>
        <w:t>（2）竣工付款申请单的其他内容：</w:t>
      </w:r>
      <w:r>
        <w:rPr>
          <w:rFonts w:hint="eastAsia" w:ascii="宋体" w:hAnsi="宋体" w:eastAsia="宋体"/>
          <w:color w:val="auto"/>
          <w:sz w:val="21"/>
          <w:szCs w:val="21"/>
          <w:highlight w:val="none"/>
          <w:u w:val="single"/>
          <w:lang w:val="en-US"/>
        </w:rPr>
        <w:t>竣工结算合同总价、已支付的工程价款、应扣回的预付款、应扣留的质量保证金、应支付的竣工付款金额</w:t>
      </w:r>
    </w:p>
    <w:p>
      <w:pPr>
        <w:pStyle w:val="49"/>
        <w:rPr>
          <w:rFonts w:ascii="宋体" w:hAnsi="宋体" w:eastAsia="宋体"/>
          <w:color w:val="auto"/>
          <w:sz w:val="21"/>
          <w:szCs w:val="21"/>
          <w:highlight w:val="none"/>
          <w:lang w:val="en-US"/>
        </w:rPr>
      </w:pPr>
      <w:r>
        <w:rPr>
          <w:rFonts w:hint="eastAsia" w:ascii="黑体" w:hAnsi="宋体" w:cs="Arial"/>
          <w:color w:val="auto"/>
          <w:highlight w:val="none"/>
        </w:rPr>
        <w:t>17.6 最终结清</w:t>
      </w:r>
      <w:bookmarkEnd w:id="420"/>
      <w:bookmarkEnd w:id="421"/>
      <w:bookmarkEnd w:id="422"/>
      <w:bookmarkEnd w:id="423"/>
      <w:bookmarkEnd w:id="424"/>
      <w:bookmarkEnd w:id="425"/>
    </w:p>
    <w:p>
      <w:pPr>
        <w:spacing w:line="400" w:lineRule="exact"/>
        <w:ind w:firstLine="440" w:firstLineChars="200"/>
        <w:rPr>
          <w:rFonts w:ascii="黑体" w:hAnsi="宋体" w:eastAsia="黑体"/>
          <w:color w:val="auto"/>
          <w:szCs w:val="21"/>
          <w:highlight w:val="none"/>
        </w:rPr>
      </w:pPr>
      <w:r>
        <w:rPr>
          <w:rFonts w:hint="eastAsia" w:ascii="黑体" w:hAnsi="宋体" w:eastAsia="黑体"/>
          <w:color w:val="auto"/>
          <w:szCs w:val="21"/>
          <w:highlight w:val="none"/>
        </w:rPr>
        <w:t>17.6.1最终结清申请单</w:t>
      </w:r>
      <w:bookmarkStart w:id="426" w:name="_Toc144974696"/>
      <w:bookmarkStart w:id="427" w:name="_Toc152042504"/>
      <w:bookmarkStart w:id="428" w:name="_Toc342296488"/>
      <w:bookmarkStart w:id="429" w:name="_Toc179632743"/>
      <w:bookmarkStart w:id="430" w:name="_Toc152045725"/>
      <w:bookmarkStart w:id="431" w:name="_Toc241459729"/>
    </w:p>
    <w:p>
      <w:pPr>
        <w:spacing w:line="400" w:lineRule="exact"/>
        <w:ind w:firstLine="440" w:firstLineChars="200"/>
        <w:rPr>
          <w:rFonts w:ascii="黑体" w:hAnsi="宋体" w:eastAsia="黑体"/>
          <w:color w:val="auto"/>
          <w:szCs w:val="21"/>
          <w:highlight w:val="none"/>
          <w:u w:val="single"/>
        </w:rPr>
      </w:pPr>
      <w:r>
        <w:rPr>
          <w:rFonts w:hint="eastAsia" w:ascii="宋体" w:hAnsi="宋体"/>
          <w:color w:val="auto"/>
          <w:szCs w:val="21"/>
          <w:highlight w:val="none"/>
        </w:rPr>
        <w:t>(1)承包人提交最终结清申请单的份数：</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4</w:t>
      </w:r>
      <w:r>
        <w:rPr>
          <w:rFonts w:hint="eastAsia" w:ascii="宋体" w:hAnsi="宋体"/>
          <w:color w:val="auto"/>
          <w:szCs w:val="21"/>
          <w:highlight w:val="none"/>
          <w:u w:val="single"/>
        </w:rPr>
        <w:t xml:space="preserve"> 份</w:t>
      </w:r>
    </w:p>
    <w:p>
      <w:pPr>
        <w:pStyle w:val="48"/>
        <w:ind w:firstLine="630" w:firstLineChars="3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承包人提交最终结清申请单的期限：</w:t>
      </w:r>
      <w:r>
        <w:rPr>
          <w:rFonts w:hint="eastAsia" w:ascii="宋体" w:hAnsi="宋体" w:eastAsia="宋体" w:cs="Times New Roman"/>
          <w:color w:val="auto"/>
          <w:sz w:val="21"/>
          <w:szCs w:val="21"/>
          <w:highlight w:val="none"/>
          <w:u w:val="single"/>
        </w:rPr>
        <w:t>在缺陷责任期终止证书颁发后 28 天内。</w:t>
      </w:r>
    </w:p>
    <w:p>
      <w:pPr>
        <w:pStyle w:val="48"/>
        <w:ind w:firstLine="630" w:firstLineChars="3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发包人向承包人</w:t>
      </w:r>
      <w:r>
        <w:rPr>
          <w:rFonts w:hint="eastAsia" w:ascii="宋体" w:hAnsi="宋体" w:eastAsia="宋体" w:cs="Times New Roman"/>
          <w:color w:val="auto"/>
          <w:sz w:val="21"/>
          <w:szCs w:val="21"/>
          <w:highlight w:val="none"/>
          <w:u w:val="single"/>
        </w:rPr>
        <w:t>不支付</w:t>
      </w:r>
      <w:r>
        <w:rPr>
          <w:rFonts w:hint="eastAsia" w:ascii="宋体" w:hAnsi="宋体" w:eastAsia="宋体" w:cs="Times New Roman"/>
          <w:color w:val="auto"/>
          <w:sz w:val="21"/>
          <w:szCs w:val="21"/>
          <w:highlight w:val="none"/>
        </w:rPr>
        <w:t>（支付/不支付）质量保证金利息。</w:t>
      </w:r>
    </w:p>
    <w:p>
      <w:pPr>
        <w:pStyle w:val="48"/>
        <w:spacing w:before="0"/>
        <w:ind w:firstLine="630" w:firstLineChars="30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发包人向承包人支付质量保证金利息的，利息计算方法：</w:t>
      </w:r>
      <w:r>
        <w:rPr>
          <w:rFonts w:hint="eastAsia" w:ascii="宋体" w:hAnsi="宋体" w:eastAsia="宋体" w:cs="Times New Roman"/>
          <w:color w:val="auto"/>
          <w:sz w:val="21"/>
          <w:szCs w:val="21"/>
          <w:highlight w:val="none"/>
          <w:u w:val="single"/>
        </w:rPr>
        <w:t>/</w:t>
      </w:r>
    </w:p>
    <w:p>
      <w:pPr>
        <w:pStyle w:val="48"/>
        <w:spacing w:before="0"/>
        <w:rPr>
          <w:color w:val="auto"/>
          <w:highlight w:val="none"/>
        </w:rPr>
      </w:pPr>
      <w:r>
        <w:rPr>
          <w:rFonts w:hint="eastAsia"/>
          <w:color w:val="auto"/>
          <w:highlight w:val="none"/>
        </w:rPr>
        <w:t>18. 竣工验收</w:t>
      </w:r>
      <w:bookmarkEnd w:id="426"/>
      <w:bookmarkEnd w:id="427"/>
      <w:bookmarkEnd w:id="428"/>
      <w:bookmarkEnd w:id="429"/>
      <w:bookmarkEnd w:id="430"/>
      <w:bookmarkEnd w:id="431"/>
    </w:p>
    <w:p>
      <w:pPr>
        <w:pStyle w:val="49"/>
        <w:rPr>
          <w:rFonts w:ascii="黑体" w:hAnsi="宋体" w:cs="Arial"/>
          <w:color w:val="auto"/>
          <w:highlight w:val="none"/>
        </w:rPr>
      </w:pPr>
      <w:bookmarkStart w:id="432" w:name="_Toc152045727"/>
      <w:bookmarkStart w:id="433" w:name="_Toc144974698"/>
      <w:bookmarkStart w:id="434" w:name="_Toc241459730"/>
      <w:bookmarkStart w:id="435" w:name="_Toc179632745"/>
      <w:bookmarkStart w:id="436" w:name="_Toc342296489"/>
      <w:bookmarkStart w:id="437" w:name="_Toc152042506"/>
      <w:r>
        <w:rPr>
          <w:rFonts w:hint="eastAsia" w:ascii="黑体" w:hAnsi="宋体" w:cs="Arial"/>
          <w:color w:val="auto"/>
          <w:highlight w:val="none"/>
        </w:rPr>
        <w:t>18.2 竣工验收申请报告</w:t>
      </w:r>
      <w:bookmarkEnd w:id="432"/>
      <w:bookmarkEnd w:id="433"/>
      <w:bookmarkEnd w:id="434"/>
      <w:bookmarkEnd w:id="435"/>
      <w:bookmarkEnd w:id="436"/>
      <w:bookmarkEnd w:id="437"/>
    </w:p>
    <w:p>
      <w:pPr>
        <w:pStyle w:val="49"/>
        <w:ind w:firstLine="420" w:firstLineChars="200"/>
        <w:rPr>
          <w:rFonts w:ascii="宋体" w:hAnsi="宋体" w:eastAsia="宋体"/>
          <w:color w:val="auto"/>
          <w:sz w:val="21"/>
          <w:szCs w:val="21"/>
          <w:highlight w:val="none"/>
          <w:lang w:val="en-US"/>
        </w:rPr>
      </w:pPr>
      <w:bookmarkStart w:id="438" w:name="_Toc241459731"/>
      <w:bookmarkStart w:id="439" w:name="_Toc342296490"/>
      <w:bookmarkStart w:id="440" w:name="_Toc179632746"/>
      <w:bookmarkStart w:id="441" w:name="_Toc152042507"/>
      <w:bookmarkStart w:id="442" w:name="_Toc144974699"/>
      <w:bookmarkStart w:id="443" w:name="_Toc152045728"/>
      <w:r>
        <w:rPr>
          <w:rFonts w:hint="eastAsia" w:ascii="宋体" w:hAnsi="宋体" w:eastAsia="宋体"/>
          <w:color w:val="auto"/>
          <w:sz w:val="21"/>
          <w:szCs w:val="21"/>
          <w:highlight w:val="none"/>
          <w:lang w:val="en-US"/>
        </w:rPr>
        <w:t>(2)承包人负责整理和提交的竣工验收资料</w:t>
      </w:r>
      <w:r>
        <w:rPr>
          <w:rFonts w:hint="eastAsia" w:ascii="宋体" w:hAnsi="宋体" w:eastAsia="宋体"/>
          <w:color w:val="auto"/>
          <w:sz w:val="21"/>
          <w:szCs w:val="21"/>
          <w:highlight w:val="none"/>
          <w:lang w:val="en-US" w:eastAsia="zh-CN"/>
        </w:rPr>
        <w:t>和竣工图</w:t>
      </w:r>
      <w:r>
        <w:rPr>
          <w:rFonts w:hint="eastAsia" w:ascii="宋体" w:hAnsi="宋体" w:eastAsia="宋体"/>
          <w:color w:val="auto"/>
          <w:sz w:val="21"/>
          <w:szCs w:val="21"/>
          <w:highlight w:val="none"/>
          <w:lang w:val="en-US"/>
        </w:rPr>
        <w:t>具体内容：</w:t>
      </w:r>
    </w:p>
    <w:p>
      <w:pPr>
        <w:pStyle w:val="49"/>
        <w:ind w:firstLine="420" w:firstLineChars="200"/>
        <w:rPr>
          <w:rFonts w:ascii="宋体" w:hAnsi="宋体" w:eastAsia="宋体"/>
          <w:color w:val="auto"/>
          <w:sz w:val="21"/>
          <w:szCs w:val="21"/>
          <w:highlight w:val="none"/>
          <w:u w:val="single"/>
          <w:lang w:val="en-US"/>
        </w:rPr>
      </w:pPr>
      <w:r>
        <w:rPr>
          <w:rFonts w:ascii="宋体" w:hAnsi="宋体" w:eastAsia="宋体"/>
          <w:color w:val="auto"/>
          <w:sz w:val="21"/>
          <w:szCs w:val="21"/>
          <w:highlight w:val="none"/>
          <w:u w:val="single"/>
          <w:lang w:val="en-US"/>
        </w:rPr>
        <w:t>承包人负责整理和提交的竣工验收资料</w:t>
      </w:r>
      <w:r>
        <w:rPr>
          <w:rFonts w:hint="eastAsia" w:ascii="宋体" w:hAnsi="宋体" w:eastAsia="宋体"/>
          <w:color w:val="auto"/>
          <w:sz w:val="21"/>
          <w:szCs w:val="21"/>
          <w:highlight w:val="none"/>
          <w:u w:val="single"/>
          <w:lang w:val="en-US" w:eastAsia="zh-CN"/>
        </w:rPr>
        <w:t>和竣工图</w:t>
      </w:r>
      <w:r>
        <w:rPr>
          <w:rFonts w:ascii="宋体" w:hAnsi="宋体" w:eastAsia="宋体"/>
          <w:color w:val="auto"/>
          <w:sz w:val="21"/>
          <w:szCs w:val="21"/>
          <w:highlight w:val="none"/>
          <w:u w:val="single"/>
          <w:lang w:val="en-US"/>
        </w:rPr>
        <w:t>应当符合工程所在地建设行政主管部门和 (或)城市建设档案管理机构有关施工资料的要</w:t>
      </w:r>
      <w:r>
        <w:rPr>
          <w:rFonts w:hint="eastAsia" w:ascii="宋体" w:hAnsi="宋体" w:eastAsia="宋体"/>
          <w:color w:val="auto"/>
          <w:sz w:val="21"/>
          <w:szCs w:val="21"/>
          <w:highlight w:val="none"/>
          <w:u w:val="single"/>
          <w:lang w:val="en-US"/>
        </w:rPr>
        <w:t>求</w:t>
      </w:r>
    </w:p>
    <w:p>
      <w:pPr>
        <w:pStyle w:val="49"/>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竣工验收资料</w:t>
      </w:r>
      <w:r>
        <w:rPr>
          <w:rFonts w:hint="eastAsia" w:ascii="宋体" w:hAnsi="宋体" w:eastAsia="宋体"/>
          <w:color w:val="auto"/>
          <w:sz w:val="21"/>
          <w:szCs w:val="21"/>
          <w:highlight w:val="none"/>
          <w:lang w:val="en-US" w:eastAsia="zh-CN"/>
        </w:rPr>
        <w:t>和竣工图</w:t>
      </w:r>
      <w:r>
        <w:rPr>
          <w:rFonts w:hint="eastAsia" w:ascii="宋体" w:hAnsi="宋体" w:eastAsia="宋体"/>
          <w:color w:val="auto"/>
          <w:sz w:val="21"/>
          <w:szCs w:val="21"/>
          <w:highlight w:val="none"/>
          <w:lang w:val="en-US"/>
        </w:rPr>
        <w:t>的份数：</w:t>
      </w:r>
      <w:r>
        <w:rPr>
          <w:rFonts w:hint="eastAsia" w:ascii="宋体" w:hAnsi="宋体" w:eastAsia="宋体"/>
          <w:color w:val="auto"/>
          <w:sz w:val="21"/>
          <w:szCs w:val="21"/>
          <w:highlight w:val="none"/>
          <w:u w:val="single"/>
          <w:lang w:val="en-US"/>
        </w:rPr>
        <w:t>4份</w:t>
      </w:r>
    </w:p>
    <w:p>
      <w:pPr>
        <w:pStyle w:val="49"/>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竣工验收资料</w:t>
      </w:r>
      <w:r>
        <w:rPr>
          <w:rFonts w:hint="eastAsia" w:ascii="宋体" w:hAnsi="宋体" w:eastAsia="宋体"/>
          <w:color w:val="auto"/>
          <w:sz w:val="21"/>
          <w:szCs w:val="21"/>
          <w:highlight w:val="none"/>
          <w:lang w:val="en-US" w:eastAsia="zh-CN"/>
        </w:rPr>
        <w:t>和竣工图</w:t>
      </w:r>
      <w:r>
        <w:rPr>
          <w:rFonts w:hint="eastAsia" w:ascii="宋体" w:hAnsi="宋体" w:eastAsia="宋体"/>
          <w:color w:val="auto"/>
          <w:sz w:val="21"/>
          <w:szCs w:val="21"/>
          <w:highlight w:val="none"/>
          <w:lang w:val="en-US"/>
        </w:rPr>
        <w:t>的费用支付方式：</w:t>
      </w:r>
      <w:r>
        <w:rPr>
          <w:color w:val="auto"/>
          <w:sz w:val="20"/>
          <w:highlight w:val="none"/>
          <w:u w:val="single"/>
        </w:rPr>
        <w:t>由承包人自行承担</w:t>
      </w:r>
    </w:p>
    <w:bookmarkEnd w:id="438"/>
    <w:bookmarkEnd w:id="439"/>
    <w:bookmarkEnd w:id="440"/>
    <w:bookmarkEnd w:id="441"/>
    <w:bookmarkEnd w:id="442"/>
    <w:bookmarkEnd w:id="443"/>
    <w:p>
      <w:pPr>
        <w:pStyle w:val="49"/>
        <w:rPr>
          <w:rFonts w:ascii="黑体" w:hAnsi="宋体" w:cs="Arial"/>
          <w:color w:val="auto"/>
          <w:highlight w:val="none"/>
        </w:rPr>
      </w:pPr>
      <w:bookmarkStart w:id="444" w:name="_Toc152042509"/>
      <w:bookmarkStart w:id="445" w:name="_Toc144974701"/>
      <w:bookmarkStart w:id="446" w:name="_Toc241459732"/>
      <w:bookmarkStart w:id="447" w:name="_Toc179632748"/>
      <w:bookmarkStart w:id="448" w:name="_Toc152045730"/>
      <w:bookmarkStart w:id="449" w:name="_Toc342296491"/>
      <w:r>
        <w:rPr>
          <w:rFonts w:hint="eastAsia" w:ascii="黑体" w:hAnsi="宋体" w:cs="Arial"/>
          <w:color w:val="auto"/>
          <w:highlight w:val="none"/>
        </w:rPr>
        <w:t>18.5 施工期运行</w:t>
      </w:r>
      <w:bookmarkEnd w:id="444"/>
      <w:bookmarkEnd w:id="445"/>
      <w:bookmarkEnd w:id="446"/>
      <w:bookmarkEnd w:id="447"/>
      <w:bookmarkEnd w:id="448"/>
      <w:bookmarkEnd w:id="449"/>
    </w:p>
    <w:p>
      <w:pPr>
        <w:spacing w:line="400" w:lineRule="exact"/>
        <w:ind w:firstLine="440" w:firstLineChars="200"/>
        <w:rPr>
          <w:rFonts w:ascii="宋体" w:hAnsi="宋体"/>
          <w:color w:val="auto"/>
          <w:szCs w:val="21"/>
          <w:highlight w:val="none"/>
          <w:u w:val="single"/>
        </w:rPr>
      </w:pPr>
      <w:bookmarkStart w:id="450" w:name="_Toc152045731"/>
      <w:bookmarkStart w:id="451" w:name="_Toc144974702"/>
      <w:bookmarkStart w:id="452" w:name="_Toc179632749"/>
      <w:bookmarkStart w:id="453" w:name="_Toc152042510"/>
      <w:r>
        <w:rPr>
          <w:rFonts w:hint="eastAsia" w:ascii="宋体" w:hAnsi="宋体"/>
          <w:color w:val="auto"/>
          <w:szCs w:val="21"/>
          <w:highlight w:val="none"/>
        </w:rPr>
        <w:t>18.5.1需要施工期运行的单位工程或设备安装工程：</w:t>
      </w:r>
      <w:r>
        <w:rPr>
          <w:rFonts w:hint="eastAsia" w:ascii="宋体" w:hAnsi="宋体"/>
          <w:color w:val="auto"/>
          <w:szCs w:val="21"/>
          <w:highlight w:val="none"/>
          <w:u w:val="single"/>
        </w:rPr>
        <w:t xml:space="preserve"> / </w:t>
      </w:r>
      <w:r>
        <w:rPr>
          <w:rFonts w:hint="eastAsia" w:ascii="宋体" w:hAnsi="宋体"/>
          <w:color w:val="auto"/>
          <w:szCs w:val="21"/>
          <w:highlight w:val="none"/>
        </w:rPr>
        <w:t>。</w:t>
      </w:r>
    </w:p>
    <w:bookmarkEnd w:id="450"/>
    <w:bookmarkEnd w:id="451"/>
    <w:bookmarkEnd w:id="452"/>
    <w:bookmarkEnd w:id="453"/>
    <w:p>
      <w:pPr>
        <w:pStyle w:val="49"/>
        <w:rPr>
          <w:rFonts w:ascii="黑体" w:hAnsi="宋体" w:cs="Arial"/>
          <w:color w:val="auto"/>
          <w:highlight w:val="none"/>
        </w:rPr>
      </w:pPr>
      <w:bookmarkStart w:id="454" w:name="_Toc152045733"/>
      <w:bookmarkStart w:id="455" w:name="_Toc144974704"/>
      <w:bookmarkStart w:id="456" w:name="_Toc179632751"/>
      <w:bookmarkStart w:id="457" w:name="_Toc241459735"/>
      <w:bookmarkStart w:id="458" w:name="_Toc152042512"/>
      <w:bookmarkStart w:id="459" w:name="_Toc342296494"/>
      <w:r>
        <w:rPr>
          <w:rFonts w:hint="eastAsia" w:ascii="黑体" w:hAnsi="宋体" w:cs="Arial"/>
          <w:color w:val="auto"/>
          <w:highlight w:val="none"/>
        </w:rPr>
        <w:t>18.8 施工队伍的撤离</w:t>
      </w:r>
      <w:bookmarkEnd w:id="454"/>
      <w:bookmarkEnd w:id="455"/>
      <w:bookmarkEnd w:id="456"/>
      <w:bookmarkEnd w:id="457"/>
      <w:bookmarkEnd w:id="458"/>
      <w:bookmarkEnd w:id="459"/>
    </w:p>
    <w:p>
      <w:pPr>
        <w:spacing w:line="400" w:lineRule="exact"/>
        <w:ind w:firstLine="440" w:firstLineChars="200"/>
        <w:rPr>
          <w:rFonts w:ascii="宋体" w:hAnsi="宋体"/>
          <w:color w:val="auto"/>
          <w:szCs w:val="21"/>
          <w:highlight w:val="none"/>
          <w:u w:val="single"/>
        </w:rPr>
      </w:pPr>
      <w:bookmarkStart w:id="460" w:name="_Toc152045734"/>
      <w:bookmarkStart w:id="461" w:name="_Toc144974705"/>
      <w:bookmarkStart w:id="462" w:name="_Toc179632752"/>
      <w:bookmarkStart w:id="463" w:name="_Toc152042513"/>
      <w:r>
        <w:rPr>
          <w:rFonts w:hint="eastAsia" w:ascii="宋体" w:hAnsi="宋体" w:cs="Arial"/>
          <w:color w:val="auto"/>
          <w:szCs w:val="21"/>
          <w:highlight w:val="none"/>
        </w:rPr>
        <w:t>18.8.3 缺陷责任期满时，承包人在施工场地保留的人员和施工设备最终撤离的期限：</w:t>
      </w:r>
      <w:r>
        <w:rPr>
          <w:rFonts w:ascii="宋体" w:hAnsi="宋体" w:cs="Arial"/>
          <w:color w:val="auto"/>
          <w:szCs w:val="21"/>
          <w:highlight w:val="none"/>
          <w:u w:val="single"/>
        </w:rPr>
        <w:t>/</w:t>
      </w:r>
    </w:p>
    <w:p>
      <w:pPr>
        <w:pStyle w:val="49"/>
        <w:rPr>
          <w:rFonts w:ascii="黑体" w:hAnsi="宋体" w:cs="Arial"/>
          <w:color w:val="auto"/>
          <w:highlight w:val="none"/>
        </w:rPr>
      </w:pPr>
      <w:bookmarkStart w:id="464" w:name="_Toc342296495"/>
      <w:bookmarkStart w:id="465" w:name="_Toc241459736"/>
      <w:r>
        <w:rPr>
          <w:rFonts w:hint="eastAsia" w:ascii="黑体" w:hAnsi="宋体" w:cs="Arial"/>
          <w:color w:val="auto"/>
          <w:highlight w:val="none"/>
        </w:rPr>
        <w:t>18.9 中间验收</w:t>
      </w:r>
      <w:bookmarkEnd w:id="464"/>
      <w:bookmarkEnd w:id="465"/>
    </w:p>
    <w:p>
      <w:pPr>
        <w:spacing w:line="400" w:lineRule="exact"/>
        <w:ind w:firstLine="440" w:firstLineChars="200"/>
        <w:rPr>
          <w:rFonts w:ascii="宋体" w:hAnsi="宋体"/>
          <w:color w:val="auto"/>
          <w:szCs w:val="21"/>
          <w:highlight w:val="none"/>
          <w:u w:val="single"/>
        </w:rPr>
      </w:pPr>
      <w:r>
        <w:rPr>
          <w:rFonts w:hint="eastAsia" w:ascii="宋体" w:hAnsi="宋体"/>
          <w:color w:val="auto"/>
          <w:szCs w:val="21"/>
          <w:highlight w:val="none"/>
        </w:rPr>
        <w:t>18.9.1 本工程需要进行中间验收的部位：</w:t>
      </w:r>
      <w:r>
        <w:rPr>
          <w:rFonts w:ascii="宋体" w:hAnsi="宋体"/>
          <w:color w:val="auto"/>
          <w:szCs w:val="21"/>
          <w:highlight w:val="none"/>
          <w:u w:val="single"/>
        </w:rPr>
        <w:t>/</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 xml:space="preserve">18.9.2 验收不合格的，承包人在 </w:t>
      </w:r>
      <w:r>
        <w:rPr>
          <w:rFonts w:hint="eastAsia" w:ascii="宋体" w:hAnsi="宋体"/>
          <w:color w:val="auto"/>
          <w:szCs w:val="21"/>
          <w:highlight w:val="none"/>
          <w:u w:val="single"/>
        </w:rPr>
        <w:t>/</w:t>
      </w:r>
      <w:r>
        <w:rPr>
          <w:rFonts w:hint="eastAsia" w:ascii="宋体" w:hAnsi="宋体"/>
          <w:color w:val="auto"/>
          <w:szCs w:val="21"/>
          <w:highlight w:val="none"/>
        </w:rPr>
        <w:t>天期限内进行修改后重新验收。</w:t>
      </w:r>
    </w:p>
    <w:p>
      <w:pPr>
        <w:pStyle w:val="48"/>
        <w:spacing w:before="0"/>
        <w:rPr>
          <w:color w:val="auto"/>
          <w:highlight w:val="none"/>
        </w:rPr>
      </w:pPr>
      <w:bookmarkStart w:id="466" w:name="_Toc342296496"/>
      <w:bookmarkStart w:id="467" w:name="_Toc241459737"/>
      <w:r>
        <w:rPr>
          <w:rFonts w:hint="eastAsia"/>
          <w:color w:val="auto"/>
          <w:highlight w:val="none"/>
        </w:rPr>
        <w:t>19. 缺陷责任与保修责任</w:t>
      </w:r>
      <w:bookmarkEnd w:id="460"/>
      <w:bookmarkEnd w:id="461"/>
      <w:bookmarkEnd w:id="462"/>
      <w:bookmarkEnd w:id="463"/>
      <w:bookmarkEnd w:id="466"/>
      <w:bookmarkEnd w:id="467"/>
    </w:p>
    <w:p>
      <w:pPr>
        <w:pStyle w:val="49"/>
        <w:rPr>
          <w:rFonts w:ascii="黑体" w:hAnsi="宋体" w:cs="Arial"/>
          <w:color w:val="auto"/>
          <w:highlight w:val="none"/>
        </w:rPr>
      </w:pPr>
      <w:bookmarkStart w:id="468" w:name="_Toc241459738"/>
      <w:bookmarkStart w:id="469" w:name="_Toc144974712"/>
      <w:bookmarkStart w:id="470" w:name="_Toc179632759"/>
      <w:bookmarkStart w:id="471" w:name="_Toc152045741"/>
      <w:bookmarkStart w:id="472" w:name="_Toc342296497"/>
      <w:bookmarkStart w:id="473" w:name="_Toc152042520"/>
      <w:r>
        <w:rPr>
          <w:rFonts w:hint="eastAsia" w:ascii="黑体" w:hAnsi="宋体" w:cs="Arial"/>
          <w:color w:val="auto"/>
          <w:highlight w:val="none"/>
        </w:rPr>
        <w:t>19.7 保修责任</w:t>
      </w:r>
      <w:bookmarkEnd w:id="468"/>
      <w:bookmarkEnd w:id="469"/>
      <w:bookmarkEnd w:id="470"/>
      <w:bookmarkEnd w:id="471"/>
      <w:bookmarkEnd w:id="472"/>
      <w:bookmarkEnd w:id="473"/>
    </w:p>
    <w:p>
      <w:pPr>
        <w:pStyle w:val="48"/>
        <w:rPr>
          <w:rFonts w:ascii="宋体" w:hAnsi="宋体" w:eastAsia="宋体" w:cs="Times New Roman"/>
          <w:color w:val="auto"/>
          <w:sz w:val="21"/>
          <w:szCs w:val="21"/>
          <w:highlight w:val="none"/>
        </w:rPr>
      </w:pPr>
      <w:bookmarkStart w:id="474" w:name="_Toc152042521"/>
      <w:bookmarkStart w:id="475" w:name="_Toc179632760"/>
      <w:bookmarkStart w:id="476" w:name="_Toc152045742"/>
      <w:bookmarkStart w:id="477" w:name="_Toc342296498"/>
      <w:bookmarkStart w:id="478" w:name="_Toc241459739"/>
      <w:bookmarkStart w:id="479" w:name="_Toc144974713"/>
      <w:r>
        <w:rPr>
          <w:rFonts w:hint="eastAsia" w:ascii="宋体" w:hAnsi="宋体" w:eastAsia="宋体" w:cs="Times New Roman"/>
          <w:color w:val="auto"/>
          <w:sz w:val="21"/>
          <w:szCs w:val="21"/>
          <w:highlight w:val="none"/>
        </w:rPr>
        <w:t>19.7.1 工程质量保修范围：</w:t>
      </w:r>
      <w:r>
        <w:rPr>
          <w:rFonts w:ascii="宋体" w:hAnsi="宋体" w:eastAsia="宋体" w:cs="Times New Roman"/>
          <w:color w:val="auto"/>
          <w:sz w:val="21"/>
          <w:szCs w:val="21"/>
          <w:highlight w:val="none"/>
          <w:u w:val="single"/>
        </w:rPr>
        <w:t>执行《建设工程质量管理条例》的相应规定。</w:t>
      </w:r>
    </w:p>
    <w:p>
      <w:pPr>
        <w:pStyle w:val="51"/>
        <w:spacing w:line="377" w:lineRule="exact"/>
        <w:jc w:val="both"/>
        <w:rPr>
          <w:color w:val="auto"/>
          <w:highlight w:val="none"/>
          <w:u w:val="single"/>
        </w:rPr>
      </w:pPr>
      <w:r>
        <w:rPr>
          <w:rFonts w:hint="eastAsia" w:cs="Times New Roman"/>
          <w:color w:val="auto"/>
          <w:sz w:val="21"/>
          <w:szCs w:val="21"/>
          <w:highlight w:val="none"/>
        </w:rPr>
        <w:t>工程质量保修期限：</w:t>
      </w:r>
      <w:r>
        <w:rPr>
          <w:color w:val="auto"/>
          <w:highlight w:val="none"/>
          <w:u w:val="single"/>
        </w:rPr>
        <w:t>基础设施工程、房屋建筑的地基基础工程和主体结构工程，为设计文件规定的该工程合理使用年限；屋面防水工程、有防水要求的卫生间、房间和外墙面的防渗漏，为</w:t>
      </w:r>
      <w:r>
        <w:rPr>
          <w:rFonts w:ascii="Times New Roman" w:hAnsi="Times New Roman" w:eastAsia="Times New Roman" w:cs="Times New Roman"/>
          <w:color w:val="auto"/>
          <w:sz w:val="22"/>
          <w:szCs w:val="22"/>
          <w:highlight w:val="none"/>
          <w:u w:val="single"/>
        </w:rPr>
        <w:t>5</w:t>
      </w:r>
      <w:r>
        <w:rPr>
          <w:color w:val="auto"/>
          <w:highlight w:val="none"/>
          <w:u w:val="single"/>
        </w:rPr>
        <w:t>年；供热与供冷系统，为</w:t>
      </w:r>
      <w:r>
        <w:rPr>
          <w:rFonts w:ascii="Times New Roman" w:hAnsi="Times New Roman" w:eastAsia="Times New Roman" w:cs="Times New Roman"/>
          <w:color w:val="auto"/>
          <w:sz w:val="22"/>
          <w:szCs w:val="22"/>
          <w:highlight w:val="none"/>
          <w:u w:val="single"/>
        </w:rPr>
        <w:t>2</w:t>
      </w:r>
      <w:r>
        <w:rPr>
          <w:color w:val="auto"/>
          <w:highlight w:val="none"/>
          <w:u w:val="single"/>
        </w:rPr>
        <w:t xml:space="preserve">个采暖期、供冷期；电气管线、给排水管道、设备安装为 </w:t>
      </w:r>
      <w:r>
        <w:rPr>
          <w:rFonts w:ascii="Times New Roman" w:hAnsi="Times New Roman" w:eastAsia="Times New Roman" w:cs="Times New Roman"/>
          <w:color w:val="auto"/>
          <w:sz w:val="22"/>
          <w:szCs w:val="22"/>
          <w:highlight w:val="none"/>
          <w:u w:val="single"/>
        </w:rPr>
        <w:t>2</w:t>
      </w:r>
      <w:r>
        <w:rPr>
          <w:color w:val="auto"/>
          <w:highlight w:val="none"/>
          <w:u w:val="single"/>
        </w:rPr>
        <w:t>年；装修工程为</w:t>
      </w:r>
      <w:r>
        <w:rPr>
          <w:rFonts w:ascii="Times New Roman" w:hAnsi="Times New Roman" w:eastAsia="Times New Roman" w:cs="Times New Roman"/>
          <w:color w:val="auto"/>
          <w:sz w:val="22"/>
          <w:szCs w:val="22"/>
          <w:highlight w:val="none"/>
          <w:u w:val="single"/>
        </w:rPr>
        <w:t>2</w:t>
      </w:r>
      <w:r>
        <w:rPr>
          <w:color w:val="auto"/>
          <w:highlight w:val="none"/>
          <w:u w:val="single"/>
        </w:rPr>
        <w:t>年。其他项目的保修期限由建设单位和施工单位约定并执行《建设工程质量管理条例》</w:t>
      </w:r>
    </w:p>
    <w:p>
      <w:pPr>
        <w:pStyle w:val="48"/>
        <w:jc w:val="left"/>
        <w:rPr>
          <w:rFonts w:hint="eastAsia" w:ascii="宋体" w:hAnsi="宋体" w:eastAsia="宋体"/>
          <w:color w:val="auto"/>
          <w:kern w:val="0"/>
          <w:sz w:val="20"/>
          <w:highlight w:val="none"/>
          <w:u w:val="single"/>
          <w:lang w:val="zh-TW" w:eastAsia="zh-CN" w:bidi="zh-TW"/>
        </w:rPr>
      </w:pPr>
      <w:r>
        <w:rPr>
          <w:rFonts w:hint="eastAsia" w:ascii="宋体" w:hAnsi="宋体" w:eastAsia="宋体" w:cs="Times New Roman"/>
          <w:color w:val="auto"/>
          <w:sz w:val="21"/>
          <w:szCs w:val="21"/>
          <w:highlight w:val="none"/>
        </w:rPr>
        <w:t>工程质量保修责任：</w:t>
      </w:r>
      <w:r>
        <w:rPr>
          <w:rFonts w:ascii="宋体" w:hAnsi="宋体" w:eastAsia="宋体"/>
          <w:color w:val="auto"/>
          <w:kern w:val="0"/>
          <w:sz w:val="20"/>
          <w:highlight w:val="none"/>
          <w:u w:val="single"/>
          <w:lang w:val="zh-TW" w:eastAsia="zh-TW" w:bidi="zh-TW"/>
        </w:rPr>
        <w:t>在工程保修期内，承包人应当依据有关法律法规规定以及合同约定承担保修责任</w:t>
      </w:r>
      <w:r>
        <w:rPr>
          <w:rFonts w:hint="eastAsia" w:hAnsi="宋体" w:eastAsia="宋体"/>
          <w:color w:val="auto"/>
          <w:kern w:val="0"/>
          <w:sz w:val="20"/>
          <w:highlight w:val="none"/>
          <w:u w:val="single"/>
          <w:lang w:val="zh-TW" w:eastAsia="zh-CN" w:bidi="zh-TW"/>
        </w:rPr>
        <w:t>。</w:t>
      </w:r>
    </w:p>
    <w:p>
      <w:pPr>
        <w:pStyle w:val="48"/>
        <w:spacing w:before="0"/>
        <w:rPr>
          <w:color w:val="auto"/>
          <w:highlight w:val="none"/>
        </w:rPr>
      </w:pPr>
      <w:r>
        <w:rPr>
          <w:rFonts w:hint="eastAsia"/>
          <w:color w:val="auto"/>
          <w:highlight w:val="none"/>
        </w:rPr>
        <w:t>20. 保险</w:t>
      </w:r>
      <w:bookmarkEnd w:id="474"/>
      <w:bookmarkEnd w:id="475"/>
      <w:bookmarkEnd w:id="476"/>
      <w:bookmarkEnd w:id="477"/>
      <w:bookmarkEnd w:id="478"/>
      <w:bookmarkEnd w:id="479"/>
    </w:p>
    <w:p>
      <w:pPr>
        <w:pStyle w:val="49"/>
        <w:rPr>
          <w:rFonts w:ascii="黑体" w:hAnsi="宋体" w:cs="Arial"/>
          <w:color w:val="auto"/>
          <w:highlight w:val="none"/>
        </w:rPr>
      </w:pPr>
      <w:bookmarkStart w:id="480" w:name="_Toc152045743"/>
      <w:bookmarkStart w:id="481" w:name="_Toc241459740"/>
      <w:bookmarkStart w:id="482" w:name="_Toc179632761"/>
      <w:bookmarkStart w:id="483" w:name="_Toc342296499"/>
      <w:bookmarkStart w:id="484" w:name="_Toc144974714"/>
      <w:bookmarkStart w:id="485" w:name="_Toc152042522"/>
      <w:r>
        <w:rPr>
          <w:rFonts w:hint="eastAsia" w:ascii="黑体" w:hAnsi="宋体" w:cs="Arial"/>
          <w:color w:val="auto"/>
          <w:highlight w:val="none"/>
        </w:rPr>
        <w:t>20.1 工程保险</w:t>
      </w:r>
      <w:bookmarkEnd w:id="480"/>
      <w:bookmarkEnd w:id="481"/>
      <w:bookmarkEnd w:id="482"/>
      <w:bookmarkEnd w:id="483"/>
      <w:bookmarkEnd w:id="484"/>
      <w:bookmarkEnd w:id="485"/>
    </w:p>
    <w:p>
      <w:pPr>
        <w:spacing w:line="400" w:lineRule="exact"/>
        <w:ind w:firstLine="440" w:firstLineChars="200"/>
        <w:rPr>
          <w:rFonts w:ascii="宋体" w:hAnsi="宋体"/>
          <w:color w:val="auto"/>
          <w:szCs w:val="21"/>
          <w:highlight w:val="none"/>
        </w:rPr>
      </w:pPr>
      <w:bookmarkStart w:id="486" w:name="_Toc152045744"/>
      <w:bookmarkStart w:id="487" w:name="_Toc144974715"/>
      <w:bookmarkStart w:id="488" w:name="_Toc152042523"/>
      <w:bookmarkStart w:id="489" w:name="_Toc179632762"/>
      <w:r>
        <w:rPr>
          <w:rFonts w:hint="eastAsia" w:ascii="宋体" w:hAnsi="宋体"/>
          <w:color w:val="auto"/>
          <w:szCs w:val="21"/>
          <w:highlight w:val="none"/>
        </w:rPr>
        <w:t>本工程</w:t>
      </w:r>
      <w:r>
        <w:rPr>
          <w:rFonts w:hint="eastAsia" w:ascii="宋体" w:hAnsi="宋体"/>
          <w:color w:val="auto"/>
          <w:szCs w:val="21"/>
          <w:highlight w:val="none"/>
          <w:u w:val="single"/>
          <w:lang w:val="en-US" w:eastAsia="zh-CN"/>
        </w:rPr>
        <w:t>投保</w:t>
      </w:r>
      <w:r>
        <w:rPr>
          <w:rFonts w:hint="eastAsia" w:ascii="宋体" w:hAnsi="宋体"/>
          <w:color w:val="auto"/>
          <w:szCs w:val="21"/>
          <w:highlight w:val="none"/>
        </w:rPr>
        <w:t>(投保/不投保)工程保险。投保工程保险时，险种为：</w:t>
      </w:r>
      <w:r>
        <w:rPr>
          <w:rFonts w:hint="eastAsia" w:ascii="宋体" w:hAnsi="宋体"/>
          <w:color w:val="auto"/>
          <w:szCs w:val="21"/>
          <w:highlight w:val="none"/>
          <w:u w:val="single"/>
        </w:rPr>
        <w:t>建筑工程一切险</w:t>
      </w:r>
      <w:r>
        <w:rPr>
          <w:rFonts w:hint="eastAsia" w:ascii="宋体" w:hAnsi="宋体"/>
          <w:color w:val="auto"/>
          <w:szCs w:val="21"/>
          <w:highlight w:val="none"/>
        </w:rPr>
        <w:t>，并符合以下约定。</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（1）投保人：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承包人</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（2）投保内容：</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本工程</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400" w:lineRule="exact"/>
        <w:ind w:firstLine="440" w:firstLineChars="200"/>
        <w:rPr>
          <w:rFonts w:ascii="宋体" w:hAnsi="宋体" w:cs="Arial"/>
          <w:color w:val="auto"/>
          <w:highlight w:val="none"/>
        </w:rPr>
      </w:pPr>
      <w:r>
        <w:rPr>
          <w:rFonts w:hint="eastAsia" w:ascii="宋体" w:hAnsi="宋体"/>
          <w:color w:val="auto"/>
          <w:szCs w:val="21"/>
          <w:highlight w:val="none"/>
        </w:rPr>
        <w:t>（3）保险费率：由投保人与合同双方同意的保险人商定</w:t>
      </w:r>
      <w:r>
        <w:rPr>
          <w:rFonts w:hint="eastAsia" w:ascii="宋体" w:hAnsi="宋体" w:cs="Arial"/>
          <w:color w:val="auto"/>
          <w:highlight w:val="none"/>
        </w:rPr>
        <w:t>。</w:t>
      </w:r>
    </w:p>
    <w:p>
      <w:pPr>
        <w:spacing w:line="400" w:lineRule="exact"/>
        <w:ind w:firstLine="440" w:firstLineChars="200"/>
        <w:rPr>
          <w:rFonts w:ascii="宋体" w:hAnsi="宋体"/>
          <w:color w:val="auto"/>
          <w:szCs w:val="21"/>
          <w:highlight w:val="none"/>
        </w:rPr>
      </w:pPr>
      <w:r>
        <w:rPr>
          <w:rFonts w:hint="eastAsia" w:ascii="宋体" w:hAnsi="宋体"/>
          <w:color w:val="auto"/>
          <w:szCs w:val="21"/>
          <w:highlight w:val="none"/>
        </w:rPr>
        <w:t>（4）保险金额：由投保人与合同双方同意的保险人商定</w:t>
      </w:r>
      <w:r>
        <w:rPr>
          <w:rFonts w:hint="eastAsia" w:ascii="宋体" w:hAnsi="宋体" w:cs="Arial"/>
          <w:color w:val="auto"/>
          <w:highlight w:val="none"/>
        </w:rPr>
        <w:t>。</w:t>
      </w:r>
    </w:p>
    <w:p>
      <w:pPr>
        <w:spacing w:line="400" w:lineRule="exact"/>
        <w:ind w:firstLine="440" w:firstLineChars="200"/>
        <w:rPr>
          <w:rFonts w:ascii="宋体" w:hAnsi="宋体"/>
          <w:color w:val="auto"/>
          <w:szCs w:val="21"/>
          <w:highlight w:val="none"/>
          <w:u w:val="single"/>
        </w:rPr>
      </w:pPr>
      <w:r>
        <w:rPr>
          <w:rFonts w:hint="eastAsia" w:ascii="宋体" w:hAnsi="宋体"/>
          <w:color w:val="auto"/>
          <w:szCs w:val="21"/>
          <w:highlight w:val="none"/>
        </w:rPr>
        <w:t>（5）保险期限：</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自开工之日起至竣工验收合格之日至</w:t>
      </w:r>
      <w:r>
        <w:rPr>
          <w:rFonts w:hint="eastAsia" w:ascii="宋体" w:hAnsi="宋体" w:cs="Arial"/>
          <w:color w:val="auto"/>
          <w:highlight w:val="none"/>
        </w:rPr>
        <w:t>。</w:t>
      </w:r>
    </w:p>
    <w:bookmarkEnd w:id="486"/>
    <w:bookmarkEnd w:id="487"/>
    <w:bookmarkEnd w:id="488"/>
    <w:bookmarkEnd w:id="489"/>
    <w:p>
      <w:pPr>
        <w:pStyle w:val="49"/>
        <w:rPr>
          <w:rFonts w:ascii="黑体" w:hAnsi="宋体" w:cs="Arial"/>
          <w:color w:val="auto"/>
          <w:highlight w:val="none"/>
        </w:rPr>
      </w:pPr>
      <w:bookmarkStart w:id="490" w:name="_Toc144974717"/>
      <w:bookmarkStart w:id="491" w:name="_Toc342296500"/>
      <w:bookmarkStart w:id="492" w:name="_Toc152042525"/>
      <w:bookmarkStart w:id="493" w:name="_Toc241459741"/>
      <w:bookmarkStart w:id="494" w:name="_Toc152045746"/>
      <w:bookmarkStart w:id="495" w:name="_Toc179632764"/>
      <w:r>
        <w:rPr>
          <w:rFonts w:hint="eastAsia" w:ascii="黑体" w:hAnsi="宋体" w:cs="Arial"/>
          <w:color w:val="auto"/>
          <w:highlight w:val="none"/>
        </w:rPr>
        <w:t>20.4 第三者责任险</w:t>
      </w:r>
      <w:bookmarkEnd w:id="490"/>
      <w:bookmarkEnd w:id="491"/>
      <w:bookmarkEnd w:id="492"/>
      <w:bookmarkEnd w:id="493"/>
      <w:bookmarkEnd w:id="494"/>
      <w:bookmarkEnd w:id="495"/>
    </w:p>
    <w:p>
      <w:pPr>
        <w:pStyle w:val="49"/>
        <w:rPr>
          <w:rFonts w:hint="eastAsia" w:ascii="宋体" w:hAnsi="宋体" w:eastAsia="宋体"/>
          <w:color w:val="auto"/>
          <w:sz w:val="21"/>
          <w:szCs w:val="21"/>
          <w:highlight w:val="none"/>
          <w:lang w:val="en-US"/>
        </w:rPr>
      </w:pPr>
      <w:bookmarkStart w:id="496" w:name="_Toc241459742"/>
      <w:bookmarkStart w:id="497" w:name="_Toc179632765"/>
      <w:bookmarkStart w:id="498" w:name="_Toc152042526"/>
      <w:bookmarkStart w:id="499" w:name="_Toc152045747"/>
      <w:bookmarkStart w:id="500" w:name="_Toc342296501"/>
      <w:bookmarkStart w:id="501" w:name="_Toc144974718"/>
      <w:r>
        <w:rPr>
          <w:rFonts w:hint="eastAsia" w:ascii="宋体" w:hAnsi="宋体" w:eastAsia="宋体"/>
          <w:color w:val="auto"/>
          <w:sz w:val="21"/>
          <w:szCs w:val="21"/>
          <w:highlight w:val="none"/>
          <w:lang w:val="en-US"/>
        </w:rPr>
        <w:t>20.4.2 保险金额：由承包人与发包人同意的保险人商定，保险费率由承包人与发包人同意的保险人商定，相关保险费由</w:t>
      </w:r>
      <w:r>
        <w:rPr>
          <w:rFonts w:hint="eastAsia" w:ascii="宋体" w:hAnsi="宋体" w:eastAsia="宋体"/>
          <w:color w:val="auto"/>
          <w:sz w:val="21"/>
          <w:szCs w:val="21"/>
          <w:highlight w:val="none"/>
          <w:u w:val="single"/>
          <w:lang w:val="en-US" w:eastAsia="zh-CN"/>
        </w:rPr>
        <w:t>承包人</w:t>
      </w:r>
      <w:r>
        <w:rPr>
          <w:rFonts w:hint="eastAsia" w:ascii="宋体" w:hAnsi="宋体" w:eastAsia="宋体"/>
          <w:color w:val="auto"/>
          <w:sz w:val="21"/>
          <w:szCs w:val="21"/>
          <w:highlight w:val="none"/>
          <w:lang w:val="en-US"/>
        </w:rPr>
        <w:t>承担。</w:t>
      </w:r>
    </w:p>
    <w:p>
      <w:pPr>
        <w:pStyle w:val="49"/>
        <w:rPr>
          <w:rFonts w:ascii="黑体" w:hAnsi="宋体" w:cs="Arial"/>
          <w:color w:val="auto"/>
          <w:highlight w:val="none"/>
        </w:rPr>
      </w:pPr>
      <w:r>
        <w:rPr>
          <w:rFonts w:hint="eastAsia" w:ascii="黑体" w:hAnsi="宋体" w:cs="Arial"/>
          <w:color w:val="auto"/>
          <w:highlight w:val="none"/>
        </w:rPr>
        <w:t>20.5 其他保险</w:t>
      </w:r>
      <w:bookmarkEnd w:id="496"/>
      <w:bookmarkEnd w:id="497"/>
      <w:bookmarkEnd w:id="498"/>
      <w:bookmarkEnd w:id="499"/>
      <w:bookmarkEnd w:id="500"/>
      <w:bookmarkEnd w:id="501"/>
    </w:p>
    <w:p>
      <w:pPr>
        <w:spacing w:line="400" w:lineRule="exact"/>
        <w:ind w:firstLine="440" w:firstLineChars="200"/>
        <w:rPr>
          <w:rFonts w:ascii="宋体" w:hAnsi="宋体" w:cs="Arial"/>
          <w:color w:val="auto"/>
          <w:highlight w:val="none"/>
        </w:rPr>
      </w:pPr>
      <w:r>
        <w:rPr>
          <w:rFonts w:hint="eastAsia" w:ascii="宋体" w:hAnsi="宋体"/>
          <w:color w:val="auto"/>
          <w:szCs w:val="21"/>
          <w:highlight w:val="none"/>
        </w:rPr>
        <w:t>承包人应为其施工设备、进场材料和工程设备等办理的保险：</w:t>
      </w:r>
      <w:r>
        <w:rPr>
          <w:rFonts w:hint="eastAsia" w:ascii="宋体" w:hAnsi="宋体"/>
          <w:color w:val="auto"/>
          <w:szCs w:val="21"/>
          <w:highlight w:val="none"/>
          <w:u w:val="single"/>
        </w:rPr>
        <w:t>/</w:t>
      </w:r>
    </w:p>
    <w:p>
      <w:pPr>
        <w:pStyle w:val="49"/>
        <w:rPr>
          <w:rFonts w:ascii="黑体" w:hAnsi="宋体" w:cs="Arial"/>
          <w:color w:val="auto"/>
          <w:highlight w:val="none"/>
        </w:rPr>
      </w:pPr>
      <w:bookmarkStart w:id="502" w:name="_Toc152042527"/>
      <w:bookmarkStart w:id="503" w:name="_Toc144974719"/>
      <w:bookmarkStart w:id="504" w:name="_Toc152045748"/>
      <w:bookmarkStart w:id="505" w:name="_Toc179632766"/>
      <w:bookmarkStart w:id="506" w:name="_Toc342296502"/>
      <w:bookmarkStart w:id="507" w:name="_Toc241459743"/>
      <w:r>
        <w:rPr>
          <w:rFonts w:hint="eastAsia" w:ascii="黑体" w:hAnsi="宋体" w:cs="Arial"/>
          <w:color w:val="auto"/>
          <w:highlight w:val="none"/>
        </w:rPr>
        <w:t>20.6 对各项保险的一般要求</w:t>
      </w:r>
      <w:bookmarkEnd w:id="502"/>
      <w:bookmarkEnd w:id="503"/>
      <w:bookmarkEnd w:id="504"/>
      <w:bookmarkEnd w:id="505"/>
      <w:bookmarkEnd w:id="506"/>
      <w:bookmarkEnd w:id="507"/>
    </w:p>
    <w:p>
      <w:pPr>
        <w:spacing w:line="400" w:lineRule="exact"/>
        <w:rPr>
          <w:rFonts w:ascii="黑体" w:hAnsi="宋体" w:eastAsia="黑体"/>
          <w:color w:val="auto"/>
          <w:szCs w:val="21"/>
          <w:highlight w:val="none"/>
        </w:rPr>
      </w:pPr>
      <w:r>
        <w:rPr>
          <w:rFonts w:hint="eastAsia" w:ascii="黑体" w:hAnsi="宋体" w:eastAsia="黑体"/>
          <w:color w:val="auto"/>
          <w:szCs w:val="21"/>
          <w:highlight w:val="none"/>
        </w:rPr>
        <w:t>20.6.1保险凭证</w:t>
      </w:r>
    </w:p>
    <w:p>
      <w:pPr>
        <w:spacing w:line="400" w:lineRule="exact"/>
        <w:ind w:firstLine="525"/>
        <w:rPr>
          <w:rFonts w:ascii="宋体" w:hAnsi="宋体"/>
          <w:color w:val="auto"/>
          <w:szCs w:val="21"/>
          <w:highlight w:val="none"/>
          <w:u w:val="single"/>
        </w:rPr>
      </w:pPr>
      <w:r>
        <w:rPr>
          <w:rFonts w:hint="eastAsia" w:ascii="宋体" w:hAnsi="宋体"/>
          <w:color w:val="auto"/>
          <w:szCs w:val="21"/>
          <w:highlight w:val="none"/>
        </w:rPr>
        <w:t>承包人向发包人提交各项保险生效的证据和保险单副本的期限：</w:t>
      </w:r>
      <w:r>
        <w:rPr>
          <w:rFonts w:hint="eastAsia" w:ascii="宋体" w:hAnsi="宋体"/>
          <w:color w:val="auto"/>
          <w:szCs w:val="21"/>
          <w:highlight w:val="none"/>
          <w:u w:val="single"/>
        </w:rPr>
        <w:t>/</w:t>
      </w:r>
      <w:r>
        <w:rPr>
          <w:rFonts w:hint="eastAsia" w:ascii="宋体" w:hAnsi="宋体" w:cs="Arial"/>
          <w:color w:val="auto"/>
          <w:highlight w:val="none"/>
        </w:rPr>
        <w:t>。</w:t>
      </w:r>
    </w:p>
    <w:p>
      <w:pPr>
        <w:spacing w:line="400" w:lineRule="exact"/>
        <w:rPr>
          <w:rFonts w:ascii="黑体" w:hAnsi="宋体" w:eastAsia="黑体"/>
          <w:color w:val="auto"/>
          <w:szCs w:val="21"/>
          <w:highlight w:val="none"/>
        </w:rPr>
      </w:pPr>
      <w:r>
        <w:rPr>
          <w:rFonts w:hint="eastAsia" w:ascii="黑体" w:hAnsi="宋体" w:eastAsia="黑体"/>
          <w:color w:val="auto"/>
          <w:szCs w:val="21"/>
          <w:highlight w:val="none"/>
        </w:rPr>
        <w:t>20.6.4保险金不足的补偿</w:t>
      </w:r>
    </w:p>
    <w:p>
      <w:pPr>
        <w:spacing w:line="400" w:lineRule="exact"/>
        <w:ind w:firstLine="525"/>
        <w:rPr>
          <w:rFonts w:ascii="宋体" w:hAnsi="宋体" w:cs="Arial"/>
          <w:color w:val="auto"/>
          <w:highlight w:val="none"/>
        </w:rPr>
      </w:pPr>
      <w:r>
        <w:rPr>
          <w:rFonts w:hint="eastAsia" w:ascii="宋体" w:hAnsi="宋体"/>
          <w:color w:val="auto"/>
          <w:szCs w:val="21"/>
          <w:highlight w:val="none"/>
        </w:rPr>
        <w:t>保险金不足以补偿损失时，承包人和发包人负责补偿的责任分摊：</w:t>
      </w:r>
      <w:r>
        <w:rPr>
          <w:rFonts w:hint="eastAsia" w:ascii="宋体" w:hAnsi="宋体"/>
          <w:color w:val="auto"/>
          <w:szCs w:val="21"/>
          <w:highlight w:val="none"/>
          <w:u w:val="single"/>
        </w:rPr>
        <w:t>/</w:t>
      </w:r>
      <w:r>
        <w:rPr>
          <w:rFonts w:hint="eastAsia" w:ascii="宋体" w:hAnsi="宋体" w:cs="Arial"/>
          <w:color w:val="auto"/>
          <w:highlight w:val="none"/>
        </w:rPr>
        <w:t>。</w:t>
      </w:r>
    </w:p>
    <w:p>
      <w:pPr>
        <w:pStyle w:val="48"/>
        <w:spacing w:before="0"/>
        <w:rPr>
          <w:color w:val="auto"/>
          <w:highlight w:val="none"/>
        </w:rPr>
      </w:pPr>
      <w:bookmarkStart w:id="508" w:name="_Toc152045749"/>
      <w:bookmarkStart w:id="509" w:name="_Toc144974720"/>
      <w:bookmarkStart w:id="510" w:name="_Toc152042528"/>
      <w:bookmarkStart w:id="511" w:name="_Toc179632767"/>
      <w:bookmarkStart w:id="512" w:name="_Toc241459744"/>
      <w:bookmarkStart w:id="513" w:name="_Toc342296503"/>
      <w:r>
        <w:rPr>
          <w:rFonts w:hint="eastAsia"/>
          <w:color w:val="auto"/>
          <w:highlight w:val="none"/>
        </w:rPr>
        <w:t>21. 不可抗力</w:t>
      </w:r>
      <w:bookmarkEnd w:id="508"/>
      <w:bookmarkEnd w:id="509"/>
      <w:bookmarkEnd w:id="510"/>
      <w:bookmarkEnd w:id="511"/>
      <w:bookmarkEnd w:id="512"/>
      <w:bookmarkEnd w:id="513"/>
    </w:p>
    <w:p>
      <w:pPr>
        <w:pStyle w:val="49"/>
        <w:rPr>
          <w:rFonts w:ascii="黑体" w:hAnsi="宋体" w:cs="Arial"/>
          <w:color w:val="auto"/>
          <w:highlight w:val="none"/>
        </w:rPr>
      </w:pPr>
      <w:bookmarkStart w:id="514" w:name="_Toc152042529"/>
      <w:bookmarkStart w:id="515" w:name="_Toc179632768"/>
      <w:bookmarkStart w:id="516" w:name="_Toc241459745"/>
      <w:bookmarkStart w:id="517" w:name="_Toc144974721"/>
      <w:bookmarkStart w:id="518" w:name="_Toc342296504"/>
      <w:bookmarkStart w:id="519" w:name="_Toc152045750"/>
      <w:r>
        <w:rPr>
          <w:rFonts w:hint="eastAsia" w:ascii="黑体" w:hAnsi="宋体" w:cs="Arial"/>
          <w:color w:val="auto"/>
          <w:highlight w:val="none"/>
        </w:rPr>
        <w:t>21.1 不可抗力的确认</w:t>
      </w:r>
      <w:bookmarkEnd w:id="514"/>
      <w:bookmarkEnd w:id="515"/>
      <w:bookmarkEnd w:id="516"/>
      <w:bookmarkEnd w:id="517"/>
      <w:bookmarkEnd w:id="518"/>
      <w:bookmarkEnd w:id="519"/>
    </w:p>
    <w:p>
      <w:pPr>
        <w:spacing w:line="400" w:lineRule="exact"/>
        <w:rPr>
          <w:color w:val="auto"/>
          <w:highlight w:val="none"/>
          <w:u w:val="single"/>
        </w:rPr>
      </w:pPr>
      <w:r>
        <w:rPr>
          <w:rFonts w:eastAsia="Times New Roman"/>
          <w:color w:val="auto"/>
          <w:sz w:val="20"/>
          <w:szCs w:val="20"/>
          <w:highlight w:val="none"/>
          <w:lang w:bidi="en-US"/>
        </w:rPr>
        <w:t>21.1.</w:t>
      </w:r>
      <w:r>
        <w:rPr>
          <w:rFonts w:eastAsia="Times New Roman"/>
          <w:color w:val="auto"/>
          <w:sz w:val="20"/>
          <w:szCs w:val="20"/>
          <w:highlight w:val="none"/>
        </w:rPr>
        <w:t>1</w:t>
      </w:r>
      <w:r>
        <w:rPr>
          <w:color w:val="auto"/>
          <w:highlight w:val="none"/>
        </w:rPr>
        <w:t>合同条款通用部分第</w:t>
      </w:r>
      <w:r>
        <w:rPr>
          <w:rFonts w:eastAsia="Times New Roman"/>
          <w:color w:val="auto"/>
          <w:sz w:val="20"/>
          <w:szCs w:val="20"/>
          <w:highlight w:val="none"/>
          <w:lang w:bidi="en-US"/>
        </w:rPr>
        <w:t>21.1.</w:t>
      </w:r>
      <w:r>
        <w:rPr>
          <w:rFonts w:eastAsia="Times New Roman"/>
          <w:color w:val="auto"/>
          <w:sz w:val="20"/>
          <w:szCs w:val="20"/>
          <w:highlight w:val="none"/>
        </w:rPr>
        <w:t>1</w:t>
      </w:r>
      <w:r>
        <w:rPr>
          <w:color w:val="auto"/>
          <w:highlight w:val="none"/>
        </w:rPr>
        <w:t>项约定的不可抗力以外的其他情形：</w:t>
      </w:r>
      <w:r>
        <w:rPr>
          <w:color w:val="auto"/>
          <w:highlight w:val="none"/>
          <w:u w:val="single"/>
        </w:rPr>
        <w:t>/</w:t>
      </w:r>
    </w:p>
    <w:p>
      <w:pPr>
        <w:spacing w:line="400" w:lineRule="exact"/>
        <w:rPr>
          <w:rFonts w:ascii="宋体" w:hAnsi="宋体"/>
          <w:color w:val="auto"/>
          <w:szCs w:val="21"/>
          <w:highlight w:val="none"/>
        </w:rPr>
      </w:pPr>
      <w:r>
        <w:rPr>
          <w:rFonts w:hint="eastAsia" w:ascii="宋体" w:hAnsi="宋体"/>
          <w:color w:val="auto"/>
          <w:szCs w:val="21"/>
          <w:highlight w:val="none"/>
        </w:rPr>
        <w:t>不可抗力的等级范围约定：</w:t>
      </w:r>
      <w:r>
        <w:rPr>
          <w:rFonts w:hint="eastAsia" w:ascii="宋体" w:hAnsi="宋体"/>
          <w:color w:val="auto"/>
          <w:szCs w:val="21"/>
          <w:highlight w:val="none"/>
          <w:u w:val="single"/>
        </w:rPr>
        <w:t>/</w:t>
      </w:r>
      <w:bookmarkStart w:id="520" w:name="_Toc152045762"/>
      <w:bookmarkStart w:id="521" w:name="_Toc241459747"/>
      <w:bookmarkStart w:id="522" w:name="_Toc342296506"/>
      <w:bookmarkStart w:id="523" w:name="_Toc144974732"/>
      <w:bookmarkStart w:id="524" w:name="_Toc152042541"/>
      <w:bookmarkStart w:id="525" w:name="_Toc179632780"/>
    </w:p>
    <w:p>
      <w:pPr>
        <w:pStyle w:val="48"/>
        <w:spacing w:before="0"/>
        <w:rPr>
          <w:color w:val="auto"/>
          <w:highlight w:val="none"/>
        </w:rPr>
      </w:pPr>
      <w:r>
        <w:rPr>
          <w:rFonts w:hint="eastAsia"/>
          <w:color w:val="auto"/>
          <w:highlight w:val="none"/>
        </w:rPr>
        <w:t>24. 争议的解决</w:t>
      </w:r>
      <w:bookmarkEnd w:id="520"/>
      <w:bookmarkEnd w:id="521"/>
      <w:bookmarkEnd w:id="522"/>
      <w:bookmarkEnd w:id="523"/>
      <w:bookmarkEnd w:id="524"/>
      <w:bookmarkEnd w:id="525"/>
    </w:p>
    <w:p>
      <w:pPr>
        <w:pStyle w:val="49"/>
        <w:rPr>
          <w:rFonts w:ascii="黑体" w:hAnsi="宋体" w:cs="Arial"/>
          <w:color w:val="auto"/>
          <w:highlight w:val="none"/>
        </w:rPr>
      </w:pPr>
      <w:bookmarkStart w:id="526" w:name="_Toc152042542"/>
      <w:bookmarkStart w:id="527" w:name="_Toc144974733"/>
      <w:bookmarkStart w:id="528" w:name="_Toc241459748"/>
      <w:bookmarkStart w:id="529" w:name="_Toc152045763"/>
      <w:bookmarkStart w:id="530" w:name="_Toc342296507"/>
      <w:bookmarkStart w:id="531" w:name="_Toc179632781"/>
      <w:r>
        <w:rPr>
          <w:rFonts w:hint="eastAsia" w:ascii="黑体" w:hAnsi="宋体" w:cs="Arial"/>
          <w:color w:val="auto"/>
          <w:highlight w:val="none"/>
        </w:rPr>
        <w:t>24.1 争议的解决方式</w:t>
      </w:r>
      <w:bookmarkEnd w:id="526"/>
      <w:bookmarkEnd w:id="527"/>
      <w:bookmarkEnd w:id="528"/>
      <w:bookmarkEnd w:id="529"/>
      <w:bookmarkEnd w:id="530"/>
      <w:bookmarkEnd w:id="531"/>
    </w:p>
    <w:p>
      <w:pPr>
        <w:spacing w:line="400" w:lineRule="exact"/>
        <w:ind w:firstLine="525"/>
        <w:rPr>
          <w:rFonts w:ascii="宋体" w:hAnsi="宋体"/>
          <w:color w:val="auto"/>
          <w:szCs w:val="21"/>
          <w:highlight w:val="none"/>
        </w:rPr>
      </w:pPr>
      <w:bookmarkStart w:id="532" w:name="_Toc152045764"/>
      <w:bookmarkStart w:id="533" w:name="_Toc179632782"/>
      <w:bookmarkStart w:id="534" w:name="_Toc152042543"/>
      <w:bookmarkStart w:id="535" w:name="_Toc144974734"/>
      <w:r>
        <w:rPr>
          <w:rFonts w:hint="eastAsia" w:ascii="宋体" w:hAnsi="宋体"/>
          <w:color w:val="auto"/>
          <w:szCs w:val="21"/>
          <w:highlight w:val="none"/>
        </w:rPr>
        <w:t>因本合同引起的或与本合同有关的任何争议，合同双方友好协商不成、不愿提请争议组评审或者不愿接受争议评审组意见的，选择下列第</w:t>
      </w:r>
      <w:r>
        <w:rPr>
          <w:rFonts w:hint="eastAsia" w:ascii="宋体" w:hAnsi="宋体"/>
          <w:color w:val="auto"/>
          <w:highlight w:val="none"/>
          <w:u w:val="single"/>
        </w:rPr>
        <w:t>（贰）</w:t>
      </w:r>
      <w:r>
        <w:rPr>
          <w:rFonts w:hint="eastAsia" w:ascii="宋体" w:hAnsi="宋体"/>
          <w:color w:val="auto"/>
          <w:szCs w:val="21"/>
          <w:highlight w:val="none"/>
        </w:rPr>
        <w:t>种方式解决：</w:t>
      </w:r>
    </w:p>
    <w:p>
      <w:pPr>
        <w:spacing w:line="400" w:lineRule="exact"/>
        <w:ind w:firstLine="525"/>
        <w:rPr>
          <w:rFonts w:ascii="宋体" w:hAnsi="宋体"/>
          <w:color w:val="auto"/>
          <w:highlight w:val="none"/>
        </w:rPr>
      </w:pPr>
      <w:r>
        <w:rPr>
          <w:rFonts w:hint="eastAsia" w:ascii="宋体" w:hAnsi="宋体"/>
          <w:color w:val="auto"/>
          <w:highlight w:val="none"/>
          <w:u w:val="single"/>
        </w:rPr>
        <w:t>（壹）</w:t>
      </w:r>
      <w:r>
        <w:rPr>
          <w:rFonts w:hint="eastAsia" w:ascii="宋体" w:hAnsi="宋体"/>
          <w:color w:val="auto"/>
          <w:highlight w:val="none"/>
        </w:rPr>
        <w:t>提请</w:t>
      </w:r>
      <w:r>
        <w:rPr>
          <w:rFonts w:hint="eastAsia" w:ascii="宋体" w:hAnsi="宋体"/>
          <w:color w:val="auto"/>
          <w:highlight w:val="none"/>
          <w:u w:val="single"/>
        </w:rPr>
        <w:t>/</w:t>
      </w:r>
      <w:r>
        <w:rPr>
          <w:rFonts w:hint="eastAsia" w:ascii="宋体" w:hAnsi="宋体"/>
          <w:color w:val="auto"/>
          <w:highlight w:val="none"/>
        </w:rPr>
        <w:t>仲裁委员会按照该会仲裁规则进行仲裁，仲裁裁决是终局的，对合同双方均有约束力。</w:t>
      </w:r>
    </w:p>
    <w:p>
      <w:pPr>
        <w:spacing w:line="400" w:lineRule="exact"/>
        <w:ind w:firstLine="525"/>
        <w:rPr>
          <w:rFonts w:ascii="宋体" w:hAnsi="宋体"/>
          <w:color w:val="auto"/>
          <w:szCs w:val="21"/>
          <w:highlight w:val="none"/>
        </w:rPr>
      </w:pPr>
      <w:r>
        <w:rPr>
          <w:rFonts w:hint="eastAsia" w:ascii="宋体" w:hAnsi="宋体"/>
          <w:color w:val="auto"/>
          <w:szCs w:val="21"/>
          <w:highlight w:val="none"/>
          <w:u w:val="single"/>
        </w:rPr>
        <w:t>（贰）</w:t>
      </w:r>
      <w:r>
        <w:rPr>
          <w:rFonts w:hint="eastAsia" w:ascii="宋体" w:hAnsi="宋体"/>
          <w:color w:val="auto"/>
          <w:szCs w:val="21"/>
          <w:highlight w:val="none"/>
        </w:rPr>
        <w:t>向顺义区人民法院提起诉讼。</w:t>
      </w:r>
    </w:p>
    <w:bookmarkEnd w:id="532"/>
    <w:bookmarkEnd w:id="533"/>
    <w:bookmarkEnd w:id="534"/>
    <w:bookmarkEnd w:id="535"/>
    <w:p>
      <w:pPr>
        <w:pStyle w:val="49"/>
        <w:rPr>
          <w:rFonts w:ascii="黑体" w:hAnsi="宋体" w:cs="Arial"/>
          <w:color w:val="auto"/>
          <w:highlight w:val="none"/>
        </w:rPr>
      </w:pPr>
      <w:bookmarkStart w:id="536" w:name="_Toc144974735"/>
      <w:bookmarkStart w:id="537" w:name="_Toc152045765"/>
      <w:bookmarkStart w:id="538" w:name="_Toc342296508"/>
      <w:bookmarkStart w:id="539" w:name="_Toc241459749"/>
      <w:bookmarkStart w:id="540" w:name="_Toc152042544"/>
      <w:bookmarkStart w:id="541" w:name="_Toc179632783"/>
      <w:r>
        <w:rPr>
          <w:rFonts w:hint="eastAsia" w:ascii="黑体" w:hAnsi="宋体" w:cs="Arial"/>
          <w:color w:val="auto"/>
          <w:highlight w:val="none"/>
        </w:rPr>
        <w:t>24.3 争议评审</w:t>
      </w:r>
      <w:bookmarkEnd w:id="536"/>
      <w:bookmarkEnd w:id="537"/>
      <w:bookmarkEnd w:id="538"/>
      <w:bookmarkEnd w:id="539"/>
      <w:bookmarkEnd w:id="540"/>
      <w:bookmarkEnd w:id="541"/>
    </w:p>
    <w:p>
      <w:pPr>
        <w:spacing w:line="400" w:lineRule="exact"/>
        <w:ind w:firstLine="525"/>
        <w:rPr>
          <w:rFonts w:ascii="宋体" w:hAnsi="宋体"/>
          <w:color w:val="auto"/>
          <w:szCs w:val="21"/>
          <w:highlight w:val="none"/>
        </w:rPr>
      </w:pPr>
      <w:r>
        <w:rPr>
          <w:rFonts w:hint="eastAsia" w:ascii="宋体" w:hAnsi="宋体"/>
          <w:color w:val="auto"/>
          <w:szCs w:val="21"/>
          <w:highlight w:val="none"/>
        </w:rPr>
        <w:t>24.3.4争议评审组邀请合同双方代表人和有关人员举行调查会的期限：</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spacing w:line="400" w:lineRule="exact"/>
        <w:ind w:firstLine="525"/>
        <w:rPr>
          <w:rFonts w:ascii="宋体" w:hAnsi="宋体"/>
          <w:color w:val="auto"/>
          <w:szCs w:val="21"/>
          <w:highlight w:val="none"/>
        </w:rPr>
      </w:pPr>
      <w:r>
        <w:rPr>
          <w:rFonts w:hint="eastAsia" w:ascii="宋体" w:hAnsi="宋体"/>
          <w:color w:val="auto"/>
          <w:szCs w:val="21"/>
          <w:highlight w:val="none"/>
        </w:rPr>
        <w:t>24.3.5争议评审组在调查会后作出争议评审意见的期限：</w:t>
      </w:r>
      <w:r>
        <w:rPr>
          <w:rFonts w:hint="eastAsia" w:ascii="宋体" w:hAnsi="宋体"/>
          <w:color w:val="auto"/>
          <w:szCs w:val="21"/>
          <w:highlight w:val="none"/>
          <w:u w:val="single"/>
        </w:rPr>
        <w:t xml:space="preserve"> / </w:t>
      </w:r>
      <w:r>
        <w:rPr>
          <w:rFonts w:hint="eastAsia" w:ascii="宋体" w:hAnsi="宋体"/>
          <w:color w:val="auto"/>
          <w:szCs w:val="21"/>
          <w:highlight w:val="none"/>
        </w:rPr>
        <w:t>。</w:t>
      </w:r>
    </w:p>
    <w:p>
      <w:pPr>
        <w:jc w:val="center"/>
        <w:rPr>
          <w:b/>
          <w:bCs/>
          <w:color w:val="auto"/>
          <w:sz w:val="28"/>
          <w:szCs w:val="28"/>
          <w:highlight w:val="none"/>
        </w:rPr>
      </w:pPr>
      <w:bookmarkStart w:id="542" w:name="_Toc519778246"/>
      <w:bookmarkStart w:id="543" w:name="_Toc523321592"/>
    </w:p>
    <w:p>
      <w:pPr>
        <w:widowControl/>
        <w:jc w:val="left"/>
        <w:rPr>
          <w:rFonts w:ascii="黑体" w:hAnsi="黑体" w:eastAsia="黑体" w:cs="黑体"/>
          <w:b/>
          <w:bCs/>
          <w:color w:val="auto"/>
          <w:sz w:val="28"/>
          <w:szCs w:val="28"/>
          <w:highlight w:val="none"/>
        </w:rPr>
      </w:pPr>
      <w:r>
        <w:rPr>
          <w:rFonts w:ascii="黑体" w:hAnsi="黑体" w:eastAsia="黑体" w:cs="黑体"/>
          <w:b/>
          <w:bCs/>
          <w:color w:val="auto"/>
          <w:sz w:val="28"/>
          <w:szCs w:val="28"/>
          <w:highlight w:val="none"/>
        </w:rPr>
        <w:br w:type="page"/>
      </w:r>
    </w:p>
    <w:p>
      <w:pPr>
        <w:jc w:val="center"/>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通用合同条款</w:t>
      </w:r>
      <w:bookmarkEnd w:id="542"/>
      <w:bookmarkEnd w:id="543"/>
    </w:p>
    <w:p>
      <w:pPr>
        <w:rPr>
          <w:color w:val="auto"/>
          <w:highlight w:val="none"/>
        </w:rPr>
      </w:pPr>
      <w:bookmarkStart w:id="544" w:name="_Toc342296545"/>
      <w:bookmarkStart w:id="545" w:name="_Toc429569598"/>
      <w:bookmarkStart w:id="546" w:name="_Toc519778404"/>
      <w:bookmarkStart w:id="547" w:name="_Toc241459788"/>
      <w:bookmarkStart w:id="548" w:name="_Toc523321732"/>
      <w:bookmarkStart w:id="549" w:name="_Toc492453758"/>
      <w:bookmarkStart w:id="550" w:name="_Toc342296516"/>
      <w:bookmarkStart w:id="551" w:name="_Toc241459757"/>
      <w:bookmarkStart w:id="552" w:name="_Toc111445497"/>
    </w:p>
    <w:p>
      <w:pPr>
        <w:pStyle w:val="6"/>
        <w:widowControl/>
        <w:numPr>
          <w:ilvl w:val="0"/>
          <w:numId w:val="14"/>
        </w:numPr>
        <w:spacing w:before="61" w:after="0"/>
        <w:ind w:hanging="284"/>
        <w:jc w:val="left"/>
        <w:rPr>
          <w:rFonts w:ascii="宋体" w:hAnsi="宋体" w:eastAsia="宋体" w:cs="宋体"/>
          <w:color w:val="auto"/>
          <w:szCs w:val="28"/>
          <w:highlight w:val="none"/>
        </w:rPr>
      </w:pPr>
      <w:r>
        <w:rPr>
          <w:rFonts w:hint="eastAsia" w:ascii="宋体" w:hAnsi="宋体" w:eastAsia="宋体" w:cs="宋体"/>
          <w:color w:val="auto"/>
          <w:spacing w:val="-2"/>
          <w:szCs w:val="28"/>
          <w:highlight w:val="none"/>
        </w:rPr>
        <w:t>一般约定</w:t>
      </w:r>
    </w:p>
    <w:p>
      <w:pPr>
        <w:pStyle w:val="20"/>
        <w:widowControl w:val="0"/>
        <w:autoSpaceDE w:val="0"/>
        <w:autoSpaceDN w:val="0"/>
        <w:spacing w:before="9" w:beforeAutospacing="0" w:after="0" w:afterAutospacing="0"/>
        <w:rPr>
          <w:rFonts w:cs="宋体"/>
          <w:color w:val="auto"/>
          <w:sz w:val="28"/>
          <w:szCs w:val="28"/>
          <w:highlight w:val="none"/>
        </w:rPr>
      </w:pPr>
    </w:p>
    <w:p>
      <w:pPr>
        <w:pStyle w:val="7"/>
        <w:widowControl/>
        <w:numPr>
          <w:ilvl w:val="1"/>
          <w:numId w:val="14"/>
        </w:numPr>
        <w:spacing w:before="0"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词语定义 </w:t>
      </w:r>
    </w:p>
    <w:p>
      <w:pPr>
        <w:pStyle w:val="20"/>
        <w:widowControl w:val="0"/>
        <w:autoSpaceDE w:val="0"/>
        <w:autoSpaceDN w:val="0"/>
        <w:spacing w:before="4" w:beforeAutospacing="0" w:after="0" w:afterAutospacing="0"/>
        <w:rPr>
          <w:rFonts w:cs="宋体"/>
          <w:color w:val="auto"/>
          <w:sz w:val="26"/>
          <w:szCs w:val="26"/>
          <w:highlight w:val="none"/>
        </w:rPr>
      </w:pPr>
    </w:p>
    <w:p>
      <w:pPr>
        <w:pStyle w:val="20"/>
        <w:widowControl w:val="0"/>
        <w:autoSpaceDE w:val="0"/>
        <w:autoSpaceDN w:val="0"/>
        <w:spacing w:before="1" w:beforeAutospacing="0" w:after="0" w:afterAutospacing="0" w:line="415" w:lineRule="auto"/>
        <w:ind w:left="558" w:right="745"/>
        <w:rPr>
          <w:rFonts w:cs="宋体"/>
          <w:color w:val="auto"/>
          <w:sz w:val="21"/>
          <w:szCs w:val="21"/>
          <w:highlight w:val="none"/>
        </w:rPr>
      </w:pPr>
      <w:r>
        <w:rPr>
          <w:rFonts w:hint="eastAsia" w:cs="宋体"/>
          <w:color w:val="auto"/>
          <w:sz w:val="21"/>
          <w:szCs w:val="21"/>
          <w:highlight w:val="none"/>
        </w:rPr>
        <w:t xml:space="preserve">合同条款通用部分、合同条款专用部分中的下列词语应具有本款所赋予的含义。1.1.1 合 同 </w:t>
      </w:r>
    </w:p>
    <w:p>
      <w:pPr>
        <w:pStyle w:val="20"/>
        <w:widowControl w:val="0"/>
        <w:autoSpaceDE w:val="0"/>
        <w:autoSpaceDN w:val="0"/>
        <w:spacing w:before="0" w:beforeAutospacing="0" w:after="0" w:afterAutospacing="0" w:line="415" w:lineRule="auto"/>
        <w:ind w:left="769" w:right="206" w:firstLine="419"/>
        <w:rPr>
          <w:rFonts w:cs="宋体"/>
          <w:color w:val="auto"/>
          <w:sz w:val="21"/>
          <w:szCs w:val="21"/>
          <w:highlight w:val="none"/>
        </w:rPr>
      </w:pPr>
      <w:r>
        <w:rPr>
          <w:rFonts w:hint="eastAsia" w:cs="宋体"/>
          <w:color w:val="auto"/>
          <w:spacing w:val="-15"/>
          <w:sz w:val="21"/>
          <w:szCs w:val="21"/>
          <w:highlight w:val="none"/>
        </w:rPr>
        <w:t>1.1.1.1 合同文件</w:t>
      </w:r>
      <w:r>
        <w:rPr>
          <w:rFonts w:hint="eastAsia" w:cs="宋体"/>
          <w:color w:val="auto"/>
          <w:sz w:val="21"/>
          <w:szCs w:val="21"/>
          <w:highlight w:val="none"/>
        </w:rPr>
        <w:t>（</w:t>
      </w:r>
      <w:r>
        <w:rPr>
          <w:rFonts w:hint="eastAsia" w:cs="宋体"/>
          <w:color w:val="auto"/>
          <w:spacing w:val="-2"/>
          <w:sz w:val="21"/>
          <w:szCs w:val="21"/>
          <w:highlight w:val="none"/>
        </w:rPr>
        <w:t>或称合同</w:t>
      </w:r>
      <w:r>
        <w:rPr>
          <w:rFonts w:hint="eastAsia" w:cs="宋体"/>
          <w:color w:val="auto"/>
          <w:spacing w:val="-78"/>
          <w:sz w:val="21"/>
          <w:szCs w:val="21"/>
          <w:highlight w:val="none"/>
        </w:rPr>
        <w:t>）</w:t>
      </w:r>
      <w:r>
        <w:rPr>
          <w:rFonts w:hint="eastAsia" w:cs="宋体"/>
          <w:color w:val="auto"/>
          <w:spacing w:val="-16"/>
          <w:sz w:val="21"/>
          <w:szCs w:val="21"/>
          <w:highlight w:val="none"/>
        </w:rPr>
        <w:t>：指合同协议书、中标通知书、投标函及投标函附录、合</w:t>
      </w:r>
      <w:r>
        <w:rPr>
          <w:rFonts w:hint="eastAsia" w:cs="宋体"/>
          <w:color w:val="auto"/>
          <w:spacing w:val="-11"/>
          <w:sz w:val="21"/>
          <w:szCs w:val="21"/>
          <w:highlight w:val="none"/>
        </w:rPr>
        <w:t>同条款专用部分、合同条款通用部分、技术标准和要求、图纸、已标价工程量清单，以及其</w:t>
      </w:r>
      <w:r>
        <w:rPr>
          <w:rFonts w:hint="eastAsia" w:cs="宋体"/>
          <w:color w:val="auto"/>
          <w:spacing w:val="-5"/>
          <w:sz w:val="21"/>
          <w:szCs w:val="21"/>
          <w:highlight w:val="none"/>
        </w:rPr>
        <w:t>他合同文件。</w:t>
      </w:r>
    </w:p>
    <w:p>
      <w:pPr>
        <w:pStyle w:val="20"/>
        <w:widowControl w:val="0"/>
        <w:autoSpaceDE w:val="0"/>
        <w:autoSpaceDN w:val="0"/>
        <w:spacing w:before="0" w:beforeAutospacing="0" w:after="0" w:afterAutospacing="0" w:line="269" w:lineRule="exact"/>
        <w:ind w:left="768" w:firstLine="419"/>
        <w:rPr>
          <w:rFonts w:cs="宋体"/>
          <w:color w:val="auto"/>
          <w:sz w:val="21"/>
          <w:szCs w:val="21"/>
          <w:highlight w:val="none"/>
        </w:rPr>
      </w:pPr>
      <w:r>
        <w:rPr>
          <w:rFonts w:hint="eastAsia" w:cs="宋体"/>
          <w:color w:val="auto"/>
          <w:spacing w:val="-9"/>
          <w:sz w:val="21"/>
          <w:szCs w:val="21"/>
          <w:highlight w:val="none"/>
        </w:rPr>
        <w:t xml:space="preserve">1.1.1.2 合同协议书：指第 </w:t>
      </w:r>
      <w:r>
        <w:rPr>
          <w:rFonts w:hint="eastAsia" w:cs="宋体"/>
          <w:color w:val="auto"/>
          <w:sz w:val="21"/>
          <w:szCs w:val="21"/>
          <w:highlight w:val="none"/>
        </w:rPr>
        <w:t>1.5</w:t>
      </w:r>
      <w:r>
        <w:rPr>
          <w:rFonts w:hint="eastAsia" w:cs="宋体"/>
          <w:color w:val="auto"/>
          <w:spacing w:val="-9"/>
          <w:sz w:val="21"/>
          <w:szCs w:val="21"/>
          <w:highlight w:val="none"/>
        </w:rPr>
        <w:t xml:space="preserve"> 款所指的合同协议书。</w:t>
      </w:r>
    </w:p>
    <w:p>
      <w:pPr>
        <w:pStyle w:val="20"/>
        <w:widowControl w:val="0"/>
        <w:autoSpaceDE w:val="0"/>
        <w:autoSpaceDN w:val="0"/>
        <w:spacing w:before="6" w:beforeAutospacing="0" w:after="0" w:afterAutospacing="0"/>
        <w:rPr>
          <w:rFonts w:cs="宋体"/>
          <w:color w:val="auto"/>
          <w:sz w:val="15"/>
          <w:szCs w:val="15"/>
          <w:highlight w:val="none"/>
        </w:rPr>
      </w:pPr>
    </w:p>
    <w:p>
      <w:pPr>
        <w:pStyle w:val="20"/>
        <w:widowControl w:val="0"/>
        <w:autoSpaceDE w:val="0"/>
        <w:autoSpaceDN w:val="0"/>
        <w:spacing w:before="0" w:beforeAutospacing="0" w:after="0" w:afterAutospacing="0"/>
        <w:ind w:left="768" w:firstLine="419"/>
        <w:rPr>
          <w:rFonts w:cs="宋体"/>
          <w:color w:val="auto"/>
          <w:sz w:val="21"/>
          <w:szCs w:val="21"/>
          <w:highlight w:val="none"/>
        </w:rPr>
      </w:pPr>
      <w:r>
        <w:rPr>
          <w:rFonts w:hint="eastAsia" w:cs="宋体"/>
          <w:color w:val="auto"/>
          <w:spacing w:val="-15"/>
          <w:sz w:val="21"/>
          <w:szCs w:val="21"/>
          <w:highlight w:val="none"/>
        </w:rPr>
        <w:t xml:space="preserve">1.1.1.3 </w:t>
      </w:r>
      <w:r>
        <w:rPr>
          <w:rFonts w:hint="eastAsia" w:cs="宋体"/>
          <w:color w:val="auto"/>
          <w:spacing w:val="-3"/>
          <w:sz w:val="21"/>
          <w:szCs w:val="21"/>
          <w:highlight w:val="none"/>
        </w:rPr>
        <w:t>中标通知书：指发包人通知承包人中标的函件。</w:t>
      </w:r>
    </w:p>
    <w:p>
      <w:pPr>
        <w:pStyle w:val="20"/>
        <w:widowControl w:val="0"/>
        <w:autoSpaceDE w:val="0"/>
        <w:autoSpaceDN w:val="0"/>
        <w:spacing w:before="7" w:beforeAutospacing="0" w:after="0" w:afterAutospacing="0"/>
        <w:rPr>
          <w:rFonts w:cs="宋体"/>
          <w:color w:val="auto"/>
          <w:sz w:val="15"/>
          <w:szCs w:val="15"/>
          <w:highlight w:val="none"/>
        </w:rPr>
      </w:pPr>
    </w:p>
    <w:p>
      <w:pPr>
        <w:pStyle w:val="20"/>
        <w:widowControl w:val="0"/>
        <w:autoSpaceDE w:val="0"/>
        <w:autoSpaceDN w:val="0"/>
        <w:spacing w:before="0" w:beforeAutospacing="0" w:after="0" w:afterAutospacing="0"/>
        <w:ind w:left="768" w:firstLine="419"/>
        <w:rPr>
          <w:rFonts w:cs="宋体"/>
          <w:color w:val="auto"/>
          <w:sz w:val="21"/>
          <w:szCs w:val="21"/>
          <w:highlight w:val="none"/>
        </w:rPr>
      </w:pPr>
      <w:r>
        <w:rPr>
          <w:rFonts w:hint="eastAsia" w:cs="宋体"/>
          <w:color w:val="auto"/>
          <w:spacing w:val="-15"/>
          <w:sz w:val="21"/>
          <w:szCs w:val="21"/>
          <w:highlight w:val="none"/>
        </w:rPr>
        <w:t xml:space="preserve">1.1.1.4 </w:t>
      </w:r>
      <w:r>
        <w:rPr>
          <w:rFonts w:hint="eastAsia" w:cs="宋体"/>
          <w:color w:val="auto"/>
          <w:spacing w:val="-3"/>
          <w:sz w:val="21"/>
          <w:szCs w:val="21"/>
          <w:highlight w:val="none"/>
        </w:rPr>
        <w:t xml:space="preserve">投标函：指构成合同文件组成部分的由承包人填写并签署的投标函。 </w:t>
      </w:r>
    </w:p>
    <w:p>
      <w:pPr>
        <w:pStyle w:val="20"/>
        <w:widowControl w:val="0"/>
        <w:autoSpaceDE w:val="0"/>
        <w:autoSpaceDN w:val="0"/>
        <w:spacing w:before="7" w:beforeAutospacing="0" w:after="0" w:afterAutospacing="0"/>
        <w:rPr>
          <w:rFonts w:cs="宋体"/>
          <w:color w:val="auto"/>
          <w:sz w:val="15"/>
          <w:szCs w:val="15"/>
          <w:highlight w:val="none"/>
        </w:rPr>
      </w:pPr>
    </w:p>
    <w:p>
      <w:pPr>
        <w:pStyle w:val="20"/>
        <w:widowControl w:val="0"/>
        <w:autoSpaceDE w:val="0"/>
        <w:autoSpaceDN w:val="0"/>
        <w:spacing w:before="0" w:beforeAutospacing="0" w:after="0" w:afterAutospacing="0"/>
        <w:ind w:left="768" w:firstLine="419"/>
        <w:rPr>
          <w:rFonts w:cs="宋体"/>
          <w:color w:val="auto"/>
          <w:sz w:val="21"/>
          <w:szCs w:val="21"/>
          <w:highlight w:val="none"/>
        </w:rPr>
      </w:pPr>
      <w:r>
        <w:rPr>
          <w:rFonts w:hint="eastAsia" w:cs="宋体"/>
          <w:color w:val="auto"/>
          <w:spacing w:val="-15"/>
          <w:sz w:val="21"/>
          <w:szCs w:val="21"/>
          <w:highlight w:val="none"/>
        </w:rPr>
        <w:t xml:space="preserve">1.1.1.5 </w:t>
      </w:r>
      <w:r>
        <w:rPr>
          <w:rFonts w:hint="eastAsia" w:cs="宋体"/>
          <w:color w:val="auto"/>
          <w:spacing w:val="-3"/>
          <w:sz w:val="21"/>
          <w:szCs w:val="21"/>
          <w:highlight w:val="none"/>
        </w:rPr>
        <w:t xml:space="preserve">投标函附录：指附在投标函后构成合同文件的投标函附录。 </w:t>
      </w:r>
    </w:p>
    <w:p>
      <w:pPr>
        <w:pStyle w:val="20"/>
        <w:widowControl w:val="0"/>
        <w:autoSpaceDE w:val="0"/>
        <w:autoSpaceDN w:val="0"/>
        <w:spacing w:before="6" w:beforeAutospacing="0" w:after="0" w:afterAutospacing="0"/>
        <w:rPr>
          <w:rFonts w:cs="宋体"/>
          <w:color w:val="auto"/>
          <w:sz w:val="15"/>
          <w:szCs w:val="15"/>
          <w:highlight w:val="none"/>
        </w:rPr>
      </w:pPr>
    </w:p>
    <w:p>
      <w:pPr>
        <w:pStyle w:val="20"/>
        <w:widowControl w:val="0"/>
        <w:autoSpaceDE w:val="0"/>
        <w:autoSpaceDN w:val="0"/>
        <w:spacing w:before="1" w:beforeAutospacing="0" w:after="0" w:afterAutospacing="0" w:line="415" w:lineRule="auto"/>
        <w:ind w:left="769" w:right="309" w:firstLine="419"/>
        <w:rPr>
          <w:rFonts w:cs="宋体"/>
          <w:color w:val="auto"/>
          <w:sz w:val="21"/>
          <w:szCs w:val="21"/>
          <w:highlight w:val="none"/>
        </w:rPr>
      </w:pPr>
      <w:r>
        <w:rPr>
          <w:rFonts w:hint="eastAsia" w:cs="宋体"/>
          <w:color w:val="auto"/>
          <w:spacing w:val="-15"/>
          <w:sz w:val="21"/>
          <w:szCs w:val="21"/>
          <w:highlight w:val="none"/>
        </w:rPr>
        <w:t xml:space="preserve">1.1.1.6 </w:t>
      </w:r>
      <w:r>
        <w:rPr>
          <w:rFonts w:hint="eastAsia" w:cs="宋体"/>
          <w:color w:val="auto"/>
          <w:spacing w:val="-3"/>
          <w:sz w:val="21"/>
          <w:szCs w:val="21"/>
          <w:highlight w:val="none"/>
        </w:rPr>
        <w:t>合同条款：指构成合同文件组成部分的合同条款通用部分和</w:t>
      </w:r>
      <w:r>
        <w:rPr>
          <w:rFonts w:hint="eastAsia" w:cs="宋体"/>
          <w:color w:val="auto"/>
          <w:sz w:val="21"/>
          <w:szCs w:val="21"/>
          <w:highlight w:val="none"/>
        </w:rPr>
        <w:t>（或</w:t>
      </w:r>
      <w:r>
        <w:rPr>
          <w:rFonts w:hint="eastAsia" w:cs="宋体"/>
          <w:color w:val="auto"/>
          <w:spacing w:val="-3"/>
          <w:sz w:val="21"/>
          <w:szCs w:val="21"/>
          <w:highlight w:val="none"/>
        </w:rPr>
        <w:t>）</w:t>
      </w:r>
      <w:r>
        <w:rPr>
          <w:rFonts w:hint="eastAsia" w:cs="宋体"/>
          <w:color w:val="auto"/>
          <w:sz w:val="21"/>
          <w:szCs w:val="21"/>
          <w:highlight w:val="none"/>
        </w:rPr>
        <w:t>合同条款</w:t>
      </w:r>
      <w:r>
        <w:rPr>
          <w:rFonts w:hint="eastAsia" w:cs="宋体"/>
          <w:color w:val="auto"/>
          <w:spacing w:val="-3"/>
          <w:sz w:val="21"/>
          <w:szCs w:val="21"/>
          <w:highlight w:val="none"/>
        </w:rPr>
        <w:t>专用部分。</w:t>
      </w:r>
    </w:p>
    <w:p>
      <w:pPr>
        <w:pStyle w:val="20"/>
        <w:widowControl w:val="0"/>
        <w:autoSpaceDE w:val="0"/>
        <w:autoSpaceDN w:val="0"/>
        <w:spacing w:before="0" w:beforeAutospacing="0" w:after="0" w:afterAutospacing="0" w:line="415" w:lineRule="auto"/>
        <w:ind w:left="769" w:right="203" w:firstLine="419"/>
        <w:rPr>
          <w:rFonts w:cs="宋体"/>
          <w:color w:val="auto"/>
          <w:sz w:val="21"/>
          <w:szCs w:val="21"/>
          <w:highlight w:val="none"/>
        </w:rPr>
      </w:pPr>
      <w:r>
        <w:rPr>
          <w:rFonts w:hint="eastAsia" w:cs="宋体"/>
          <w:color w:val="auto"/>
          <w:spacing w:val="-15"/>
          <w:sz w:val="21"/>
          <w:szCs w:val="21"/>
          <w:highlight w:val="none"/>
        </w:rPr>
        <w:t xml:space="preserve">1.1.1.7 </w:t>
      </w:r>
      <w:r>
        <w:rPr>
          <w:rFonts w:hint="eastAsia" w:cs="宋体"/>
          <w:color w:val="auto"/>
          <w:spacing w:val="-11"/>
          <w:sz w:val="21"/>
          <w:szCs w:val="21"/>
          <w:highlight w:val="none"/>
        </w:rPr>
        <w:t>技术标准和要求：指构成合同文件组成部分的名为技术标准和要求的文件，包</w:t>
      </w:r>
      <w:r>
        <w:rPr>
          <w:rFonts w:hint="eastAsia" w:cs="宋体"/>
          <w:color w:val="auto"/>
          <w:spacing w:val="-5"/>
          <w:sz w:val="21"/>
          <w:szCs w:val="21"/>
          <w:highlight w:val="none"/>
        </w:rPr>
        <w:t>括合同双方当事人约定对其所作的修改或补充。</w:t>
      </w:r>
    </w:p>
    <w:p>
      <w:pPr>
        <w:pStyle w:val="20"/>
        <w:widowControl w:val="0"/>
        <w:autoSpaceDE w:val="0"/>
        <w:autoSpaceDN w:val="0"/>
        <w:spacing w:before="0" w:beforeAutospacing="0" w:after="0" w:afterAutospacing="0" w:line="415" w:lineRule="auto"/>
        <w:ind w:left="769" w:right="309" w:firstLine="419"/>
        <w:rPr>
          <w:rFonts w:cs="宋体"/>
          <w:color w:val="auto"/>
          <w:sz w:val="21"/>
          <w:szCs w:val="21"/>
          <w:highlight w:val="none"/>
        </w:rPr>
      </w:pPr>
      <w:r>
        <w:rPr>
          <w:rFonts w:hint="eastAsia" w:cs="宋体"/>
          <w:color w:val="auto"/>
          <w:spacing w:val="-15"/>
          <w:sz w:val="21"/>
          <w:szCs w:val="21"/>
          <w:highlight w:val="none"/>
        </w:rPr>
        <w:t xml:space="preserve">1.1.1.8 </w:t>
      </w:r>
      <w:r>
        <w:rPr>
          <w:rFonts w:hint="eastAsia" w:cs="宋体"/>
          <w:color w:val="auto"/>
          <w:spacing w:val="-3"/>
          <w:sz w:val="21"/>
          <w:szCs w:val="21"/>
          <w:highlight w:val="none"/>
        </w:rPr>
        <w:t>图纸：指包含在合同中的工程图纸，以及由发包人按合同约定提供的任何补充和修改的图纸，包括配套的说明。</w:t>
      </w:r>
    </w:p>
    <w:p>
      <w:pPr>
        <w:pStyle w:val="20"/>
        <w:widowControl w:val="0"/>
        <w:autoSpaceDE w:val="0"/>
        <w:autoSpaceDN w:val="0"/>
        <w:spacing w:before="0" w:beforeAutospacing="0" w:after="0" w:afterAutospacing="0" w:line="415" w:lineRule="auto"/>
        <w:ind w:left="769" w:right="309" w:firstLine="419"/>
        <w:rPr>
          <w:rFonts w:cs="宋体"/>
          <w:color w:val="auto"/>
          <w:sz w:val="21"/>
          <w:szCs w:val="21"/>
          <w:highlight w:val="none"/>
        </w:rPr>
      </w:pPr>
      <w:r>
        <w:rPr>
          <w:rFonts w:hint="eastAsia" w:cs="宋体"/>
          <w:color w:val="auto"/>
          <w:spacing w:val="-15"/>
          <w:sz w:val="21"/>
          <w:szCs w:val="21"/>
          <w:highlight w:val="none"/>
        </w:rPr>
        <w:t xml:space="preserve">1.1.1.9 </w:t>
      </w:r>
      <w:r>
        <w:rPr>
          <w:rFonts w:hint="eastAsia" w:cs="宋体"/>
          <w:color w:val="auto"/>
          <w:spacing w:val="-3"/>
          <w:sz w:val="21"/>
          <w:szCs w:val="21"/>
          <w:highlight w:val="none"/>
        </w:rPr>
        <w:t>已标价工程量清单：指构成合同文件组成部分的由承包人按照规定的格式和要求填写并标明价格的工程量清单。</w:t>
      </w:r>
    </w:p>
    <w:p>
      <w:pPr>
        <w:pStyle w:val="20"/>
        <w:widowControl w:val="0"/>
        <w:autoSpaceDE w:val="0"/>
        <w:autoSpaceDN w:val="0"/>
        <w:spacing w:before="0" w:beforeAutospacing="0" w:after="0" w:afterAutospacing="0" w:line="269" w:lineRule="exact"/>
        <w:ind w:left="768" w:firstLine="419"/>
        <w:rPr>
          <w:rFonts w:cs="宋体"/>
          <w:color w:val="auto"/>
          <w:sz w:val="21"/>
          <w:szCs w:val="21"/>
          <w:highlight w:val="none"/>
        </w:rPr>
      </w:pPr>
      <w:r>
        <w:rPr>
          <w:rFonts w:hint="eastAsia" w:cs="宋体"/>
          <w:color w:val="auto"/>
          <w:spacing w:val="-15"/>
          <w:sz w:val="21"/>
          <w:szCs w:val="21"/>
          <w:highlight w:val="none"/>
        </w:rPr>
        <w:t xml:space="preserve">1.1.1.10 </w:t>
      </w:r>
      <w:r>
        <w:rPr>
          <w:rFonts w:hint="eastAsia" w:cs="宋体"/>
          <w:color w:val="auto"/>
          <w:spacing w:val="-3"/>
          <w:sz w:val="21"/>
          <w:szCs w:val="21"/>
          <w:highlight w:val="none"/>
        </w:rPr>
        <w:t xml:space="preserve">其他合同文件：指经合同双方当事人确认构成合同文件的其他文件。 </w:t>
      </w:r>
    </w:p>
    <w:p>
      <w:pPr>
        <w:pStyle w:val="20"/>
        <w:widowControl w:val="0"/>
        <w:autoSpaceDE w:val="0"/>
        <w:autoSpaceDN w:val="0"/>
        <w:spacing w:before="6" w:beforeAutospacing="0" w:after="0" w:afterAutospacing="0"/>
        <w:rPr>
          <w:rFonts w:cs="宋体"/>
          <w:color w:val="auto"/>
          <w:sz w:val="15"/>
          <w:szCs w:val="15"/>
          <w:highlight w:val="none"/>
        </w:rPr>
      </w:pPr>
    </w:p>
    <w:p>
      <w:pPr>
        <w:pStyle w:val="20"/>
        <w:widowControl w:val="0"/>
        <w:numPr>
          <w:ilvl w:val="2"/>
          <w:numId w:val="15"/>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合同当事人和人员</w:t>
      </w:r>
    </w:p>
    <w:p>
      <w:pPr>
        <w:pStyle w:val="20"/>
        <w:widowControl w:val="0"/>
        <w:autoSpaceDE w:val="0"/>
        <w:autoSpaceDN w:val="0"/>
        <w:spacing w:before="6" w:beforeAutospacing="0" w:after="0" w:afterAutospacing="0"/>
        <w:rPr>
          <w:rFonts w:cs="宋体"/>
          <w:color w:val="auto"/>
          <w:sz w:val="15"/>
          <w:szCs w:val="15"/>
          <w:highlight w:val="none"/>
        </w:rPr>
      </w:pPr>
    </w:p>
    <w:p>
      <w:pPr>
        <w:pStyle w:val="20"/>
        <w:widowControl w:val="0"/>
        <w:numPr>
          <w:ilvl w:val="3"/>
          <w:numId w:val="15"/>
        </w:numPr>
        <w:autoSpaceDE w:val="0"/>
        <w:autoSpaceDN w:val="0"/>
        <w:spacing w:before="1" w:beforeAutospacing="0" w:after="0" w:afterAutospacing="0"/>
        <w:ind w:hanging="739"/>
        <w:rPr>
          <w:rFonts w:cs="宋体"/>
          <w:color w:val="auto"/>
          <w:sz w:val="21"/>
          <w:szCs w:val="21"/>
          <w:highlight w:val="none"/>
        </w:rPr>
      </w:pPr>
      <w:r>
        <w:rPr>
          <w:rFonts w:hint="eastAsia" w:cs="宋体"/>
          <w:color w:val="auto"/>
          <w:spacing w:val="-3"/>
          <w:sz w:val="21"/>
          <w:szCs w:val="21"/>
          <w:highlight w:val="none"/>
        </w:rPr>
        <w:t>合同当事人：指发包人和（</w:t>
      </w:r>
      <w:r>
        <w:rPr>
          <w:rFonts w:hint="eastAsia" w:cs="宋体"/>
          <w:color w:val="auto"/>
          <w:sz w:val="21"/>
          <w:szCs w:val="21"/>
          <w:highlight w:val="none"/>
        </w:rPr>
        <w:t>或</w:t>
      </w:r>
      <w:r>
        <w:rPr>
          <w:rFonts w:hint="eastAsia" w:cs="宋体"/>
          <w:color w:val="auto"/>
          <w:spacing w:val="-3"/>
          <w:sz w:val="21"/>
          <w:szCs w:val="21"/>
          <w:highlight w:val="none"/>
        </w:rPr>
        <w:t>）承包人。</w:t>
      </w:r>
    </w:p>
    <w:p>
      <w:pPr>
        <w:pStyle w:val="20"/>
        <w:widowControl w:val="0"/>
        <w:autoSpaceDE w:val="0"/>
        <w:autoSpaceDN w:val="0"/>
        <w:spacing w:before="7" w:beforeAutospacing="0" w:after="0" w:afterAutospacing="0"/>
        <w:rPr>
          <w:rFonts w:cs="宋体"/>
          <w:color w:val="auto"/>
          <w:sz w:val="15"/>
          <w:szCs w:val="15"/>
          <w:highlight w:val="none"/>
        </w:rPr>
      </w:pPr>
    </w:p>
    <w:p>
      <w:pPr>
        <w:pStyle w:val="20"/>
        <w:widowControl w:val="0"/>
        <w:numPr>
          <w:ilvl w:val="3"/>
          <w:numId w:val="15"/>
        </w:numPr>
        <w:autoSpaceDE w:val="0"/>
        <w:autoSpaceDN w:val="0"/>
        <w:spacing w:before="0" w:beforeAutospacing="0" w:after="0" w:afterAutospacing="0" w:line="415" w:lineRule="auto"/>
        <w:ind w:left="30" w:right="309" w:firstLine="631"/>
        <w:jc w:val="both"/>
        <w:rPr>
          <w:rFonts w:cs="宋体"/>
          <w:color w:val="auto"/>
          <w:sz w:val="21"/>
          <w:szCs w:val="21"/>
          <w:highlight w:val="none"/>
        </w:rPr>
        <w:sectPr>
          <w:headerReference r:id="rId10" w:type="first"/>
          <w:footerReference r:id="rId13" w:type="first"/>
          <w:headerReference r:id="rId8" w:type="default"/>
          <w:footerReference r:id="rId11" w:type="default"/>
          <w:headerReference r:id="rId9" w:type="even"/>
          <w:footerReference r:id="rId12" w:type="even"/>
          <w:pgSz w:w="11910" w:h="16840"/>
          <w:pgMar w:top="1160" w:right="1480" w:bottom="280" w:left="1660" w:header="874" w:footer="680" w:gutter="0"/>
          <w:pgBorders>
            <w:top w:val="none" w:sz="0" w:space="0"/>
            <w:left w:val="none" w:sz="0" w:space="0"/>
            <w:bottom w:val="none" w:sz="0" w:space="0"/>
            <w:right w:val="none" w:sz="0" w:space="0"/>
          </w:pgBorders>
          <w:pgNumType w:fmt="decimal"/>
          <w:cols w:space="720" w:num="1"/>
          <w:docGrid w:linePitch="360" w:charSpace="0"/>
        </w:sectPr>
      </w:pPr>
      <w:r>
        <w:rPr>
          <w:rFonts w:hint="eastAsia" w:cs="宋体"/>
          <w:color w:val="auto"/>
          <w:spacing w:val="-3"/>
          <w:sz w:val="21"/>
          <w:szCs w:val="21"/>
          <w:highlight w:val="none"/>
        </w:rPr>
        <w:t>发包人：指合同协议书中约定，具有工程发包主体资格和承诺按照合同约定</w:t>
      </w:r>
      <w:r>
        <w:rPr>
          <w:rFonts w:hint="eastAsia" w:cs="宋体"/>
          <w:color w:val="auto"/>
          <w:spacing w:val="-10"/>
          <w:sz w:val="21"/>
          <w:szCs w:val="21"/>
          <w:highlight w:val="none"/>
        </w:rPr>
        <w:t>的条件、期限和方式向承包人支付工程价款的当事人，以及取得该当事人资格的合法继承人</w:t>
      </w:r>
      <w:r>
        <w:rPr>
          <w:rFonts w:hint="eastAsia" w:cs="宋体"/>
          <w:color w:val="auto"/>
          <w:spacing w:val="-4"/>
          <w:sz w:val="21"/>
          <w:szCs w:val="21"/>
          <w:highlight w:val="none"/>
        </w:rPr>
        <w:t>。发包人名称见合同条款专用部分。</w:t>
      </w:r>
    </w:p>
    <w:p>
      <w:pPr>
        <w:pStyle w:val="20"/>
        <w:widowControl w:val="0"/>
        <w:numPr>
          <w:ilvl w:val="3"/>
          <w:numId w:val="15"/>
        </w:numPr>
        <w:autoSpaceDE w:val="0"/>
        <w:autoSpaceDN w:val="0"/>
        <w:spacing w:before="72" w:beforeAutospacing="0" w:after="0" w:afterAutospacing="0" w:line="415" w:lineRule="auto"/>
        <w:ind w:left="30" w:right="309" w:firstLine="631"/>
        <w:jc w:val="both"/>
        <w:rPr>
          <w:rFonts w:cs="宋体"/>
          <w:color w:val="auto"/>
          <w:sz w:val="21"/>
          <w:szCs w:val="21"/>
          <w:highlight w:val="none"/>
        </w:rPr>
      </w:pPr>
      <w:r>
        <w:rPr>
          <w:rFonts w:hint="eastAsia" w:cs="宋体"/>
          <w:color w:val="auto"/>
          <w:spacing w:val="-3"/>
          <w:sz w:val="21"/>
          <w:szCs w:val="21"/>
          <w:highlight w:val="none"/>
        </w:rPr>
        <w:t>承包人：指合同协议书中约定，具有合同工程承包主体资格，并承诺按照合</w:t>
      </w:r>
      <w:r>
        <w:rPr>
          <w:rFonts w:hint="eastAsia" w:cs="宋体"/>
          <w:color w:val="auto"/>
          <w:spacing w:val="-10"/>
          <w:sz w:val="21"/>
          <w:szCs w:val="21"/>
          <w:highlight w:val="none"/>
        </w:rPr>
        <w:t>同约定进行施工、竣工、交付并承担质量缺陷保修责任的当事人，以及取得该当事人资格的</w:t>
      </w:r>
      <w:r>
        <w:rPr>
          <w:rFonts w:hint="eastAsia" w:cs="宋体"/>
          <w:color w:val="auto"/>
          <w:spacing w:val="-4"/>
          <w:sz w:val="21"/>
          <w:szCs w:val="21"/>
          <w:highlight w:val="none"/>
        </w:rPr>
        <w:t>合法继承人。承包人名称见合同条款专用部分。</w:t>
      </w:r>
    </w:p>
    <w:p>
      <w:pPr>
        <w:pStyle w:val="20"/>
        <w:widowControl w:val="0"/>
        <w:numPr>
          <w:ilvl w:val="3"/>
          <w:numId w:val="15"/>
        </w:numPr>
        <w:autoSpaceDE w:val="0"/>
        <w:autoSpaceDN w:val="0"/>
        <w:spacing w:before="0" w:beforeAutospacing="0" w:after="0" w:afterAutospacing="0" w:line="269" w:lineRule="exact"/>
        <w:ind w:hanging="739"/>
        <w:rPr>
          <w:rFonts w:cs="宋体"/>
          <w:color w:val="auto"/>
          <w:sz w:val="21"/>
          <w:szCs w:val="21"/>
          <w:highlight w:val="none"/>
        </w:rPr>
      </w:pPr>
      <w:r>
        <w:rPr>
          <w:rFonts w:hint="eastAsia" w:cs="宋体"/>
          <w:color w:val="auto"/>
          <w:spacing w:val="-3"/>
          <w:sz w:val="21"/>
          <w:szCs w:val="21"/>
          <w:highlight w:val="none"/>
        </w:rPr>
        <w:t xml:space="preserve">承包人项目经理：指承包人派驻施工场地的全权负责人。 </w:t>
      </w:r>
    </w:p>
    <w:p>
      <w:pPr>
        <w:pStyle w:val="20"/>
        <w:widowControl w:val="0"/>
        <w:autoSpaceDE w:val="0"/>
        <w:autoSpaceDN w:val="0"/>
        <w:spacing w:before="7" w:beforeAutospacing="0" w:after="0" w:afterAutospacing="0"/>
        <w:rPr>
          <w:rFonts w:cs="宋体"/>
          <w:color w:val="auto"/>
          <w:sz w:val="15"/>
          <w:szCs w:val="15"/>
          <w:highlight w:val="none"/>
        </w:rPr>
      </w:pPr>
    </w:p>
    <w:p>
      <w:pPr>
        <w:pStyle w:val="20"/>
        <w:widowControl w:val="0"/>
        <w:numPr>
          <w:ilvl w:val="3"/>
          <w:numId w:val="15"/>
        </w:numPr>
        <w:autoSpaceDE w:val="0"/>
        <w:autoSpaceDN w:val="0"/>
        <w:spacing w:before="0" w:beforeAutospacing="0" w:after="0" w:afterAutospacing="0" w:line="415" w:lineRule="auto"/>
        <w:ind w:left="30" w:right="309" w:firstLine="631"/>
        <w:rPr>
          <w:rFonts w:cs="宋体"/>
          <w:color w:val="auto"/>
          <w:sz w:val="21"/>
          <w:szCs w:val="21"/>
          <w:highlight w:val="none"/>
        </w:rPr>
      </w:pPr>
      <w:r>
        <w:rPr>
          <w:rFonts w:hint="eastAsia" w:cs="宋体"/>
          <w:color w:val="auto"/>
          <w:spacing w:val="-3"/>
          <w:sz w:val="21"/>
          <w:szCs w:val="21"/>
          <w:highlight w:val="none"/>
        </w:rPr>
        <w:t>分包人：指从承包人处分包合同中某一部分工程，并与其签订分包合同的分包人。</w:t>
      </w:r>
    </w:p>
    <w:p>
      <w:pPr>
        <w:pStyle w:val="20"/>
        <w:widowControl w:val="0"/>
        <w:numPr>
          <w:ilvl w:val="3"/>
          <w:numId w:val="15"/>
        </w:numPr>
        <w:autoSpaceDE w:val="0"/>
        <w:autoSpaceDN w:val="0"/>
        <w:spacing w:before="0" w:beforeAutospacing="0" w:after="0" w:afterAutospacing="0" w:line="415" w:lineRule="auto"/>
        <w:ind w:left="30" w:right="309" w:firstLine="631"/>
        <w:rPr>
          <w:rFonts w:cs="宋体"/>
          <w:color w:val="auto"/>
          <w:sz w:val="21"/>
          <w:szCs w:val="21"/>
          <w:highlight w:val="none"/>
        </w:rPr>
      </w:pPr>
      <w:r>
        <w:rPr>
          <w:rFonts w:hint="eastAsia" w:cs="宋体"/>
          <w:color w:val="auto"/>
          <w:spacing w:val="-3"/>
          <w:sz w:val="21"/>
          <w:szCs w:val="21"/>
          <w:highlight w:val="none"/>
        </w:rPr>
        <w:t xml:space="preserve">监理人：指发包人委托的对合同履行实施管理的法人或其他组织。监理人名称见合同条款专用部分。 </w:t>
      </w:r>
    </w:p>
    <w:p>
      <w:pPr>
        <w:pStyle w:val="20"/>
        <w:widowControl w:val="0"/>
        <w:numPr>
          <w:ilvl w:val="3"/>
          <w:numId w:val="15"/>
        </w:numPr>
        <w:autoSpaceDE w:val="0"/>
        <w:autoSpaceDN w:val="0"/>
        <w:spacing w:before="0" w:beforeAutospacing="0" w:after="0" w:afterAutospacing="0" w:line="415" w:lineRule="auto"/>
        <w:ind w:left="30" w:right="309" w:firstLine="631"/>
        <w:rPr>
          <w:rFonts w:cs="宋体"/>
          <w:color w:val="auto"/>
          <w:sz w:val="21"/>
          <w:szCs w:val="21"/>
          <w:highlight w:val="none"/>
        </w:rPr>
      </w:pPr>
      <w:r>
        <w:rPr>
          <w:rFonts w:hint="eastAsia" w:cs="宋体"/>
          <w:color w:val="auto"/>
          <w:spacing w:val="-11"/>
          <w:sz w:val="21"/>
          <w:szCs w:val="21"/>
          <w:highlight w:val="none"/>
        </w:rPr>
        <w:t>总监理工程师</w:t>
      </w:r>
      <w:r>
        <w:rPr>
          <w:rFonts w:hint="eastAsia" w:cs="宋体"/>
          <w:color w:val="auto"/>
          <w:spacing w:val="-3"/>
          <w:sz w:val="21"/>
          <w:szCs w:val="21"/>
          <w:highlight w:val="none"/>
        </w:rPr>
        <w:t>（</w:t>
      </w:r>
      <w:r>
        <w:rPr>
          <w:rFonts w:hint="eastAsia" w:cs="宋体"/>
          <w:color w:val="auto"/>
          <w:sz w:val="21"/>
          <w:szCs w:val="21"/>
          <w:highlight w:val="none"/>
        </w:rPr>
        <w:t>总监</w:t>
      </w:r>
      <w:r>
        <w:rPr>
          <w:rFonts w:hint="eastAsia" w:cs="宋体"/>
          <w:color w:val="auto"/>
          <w:spacing w:val="-77"/>
          <w:sz w:val="21"/>
          <w:szCs w:val="21"/>
          <w:highlight w:val="none"/>
        </w:rPr>
        <w:t>）</w:t>
      </w:r>
      <w:r>
        <w:rPr>
          <w:rFonts w:hint="eastAsia" w:cs="宋体"/>
          <w:color w:val="auto"/>
          <w:spacing w:val="-10"/>
          <w:sz w:val="21"/>
          <w:szCs w:val="21"/>
          <w:highlight w:val="none"/>
        </w:rPr>
        <w:t>：指由监理人委派常驻施工场地对合同履行实施管理的</w:t>
      </w:r>
      <w:r>
        <w:rPr>
          <w:rFonts w:hint="eastAsia" w:cs="宋体"/>
          <w:color w:val="auto"/>
          <w:spacing w:val="-4"/>
          <w:sz w:val="21"/>
          <w:szCs w:val="21"/>
          <w:highlight w:val="none"/>
        </w:rPr>
        <w:t>全权负责人。</w:t>
      </w:r>
    </w:p>
    <w:p>
      <w:pPr>
        <w:pStyle w:val="20"/>
        <w:widowControl w:val="0"/>
        <w:numPr>
          <w:ilvl w:val="3"/>
          <w:numId w:val="15"/>
        </w:numPr>
        <w:autoSpaceDE w:val="0"/>
        <w:autoSpaceDN w:val="0"/>
        <w:spacing w:before="0" w:beforeAutospacing="0" w:after="0" w:afterAutospacing="0" w:line="415" w:lineRule="auto"/>
        <w:ind w:left="30" w:right="309" w:firstLine="631"/>
        <w:rPr>
          <w:rFonts w:cs="宋体"/>
          <w:color w:val="auto"/>
          <w:sz w:val="21"/>
          <w:szCs w:val="21"/>
          <w:highlight w:val="none"/>
        </w:rPr>
      </w:pPr>
      <w:r>
        <w:rPr>
          <w:rFonts w:hint="eastAsia" w:cs="宋体"/>
          <w:color w:val="auto"/>
          <w:spacing w:val="-3"/>
          <w:sz w:val="21"/>
          <w:szCs w:val="21"/>
          <w:highlight w:val="none"/>
        </w:rPr>
        <w:t>发包人代表：指由发包人指定的派驻施工场地</w:t>
      </w:r>
      <w:r>
        <w:rPr>
          <w:rFonts w:hint="eastAsia" w:cs="宋体"/>
          <w:color w:val="auto"/>
          <w:sz w:val="21"/>
          <w:szCs w:val="21"/>
          <w:highlight w:val="none"/>
        </w:rPr>
        <w:t>（</w:t>
      </w:r>
      <w:r>
        <w:rPr>
          <w:rFonts w:hint="eastAsia" w:cs="宋体"/>
          <w:color w:val="auto"/>
          <w:spacing w:val="-2"/>
          <w:sz w:val="21"/>
          <w:szCs w:val="21"/>
          <w:highlight w:val="none"/>
        </w:rPr>
        <w:t>现场</w:t>
      </w:r>
      <w:r>
        <w:rPr>
          <w:rFonts w:hint="eastAsia" w:cs="宋体"/>
          <w:color w:val="auto"/>
          <w:sz w:val="21"/>
          <w:szCs w:val="21"/>
          <w:highlight w:val="none"/>
        </w:rPr>
        <w:t>）</w:t>
      </w:r>
      <w:r>
        <w:rPr>
          <w:rFonts w:hint="eastAsia" w:cs="宋体"/>
          <w:color w:val="auto"/>
          <w:spacing w:val="-3"/>
          <w:sz w:val="21"/>
          <w:szCs w:val="21"/>
          <w:highlight w:val="none"/>
        </w:rPr>
        <w:t>的全权代表。发包人代表相关信息见合同条款专用部分。</w:t>
      </w:r>
    </w:p>
    <w:p>
      <w:pPr>
        <w:pStyle w:val="20"/>
        <w:widowControl w:val="0"/>
        <w:numPr>
          <w:ilvl w:val="3"/>
          <w:numId w:val="15"/>
        </w:numPr>
        <w:autoSpaceDE w:val="0"/>
        <w:autoSpaceDN w:val="0"/>
        <w:spacing w:before="0" w:beforeAutospacing="0" w:after="0" w:afterAutospacing="0" w:line="415" w:lineRule="auto"/>
        <w:ind w:left="30" w:right="308" w:firstLine="631"/>
        <w:rPr>
          <w:rFonts w:cs="宋体"/>
          <w:color w:val="auto"/>
          <w:sz w:val="21"/>
          <w:szCs w:val="21"/>
          <w:highlight w:val="none"/>
        </w:rPr>
      </w:pPr>
      <w:r>
        <w:rPr>
          <w:rFonts w:hint="eastAsia" w:cs="宋体"/>
          <w:color w:val="auto"/>
          <w:spacing w:val="-10"/>
          <w:sz w:val="21"/>
          <w:szCs w:val="21"/>
          <w:highlight w:val="none"/>
        </w:rPr>
        <w:t xml:space="preserve">专业分包人：指根据合同条款第 </w:t>
      </w:r>
      <w:r>
        <w:rPr>
          <w:rFonts w:hint="eastAsia" w:cs="宋体"/>
          <w:color w:val="auto"/>
          <w:sz w:val="21"/>
          <w:szCs w:val="21"/>
          <w:highlight w:val="none"/>
        </w:rPr>
        <w:t>15.8.1</w:t>
      </w:r>
      <w:r>
        <w:rPr>
          <w:rFonts w:hint="eastAsia" w:cs="宋体"/>
          <w:color w:val="auto"/>
          <w:spacing w:val="-11"/>
          <w:sz w:val="21"/>
          <w:szCs w:val="21"/>
          <w:highlight w:val="none"/>
        </w:rPr>
        <w:t xml:space="preserve"> 项的约定，由发包人和承包人以招标</w:t>
      </w:r>
      <w:r>
        <w:rPr>
          <w:rFonts w:hint="eastAsia" w:cs="宋体"/>
          <w:color w:val="auto"/>
          <w:spacing w:val="-5"/>
          <w:sz w:val="21"/>
          <w:szCs w:val="21"/>
          <w:highlight w:val="none"/>
        </w:rPr>
        <w:t>方式选择的分包人。</w:t>
      </w:r>
    </w:p>
    <w:p>
      <w:pPr>
        <w:pStyle w:val="20"/>
        <w:widowControl w:val="0"/>
        <w:numPr>
          <w:ilvl w:val="3"/>
          <w:numId w:val="15"/>
        </w:numPr>
        <w:autoSpaceDE w:val="0"/>
        <w:autoSpaceDN w:val="0"/>
        <w:spacing w:before="0" w:beforeAutospacing="0" w:after="0" w:afterAutospacing="0" w:line="415" w:lineRule="auto"/>
        <w:ind w:left="30" w:right="308" w:firstLine="631"/>
        <w:rPr>
          <w:rFonts w:cs="宋体"/>
          <w:color w:val="auto"/>
          <w:sz w:val="21"/>
          <w:szCs w:val="21"/>
          <w:highlight w:val="none"/>
        </w:rPr>
      </w:pPr>
      <w:r>
        <w:rPr>
          <w:rFonts w:hint="eastAsia" w:cs="宋体"/>
          <w:color w:val="auto"/>
          <w:spacing w:val="-5"/>
          <w:sz w:val="21"/>
          <w:szCs w:val="21"/>
          <w:highlight w:val="none"/>
        </w:rPr>
        <w:t xml:space="preserve">专项供应商：指根据合同条款第 </w:t>
      </w:r>
      <w:r>
        <w:rPr>
          <w:rFonts w:hint="eastAsia" w:cs="宋体"/>
          <w:color w:val="auto"/>
          <w:sz w:val="21"/>
          <w:szCs w:val="21"/>
          <w:highlight w:val="none"/>
        </w:rPr>
        <w:t>15.8.1</w:t>
      </w:r>
      <w:r>
        <w:rPr>
          <w:rFonts w:hint="eastAsia" w:cs="宋体"/>
          <w:color w:val="auto"/>
          <w:spacing w:val="-7"/>
          <w:sz w:val="21"/>
          <w:szCs w:val="21"/>
          <w:highlight w:val="none"/>
        </w:rPr>
        <w:t xml:space="preserve"> 项的约定，由发包人和承包人以招</w:t>
      </w:r>
      <w:r>
        <w:rPr>
          <w:rFonts w:hint="eastAsia" w:cs="宋体"/>
          <w:color w:val="auto"/>
          <w:spacing w:val="-4"/>
          <w:sz w:val="21"/>
          <w:szCs w:val="21"/>
          <w:highlight w:val="none"/>
        </w:rPr>
        <w:t>标方式选择的供应商。</w:t>
      </w:r>
    </w:p>
    <w:p>
      <w:pPr>
        <w:pStyle w:val="20"/>
        <w:widowControl w:val="0"/>
        <w:numPr>
          <w:ilvl w:val="3"/>
          <w:numId w:val="15"/>
        </w:numPr>
        <w:autoSpaceDE w:val="0"/>
        <w:autoSpaceDN w:val="0"/>
        <w:spacing w:before="0" w:beforeAutospacing="0" w:after="0" w:afterAutospacing="0" w:line="415" w:lineRule="auto"/>
        <w:ind w:left="30" w:right="309" w:firstLine="631"/>
        <w:rPr>
          <w:rFonts w:cs="宋体"/>
          <w:color w:val="auto"/>
          <w:sz w:val="21"/>
          <w:szCs w:val="21"/>
          <w:highlight w:val="none"/>
        </w:rPr>
      </w:pPr>
      <w:r>
        <w:rPr>
          <w:rFonts w:hint="eastAsia" w:cs="宋体"/>
          <w:color w:val="auto"/>
          <w:spacing w:val="-11"/>
          <w:sz w:val="21"/>
          <w:szCs w:val="21"/>
          <w:highlight w:val="none"/>
        </w:rPr>
        <w:t>独立承包人：指与发包人直接订立工程承包合同，负责实施与工程有关的其</w:t>
      </w:r>
      <w:r>
        <w:rPr>
          <w:rFonts w:hint="eastAsia" w:cs="宋体"/>
          <w:color w:val="auto"/>
          <w:spacing w:val="-5"/>
          <w:sz w:val="21"/>
          <w:szCs w:val="21"/>
          <w:highlight w:val="none"/>
        </w:rPr>
        <w:t>他工作的当事人。</w:t>
      </w:r>
    </w:p>
    <w:p>
      <w:pPr>
        <w:pStyle w:val="20"/>
        <w:widowControl w:val="0"/>
        <w:numPr>
          <w:ilvl w:val="2"/>
          <w:numId w:val="15"/>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 xml:space="preserve">工程和设备 </w:t>
      </w:r>
    </w:p>
    <w:p>
      <w:pPr>
        <w:pStyle w:val="20"/>
        <w:widowControl w:val="0"/>
        <w:autoSpaceDE w:val="0"/>
        <w:autoSpaceDN w:val="0"/>
        <w:spacing w:before="5" w:beforeAutospacing="0" w:after="0" w:afterAutospacing="0"/>
        <w:rPr>
          <w:rFonts w:cs="宋体"/>
          <w:color w:val="auto"/>
          <w:sz w:val="15"/>
          <w:szCs w:val="15"/>
          <w:highlight w:val="none"/>
        </w:rPr>
      </w:pPr>
    </w:p>
    <w:p>
      <w:pPr>
        <w:pStyle w:val="20"/>
        <w:widowControl w:val="0"/>
        <w:numPr>
          <w:ilvl w:val="3"/>
          <w:numId w:val="15"/>
        </w:numPr>
        <w:autoSpaceDE w:val="0"/>
        <w:autoSpaceDN w:val="0"/>
        <w:spacing w:before="0" w:beforeAutospacing="0" w:after="0" w:afterAutospacing="0"/>
        <w:ind w:hanging="739"/>
        <w:rPr>
          <w:rFonts w:cs="宋体"/>
          <w:color w:val="auto"/>
          <w:sz w:val="21"/>
          <w:szCs w:val="21"/>
          <w:highlight w:val="none"/>
        </w:rPr>
      </w:pPr>
      <w:r>
        <w:rPr>
          <w:rFonts w:hint="eastAsia" w:cs="宋体"/>
          <w:color w:val="auto"/>
          <w:spacing w:val="-3"/>
          <w:sz w:val="21"/>
          <w:szCs w:val="21"/>
          <w:highlight w:val="none"/>
        </w:rPr>
        <w:t>工程：指永久工程和（</w:t>
      </w:r>
      <w:r>
        <w:rPr>
          <w:rFonts w:hint="eastAsia" w:cs="宋体"/>
          <w:color w:val="auto"/>
          <w:sz w:val="21"/>
          <w:szCs w:val="21"/>
          <w:highlight w:val="none"/>
        </w:rPr>
        <w:t>或</w:t>
      </w:r>
      <w:r>
        <w:rPr>
          <w:rFonts w:hint="eastAsia" w:cs="宋体"/>
          <w:color w:val="auto"/>
          <w:spacing w:val="-3"/>
          <w:sz w:val="21"/>
          <w:szCs w:val="21"/>
          <w:highlight w:val="none"/>
        </w:rPr>
        <w:t>）临时工程。</w:t>
      </w:r>
    </w:p>
    <w:p>
      <w:pPr>
        <w:pStyle w:val="20"/>
        <w:widowControl w:val="0"/>
        <w:autoSpaceDE w:val="0"/>
        <w:autoSpaceDN w:val="0"/>
        <w:spacing w:before="7" w:beforeAutospacing="0" w:after="0" w:afterAutospacing="0"/>
        <w:rPr>
          <w:rFonts w:cs="宋体"/>
          <w:color w:val="auto"/>
          <w:sz w:val="15"/>
          <w:szCs w:val="15"/>
          <w:highlight w:val="none"/>
        </w:rPr>
      </w:pPr>
    </w:p>
    <w:p>
      <w:pPr>
        <w:pStyle w:val="20"/>
        <w:widowControl w:val="0"/>
        <w:numPr>
          <w:ilvl w:val="3"/>
          <w:numId w:val="15"/>
        </w:numPr>
        <w:autoSpaceDE w:val="0"/>
        <w:autoSpaceDN w:val="0"/>
        <w:spacing w:before="0" w:beforeAutospacing="0" w:after="0" w:afterAutospacing="0" w:line="415" w:lineRule="auto"/>
        <w:ind w:left="30" w:right="309" w:firstLine="631"/>
        <w:rPr>
          <w:rFonts w:cs="宋体"/>
          <w:color w:val="auto"/>
          <w:sz w:val="21"/>
          <w:szCs w:val="21"/>
          <w:highlight w:val="none"/>
        </w:rPr>
      </w:pPr>
      <w:r>
        <w:rPr>
          <w:rFonts w:hint="eastAsia" w:cs="宋体"/>
          <w:color w:val="auto"/>
          <w:spacing w:val="-3"/>
          <w:sz w:val="21"/>
          <w:szCs w:val="21"/>
          <w:highlight w:val="none"/>
        </w:rPr>
        <w:t>永久工程：指按照合同约定所需建造、完成并移交给发包人的工程，包括工程设备。永久工程的约定见合同条款专用部分。</w:t>
      </w:r>
    </w:p>
    <w:p>
      <w:pPr>
        <w:pStyle w:val="20"/>
        <w:widowControl w:val="0"/>
        <w:numPr>
          <w:ilvl w:val="3"/>
          <w:numId w:val="15"/>
        </w:numPr>
        <w:autoSpaceDE w:val="0"/>
        <w:autoSpaceDN w:val="0"/>
        <w:spacing w:before="1" w:beforeAutospacing="0" w:after="0" w:afterAutospacing="0" w:line="415" w:lineRule="auto"/>
        <w:ind w:left="30" w:right="309" w:firstLine="631"/>
        <w:rPr>
          <w:rFonts w:cs="宋体"/>
          <w:color w:val="auto"/>
          <w:sz w:val="21"/>
          <w:szCs w:val="21"/>
          <w:highlight w:val="none"/>
        </w:rPr>
      </w:pPr>
      <w:r>
        <w:rPr>
          <w:rFonts w:hint="eastAsia" w:cs="宋体"/>
          <w:color w:val="auto"/>
          <w:spacing w:val="-3"/>
          <w:sz w:val="21"/>
          <w:szCs w:val="21"/>
          <w:highlight w:val="none"/>
        </w:rPr>
        <w:t xml:space="preserve">临时工程：指为完成合同约定的永久工程所修建的各类临时性工程，不包括施工设备。临时工程的约定见合同条款专用部分。 </w:t>
      </w:r>
    </w:p>
    <w:p>
      <w:pPr>
        <w:pStyle w:val="20"/>
        <w:widowControl w:val="0"/>
        <w:numPr>
          <w:ilvl w:val="3"/>
          <w:numId w:val="15"/>
        </w:numPr>
        <w:autoSpaceDE w:val="0"/>
        <w:autoSpaceDN w:val="0"/>
        <w:spacing w:before="0" w:beforeAutospacing="0" w:after="0" w:afterAutospacing="0" w:line="415" w:lineRule="auto"/>
        <w:ind w:left="30" w:right="309" w:firstLine="631"/>
        <w:rPr>
          <w:rFonts w:cs="宋体"/>
          <w:color w:val="auto"/>
          <w:sz w:val="21"/>
          <w:szCs w:val="21"/>
          <w:highlight w:val="none"/>
        </w:rPr>
      </w:pPr>
      <w:r>
        <w:rPr>
          <w:rFonts w:hint="eastAsia" w:cs="宋体"/>
          <w:color w:val="auto"/>
          <w:spacing w:val="-3"/>
          <w:sz w:val="21"/>
          <w:szCs w:val="21"/>
          <w:highlight w:val="none"/>
        </w:rPr>
        <w:t>单位工程：指具有相对独立的设计文件，能够独立组织施工并能形成独立使用功能的永久工程的组成部分。</w:t>
      </w:r>
    </w:p>
    <w:p>
      <w:pPr>
        <w:pStyle w:val="20"/>
        <w:widowControl w:val="0"/>
        <w:numPr>
          <w:ilvl w:val="3"/>
          <w:numId w:val="15"/>
        </w:numPr>
        <w:autoSpaceDE w:val="0"/>
        <w:autoSpaceDN w:val="0"/>
        <w:spacing w:before="0" w:beforeAutospacing="0" w:after="0" w:afterAutospacing="0" w:line="415" w:lineRule="auto"/>
        <w:ind w:left="30" w:right="203" w:firstLine="631"/>
        <w:rPr>
          <w:rFonts w:cs="宋体"/>
          <w:color w:val="auto"/>
          <w:sz w:val="21"/>
          <w:szCs w:val="21"/>
          <w:highlight w:val="none"/>
        </w:rPr>
      </w:pPr>
      <w:r>
        <w:rPr>
          <w:rFonts w:hint="eastAsia" w:cs="宋体"/>
          <w:color w:val="auto"/>
          <w:spacing w:val="-10"/>
          <w:sz w:val="21"/>
          <w:szCs w:val="21"/>
          <w:highlight w:val="none"/>
        </w:rPr>
        <w:t>工程设备：指构成或计划构成永久工程一部分的机电设备、金属结构设备、仪</w:t>
      </w:r>
      <w:r>
        <w:rPr>
          <w:rFonts w:hint="eastAsia" w:cs="宋体"/>
          <w:color w:val="auto"/>
          <w:spacing w:val="-4"/>
          <w:sz w:val="21"/>
          <w:szCs w:val="21"/>
          <w:highlight w:val="none"/>
        </w:rPr>
        <w:t>器装置及其他类似的设备和装置。</w:t>
      </w:r>
    </w:p>
    <w:p>
      <w:pPr>
        <w:pStyle w:val="20"/>
        <w:widowControl w:val="0"/>
        <w:numPr>
          <w:ilvl w:val="3"/>
          <w:numId w:val="15"/>
        </w:numPr>
        <w:autoSpaceDE w:val="0"/>
        <w:autoSpaceDN w:val="0"/>
        <w:spacing w:before="0" w:beforeAutospacing="0" w:after="0" w:afterAutospacing="0" w:line="415" w:lineRule="auto"/>
        <w:ind w:left="30" w:right="309" w:firstLine="631"/>
        <w:rPr>
          <w:rFonts w:cs="宋体"/>
          <w:color w:val="auto"/>
          <w:sz w:val="21"/>
          <w:szCs w:val="21"/>
          <w:highlight w:val="none"/>
        </w:rPr>
      </w:pPr>
      <w:r>
        <w:rPr>
          <w:rFonts w:hint="eastAsia" w:cs="宋体"/>
          <w:color w:val="auto"/>
          <w:spacing w:val="-3"/>
          <w:sz w:val="21"/>
          <w:szCs w:val="21"/>
          <w:highlight w:val="none"/>
        </w:rPr>
        <w:t>施工设备：指为完成合同约定的各项工作所需的设备、器具和其他物品，不包括临时工程和材料。</w:t>
      </w:r>
    </w:p>
    <w:p>
      <w:pPr>
        <w:spacing w:line="415" w:lineRule="auto"/>
        <w:rPr>
          <w:rFonts w:ascii="宋体" w:hAnsi="宋体" w:cs="宋体"/>
          <w:color w:val="auto"/>
          <w:sz w:val="23"/>
          <w:szCs w:val="23"/>
          <w:highlight w:val="none"/>
        </w:rPr>
        <w:sectPr>
          <w:footerReference r:id="rId16" w:type="first"/>
          <w:footerReference r:id="rId14" w:type="default"/>
          <w:footerReference r:id="rId15" w:type="even"/>
          <w:pgSz w:w="11910" w:h="16840"/>
          <w:pgMar w:top="1160" w:right="1480" w:bottom="280" w:left="1660" w:header="874" w:footer="510" w:gutter="0"/>
          <w:pgBorders>
            <w:top w:val="none" w:sz="0" w:space="0"/>
            <w:left w:val="none" w:sz="0" w:space="0"/>
            <w:bottom w:val="none" w:sz="0" w:space="0"/>
            <w:right w:val="none" w:sz="0" w:space="0"/>
          </w:pgBorders>
          <w:pgNumType w:fmt="decimal"/>
          <w:cols w:space="720" w:num="1"/>
          <w:titlePg/>
          <w:docGrid w:linePitch="360" w:charSpace="0"/>
        </w:sectPr>
      </w:pPr>
    </w:p>
    <w:p>
      <w:pPr>
        <w:pStyle w:val="20"/>
        <w:widowControl w:val="0"/>
        <w:numPr>
          <w:ilvl w:val="3"/>
          <w:numId w:val="15"/>
        </w:numPr>
        <w:autoSpaceDE w:val="0"/>
        <w:autoSpaceDN w:val="0"/>
        <w:spacing w:before="72" w:beforeAutospacing="0" w:after="0" w:afterAutospacing="0"/>
        <w:ind w:hanging="739"/>
        <w:rPr>
          <w:rFonts w:cs="宋体"/>
          <w:color w:val="auto"/>
          <w:sz w:val="21"/>
          <w:szCs w:val="21"/>
          <w:highlight w:val="none"/>
        </w:rPr>
      </w:pPr>
      <w:r>
        <w:rPr>
          <w:rFonts w:hint="eastAsia" w:cs="宋体"/>
          <w:color w:val="auto"/>
          <w:spacing w:val="-14"/>
          <w:sz w:val="21"/>
          <w:szCs w:val="21"/>
          <w:highlight w:val="none"/>
        </w:rPr>
        <w:t>临时设施：指为完成合同约定的各项工作所服务的临时性生产和生活设施。</w:t>
      </w:r>
    </w:p>
    <w:p>
      <w:pPr>
        <w:pStyle w:val="20"/>
        <w:widowControl w:val="0"/>
        <w:numPr>
          <w:ilvl w:val="3"/>
          <w:numId w:val="15"/>
        </w:numPr>
        <w:autoSpaceDE w:val="0"/>
        <w:autoSpaceDN w:val="0"/>
        <w:spacing w:before="0" w:beforeAutospacing="0" w:after="0" w:afterAutospacing="0"/>
        <w:ind w:hanging="739"/>
        <w:rPr>
          <w:rFonts w:cs="宋体"/>
          <w:color w:val="auto"/>
          <w:sz w:val="21"/>
          <w:szCs w:val="21"/>
          <w:highlight w:val="none"/>
        </w:rPr>
      </w:pPr>
      <w:r>
        <w:rPr>
          <w:rFonts w:hint="eastAsia" w:cs="宋体"/>
          <w:color w:val="auto"/>
          <w:spacing w:val="-3"/>
          <w:sz w:val="21"/>
          <w:szCs w:val="21"/>
          <w:highlight w:val="none"/>
        </w:rPr>
        <w:t>承包人设备：指承包人自带的施工设备。</w:t>
      </w:r>
    </w:p>
    <w:p>
      <w:pPr>
        <w:pStyle w:val="20"/>
        <w:widowControl w:val="0"/>
        <w:numPr>
          <w:ilvl w:val="3"/>
          <w:numId w:val="15"/>
        </w:numPr>
        <w:autoSpaceDE w:val="0"/>
        <w:autoSpaceDN w:val="0"/>
        <w:spacing w:before="1" w:beforeAutospacing="0" w:after="0" w:afterAutospacing="0" w:line="415" w:lineRule="auto"/>
        <w:ind w:left="30" w:right="309" w:firstLine="631"/>
        <w:rPr>
          <w:rFonts w:cs="宋体"/>
          <w:color w:val="auto"/>
          <w:sz w:val="21"/>
          <w:szCs w:val="21"/>
          <w:highlight w:val="none"/>
        </w:rPr>
      </w:pPr>
      <w:r>
        <w:rPr>
          <w:rFonts w:hint="eastAsia" w:cs="宋体"/>
          <w:color w:val="auto"/>
          <w:spacing w:val="-8"/>
          <w:sz w:val="21"/>
          <w:szCs w:val="21"/>
          <w:highlight w:val="none"/>
        </w:rPr>
        <w:t>施工场地</w:t>
      </w:r>
      <w:r>
        <w:rPr>
          <w:rFonts w:hint="eastAsia" w:cs="宋体"/>
          <w:color w:val="auto"/>
          <w:sz w:val="21"/>
          <w:szCs w:val="21"/>
          <w:highlight w:val="none"/>
        </w:rPr>
        <w:t>（</w:t>
      </w:r>
      <w:r>
        <w:rPr>
          <w:rFonts w:hint="eastAsia" w:cs="宋体"/>
          <w:color w:val="auto"/>
          <w:spacing w:val="-6"/>
          <w:sz w:val="21"/>
          <w:szCs w:val="21"/>
          <w:highlight w:val="none"/>
        </w:rPr>
        <w:t>或称工地、现场</w:t>
      </w:r>
      <w:r>
        <w:rPr>
          <w:rFonts w:hint="eastAsia" w:cs="宋体"/>
          <w:color w:val="auto"/>
          <w:spacing w:val="-108"/>
          <w:sz w:val="21"/>
          <w:szCs w:val="21"/>
          <w:highlight w:val="none"/>
        </w:rPr>
        <w:t>）</w:t>
      </w:r>
      <w:r>
        <w:rPr>
          <w:rFonts w:hint="eastAsia" w:cs="宋体"/>
          <w:color w:val="auto"/>
          <w:spacing w:val="-8"/>
          <w:sz w:val="21"/>
          <w:szCs w:val="21"/>
          <w:highlight w:val="none"/>
        </w:rPr>
        <w:t>：指用于合同工程施工的场所，以及在合同中指</w:t>
      </w:r>
      <w:r>
        <w:rPr>
          <w:rFonts w:hint="eastAsia" w:cs="宋体"/>
          <w:color w:val="auto"/>
          <w:spacing w:val="-4"/>
          <w:sz w:val="21"/>
          <w:szCs w:val="21"/>
          <w:highlight w:val="none"/>
        </w:rPr>
        <w:t>定作为施工场地组成部分的其他场所，包括永久占地和临时占地。</w:t>
      </w:r>
    </w:p>
    <w:p>
      <w:pPr>
        <w:pStyle w:val="20"/>
        <w:widowControl w:val="0"/>
        <w:numPr>
          <w:ilvl w:val="3"/>
          <w:numId w:val="15"/>
        </w:numPr>
        <w:autoSpaceDE w:val="0"/>
        <w:autoSpaceDN w:val="0"/>
        <w:spacing w:before="0" w:beforeAutospacing="0" w:after="0" w:afterAutospacing="0" w:line="415" w:lineRule="auto"/>
        <w:ind w:left="30" w:right="308" w:firstLine="631"/>
        <w:rPr>
          <w:rFonts w:cs="宋体"/>
          <w:color w:val="auto"/>
          <w:sz w:val="21"/>
          <w:szCs w:val="21"/>
          <w:highlight w:val="none"/>
        </w:rPr>
      </w:pPr>
      <w:r>
        <w:rPr>
          <w:rFonts w:hint="eastAsia" w:cs="宋体"/>
          <w:color w:val="auto"/>
          <w:spacing w:val="-11"/>
          <w:sz w:val="21"/>
          <w:szCs w:val="21"/>
          <w:highlight w:val="none"/>
        </w:rPr>
        <w:t>永久占地：指为实施合同工程需永久占用的土地。永久占地的约定见合同条</w:t>
      </w:r>
      <w:r>
        <w:rPr>
          <w:rFonts w:hint="eastAsia" w:cs="宋体"/>
          <w:color w:val="auto"/>
          <w:spacing w:val="-5"/>
          <w:sz w:val="21"/>
          <w:szCs w:val="21"/>
          <w:highlight w:val="none"/>
        </w:rPr>
        <w:t>款专用部分。</w:t>
      </w:r>
    </w:p>
    <w:p>
      <w:pPr>
        <w:pStyle w:val="20"/>
        <w:widowControl w:val="0"/>
        <w:numPr>
          <w:ilvl w:val="3"/>
          <w:numId w:val="15"/>
        </w:numPr>
        <w:autoSpaceDE w:val="0"/>
        <w:autoSpaceDN w:val="0"/>
        <w:spacing w:before="0" w:beforeAutospacing="0" w:after="0" w:afterAutospacing="0" w:line="415" w:lineRule="auto"/>
        <w:ind w:left="30" w:right="308" w:firstLine="631"/>
        <w:rPr>
          <w:rFonts w:cs="宋体"/>
          <w:color w:val="auto"/>
          <w:sz w:val="21"/>
          <w:szCs w:val="21"/>
          <w:highlight w:val="none"/>
        </w:rPr>
      </w:pPr>
      <w:r>
        <w:rPr>
          <w:rFonts w:hint="eastAsia" w:cs="宋体"/>
          <w:color w:val="auto"/>
          <w:spacing w:val="-10"/>
          <w:sz w:val="21"/>
          <w:szCs w:val="21"/>
          <w:highlight w:val="none"/>
        </w:rPr>
        <w:t>临时占地：指为实施合同工程需临时占用的土地。临时占地的约定见合同条</w:t>
      </w:r>
      <w:r>
        <w:rPr>
          <w:rFonts w:hint="eastAsia" w:cs="宋体"/>
          <w:color w:val="auto"/>
          <w:spacing w:val="-4"/>
          <w:sz w:val="21"/>
          <w:szCs w:val="21"/>
          <w:highlight w:val="none"/>
        </w:rPr>
        <w:t>款专用部分。</w:t>
      </w:r>
    </w:p>
    <w:p>
      <w:pPr>
        <w:pStyle w:val="20"/>
        <w:widowControl w:val="0"/>
        <w:numPr>
          <w:ilvl w:val="3"/>
          <w:numId w:val="15"/>
        </w:numPr>
        <w:autoSpaceDE w:val="0"/>
        <w:autoSpaceDN w:val="0"/>
        <w:spacing w:before="0" w:beforeAutospacing="0" w:after="0" w:afterAutospacing="0" w:line="415" w:lineRule="auto"/>
        <w:ind w:left="30" w:right="352" w:firstLine="631"/>
        <w:rPr>
          <w:rFonts w:cs="宋体"/>
          <w:color w:val="auto"/>
          <w:sz w:val="21"/>
          <w:szCs w:val="21"/>
          <w:highlight w:val="none"/>
        </w:rPr>
      </w:pPr>
      <w:r>
        <w:rPr>
          <w:rFonts w:hint="eastAsia" w:cs="宋体"/>
          <w:color w:val="auto"/>
          <w:spacing w:val="-12"/>
          <w:sz w:val="21"/>
          <w:szCs w:val="21"/>
          <w:highlight w:val="none"/>
        </w:rPr>
        <w:t>材料：指构成或将构成永久工程组成部分的各类物品(工程设备除外)，包括</w:t>
      </w:r>
      <w:r>
        <w:rPr>
          <w:rFonts w:hint="eastAsia" w:cs="宋体"/>
          <w:color w:val="auto"/>
          <w:spacing w:val="-5"/>
          <w:sz w:val="21"/>
          <w:szCs w:val="21"/>
          <w:highlight w:val="none"/>
        </w:rPr>
        <w:t>合同中可能约定的承包人仅负责供应的材料。</w:t>
      </w:r>
    </w:p>
    <w:p>
      <w:pPr>
        <w:pStyle w:val="20"/>
        <w:widowControl w:val="0"/>
        <w:autoSpaceDE w:val="0"/>
        <w:autoSpaceDN w:val="0"/>
        <w:spacing w:before="0" w:beforeAutospacing="0" w:after="0" w:afterAutospacing="0" w:line="269" w:lineRule="exact"/>
        <w:ind w:left="558"/>
        <w:rPr>
          <w:rFonts w:cs="宋体"/>
          <w:color w:val="auto"/>
          <w:sz w:val="21"/>
          <w:szCs w:val="21"/>
          <w:highlight w:val="none"/>
        </w:rPr>
      </w:pPr>
      <w:r>
        <w:rPr>
          <w:rFonts w:hint="eastAsia" w:cs="宋体"/>
          <w:color w:val="auto"/>
          <w:sz w:val="21"/>
          <w:szCs w:val="21"/>
          <w:highlight w:val="none"/>
        </w:rPr>
        <w:t xml:space="preserve">1.1.4 日 期 </w:t>
      </w:r>
    </w:p>
    <w:p>
      <w:pPr>
        <w:pStyle w:val="20"/>
        <w:widowControl w:val="0"/>
        <w:autoSpaceDE w:val="0"/>
        <w:autoSpaceDN w:val="0"/>
        <w:spacing w:before="0" w:beforeAutospacing="0" w:after="0" w:afterAutospacing="0"/>
        <w:ind w:firstLine="776" w:firstLineChars="400"/>
        <w:rPr>
          <w:rFonts w:cs="宋体"/>
          <w:color w:val="auto"/>
          <w:sz w:val="21"/>
          <w:szCs w:val="21"/>
          <w:highlight w:val="none"/>
        </w:rPr>
      </w:pPr>
      <w:r>
        <w:rPr>
          <w:rFonts w:hint="eastAsia" w:cs="宋体"/>
          <w:color w:val="auto"/>
          <w:spacing w:val="-8"/>
          <w:sz w:val="21"/>
          <w:szCs w:val="21"/>
          <w:highlight w:val="none"/>
        </w:rPr>
        <w:t xml:space="preserve">1.1.4.1 开工通知：指监理人按第 </w:t>
      </w:r>
      <w:r>
        <w:rPr>
          <w:rFonts w:hint="eastAsia" w:cs="宋体"/>
          <w:color w:val="auto"/>
          <w:sz w:val="21"/>
          <w:szCs w:val="21"/>
          <w:highlight w:val="none"/>
        </w:rPr>
        <w:t>11.1</w:t>
      </w:r>
      <w:r>
        <w:rPr>
          <w:rFonts w:hint="eastAsia" w:cs="宋体"/>
          <w:color w:val="auto"/>
          <w:spacing w:val="-9"/>
          <w:sz w:val="21"/>
          <w:szCs w:val="21"/>
          <w:highlight w:val="none"/>
        </w:rPr>
        <w:t xml:space="preserve"> 款通知承包人开工的函件。</w:t>
      </w:r>
    </w:p>
    <w:p>
      <w:pPr>
        <w:pStyle w:val="20"/>
        <w:widowControl w:val="0"/>
        <w:autoSpaceDE w:val="0"/>
        <w:autoSpaceDN w:val="0"/>
        <w:spacing w:before="1" w:beforeAutospacing="0" w:after="0" w:afterAutospacing="0"/>
        <w:ind w:firstLine="784" w:firstLineChars="400"/>
        <w:rPr>
          <w:rFonts w:cs="宋体"/>
          <w:color w:val="auto"/>
          <w:sz w:val="21"/>
          <w:szCs w:val="21"/>
          <w:highlight w:val="none"/>
        </w:rPr>
      </w:pPr>
      <w:r>
        <w:rPr>
          <w:rFonts w:hint="eastAsia" w:cs="宋体"/>
          <w:color w:val="auto"/>
          <w:spacing w:val="-7"/>
          <w:sz w:val="21"/>
          <w:szCs w:val="21"/>
          <w:highlight w:val="none"/>
        </w:rPr>
        <w:t xml:space="preserve">1.1.4.2 开工日期：指监理人按第 </w:t>
      </w:r>
      <w:r>
        <w:rPr>
          <w:rFonts w:hint="eastAsia" w:cs="宋体"/>
          <w:color w:val="auto"/>
          <w:sz w:val="21"/>
          <w:szCs w:val="21"/>
          <w:highlight w:val="none"/>
        </w:rPr>
        <w:t>11.1</w:t>
      </w:r>
      <w:r>
        <w:rPr>
          <w:rFonts w:hint="eastAsia" w:cs="宋体"/>
          <w:color w:val="auto"/>
          <w:spacing w:val="-9"/>
          <w:sz w:val="21"/>
          <w:szCs w:val="21"/>
          <w:highlight w:val="none"/>
        </w:rPr>
        <w:t xml:space="preserve"> 款发出的开工通知中写明的开工日期。 </w:t>
      </w:r>
    </w:p>
    <w:p>
      <w:pPr>
        <w:pStyle w:val="20"/>
        <w:widowControl w:val="0"/>
        <w:autoSpaceDE w:val="0"/>
        <w:autoSpaceDN w:val="0"/>
        <w:spacing w:before="0" w:beforeAutospacing="0" w:after="0" w:afterAutospacing="0"/>
        <w:ind w:left="768"/>
        <w:rPr>
          <w:rFonts w:cs="宋体"/>
          <w:color w:val="auto"/>
          <w:sz w:val="21"/>
          <w:szCs w:val="21"/>
          <w:highlight w:val="none"/>
        </w:rPr>
      </w:pPr>
      <w:r>
        <w:rPr>
          <w:rFonts w:hint="eastAsia" w:cs="宋体"/>
          <w:color w:val="auto"/>
          <w:spacing w:val="3"/>
          <w:sz w:val="21"/>
          <w:szCs w:val="21"/>
          <w:highlight w:val="none"/>
        </w:rPr>
        <w:t>1.1.4.3 工期：指承包人在投标函中承诺的完成合同工程所需的期限，包括按第</w:t>
      </w:r>
    </w:p>
    <w:p>
      <w:pPr>
        <w:pStyle w:val="20"/>
        <w:widowControl w:val="0"/>
        <w:autoSpaceDE w:val="0"/>
        <w:autoSpaceDN w:val="0"/>
        <w:spacing w:before="1" w:beforeAutospacing="0" w:after="0" w:afterAutospacing="0"/>
        <w:ind w:left="145" w:leftChars="66" w:firstLine="630" w:firstLineChars="300"/>
        <w:jc w:val="both"/>
        <w:rPr>
          <w:rFonts w:cs="宋体"/>
          <w:color w:val="auto"/>
          <w:sz w:val="21"/>
          <w:szCs w:val="21"/>
          <w:highlight w:val="none"/>
        </w:rPr>
      </w:pPr>
      <w:r>
        <w:rPr>
          <w:rFonts w:hint="eastAsia" w:cs="宋体"/>
          <w:color w:val="auto"/>
          <w:sz w:val="21"/>
          <w:szCs w:val="21"/>
          <w:highlight w:val="none"/>
        </w:rPr>
        <w:t xml:space="preserve">11.3 款、第 11.4 款和第 11.6 款约定所作的变更。 </w:t>
      </w:r>
    </w:p>
    <w:p>
      <w:pPr>
        <w:pStyle w:val="20"/>
        <w:widowControl w:val="0"/>
        <w:autoSpaceDE w:val="0"/>
        <w:autoSpaceDN w:val="0"/>
        <w:spacing w:before="0" w:beforeAutospacing="0" w:after="0" w:afterAutospacing="0" w:line="415" w:lineRule="auto"/>
        <w:ind w:left="769" w:right="309"/>
        <w:jc w:val="both"/>
        <w:rPr>
          <w:rFonts w:cs="宋体"/>
          <w:color w:val="auto"/>
          <w:sz w:val="21"/>
          <w:szCs w:val="21"/>
          <w:highlight w:val="none"/>
        </w:rPr>
      </w:pPr>
      <w:r>
        <w:rPr>
          <w:rFonts w:hint="eastAsia" w:cs="宋体"/>
          <w:color w:val="auto"/>
          <w:spacing w:val="-7"/>
          <w:sz w:val="21"/>
          <w:szCs w:val="21"/>
          <w:highlight w:val="none"/>
        </w:rPr>
        <w:t xml:space="preserve">1.1.4.4 竣工日期：指第 </w:t>
      </w:r>
      <w:r>
        <w:rPr>
          <w:rFonts w:hint="eastAsia" w:cs="宋体"/>
          <w:color w:val="auto"/>
          <w:sz w:val="21"/>
          <w:szCs w:val="21"/>
          <w:highlight w:val="none"/>
        </w:rPr>
        <w:t>1.1.4.3</w:t>
      </w:r>
      <w:r>
        <w:rPr>
          <w:rFonts w:hint="eastAsia" w:cs="宋体"/>
          <w:color w:val="auto"/>
          <w:spacing w:val="-7"/>
          <w:sz w:val="21"/>
          <w:szCs w:val="21"/>
          <w:highlight w:val="none"/>
        </w:rPr>
        <w:t xml:space="preserve"> 目约定工期届满时的日期。实际竣工日期以工程接</w:t>
      </w:r>
      <w:r>
        <w:rPr>
          <w:rFonts w:hint="eastAsia" w:cs="宋体"/>
          <w:color w:val="auto"/>
          <w:spacing w:val="-4"/>
          <w:sz w:val="21"/>
          <w:szCs w:val="21"/>
          <w:highlight w:val="none"/>
        </w:rPr>
        <w:t>收证书中写明的日期为准。</w:t>
      </w:r>
    </w:p>
    <w:p>
      <w:pPr>
        <w:pStyle w:val="20"/>
        <w:widowControl w:val="0"/>
        <w:autoSpaceDE w:val="0"/>
        <w:autoSpaceDN w:val="0"/>
        <w:spacing w:before="0" w:beforeAutospacing="0" w:after="0" w:afterAutospacing="0" w:line="415" w:lineRule="auto"/>
        <w:ind w:left="769" w:right="308"/>
        <w:jc w:val="both"/>
        <w:rPr>
          <w:rFonts w:cs="宋体"/>
          <w:color w:val="auto"/>
          <w:sz w:val="21"/>
          <w:szCs w:val="21"/>
          <w:highlight w:val="none"/>
        </w:rPr>
      </w:pPr>
      <w:r>
        <w:rPr>
          <w:rFonts w:hint="eastAsia" w:cs="宋体"/>
          <w:color w:val="auto"/>
          <w:spacing w:val="-5"/>
          <w:sz w:val="21"/>
          <w:szCs w:val="21"/>
          <w:highlight w:val="none"/>
        </w:rPr>
        <w:t xml:space="preserve">1.1.4.5 缺陷责任期：指履行第 </w:t>
      </w:r>
      <w:r>
        <w:rPr>
          <w:rFonts w:hint="eastAsia" w:cs="宋体"/>
          <w:color w:val="auto"/>
          <w:sz w:val="21"/>
          <w:szCs w:val="21"/>
          <w:highlight w:val="none"/>
        </w:rPr>
        <w:t>19.2</w:t>
      </w:r>
      <w:r>
        <w:rPr>
          <w:rFonts w:hint="eastAsia" w:cs="宋体"/>
          <w:color w:val="auto"/>
          <w:spacing w:val="-7"/>
          <w:sz w:val="21"/>
          <w:szCs w:val="21"/>
          <w:highlight w:val="none"/>
        </w:rPr>
        <w:t xml:space="preserve"> 款约定的缺陷责任的期限，包括根据第 </w:t>
      </w:r>
      <w:r>
        <w:rPr>
          <w:rFonts w:hint="eastAsia" w:cs="宋体"/>
          <w:color w:val="auto"/>
          <w:sz w:val="21"/>
          <w:szCs w:val="21"/>
          <w:highlight w:val="none"/>
        </w:rPr>
        <w:t>19.3款</w:t>
      </w:r>
      <w:r>
        <w:rPr>
          <w:rFonts w:hint="eastAsia" w:cs="宋体"/>
          <w:color w:val="auto"/>
          <w:spacing w:val="-3"/>
          <w:sz w:val="21"/>
          <w:szCs w:val="21"/>
          <w:highlight w:val="none"/>
        </w:rPr>
        <w:t>约定所作的延长。缺陷责任期的具体期限见合同条款专用部分。</w:t>
      </w:r>
    </w:p>
    <w:p>
      <w:pPr>
        <w:pStyle w:val="20"/>
        <w:widowControl w:val="0"/>
        <w:autoSpaceDE w:val="0"/>
        <w:autoSpaceDN w:val="0"/>
        <w:spacing w:before="0" w:beforeAutospacing="0" w:after="0" w:afterAutospacing="0" w:line="269" w:lineRule="exact"/>
        <w:ind w:firstLine="784" w:firstLineChars="400"/>
        <w:jc w:val="both"/>
        <w:rPr>
          <w:rFonts w:cs="宋体"/>
          <w:color w:val="auto"/>
          <w:sz w:val="21"/>
          <w:szCs w:val="21"/>
          <w:highlight w:val="none"/>
        </w:rPr>
      </w:pPr>
      <w:r>
        <w:rPr>
          <w:rFonts w:hint="eastAsia" w:cs="宋体"/>
          <w:color w:val="auto"/>
          <w:spacing w:val="-7"/>
          <w:sz w:val="21"/>
          <w:szCs w:val="21"/>
          <w:highlight w:val="none"/>
        </w:rPr>
        <w:t xml:space="preserve">1.1.4.6 基准日期：指投标截止时间前 </w:t>
      </w:r>
      <w:r>
        <w:rPr>
          <w:rFonts w:hint="eastAsia" w:cs="宋体"/>
          <w:color w:val="auto"/>
          <w:sz w:val="21"/>
          <w:szCs w:val="21"/>
          <w:highlight w:val="none"/>
        </w:rPr>
        <w:t>28</w:t>
      </w:r>
      <w:r>
        <w:rPr>
          <w:rFonts w:hint="eastAsia" w:cs="宋体"/>
          <w:color w:val="auto"/>
          <w:spacing w:val="-11"/>
          <w:sz w:val="21"/>
          <w:szCs w:val="21"/>
          <w:highlight w:val="none"/>
        </w:rPr>
        <w:t xml:space="preserve"> 天的日期。 </w:t>
      </w:r>
    </w:p>
    <w:p>
      <w:pPr>
        <w:pStyle w:val="20"/>
        <w:widowControl w:val="0"/>
        <w:autoSpaceDE w:val="0"/>
        <w:autoSpaceDN w:val="0"/>
        <w:spacing w:before="1" w:beforeAutospacing="0" w:after="0" w:afterAutospacing="0" w:line="415" w:lineRule="auto"/>
        <w:ind w:left="769" w:right="206"/>
        <w:jc w:val="both"/>
        <w:rPr>
          <w:rFonts w:cs="宋体"/>
          <w:color w:val="auto"/>
          <w:sz w:val="21"/>
          <w:szCs w:val="21"/>
          <w:highlight w:val="none"/>
        </w:rPr>
      </w:pPr>
      <w:r>
        <w:rPr>
          <w:rFonts w:hint="eastAsia" w:cs="宋体"/>
          <w:color w:val="auto"/>
          <w:spacing w:val="-11"/>
          <w:sz w:val="21"/>
          <w:szCs w:val="21"/>
          <w:highlight w:val="none"/>
        </w:rPr>
        <w:t>1.1.4.7 天：除特别指明外，指日历天。合同中按天计算时间的，开始当天不计入，从</w:t>
      </w:r>
      <w:r>
        <w:rPr>
          <w:rFonts w:hint="eastAsia" w:cs="宋体"/>
          <w:color w:val="auto"/>
          <w:spacing w:val="-8"/>
          <w:sz w:val="21"/>
          <w:szCs w:val="21"/>
          <w:highlight w:val="none"/>
        </w:rPr>
        <w:t xml:space="preserve">次日开始计算。期限最后一天的截止时间为当天 </w:t>
      </w:r>
      <w:r>
        <w:rPr>
          <w:rFonts w:hint="eastAsia" w:cs="宋体"/>
          <w:color w:val="auto"/>
          <w:sz w:val="21"/>
          <w:szCs w:val="21"/>
          <w:highlight w:val="none"/>
        </w:rPr>
        <w:t>24:00</w:t>
      </w:r>
      <w:r>
        <w:rPr>
          <w:rFonts w:hint="eastAsia" w:cs="宋体"/>
          <w:color w:val="auto"/>
          <w:spacing w:val="-3"/>
          <w:sz w:val="21"/>
          <w:szCs w:val="21"/>
          <w:highlight w:val="none"/>
        </w:rPr>
        <w:t>。</w:t>
      </w:r>
    </w:p>
    <w:p>
      <w:pPr>
        <w:pStyle w:val="20"/>
        <w:widowControl w:val="0"/>
        <w:autoSpaceDE w:val="0"/>
        <w:autoSpaceDN w:val="0"/>
        <w:spacing w:before="0" w:beforeAutospacing="0" w:after="0" w:afterAutospacing="0" w:line="415" w:lineRule="auto"/>
        <w:ind w:left="769" w:right="309"/>
        <w:jc w:val="both"/>
        <w:rPr>
          <w:rFonts w:cs="宋体"/>
          <w:color w:val="auto"/>
          <w:sz w:val="21"/>
          <w:szCs w:val="21"/>
          <w:highlight w:val="none"/>
        </w:rPr>
      </w:pPr>
      <w:r>
        <w:rPr>
          <w:rFonts w:hint="eastAsia" w:cs="宋体"/>
          <w:color w:val="auto"/>
          <w:spacing w:val="-13"/>
          <w:sz w:val="21"/>
          <w:szCs w:val="21"/>
          <w:highlight w:val="none"/>
        </w:rPr>
        <w:t xml:space="preserve">1.1.4.8 保修期：是根据现行有关法律规定，在合同条款第 </w:t>
      </w:r>
      <w:r>
        <w:rPr>
          <w:rFonts w:hint="eastAsia" w:cs="宋体"/>
          <w:color w:val="auto"/>
          <w:sz w:val="21"/>
          <w:szCs w:val="21"/>
          <w:highlight w:val="none"/>
        </w:rPr>
        <w:t>19.7</w:t>
      </w:r>
      <w:r>
        <w:rPr>
          <w:rFonts w:hint="eastAsia" w:cs="宋体"/>
          <w:color w:val="auto"/>
          <w:spacing w:val="-7"/>
          <w:sz w:val="21"/>
          <w:szCs w:val="21"/>
          <w:highlight w:val="none"/>
        </w:rPr>
        <w:t xml:space="preserve"> 款中约定的由承包人负责对合同约定的保修范围内发生的质量问题履行保修义务并对造成的损失承担赔偿责任</w:t>
      </w:r>
      <w:r>
        <w:rPr>
          <w:rFonts w:hint="eastAsia" w:cs="宋体"/>
          <w:color w:val="auto"/>
          <w:spacing w:val="-4"/>
          <w:sz w:val="21"/>
          <w:szCs w:val="21"/>
          <w:highlight w:val="none"/>
        </w:rPr>
        <w:t>的期限。</w:t>
      </w:r>
    </w:p>
    <w:p>
      <w:pPr>
        <w:pStyle w:val="20"/>
        <w:widowControl w:val="0"/>
        <w:numPr>
          <w:ilvl w:val="2"/>
          <w:numId w:val="16"/>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合同价格和费用</w:t>
      </w:r>
    </w:p>
    <w:p>
      <w:pPr>
        <w:pStyle w:val="20"/>
        <w:widowControl w:val="0"/>
        <w:numPr>
          <w:ilvl w:val="3"/>
          <w:numId w:val="16"/>
        </w:numPr>
        <w:autoSpaceDE w:val="0"/>
        <w:autoSpaceDN w:val="0"/>
        <w:spacing w:before="1" w:beforeAutospacing="0" w:after="0" w:afterAutospacing="0" w:line="415" w:lineRule="auto"/>
        <w:ind w:right="309" w:firstLine="631"/>
        <w:rPr>
          <w:rFonts w:cs="宋体"/>
          <w:color w:val="auto"/>
          <w:sz w:val="21"/>
          <w:szCs w:val="21"/>
          <w:highlight w:val="none"/>
        </w:rPr>
      </w:pPr>
      <w:r>
        <w:rPr>
          <w:rFonts w:hint="eastAsia" w:cs="宋体"/>
          <w:color w:val="auto"/>
          <w:spacing w:val="-3"/>
          <w:sz w:val="21"/>
          <w:szCs w:val="21"/>
          <w:highlight w:val="none"/>
        </w:rPr>
        <w:t>签约合同价：指签定合同时合同协议书中写明的，包括了暂列金额、暂估价的合同总金额。</w:t>
      </w:r>
    </w:p>
    <w:p>
      <w:pPr>
        <w:pStyle w:val="20"/>
        <w:widowControl w:val="0"/>
        <w:numPr>
          <w:ilvl w:val="3"/>
          <w:numId w:val="16"/>
        </w:numPr>
        <w:autoSpaceDE w:val="0"/>
        <w:autoSpaceDN w:val="0"/>
        <w:spacing w:before="0" w:beforeAutospacing="0" w:after="0" w:afterAutospacing="0" w:line="415" w:lineRule="auto"/>
        <w:ind w:right="309" w:firstLine="631"/>
        <w:rPr>
          <w:rFonts w:cs="宋体"/>
          <w:color w:val="auto"/>
          <w:sz w:val="23"/>
          <w:szCs w:val="23"/>
          <w:highlight w:val="none"/>
        </w:rPr>
      </w:pPr>
      <w:r>
        <w:rPr>
          <w:rFonts w:hint="eastAsia" w:cs="宋体"/>
          <w:color w:val="auto"/>
          <w:spacing w:val="-3"/>
          <w:sz w:val="21"/>
          <w:szCs w:val="21"/>
          <w:highlight w:val="none"/>
        </w:rPr>
        <w:t>合同价格：指承包人按合同约定完成了包括缺陷责任期内的全部承包工作后，发包人应付给承包人的金额，包括在履行合同过程中按合同约定进行的变更和调整。</w:t>
      </w:r>
    </w:p>
    <w:p>
      <w:pPr>
        <w:pStyle w:val="20"/>
        <w:widowControl w:val="0"/>
        <w:numPr>
          <w:ilvl w:val="3"/>
          <w:numId w:val="16"/>
        </w:numPr>
        <w:autoSpaceDE w:val="0"/>
        <w:autoSpaceDN w:val="0"/>
        <w:spacing w:before="72" w:beforeAutospacing="0" w:after="0" w:afterAutospacing="0" w:line="415" w:lineRule="auto"/>
        <w:ind w:right="309" w:firstLine="631"/>
        <w:rPr>
          <w:rFonts w:cs="宋体"/>
          <w:color w:val="auto"/>
          <w:sz w:val="21"/>
          <w:szCs w:val="21"/>
          <w:highlight w:val="none"/>
        </w:rPr>
      </w:pPr>
      <w:r>
        <w:rPr>
          <w:rFonts w:hint="eastAsia" w:cs="宋体"/>
          <w:color w:val="auto"/>
          <w:spacing w:val="-3"/>
          <w:sz w:val="21"/>
          <w:szCs w:val="21"/>
          <w:highlight w:val="none"/>
        </w:rPr>
        <w:t>费用：指为履行合同所发生的或将要发生的所有合理开支，包括管理费和应分摊的其他费用，但不包括利润。</w:t>
      </w:r>
    </w:p>
    <w:p>
      <w:pPr>
        <w:pStyle w:val="20"/>
        <w:widowControl w:val="0"/>
        <w:numPr>
          <w:ilvl w:val="3"/>
          <w:numId w:val="16"/>
        </w:numPr>
        <w:autoSpaceDE w:val="0"/>
        <w:autoSpaceDN w:val="0"/>
        <w:spacing w:before="0" w:beforeAutospacing="0" w:after="0" w:afterAutospacing="0" w:line="415" w:lineRule="auto"/>
        <w:ind w:right="309" w:firstLine="631"/>
        <w:jc w:val="both"/>
        <w:rPr>
          <w:rFonts w:cs="宋体"/>
          <w:color w:val="auto"/>
          <w:sz w:val="21"/>
          <w:szCs w:val="21"/>
          <w:highlight w:val="none"/>
        </w:rPr>
      </w:pPr>
      <w:r>
        <w:rPr>
          <w:rFonts w:hint="eastAsia" w:cs="宋体"/>
          <w:color w:val="auto"/>
          <w:spacing w:val="-3"/>
          <w:sz w:val="21"/>
          <w:szCs w:val="21"/>
          <w:highlight w:val="none"/>
        </w:rPr>
        <w:t>暂列金额：指已标价工程量清单中所列的暂列金额，用于在签订协议书时尚</w:t>
      </w:r>
      <w:r>
        <w:rPr>
          <w:rFonts w:hint="eastAsia" w:cs="宋体"/>
          <w:color w:val="auto"/>
          <w:spacing w:val="-8"/>
          <w:sz w:val="21"/>
          <w:szCs w:val="21"/>
          <w:highlight w:val="none"/>
        </w:rPr>
        <w:t>未确定或不可预见变更的施工及其所需材料、工程设备、服务等的金额，包括以计日工方式</w:t>
      </w:r>
      <w:r>
        <w:rPr>
          <w:rFonts w:hint="eastAsia" w:cs="宋体"/>
          <w:color w:val="auto"/>
          <w:spacing w:val="-4"/>
          <w:sz w:val="21"/>
          <w:szCs w:val="21"/>
          <w:highlight w:val="none"/>
        </w:rPr>
        <w:t>支付的金额。</w:t>
      </w:r>
    </w:p>
    <w:p>
      <w:pPr>
        <w:pStyle w:val="20"/>
        <w:widowControl w:val="0"/>
        <w:numPr>
          <w:ilvl w:val="3"/>
          <w:numId w:val="16"/>
        </w:numPr>
        <w:autoSpaceDE w:val="0"/>
        <w:autoSpaceDN w:val="0"/>
        <w:spacing w:before="0" w:beforeAutospacing="0" w:after="0" w:afterAutospacing="0" w:line="415" w:lineRule="auto"/>
        <w:ind w:right="309" w:firstLine="631"/>
        <w:rPr>
          <w:rFonts w:cs="宋体"/>
          <w:color w:val="auto"/>
          <w:sz w:val="21"/>
          <w:szCs w:val="21"/>
          <w:highlight w:val="none"/>
        </w:rPr>
      </w:pPr>
      <w:r>
        <w:rPr>
          <w:rFonts w:hint="eastAsia" w:cs="宋体"/>
          <w:color w:val="auto"/>
          <w:spacing w:val="-3"/>
          <w:sz w:val="21"/>
          <w:szCs w:val="21"/>
          <w:highlight w:val="none"/>
        </w:rPr>
        <w:t>暂估价：指发包人在工程量清单中给定的用于支付必然发生但暂时不能确定价格的材料、设备以及专业工程的金额。</w:t>
      </w:r>
    </w:p>
    <w:p>
      <w:pPr>
        <w:pStyle w:val="20"/>
        <w:widowControl w:val="0"/>
        <w:numPr>
          <w:ilvl w:val="3"/>
          <w:numId w:val="16"/>
        </w:numPr>
        <w:autoSpaceDE w:val="0"/>
        <w:autoSpaceDN w:val="0"/>
        <w:spacing w:before="0" w:beforeAutospacing="0" w:after="0" w:afterAutospacing="0" w:line="415" w:lineRule="auto"/>
        <w:ind w:right="309" w:firstLine="631"/>
        <w:rPr>
          <w:rFonts w:cs="宋体"/>
          <w:color w:val="auto"/>
          <w:sz w:val="21"/>
          <w:szCs w:val="21"/>
          <w:highlight w:val="none"/>
        </w:rPr>
      </w:pPr>
      <w:r>
        <w:rPr>
          <w:rFonts w:hint="eastAsia" w:cs="宋体"/>
          <w:color w:val="auto"/>
          <w:spacing w:val="-3"/>
          <w:sz w:val="21"/>
          <w:szCs w:val="21"/>
          <w:highlight w:val="none"/>
        </w:rPr>
        <w:t>计日工：指对零星工作采取的一种计价方式，按合同中的计日工子目及其单价计价付款。</w:t>
      </w:r>
    </w:p>
    <w:p>
      <w:pPr>
        <w:pStyle w:val="20"/>
        <w:widowControl w:val="0"/>
        <w:numPr>
          <w:ilvl w:val="3"/>
          <w:numId w:val="16"/>
        </w:numPr>
        <w:autoSpaceDE w:val="0"/>
        <w:autoSpaceDN w:val="0"/>
        <w:spacing w:before="0" w:beforeAutospacing="0" w:after="0" w:afterAutospacing="0" w:line="415" w:lineRule="auto"/>
        <w:ind w:right="308" w:firstLine="631"/>
        <w:rPr>
          <w:rFonts w:cs="宋体"/>
          <w:color w:val="auto"/>
          <w:sz w:val="21"/>
          <w:szCs w:val="21"/>
          <w:highlight w:val="none"/>
        </w:rPr>
      </w:pPr>
      <w:r>
        <w:rPr>
          <w:rFonts w:hint="eastAsia" w:cs="宋体"/>
          <w:color w:val="auto"/>
          <w:spacing w:val="-3"/>
          <w:sz w:val="21"/>
          <w:szCs w:val="21"/>
          <w:highlight w:val="none"/>
        </w:rPr>
        <w:t>质量保证金（或称保留金</w:t>
      </w:r>
      <w:r>
        <w:rPr>
          <w:rFonts w:hint="eastAsia" w:cs="宋体"/>
          <w:color w:val="auto"/>
          <w:spacing w:val="-108"/>
          <w:sz w:val="21"/>
          <w:szCs w:val="21"/>
          <w:highlight w:val="none"/>
        </w:rPr>
        <w:t>）</w:t>
      </w:r>
      <w:r>
        <w:rPr>
          <w:rFonts w:hint="eastAsia" w:cs="宋体"/>
          <w:color w:val="auto"/>
          <w:spacing w:val="-2"/>
          <w:sz w:val="21"/>
          <w:szCs w:val="21"/>
          <w:highlight w:val="none"/>
        </w:rPr>
        <w:t>：指按第</w:t>
      </w:r>
      <w:r>
        <w:rPr>
          <w:rFonts w:hint="eastAsia" w:cs="宋体"/>
          <w:color w:val="auto"/>
          <w:sz w:val="21"/>
          <w:szCs w:val="21"/>
          <w:highlight w:val="none"/>
        </w:rPr>
        <w:t>1</w:t>
      </w:r>
      <w:r>
        <w:rPr>
          <w:rFonts w:hint="eastAsia" w:cs="宋体"/>
          <w:color w:val="auto"/>
          <w:spacing w:val="-3"/>
          <w:sz w:val="21"/>
          <w:szCs w:val="21"/>
          <w:highlight w:val="none"/>
        </w:rPr>
        <w:t>7</w:t>
      </w:r>
      <w:r>
        <w:rPr>
          <w:rFonts w:hint="eastAsia" w:cs="宋体"/>
          <w:color w:val="auto"/>
          <w:sz w:val="21"/>
          <w:szCs w:val="21"/>
          <w:highlight w:val="none"/>
        </w:rPr>
        <w:t>.4</w:t>
      </w:r>
      <w:r>
        <w:rPr>
          <w:rFonts w:hint="eastAsia" w:cs="宋体"/>
          <w:color w:val="auto"/>
          <w:spacing w:val="-3"/>
          <w:sz w:val="21"/>
          <w:szCs w:val="21"/>
          <w:highlight w:val="none"/>
        </w:rPr>
        <w:t>.</w:t>
      </w:r>
      <w:r>
        <w:rPr>
          <w:rFonts w:hint="eastAsia" w:cs="宋体"/>
          <w:color w:val="auto"/>
          <w:sz w:val="21"/>
          <w:szCs w:val="21"/>
          <w:highlight w:val="none"/>
        </w:rPr>
        <w:t>1</w:t>
      </w:r>
      <w:r>
        <w:rPr>
          <w:rFonts w:hint="eastAsia" w:cs="宋体"/>
          <w:color w:val="auto"/>
          <w:spacing w:val="-3"/>
          <w:sz w:val="21"/>
          <w:szCs w:val="21"/>
          <w:highlight w:val="none"/>
        </w:rPr>
        <w:t>项约定用于保证在缺陷责任期内履行缺陷修复义务的金额。</w:t>
      </w:r>
    </w:p>
    <w:p>
      <w:pPr>
        <w:pStyle w:val="20"/>
        <w:widowControl w:val="0"/>
        <w:numPr>
          <w:ilvl w:val="2"/>
          <w:numId w:val="16"/>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 xml:space="preserve">书面形式 </w:t>
      </w:r>
    </w:p>
    <w:p>
      <w:pPr>
        <w:pStyle w:val="20"/>
        <w:widowControl w:val="0"/>
        <w:autoSpaceDE w:val="0"/>
        <w:autoSpaceDN w:val="0"/>
        <w:spacing w:before="0" w:beforeAutospacing="0" w:after="0" w:afterAutospacing="0" w:line="415" w:lineRule="auto"/>
        <w:ind w:left="430" w:leftChars="100" w:right="745" w:hanging="210" w:hangingChars="100"/>
        <w:rPr>
          <w:rFonts w:cs="宋体"/>
          <w:color w:val="auto"/>
          <w:sz w:val="21"/>
          <w:szCs w:val="21"/>
          <w:highlight w:val="none"/>
        </w:rPr>
      </w:pPr>
      <w:r>
        <w:rPr>
          <w:rFonts w:hint="eastAsia" w:cs="宋体"/>
          <w:color w:val="auto"/>
          <w:sz w:val="21"/>
          <w:szCs w:val="21"/>
          <w:highlight w:val="none"/>
        </w:rPr>
        <w:t xml:space="preserve">书面形式：指合同文件、信函、电报、传真等可以有形地表现所载内容的形式。1.1.7 争议评审组 </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10"/>
          <w:sz w:val="21"/>
          <w:szCs w:val="21"/>
          <w:highlight w:val="none"/>
        </w:rPr>
        <w:t>争议评审组：是由发包人和承包人共同聘请的人员组成的独立、公正的第三方临时性组</w:t>
      </w:r>
      <w:r>
        <w:rPr>
          <w:rFonts w:hint="eastAsia" w:cs="宋体"/>
          <w:color w:val="auto"/>
          <w:spacing w:val="-9"/>
          <w:sz w:val="21"/>
          <w:szCs w:val="21"/>
          <w:highlight w:val="none"/>
        </w:rPr>
        <w:t>织，一般由一名或者三名合同管理和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25"/>
          <w:sz w:val="21"/>
          <w:szCs w:val="21"/>
          <w:highlight w:val="none"/>
        </w:rPr>
        <w:t>）</w:t>
      </w:r>
      <w:r>
        <w:rPr>
          <w:rFonts w:hint="eastAsia" w:cs="宋体"/>
          <w:color w:val="auto"/>
          <w:spacing w:val="-6"/>
          <w:sz w:val="21"/>
          <w:szCs w:val="21"/>
          <w:highlight w:val="none"/>
        </w:rPr>
        <w:t>工程管理专家组成。争议评审组负责对发包人和</w:t>
      </w:r>
    </w:p>
    <w:p>
      <w:pPr>
        <w:pStyle w:val="20"/>
        <w:widowControl w:val="0"/>
        <w:autoSpaceDE w:val="0"/>
        <w:autoSpaceDN w:val="0"/>
        <w:spacing w:before="0" w:beforeAutospacing="0" w:after="0" w:afterAutospacing="0" w:line="415" w:lineRule="auto"/>
        <w:ind w:left="138" w:right="220"/>
        <w:rPr>
          <w:rFonts w:cs="宋体"/>
          <w:color w:val="auto"/>
          <w:spacing w:val="-5"/>
          <w:sz w:val="21"/>
          <w:szCs w:val="21"/>
          <w:highlight w:val="none"/>
        </w:rPr>
      </w:pPr>
      <w:r>
        <w:rPr>
          <w:rFonts w:hint="eastAsia" w:cs="宋体"/>
          <w:color w:val="auto"/>
          <w:sz w:val="21"/>
          <w:szCs w:val="21"/>
          <w:highlight w:val="none"/>
        </w:rPr>
        <w:t>（或</w:t>
      </w:r>
      <w:r>
        <w:rPr>
          <w:rFonts w:hint="eastAsia" w:cs="宋体"/>
          <w:color w:val="auto"/>
          <w:spacing w:val="-3"/>
          <w:sz w:val="21"/>
          <w:szCs w:val="21"/>
          <w:highlight w:val="none"/>
        </w:rPr>
        <w:t>）承包人提请进行评审的本合同项下的争议进行评审并在规定的期限内给出评审意见， 合同双方在规定的期限内均未对评审意见提出异议时，评审意见对合同双方有最终约束力。</w:t>
      </w:r>
      <w:r>
        <w:rPr>
          <w:rFonts w:hint="eastAsia" w:cs="宋体"/>
          <w:color w:val="auto"/>
          <w:spacing w:val="-7"/>
          <w:sz w:val="21"/>
          <w:szCs w:val="21"/>
          <w:highlight w:val="none"/>
        </w:rPr>
        <w:t>发包人和承包人应当分别与接受聘请的争议评审专家签订聘用协议，就评审的争议范围、评</w:t>
      </w:r>
      <w:r>
        <w:rPr>
          <w:rFonts w:hint="eastAsia" w:cs="宋体"/>
          <w:color w:val="auto"/>
          <w:spacing w:val="-5"/>
          <w:sz w:val="21"/>
          <w:szCs w:val="21"/>
          <w:highlight w:val="none"/>
        </w:rPr>
        <w:t>审意见效力等必要事项做出约定。</w:t>
      </w:r>
    </w:p>
    <w:p>
      <w:pPr>
        <w:pStyle w:val="20"/>
        <w:widowControl w:val="0"/>
        <w:autoSpaceDE w:val="0"/>
        <w:autoSpaceDN w:val="0"/>
        <w:spacing w:before="0" w:beforeAutospacing="0" w:after="0" w:afterAutospacing="0" w:line="268" w:lineRule="exact"/>
        <w:ind w:left="558"/>
        <w:rPr>
          <w:rFonts w:cs="宋体"/>
          <w:color w:val="auto"/>
          <w:sz w:val="15"/>
          <w:szCs w:val="15"/>
          <w:highlight w:val="none"/>
        </w:rPr>
      </w:pPr>
      <w:r>
        <w:rPr>
          <w:rFonts w:hint="eastAsia" w:cs="宋体"/>
          <w:color w:val="auto"/>
          <w:sz w:val="21"/>
          <w:szCs w:val="21"/>
          <w:highlight w:val="none"/>
        </w:rPr>
        <w:t>1.1.8 其他需要补充的内容 其他需要补充的内容见合同条款专用部分。</w:t>
      </w:r>
    </w:p>
    <w:p>
      <w:pPr>
        <w:pStyle w:val="7"/>
        <w:widowControl/>
        <w:ind w:left="138"/>
        <w:rPr>
          <w:rFonts w:ascii="宋体" w:hAnsi="宋体" w:cs="宋体"/>
          <w:color w:val="auto"/>
          <w:sz w:val="24"/>
          <w:szCs w:val="24"/>
          <w:highlight w:val="none"/>
        </w:rPr>
      </w:pPr>
      <w:r>
        <w:rPr>
          <w:rFonts w:hint="eastAsia" w:ascii="宋体" w:hAnsi="宋体" w:cs="宋体"/>
          <w:color w:val="auto"/>
          <w:sz w:val="24"/>
          <w:szCs w:val="24"/>
          <w:highlight w:val="none"/>
        </w:rPr>
        <w:t xml:space="preserve">1.2 语言文字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除专用术语外，合同使用的语言文字为中文。必要时专用术语应附有中文注释。 </w:t>
      </w:r>
    </w:p>
    <w:p>
      <w:pPr>
        <w:pStyle w:val="7"/>
        <w:widowControl/>
        <w:spacing w:before="1"/>
        <w:ind w:left="138"/>
        <w:rPr>
          <w:rFonts w:ascii="宋体" w:hAnsi="宋体" w:cs="宋体"/>
          <w:color w:val="auto"/>
          <w:sz w:val="24"/>
          <w:szCs w:val="24"/>
          <w:highlight w:val="none"/>
        </w:rPr>
      </w:pPr>
      <w:r>
        <w:rPr>
          <w:rFonts w:hint="eastAsia" w:ascii="宋体" w:hAnsi="宋体" w:cs="宋体"/>
          <w:color w:val="auto"/>
          <w:sz w:val="24"/>
          <w:szCs w:val="24"/>
          <w:highlight w:val="none"/>
        </w:rPr>
        <w:t xml:space="preserve">1.3 法 律 </w:t>
      </w:r>
    </w:p>
    <w:p>
      <w:pPr>
        <w:pStyle w:val="20"/>
        <w:widowControl w:val="0"/>
        <w:autoSpaceDE w:val="0"/>
        <w:autoSpaceDN w:val="0"/>
        <w:spacing w:before="7" w:beforeAutospacing="0" w:after="0" w:afterAutospacing="0"/>
        <w:rPr>
          <w:rFonts w:cs="宋体"/>
          <w:color w:val="auto"/>
          <w:sz w:val="21"/>
          <w:szCs w:val="21"/>
          <w:highlight w:val="none"/>
        </w:rPr>
      </w:pPr>
      <w:r>
        <w:rPr>
          <w:rFonts w:hint="eastAsia" w:cs="宋体"/>
          <w:color w:val="auto"/>
          <w:spacing w:val="-7"/>
          <w:sz w:val="21"/>
          <w:szCs w:val="21"/>
          <w:highlight w:val="none"/>
        </w:rPr>
        <w:t>适用于合同的法律包括中华人民共和国法律、行政法规、部门规章，以及工程所在地的</w:t>
      </w:r>
      <w:r>
        <w:rPr>
          <w:rFonts w:hint="eastAsia" w:cs="宋体"/>
          <w:color w:val="auto"/>
          <w:spacing w:val="-5"/>
          <w:sz w:val="21"/>
          <w:szCs w:val="21"/>
          <w:highlight w:val="none"/>
        </w:rPr>
        <w:t>地方法规、自治条例、单行条例和地方政府规章。</w:t>
      </w:r>
    </w:p>
    <w:p>
      <w:pPr>
        <w:pStyle w:val="7"/>
        <w:widowControl/>
        <w:numPr>
          <w:ilvl w:val="1"/>
          <w:numId w:val="17"/>
        </w:numPr>
        <w:spacing w:before="66"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合同文件的优先顺序 </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8"/>
          <w:sz w:val="21"/>
          <w:szCs w:val="21"/>
          <w:highlight w:val="none"/>
        </w:rPr>
        <w:t>组成合同的各项文件应互相解释，互为说明。除合同条款专用部分另有约定外，解释合</w:t>
      </w:r>
      <w:r>
        <w:rPr>
          <w:rFonts w:hint="eastAsia" w:cs="宋体"/>
          <w:color w:val="auto"/>
          <w:spacing w:val="-5"/>
          <w:sz w:val="21"/>
          <w:szCs w:val="21"/>
          <w:highlight w:val="none"/>
        </w:rPr>
        <w:t>同文件的优先顺序如下：</w:t>
      </w:r>
    </w:p>
    <w:p>
      <w:pPr>
        <w:pStyle w:val="20"/>
        <w:widowControl w:val="0"/>
        <w:numPr>
          <w:ilvl w:val="2"/>
          <w:numId w:val="17"/>
        </w:numPr>
        <w:autoSpaceDE w:val="0"/>
        <w:autoSpaceDN w:val="0"/>
        <w:spacing w:before="0" w:beforeAutospacing="0" w:after="0" w:afterAutospacing="0" w:line="269" w:lineRule="exact"/>
        <w:ind w:hanging="530"/>
        <w:rPr>
          <w:rFonts w:cs="宋体"/>
          <w:color w:val="auto"/>
          <w:sz w:val="21"/>
          <w:szCs w:val="21"/>
          <w:highlight w:val="none"/>
        </w:rPr>
      </w:pPr>
      <w:r>
        <w:rPr>
          <w:rFonts w:hint="eastAsia" w:cs="宋体"/>
          <w:color w:val="auto"/>
          <w:spacing w:val="-3"/>
          <w:sz w:val="21"/>
          <w:szCs w:val="21"/>
          <w:highlight w:val="none"/>
        </w:rPr>
        <w:t xml:space="preserve">合同协议书； </w:t>
      </w:r>
    </w:p>
    <w:p>
      <w:pPr>
        <w:pStyle w:val="20"/>
        <w:widowControl w:val="0"/>
        <w:numPr>
          <w:ilvl w:val="2"/>
          <w:numId w:val="17"/>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中标通知书；</w:t>
      </w:r>
    </w:p>
    <w:p>
      <w:pPr>
        <w:pStyle w:val="20"/>
        <w:widowControl w:val="0"/>
        <w:numPr>
          <w:ilvl w:val="2"/>
          <w:numId w:val="17"/>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 xml:space="preserve">投标函及投标函附录； </w:t>
      </w:r>
    </w:p>
    <w:p>
      <w:pPr>
        <w:pStyle w:val="20"/>
        <w:widowControl w:val="0"/>
        <w:numPr>
          <w:ilvl w:val="2"/>
          <w:numId w:val="17"/>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合同条款专用部分；</w:t>
      </w:r>
    </w:p>
    <w:p>
      <w:pPr>
        <w:pStyle w:val="20"/>
        <w:widowControl w:val="0"/>
        <w:numPr>
          <w:ilvl w:val="2"/>
          <w:numId w:val="17"/>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合同条款通用部分；</w:t>
      </w:r>
    </w:p>
    <w:p>
      <w:pPr>
        <w:pStyle w:val="20"/>
        <w:widowControl w:val="0"/>
        <w:numPr>
          <w:ilvl w:val="2"/>
          <w:numId w:val="17"/>
        </w:numPr>
        <w:autoSpaceDE w:val="0"/>
        <w:autoSpaceDN w:val="0"/>
        <w:spacing w:before="1"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技术标准和要求；</w:t>
      </w:r>
    </w:p>
    <w:p>
      <w:pPr>
        <w:pStyle w:val="20"/>
        <w:widowControl w:val="0"/>
        <w:numPr>
          <w:ilvl w:val="2"/>
          <w:numId w:val="17"/>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图纸；</w:t>
      </w:r>
    </w:p>
    <w:p>
      <w:pPr>
        <w:pStyle w:val="20"/>
        <w:widowControl w:val="0"/>
        <w:numPr>
          <w:ilvl w:val="2"/>
          <w:numId w:val="17"/>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已标价工程量清单；</w:t>
      </w:r>
    </w:p>
    <w:p>
      <w:pPr>
        <w:pStyle w:val="20"/>
        <w:widowControl w:val="0"/>
        <w:numPr>
          <w:ilvl w:val="2"/>
          <w:numId w:val="17"/>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其他合同文件。</w:t>
      </w:r>
    </w:p>
    <w:p>
      <w:pPr>
        <w:pStyle w:val="20"/>
        <w:widowControl w:val="0"/>
        <w:autoSpaceDE w:val="0"/>
        <w:autoSpaceDN w:val="0"/>
        <w:spacing w:before="1" w:beforeAutospacing="0" w:after="0" w:afterAutospacing="0" w:line="415" w:lineRule="auto"/>
        <w:ind w:left="138" w:right="308" w:firstLine="419"/>
        <w:rPr>
          <w:rFonts w:cs="宋体"/>
          <w:color w:val="auto"/>
          <w:sz w:val="21"/>
          <w:szCs w:val="21"/>
          <w:highlight w:val="none"/>
        </w:rPr>
      </w:pPr>
      <w:r>
        <w:rPr>
          <w:rFonts w:hint="eastAsia" w:cs="宋体"/>
          <w:color w:val="auto"/>
          <w:spacing w:val="-10"/>
          <w:sz w:val="21"/>
          <w:szCs w:val="21"/>
          <w:highlight w:val="none"/>
        </w:rPr>
        <w:t>附注：构成合同文件的图纸与技术标准和要求之间有矛盾或者不一致的，应以其中要求</w:t>
      </w:r>
      <w:r>
        <w:rPr>
          <w:rFonts w:hint="eastAsia" w:cs="宋体"/>
          <w:color w:val="auto"/>
          <w:spacing w:val="-5"/>
          <w:sz w:val="21"/>
          <w:szCs w:val="21"/>
          <w:highlight w:val="none"/>
        </w:rPr>
        <w:t>较严格的标准为准。</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6"/>
          <w:sz w:val="21"/>
          <w:szCs w:val="21"/>
          <w:highlight w:val="none"/>
        </w:rPr>
        <w:t>合同双方在合同履行过程中签署的不背离合同实质性内容的补充协议，应当视为合同文</w:t>
      </w:r>
      <w:r>
        <w:rPr>
          <w:rFonts w:hint="eastAsia" w:cs="宋体"/>
          <w:color w:val="auto"/>
          <w:spacing w:val="-4"/>
          <w:sz w:val="21"/>
          <w:szCs w:val="21"/>
          <w:highlight w:val="none"/>
        </w:rPr>
        <w:t xml:space="preserve">件的有效组成部分，其解释顺序视其内容与其他合同文件的相互关系而定。 </w:t>
      </w:r>
    </w:p>
    <w:p>
      <w:pPr>
        <w:pStyle w:val="7"/>
        <w:widowControl/>
        <w:numPr>
          <w:ilvl w:val="1"/>
          <w:numId w:val="17"/>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合同协议书 </w:t>
      </w:r>
    </w:p>
    <w:p>
      <w:pPr>
        <w:pStyle w:val="20"/>
        <w:widowControl w:val="0"/>
        <w:autoSpaceDE w:val="0"/>
        <w:autoSpaceDN w:val="0"/>
        <w:spacing w:before="1" w:beforeAutospacing="0" w:after="0" w:afterAutospacing="0" w:line="415" w:lineRule="auto"/>
        <w:ind w:left="138" w:right="308" w:firstLine="419"/>
        <w:rPr>
          <w:rFonts w:cs="宋体"/>
          <w:color w:val="auto"/>
          <w:sz w:val="21"/>
          <w:szCs w:val="21"/>
          <w:highlight w:val="none"/>
        </w:rPr>
      </w:pPr>
      <w:r>
        <w:rPr>
          <w:rFonts w:hint="eastAsia" w:cs="宋体"/>
          <w:color w:val="auto"/>
          <w:spacing w:val="-7"/>
          <w:sz w:val="21"/>
          <w:szCs w:val="21"/>
          <w:highlight w:val="none"/>
        </w:rPr>
        <w:t>指由发包人与承包人共同签署的用于明确当事人合同关系的文件。承包人按照中标通知</w:t>
      </w:r>
      <w:r>
        <w:rPr>
          <w:rFonts w:hint="eastAsia" w:cs="宋体"/>
          <w:color w:val="auto"/>
          <w:spacing w:val="-5"/>
          <w:sz w:val="21"/>
          <w:szCs w:val="21"/>
          <w:highlight w:val="none"/>
        </w:rPr>
        <w:t>书规定的时间与发包人签订的合同协议书，除法律另有规定或合同条款专用部分另有约定</w:t>
      </w:r>
      <w:r>
        <w:rPr>
          <w:rFonts w:hint="eastAsia" w:cs="宋体"/>
          <w:color w:val="auto"/>
          <w:spacing w:val="-10"/>
          <w:sz w:val="21"/>
          <w:szCs w:val="21"/>
          <w:highlight w:val="none"/>
        </w:rPr>
        <w:t>外，发包人和承包人的法定代表人或其授权委托人在合同协议书上签字并盖单位章后，合同</w:t>
      </w:r>
      <w:r>
        <w:rPr>
          <w:rFonts w:hint="eastAsia" w:cs="宋体"/>
          <w:color w:val="auto"/>
          <w:spacing w:val="-5"/>
          <w:sz w:val="21"/>
          <w:szCs w:val="21"/>
          <w:highlight w:val="none"/>
        </w:rPr>
        <w:t>生效。合同生效的条件见合同条款专用部分。</w:t>
      </w:r>
    </w:p>
    <w:p>
      <w:pPr>
        <w:pStyle w:val="7"/>
        <w:widowControl/>
        <w:numPr>
          <w:ilvl w:val="1"/>
          <w:numId w:val="17"/>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图纸和承包人文件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1.6.1 图纸的提供 </w:t>
      </w:r>
    </w:p>
    <w:p>
      <w:pPr>
        <w:pStyle w:val="20"/>
        <w:widowControl w:val="0"/>
        <w:autoSpaceDE w:val="0"/>
        <w:autoSpaceDN w:val="0"/>
        <w:spacing w:before="0" w:beforeAutospacing="0" w:after="0" w:afterAutospacing="0" w:line="415" w:lineRule="auto"/>
        <w:ind w:left="557" w:right="203" w:firstLine="419"/>
        <w:rPr>
          <w:rFonts w:cs="宋体"/>
          <w:color w:val="auto"/>
          <w:sz w:val="21"/>
          <w:szCs w:val="21"/>
          <w:highlight w:val="none"/>
        </w:rPr>
      </w:pPr>
      <w:r>
        <w:rPr>
          <w:rFonts w:hint="eastAsia" w:cs="宋体"/>
          <w:color w:val="auto"/>
          <w:spacing w:val="-6"/>
          <w:sz w:val="21"/>
          <w:szCs w:val="21"/>
          <w:highlight w:val="none"/>
        </w:rPr>
        <w:t xml:space="preserve">（1）发包人按照合同约定向承包人提供图纸。发包人未按时提供图纸造成工期延误的 </w:t>
      </w:r>
      <w:r>
        <w:rPr>
          <w:rFonts w:hint="eastAsia" w:cs="宋体"/>
          <w:color w:val="auto"/>
          <w:spacing w:val="-16"/>
          <w:sz w:val="21"/>
          <w:szCs w:val="21"/>
          <w:highlight w:val="none"/>
        </w:rPr>
        <w:t xml:space="preserve">，按第 </w:t>
      </w:r>
      <w:r>
        <w:rPr>
          <w:rFonts w:hint="eastAsia" w:cs="宋体"/>
          <w:color w:val="auto"/>
          <w:sz w:val="21"/>
          <w:szCs w:val="21"/>
          <w:highlight w:val="none"/>
        </w:rPr>
        <w:t>11.3</w:t>
      </w:r>
      <w:r>
        <w:rPr>
          <w:rFonts w:hint="eastAsia" w:cs="宋体"/>
          <w:color w:val="auto"/>
          <w:spacing w:val="-8"/>
          <w:sz w:val="21"/>
          <w:szCs w:val="21"/>
          <w:highlight w:val="none"/>
        </w:rPr>
        <w:t xml:space="preserve"> 款的约定办理。承包人需要增加图纸套数的，发包人应代为复制，复制费用由</w:t>
      </w:r>
      <w:r>
        <w:rPr>
          <w:rFonts w:hint="eastAsia" w:cs="宋体"/>
          <w:color w:val="auto"/>
          <w:spacing w:val="-2"/>
          <w:sz w:val="21"/>
          <w:szCs w:val="21"/>
          <w:highlight w:val="none"/>
        </w:rPr>
        <w:t>承包人承担。</w:t>
      </w:r>
    </w:p>
    <w:p>
      <w:pPr>
        <w:pStyle w:val="20"/>
        <w:widowControl w:val="0"/>
        <w:autoSpaceDE w:val="0"/>
        <w:autoSpaceDN w:val="0"/>
        <w:spacing w:before="0" w:beforeAutospacing="0" w:after="0" w:afterAutospacing="0"/>
        <w:ind w:left="557" w:firstLine="419"/>
        <w:rPr>
          <w:rFonts w:cs="宋体"/>
          <w:color w:val="auto"/>
          <w:sz w:val="15"/>
          <w:szCs w:val="15"/>
          <w:highlight w:val="none"/>
        </w:rPr>
      </w:pPr>
      <w:r>
        <w:rPr>
          <w:rFonts w:hint="eastAsia" w:cs="宋体"/>
          <w:color w:val="auto"/>
          <w:spacing w:val="-7"/>
          <w:sz w:val="21"/>
          <w:szCs w:val="21"/>
          <w:highlight w:val="none"/>
        </w:rPr>
        <w:t xml:space="preserve">（2）依据合同条款专用部分第 </w:t>
      </w:r>
      <w:r>
        <w:rPr>
          <w:rFonts w:hint="eastAsia" w:cs="宋体"/>
          <w:color w:val="auto"/>
          <w:sz w:val="21"/>
          <w:szCs w:val="21"/>
          <w:highlight w:val="none"/>
        </w:rPr>
        <w:t>10.1</w:t>
      </w:r>
      <w:r>
        <w:rPr>
          <w:rFonts w:hint="eastAsia" w:cs="宋体"/>
          <w:color w:val="auto"/>
          <w:spacing w:val="-11"/>
          <w:sz w:val="21"/>
          <w:szCs w:val="21"/>
          <w:highlight w:val="none"/>
        </w:rPr>
        <w:t xml:space="preserve"> 款约定制定的合同进度计划，或依据合同条款专用</w:t>
      </w:r>
    </w:p>
    <w:p>
      <w:pPr>
        <w:pStyle w:val="20"/>
        <w:widowControl w:val="0"/>
        <w:autoSpaceDE w:val="0"/>
        <w:autoSpaceDN w:val="0"/>
        <w:spacing w:before="0" w:beforeAutospacing="0" w:after="0" w:afterAutospacing="0"/>
        <w:ind w:left="138"/>
        <w:rPr>
          <w:rFonts w:cs="宋体"/>
          <w:color w:val="auto"/>
          <w:sz w:val="23"/>
          <w:szCs w:val="23"/>
          <w:highlight w:val="none"/>
        </w:rPr>
      </w:pPr>
      <w:r>
        <w:rPr>
          <w:rFonts w:hint="eastAsia" w:cs="宋体"/>
          <w:color w:val="auto"/>
          <w:sz w:val="21"/>
          <w:szCs w:val="21"/>
          <w:highlight w:val="none"/>
        </w:rPr>
        <w:t>部分第 10.2 款约定修订的合同进度计划，经监理人批准后 7 日内，承包人应当根据合同进</w:t>
      </w:r>
      <w:r>
        <w:rPr>
          <w:rFonts w:hint="eastAsia" w:cs="宋体"/>
          <w:color w:val="auto"/>
          <w:spacing w:val="-7"/>
          <w:sz w:val="21"/>
          <w:szCs w:val="21"/>
          <w:highlight w:val="none"/>
        </w:rPr>
        <w:t>度计划或合同进度计划修订和本项约定的图纸提供期限和数量，编制或者修改图纸供应计划</w:t>
      </w:r>
      <w:r>
        <w:rPr>
          <w:rFonts w:hint="eastAsia" w:cs="宋体"/>
          <w:color w:val="auto"/>
          <w:spacing w:val="-13"/>
          <w:sz w:val="21"/>
          <w:szCs w:val="21"/>
          <w:highlight w:val="none"/>
        </w:rPr>
        <w:t xml:space="preserve">并报送监理人，其中应当载明承包人对各最新版本图纸(包括第 </w:t>
      </w:r>
      <w:r>
        <w:rPr>
          <w:rFonts w:hint="eastAsia" w:cs="宋体"/>
          <w:color w:val="auto"/>
          <w:sz w:val="21"/>
          <w:szCs w:val="21"/>
          <w:highlight w:val="none"/>
        </w:rPr>
        <w:t>1.6.3</w:t>
      </w:r>
      <w:r>
        <w:rPr>
          <w:rFonts w:hint="eastAsia" w:cs="宋体"/>
          <w:color w:val="auto"/>
          <w:spacing w:val="-8"/>
          <w:sz w:val="21"/>
          <w:szCs w:val="21"/>
          <w:highlight w:val="none"/>
        </w:rPr>
        <w:t xml:space="preserve"> 项约定的图纸修改图)</w:t>
      </w:r>
    </w:p>
    <w:p>
      <w:pPr>
        <w:pStyle w:val="20"/>
        <w:widowControl w:val="0"/>
        <w:autoSpaceDE w:val="0"/>
        <w:autoSpaceDN w:val="0"/>
        <w:spacing w:before="0" w:beforeAutospacing="0" w:after="0" w:afterAutospacing="0" w:line="415" w:lineRule="auto"/>
        <w:ind w:left="138" w:right="308"/>
        <w:jc w:val="both"/>
        <w:rPr>
          <w:rFonts w:cs="宋体"/>
          <w:color w:val="auto"/>
          <w:sz w:val="21"/>
          <w:szCs w:val="21"/>
          <w:highlight w:val="none"/>
        </w:rPr>
      </w:pPr>
      <w:r>
        <w:rPr>
          <w:rFonts w:hint="eastAsia" w:cs="宋体"/>
          <w:color w:val="auto"/>
          <w:spacing w:val="-10"/>
          <w:sz w:val="21"/>
          <w:szCs w:val="21"/>
          <w:highlight w:val="none"/>
        </w:rPr>
        <w:t xml:space="preserve">的最迟需求时间，监理人应当在收到图纸供应计划后 </w:t>
      </w:r>
      <w:r>
        <w:rPr>
          <w:rFonts w:hint="eastAsia" w:cs="宋体"/>
          <w:color w:val="auto"/>
          <w:sz w:val="21"/>
          <w:szCs w:val="21"/>
          <w:highlight w:val="none"/>
        </w:rPr>
        <w:t>7</w:t>
      </w:r>
      <w:r>
        <w:rPr>
          <w:rFonts w:hint="eastAsia" w:cs="宋体"/>
          <w:color w:val="auto"/>
          <w:spacing w:val="-10"/>
          <w:sz w:val="21"/>
          <w:szCs w:val="21"/>
          <w:highlight w:val="none"/>
        </w:rPr>
        <w:t xml:space="preserve"> 天内批复或提出修改意见，否则该图</w:t>
      </w:r>
      <w:r>
        <w:rPr>
          <w:rFonts w:hint="eastAsia" w:cs="宋体"/>
          <w:color w:val="auto"/>
          <w:spacing w:val="-5"/>
          <w:sz w:val="21"/>
          <w:szCs w:val="21"/>
          <w:highlight w:val="none"/>
        </w:rPr>
        <w:t xml:space="preserve">纸供应计划视为得到批准。 </w:t>
      </w:r>
    </w:p>
    <w:p>
      <w:pPr>
        <w:pStyle w:val="20"/>
        <w:widowControl w:val="0"/>
        <w:autoSpaceDE w:val="0"/>
        <w:autoSpaceDN w:val="0"/>
        <w:spacing w:before="0" w:beforeAutospacing="0" w:after="0" w:afterAutospacing="0" w:line="415" w:lineRule="auto"/>
        <w:ind w:left="557" w:right="309" w:firstLine="419"/>
        <w:jc w:val="both"/>
        <w:rPr>
          <w:rFonts w:cs="宋体"/>
          <w:color w:val="auto"/>
          <w:sz w:val="21"/>
          <w:szCs w:val="21"/>
          <w:highlight w:val="none"/>
        </w:rPr>
      </w:pPr>
      <w:r>
        <w:rPr>
          <w:rFonts w:hint="eastAsia" w:cs="宋体"/>
          <w:color w:val="auto"/>
          <w:spacing w:val="-3"/>
          <w:sz w:val="21"/>
          <w:szCs w:val="21"/>
          <w:highlight w:val="none"/>
        </w:rPr>
        <w:t>（3）经监理人批准最新的图纸供应计划对合同双方有合同约束力，应当作为发包人或</w:t>
      </w:r>
      <w:r>
        <w:rPr>
          <w:rFonts w:hint="eastAsia" w:cs="宋体"/>
          <w:color w:val="auto"/>
          <w:spacing w:val="-8"/>
          <w:sz w:val="21"/>
          <w:szCs w:val="21"/>
          <w:highlight w:val="none"/>
        </w:rPr>
        <w:t>者监理人向承包人提供图纸的主要依据。发包人或者监理人不按照图纸供应计划提供图纸而</w:t>
      </w:r>
      <w:r>
        <w:rPr>
          <w:rFonts w:hint="eastAsia" w:cs="宋体"/>
          <w:color w:val="auto"/>
          <w:spacing w:val="-5"/>
          <w:sz w:val="21"/>
          <w:szCs w:val="21"/>
          <w:highlight w:val="none"/>
        </w:rPr>
        <w:t>导致承包人费用增加和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3"/>
          <w:sz w:val="21"/>
          <w:szCs w:val="21"/>
          <w:highlight w:val="none"/>
        </w:rPr>
        <w:t>工期延误的，由发包人承担赔偿责任。</w:t>
      </w:r>
    </w:p>
    <w:p>
      <w:pPr>
        <w:pStyle w:val="20"/>
        <w:widowControl w:val="0"/>
        <w:autoSpaceDE w:val="0"/>
        <w:autoSpaceDN w:val="0"/>
        <w:spacing w:before="0" w:beforeAutospacing="0" w:after="0" w:afterAutospacing="0" w:line="415" w:lineRule="auto"/>
        <w:ind w:left="557" w:right="308" w:firstLine="419"/>
        <w:rPr>
          <w:rFonts w:cs="宋体"/>
          <w:color w:val="auto"/>
          <w:sz w:val="21"/>
          <w:szCs w:val="21"/>
          <w:highlight w:val="none"/>
        </w:rPr>
      </w:pPr>
      <w:r>
        <w:rPr>
          <w:rFonts w:hint="eastAsia" w:cs="宋体"/>
          <w:color w:val="auto"/>
          <w:spacing w:val="-3"/>
          <w:sz w:val="21"/>
          <w:szCs w:val="21"/>
          <w:highlight w:val="none"/>
        </w:rPr>
        <w:t>（4）承包人未按照约定的时间向监理人提交图纸供应计划,致使发包人或者监理人未能在约定的时间内提供相应图纸或者承包人未按照图纸供应计划组织施工所造成的费用增</w:t>
      </w:r>
      <w:r>
        <w:rPr>
          <w:rFonts w:hint="eastAsia" w:cs="宋体"/>
          <w:color w:val="auto"/>
          <w:sz w:val="21"/>
          <w:szCs w:val="21"/>
          <w:highlight w:val="none"/>
        </w:rPr>
        <w:t>加和（</w:t>
      </w:r>
      <w:r>
        <w:rPr>
          <w:rFonts w:hint="eastAsia" w:cs="宋体"/>
          <w:color w:val="auto"/>
          <w:spacing w:val="-3"/>
          <w:sz w:val="21"/>
          <w:szCs w:val="21"/>
          <w:highlight w:val="none"/>
        </w:rPr>
        <w:t>或</w:t>
      </w:r>
      <w:r>
        <w:rPr>
          <w:rFonts w:hint="eastAsia" w:cs="宋体"/>
          <w:color w:val="auto"/>
          <w:sz w:val="21"/>
          <w:szCs w:val="21"/>
          <w:highlight w:val="none"/>
        </w:rPr>
        <w:t>）</w:t>
      </w:r>
      <w:r>
        <w:rPr>
          <w:rFonts w:hint="eastAsia" w:cs="宋体"/>
          <w:color w:val="auto"/>
          <w:spacing w:val="-3"/>
          <w:sz w:val="21"/>
          <w:szCs w:val="21"/>
          <w:highlight w:val="none"/>
        </w:rPr>
        <w:t>工期延误由承包人承担。</w:t>
      </w:r>
    </w:p>
    <w:p>
      <w:pPr>
        <w:pStyle w:val="20"/>
        <w:widowControl w:val="0"/>
        <w:autoSpaceDE w:val="0"/>
        <w:autoSpaceDN w:val="0"/>
        <w:spacing w:before="0" w:beforeAutospacing="0" w:after="0" w:afterAutospacing="0" w:line="415" w:lineRule="auto"/>
        <w:ind w:left="558" w:right="1693" w:firstLine="419"/>
        <w:rPr>
          <w:rFonts w:cs="宋体"/>
          <w:color w:val="auto"/>
          <w:sz w:val="21"/>
          <w:szCs w:val="21"/>
          <w:highlight w:val="none"/>
        </w:rPr>
      </w:pPr>
      <w:r>
        <w:rPr>
          <w:rFonts w:hint="eastAsia" w:cs="宋体"/>
          <w:color w:val="auto"/>
          <w:spacing w:val="-3"/>
          <w:sz w:val="21"/>
          <w:szCs w:val="21"/>
          <w:highlight w:val="none"/>
        </w:rPr>
        <w:t>（5）发包人提供图纸的期限、数量和其他约定见合同条款专用部分。1.6.2</w:t>
      </w:r>
      <w:r>
        <w:rPr>
          <w:rFonts w:hint="eastAsia" w:cs="宋体"/>
          <w:color w:val="auto"/>
          <w:spacing w:val="8"/>
          <w:sz w:val="21"/>
          <w:szCs w:val="21"/>
          <w:highlight w:val="none"/>
        </w:rPr>
        <w:t xml:space="preserve"> 承包人提供的文件</w:t>
      </w:r>
    </w:p>
    <w:p>
      <w:pPr>
        <w:pStyle w:val="20"/>
        <w:widowControl w:val="0"/>
        <w:autoSpaceDE w:val="0"/>
        <w:autoSpaceDN w:val="0"/>
        <w:spacing w:before="0" w:beforeAutospacing="0" w:after="0" w:afterAutospacing="0" w:line="415" w:lineRule="auto"/>
        <w:ind w:left="557" w:right="222" w:firstLine="419"/>
        <w:rPr>
          <w:rFonts w:cs="宋体"/>
          <w:color w:val="auto"/>
          <w:sz w:val="21"/>
          <w:szCs w:val="21"/>
          <w:highlight w:val="none"/>
        </w:rPr>
      </w:pPr>
      <w:r>
        <w:rPr>
          <w:rFonts w:hint="eastAsia" w:cs="宋体"/>
          <w:color w:val="auto"/>
          <w:spacing w:val="-3"/>
          <w:sz w:val="21"/>
          <w:szCs w:val="21"/>
          <w:highlight w:val="none"/>
        </w:rPr>
        <w:t>（6）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p>
    <w:p>
      <w:pPr>
        <w:pStyle w:val="20"/>
        <w:widowControl w:val="0"/>
        <w:autoSpaceDE w:val="0"/>
        <w:autoSpaceDN w:val="0"/>
        <w:spacing w:before="0" w:beforeAutospacing="0" w:after="0" w:afterAutospacing="0" w:line="415" w:lineRule="auto"/>
        <w:ind w:left="557" w:right="208" w:firstLine="419"/>
        <w:rPr>
          <w:rFonts w:cs="宋体"/>
          <w:color w:val="auto"/>
          <w:sz w:val="21"/>
          <w:szCs w:val="21"/>
          <w:highlight w:val="none"/>
        </w:rPr>
      </w:pPr>
      <w:r>
        <w:rPr>
          <w:rFonts w:hint="eastAsia" w:cs="宋体"/>
          <w:color w:val="auto"/>
          <w:spacing w:val="-9"/>
          <w:sz w:val="21"/>
          <w:szCs w:val="21"/>
          <w:highlight w:val="none"/>
        </w:rPr>
        <w:t xml:space="preserve">（7）除合同条款第 </w:t>
      </w:r>
      <w:r>
        <w:rPr>
          <w:rFonts w:hint="eastAsia" w:cs="宋体"/>
          <w:color w:val="auto"/>
          <w:sz w:val="21"/>
          <w:szCs w:val="21"/>
          <w:highlight w:val="none"/>
        </w:rPr>
        <w:t>4.1.10</w:t>
      </w:r>
      <w:r>
        <w:rPr>
          <w:rFonts w:hint="eastAsia" w:cs="宋体"/>
          <w:color w:val="auto"/>
          <w:spacing w:val="-10"/>
          <w:sz w:val="21"/>
          <w:szCs w:val="21"/>
          <w:highlight w:val="none"/>
        </w:rPr>
        <w:t xml:space="preserve"> 项约定的由承包人提供的设计文件外，本项约定的其他应由</w:t>
      </w:r>
      <w:r>
        <w:rPr>
          <w:rFonts w:hint="eastAsia" w:cs="宋体"/>
          <w:color w:val="auto"/>
          <w:spacing w:val="-8"/>
          <w:sz w:val="21"/>
          <w:szCs w:val="21"/>
          <w:highlight w:val="none"/>
        </w:rPr>
        <w:t>承包人提供的文件，包括必要的加工图和大样图，均不能作为合同计量与支付的依据文件。</w:t>
      </w:r>
    </w:p>
    <w:p>
      <w:pPr>
        <w:pStyle w:val="20"/>
        <w:widowControl w:val="0"/>
        <w:numPr>
          <w:ilvl w:val="2"/>
          <w:numId w:val="18"/>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 xml:space="preserve">图纸的修改 </w:t>
      </w:r>
    </w:p>
    <w:p>
      <w:pPr>
        <w:pStyle w:val="20"/>
        <w:widowControl w:val="0"/>
        <w:autoSpaceDE w:val="0"/>
        <w:autoSpaceDN w:val="0"/>
        <w:spacing w:before="0" w:beforeAutospacing="0" w:after="0" w:afterAutospacing="0" w:line="415" w:lineRule="auto"/>
        <w:ind w:left="138" w:right="318" w:firstLine="419"/>
        <w:rPr>
          <w:rFonts w:cs="宋体"/>
          <w:color w:val="auto"/>
          <w:sz w:val="21"/>
          <w:szCs w:val="21"/>
          <w:highlight w:val="none"/>
        </w:rPr>
      </w:pPr>
      <w:r>
        <w:rPr>
          <w:rFonts w:hint="eastAsia" w:cs="宋体"/>
          <w:color w:val="auto"/>
          <w:sz w:val="21"/>
          <w:szCs w:val="21"/>
          <w:highlight w:val="none"/>
        </w:rPr>
        <w:t xml:space="preserve">图纸需要修改和补充的，监理人应当按照合同条款第 1.6.1（2）目约定的有合同约束力的图纸供应计划，签发图纸修改图给承包人。承包人应按修改后的图纸施工。 </w:t>
      </w:r>
    </w:p>
    <w:p>
      <w:pPr>
        <w:pStyle w:val="20"/>
        <w:widowControl w:val="0"/>
        <w:numPr>
          <w:ilvl w:val="2"/>
          <w:numId w:val="18"/>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 xml:space="preserve">图纸的错误 </w:t>
      </w:r>
    </w:p>
    <w:p>
      <w:pPr>
        <w:pStyle w:val="20"/>
        <w:widowControl w:val="0"/>
        <w:autoSpaceDE w:val="0"/>
        <w:autoSpaceDN w:val="0"/>
        <w:spacing w:before="1" w:beforeAutospacing="0" w:after="0" w:afterAutospacing="0" w:line="415" w:lineRule="auto"/>
        <w:ind w:left="558" w:right="1376"/>
        <w:rPr>
          <w:rFonts w:hint="eastAsia" w:cs="宋体"/>
          <w:color w:val="auto"/>
          <w:sz w:val="21"/>
          <w:szCs w:val="21"/>
          <w:highlight w:val="none"/>
        </w:rPr>
      </w:pPr>
      <w:r>
        <w:rPr>
          <w:rFonts w:hint="eastAsia" w:cs="宋体"/>
          <w:color w:val="auto"/>
          <w:sz w:val="21"/>
          <w:szCs w:val="21"/>
          <w:highlight w:val="none"/>
        </w:rPr>
        <w:t>承包人发现发包人提供的图纸存在明显错误或疏忽，应及时通知监人。</w:t>
      </w:r>
    </w:p>
    <w:p>
      <w:pPr>
        <w:pStyle w:val="20"/>
        <w:widowControl w:val="0"/>
        <w:autoSpaceDE w:val="0"/>
        <w:autoSpaceDN w:val="0"/>
        <w:spacing w:before="1" w:beforeAutospacing="0" w:after="0" w:afterAutospacing="0" w:line="415" w:lineRule="auto"/>
        <w:ind w:left="558" w:right="1376"/>
        <w:rPr>
          <w:rFonts w:cs="宋体"/>
          <w:color w:val="auto"/>
          <w:sz w:val="21"/>
          <w:szCs w:val="21"/>
          <w:highlight w:val="none"/>
        </w:rPr>
      </w:pPr>
      <w:r>
        <w:rPr>
          <w:rFonts w:hint="eastAsia" w:cs="宋体"/>
          <w:color w:val="auto"/>
          <w:sz w:val="21"/>
          <w:szCs w:val="21"/>
          <w:highlight w:val="none"/>
        </w:rPr>
        <w:t xml:space="preserve">1.6.5 图纸和承包人文件的保管 </w:t>
      </w:r>
    </w:p>
    <w:p>
      <w:pPr>
        <w:pStyle w:val="20"/>
        <w:widowControl w:val="0"/>
        <w:autoSpaceDE w:val="0"/>
        <w:autoSpaceDN w:val="0"/>
        <w:spacing w:before="0" w:beforeAutospacing="0" w:after="0" w:afterAutospacing="0" w:line="269" w:lineRule="exact"/>
        <w:ind w:firstLine="420" w:firstLineChars="200"/>
        <w:rPr>
          <w:rFonts w:cs="宋体"/>
          <w:color w:val="auto"/>
          <w:sz w:val="21"/>
          <w:szCs w:val="21"/>
          <w:highlight w:val="none"/>
        </w:rPr>
      </w:pPr>
      <w:r>
        <w:rPr>
          <w:rFonts w:hint="eastAsia" w:cs="宋体"/>
          <w:color w:val="auto"/>
          <w:sz w:val="21"/>
          <w:szCs w:val="21"/>
          <w:highlight w:val="none"/>
        </w:rPr>
        <w:t>监理人和承包人均应在施工场地各保存一套完整的包含第 1.6.1 项、第 1.6.2 项、第</w:t>
      </w:r>
    </w:p>
    <w:p>
      <w:pPr>
        <w:pStyle w:val="20"/>
        <w:widowControl w:val="0"/>
        <w:autoSpaceDE w:val="0"/>
        <w:autoSpaceDN w:val="0"/>
        <w:spacing w:before="0" w:beforeAutospacing="0" w:after="0" w:afterAutospacing="0"/>
        <w:ind w:left="138"/>
        <w:rPr>
          <w:rFonts w:cs="宋体"/>
          <w:color w:val="auto"/>
          <w:sz w:val="21"/>
          <w:szCs w:val="21"/>
          <w:highlight w:val="none"/>
        </w:rPr>
      </w:pPr>
      <w:r>
        <w:rPr>
          <w:rFonts w:hint="eastAsia" w:cs="宋体"/>
          <w:color w:val="auto"/>
          <w:sz w:val="21"/>
          <w:szCs w:val="21"/>
          <w:highlight w:val="none"/>
        </w:rPr>
        <w:t xml:space="preserve">1.6.3 项约定内容的图纸和承包人文件。 </w:t>
      </w:r>
    </w:p>
    <w:p>
      <w:pPr>
        <w:pStyle w:val="7"/>
        <w:widowControl/>
        <w:ind w:left="138"/>
        <w:rPr>
          <w:rFonts w:ascii="宋体" w:hAnsi="宋体" w:cs="宋体"/>
          <w:color w:val="auto"/>
          <w:sz w:val="26"/>
          <w:szCs w:val="26"/>
          <w:highlight w:val="none"/>
        </w:rPr>
      </w:pPr>
      <w:r>
        <w:rPr>
          <w:rFonts w:hint="eastAsia" w:ascii="宋体" w:hAnsi="宋体" w:cs="宋体"/>
          <w:color w:val="auto"/>
          <w:sz w:val="24"/>
          <w:szCs w:val="24"/>
          <w:highlight w:val="none"/>
        </w:rPr>
        <w:t xml:space="preserve">1.7 联 络 </w:t>
      </w:r>
    </w:p>
    <w:p>
      <w:pPr>
        <w:pStyle w:val="20"/>
        <w:widowControl w:val="0"/>
        <w:numPr>
          <w:ilvl w:val="2"/>
          <w:numId w:val="19"/>
        </w:numPr>
        <w:autoSpaceDE w:val="0"/>
        <w:autoSpaceDN w:val="0"/>
        <w:spacing w:before="1" w:beforeAutospacing="0" w:after="0" w:afterAutospacing="0" w:line="415" w:lineRule="auto"/>
        <w:ind w:right="325" w:firstLine="419"/>
        <w:rPr>
          <w:rFonts w:cs="宋体"/>
          <w:color w:val="auto"/>
          <w:sz w:val="21"/>
          <w:szCs w:val="21"/>
          <w:highlight w:val="none"/>
        </w:rPr>
      </w:pPr>
      <w:r>
        <w:rPr>
          <w:rFonts w:hint="eastAsia" w:cs="宋体"/>
          <w:color w:val="auto"/>
          <w:spacing w:val="-3"/>
          <w:sz w:val="21"/>
          <w:szCs w:val="21"/>
          <w:highlight w:val="none"/>
        </w:rPr>
        <w:t>与合同有关的通知、批准、证明、证书、指示、要求、请求、同意、意见、确定和决定等，均应采用书面形式。</w:t>
      </w:r>
    </w:p>
    <w:p>
      <w:pPr>
        <w:pStyle w:val="20"/>
        <w:widowControl w:val="0"/>
        <w:numPr>
          <w:ilvl w:val="2"/>
          <w:numId w:val="19"/>
        </w:numPr>
        <w:autoSpaceDE w:val="0"/>
        <w:autoSpaceDN w:val="0"/>
        <w:spacing w:before="0" w:beforeAutospacing="0" w:after="0" w:afterAutospacing="0"/>
        <w:ind w:left="1087"/>
        <w:rPr>
          <w:rFonts w:cs="宋体"/>
          <w:color w:val="auto"/>
          <w:sz w:val="21"/>
          <w:szCs w:val="21"/>
          <w:highlight w:val="none"/>
        </w:rPr>
      </w:pPr>
      <w:r>
        <w:rPr>
          <w:rFonts w:hint="eastAsia" w:cs="宋体"/>
          <w:color w:val="auto"/>
          <w:spacing w:val="-27"/>
          <w:sz w:val="21"/>
          <w:szCs w:val="21"/>
          <w:highlight w:val="none"/>
        </w:rPr>
        <w:t xml:space="preserve">第 </w:t>
      </w:r>
      <w:r>
        <w:rPr>
          <w:rFonts w:hint="eastAsia" w:cs="宋体"/>
          <w:color w:val="auto"/>
          <w:sz w:val="21"/>
          <w:szCs w:val="21"/>
          <w:highlight w:val="none"/>
        </w:rPr>
        <w:t>1.7.1</w:t>
      </w:r>
      <w:r>
        <w:rPr>
          <w:rFonts w:hint="eastAsia" w:cs="宋体"/>
          <w:color w:val="auto"/>
          <w:spacing w:val="-9"/>
          <w:sz w:val="21"/>
          <w:szCs w:val="21"/>
          <w:highlight w:val="none"/>
        </w:rPr>
        <w:t xml:space="preserve"> 项中的通知、批准、证明、证书、指示、要求、请求、同意、意见、</w:t>
      </w:r>
      <w:r>
        <w:rPr>
          <w:rFonts w:hint="eastAsia" w:cs="宋体"/>
          <w:color w:val="auto"/>
          <w:sz w:val="21"/>
          <w:szCs w:val="21"/>
          <w:highlight w:val="none"/>
        </w:rPr>
        <w:t>确定和</w:t>
      </w:r>
    </w:p>
    <w:p>
      <w:pPr>
        <w:pStyle w:val="20"/>
        <w:widowControl w:val="0"/>
        <w:numPr>
          <w:ilvl w:val="0"/>
          <w:numId w:val="0"/>
        </w:numPr>
        <w:autoSpaceDE w:val="0"/>
        <w:autoSpaceDN w:val="0"/>
        <w:spacing w:before="0" w:beforeAutospacing="0" w:after="0" w:afterAutospacing="0"/>
        <w:rPr>
          <w:rFonts w:cs="宋体"/>
          <w:color w:val="auto"/>
          <w:sz w:val="21"/>
          <w:szCs w:val="21"/>
          <w:highlight w:val="none"/>
        </w:rPr>
      </w:pPr>
      <w:r>
        <w:rPr>
          <w:rFonts w:hint="eastAsia" w:cs="宋体"/>
          <w:color w:val="auto"/>
          <w:sz w:val="21"/>
          <w:szCs w:val="21"/>
          <w:highlight w:val="none"/>
        </w:rPr>
        <w:t xml:space="preserve">决定等来往函件，均应在合同约定的期限内送达指定地点和接收人，并办理签收手续。 </w:t>
      </w:r>
    </w:p>
    <w:p>
      <w:pPr>
        <w:pStyle w:val="20"/>
        <w:widowControl w:val="0"/>
        <w:numPr>
          <w:ilvl w:val="0"/>
          <w:numId w:val="20"/>
        </w:numPr>
        <w:autoSpaceDE w:val="0"/>
        <w:autoSpaceDN w:val="0"/>
        <w:spacing w:before="0" w:beforeAutospacing="0" w:after="0" w:afterAutospacing="0" w:line="415" w:lineRule="auto"/>
        <w:ind w:right="325" w:firstLine="419"/>
        <w:jc w:val="both"/>
        <w:rPr>
          <w:rFonts w:cs="宋体"/>
          <w:color w:val="auto"/>
          <w:sz w:val="21"/>
          <w:szCs w:val="21"/>
          <w:highlight w:val="none"/>
        </w:rPr>
      </w:pPr>
      <w:r>
        <w:rPr>
          <w:rFonts w:hint="eastAsia" w:cs="宋体"/>
          <w:color w:val="auto"/>
          <w:spacing w:val="-3"/>
          <w:sz w:val="21"/>
          <w:szCs w:val="21"/>
          <w:highlight w:val="none"/>
        </w:rPr>
        <w:t>联络来往信函的送达期限：合同约定了发出期限的，送达期限为合同约定的发出</w:t>
      </w:r>
      <w:r>
        <w:rPr>
          <w:rFonts w:hint="eastAsia" w:cs="宋体"/>
          <w:color w:val="auto"/>
          <w:spacing w:val="-10"/>
          <w:sz w:val="21"/>
          <w:szCs w:val="21"/>
          <w:highlight w:val="none"/>
        </w:rPr>
        <w:t xml:space="preserve">期限后的 </w:t>
      </w:r>
      <w:r>
        <w:rPr>
          <w:rFonts w:hint="eastAsia" w:cs="宋体"/>
          <w:color w:val="auto"/>
          <w:sz w:val="21"/>
          <w:szCs w:val="21"/>
          <w:highlight w:val="none"/>
        </w:rPr>
        <w:t>24</w:t>
      </w:r>
      <w:r>
        <w:rPr>
          <w:rFonts w:hint="eastAsia" w:cs="宋体"/>
          <w:color w:val="auto"/>
          <w:spacing w:val="-7"/>
          <w:sz w:val="21"/>
          <w:szCs w:val="21"/>
          <w:highlight w:val="none"/>
        </w:rPr>
        <w:t xml:space="preserve"> 小时内；合同约定了通知、提供或者报送期限的，通知、提供或者报送期限即</w:t>
      </w:r>
      <w:r>
        <w:rPr>
          <w:rFonts w:hint="eastAsia" w:cs="宋体"/>
          <w:color w:val="auto"/>
          <w:spacing w:val="-5"/>
          <w:sz w:val="21"/>
          <w:szCs w:val="21"/>
          <w:highlight w:val="none"/>
        </w:rPr>
        <w:t>为送达期限。</w:t>
      </w:r>
    </w:p>
    <w:p>
      <w:pPr>
        <w:pStyle w:val="20"/>
        <w:widowControl w:val="0"/>
        <w:numPr>
          <w:ilvl w:val="0"/>
          <w:numId w:val="20"/>
        </w:numPr>
        <w:autoSpaceDE w:val="0"/>
        <w:autoSpaceDN w:val="0"/>
        <w:spacing w:before="0" w:beforeAutospacing="0" w:after="0" w:afterAutospacing="0" w:line="269" w:lineRule="exact"/>
        <w:ind w:left="1087"/>
        <w:rPr>
          <w:rFonts w:cs="宋体"/>
          <w:color w:val="auto"/>
          <w:sz w:val="21"/>
          <w:szCs w:val="21"/>
          <w:highlight w:val="none"/>
        </w:rPr>
      </w:pPr>
      <w:r>
        <w:rPr>
          <w:rFonts w:hint="eastAsia" w:cs="宋体"/>
          <w:color w:val="auto"/>
          <w:spacing w:val="-3"/>
          <w:sz w:val="21"/>
          <w:szCs w:val="21"/>
          <w:highlight w:val="none"/>
        </w:rPr>
        <w:t>发包人指定的接收人和接收地点见合同条款专用部分。</w:t>
      </w:r>
    </w:p>
    <w:p>
      <w:pPr>
        <w:pStyle w:val="20"/>
        <w:widowControl w:val="0"/>
        <w:numPr>
          <w:ilvl w:val="0"/>
          <w:numId w:val="20"/>
        </w:numPr>
        <w:autoSpaceDE w:val="0"/>
        <w:autoSpaceDN w:val="0"/>
        <w:spacing w:before="1" w:beforeAutospacing="0" w:after="0" w:afterAutospacing="0"/>
        <w:ind w:left="1087"/>
        <w:rPr>
          <w:rFonts w:cs="宋体"/>
          <w:color w:val="auto"/>
          <w:sz w:val="21"/>
          <w:szCs w:val="21"/>
          <w:highlight w:val="none"/>
        </w:rPr>
      </w:pPr>
      <w:r>
        <w:rPr>
          <w:rFonts w:hint="eastAsia" w:cs="宋体"/>
          <w:color w:val="auto"/>
          <w:spacing w:val="-3"/>
          <w:sz w:val="21"/>
          <w:szCs w:val="21"/>
          <w:highlight w:val="none"/>
        </w:rPr>
        <w:t>监理人指定的接收人和接收地点见合同条款专用部分。</w:t>
      </w:r>
    </w:p>
    <w:p>
      <w:pPr>
        <w:pStyle w:val="20"/>
        <w:widowControl w:val="0"/>
        <w:numPr>
          <w:ilvl w:val="0"/>
          <w:numId w:val="20"/>
        </w:numPr>
        <w:autoSpaceDE w:val="0"/>
        <w:autoSpaceDN w:val="0"/>
        <w:spacing w:before="0" w:beforeAutospacing="0" w:after="0" w:afterAutospacing="0" w:line="415" w:lineRule="auto"/>
        <w:ind w:right="220" w:firstLine="419"/>
        <w:rPr>
          <w:rFonts w:cs="宋体"/>
          <w:color w:val="auto"/>
          <w:sz w:val="21"/>
          <w:szCs w:val="21"/>
          <w:highlight w:val="none"/>
        </w:rPr>
      </w:pPr>
      <w:r>
        <w:rPr>
          <w:rFonts w:hint="eastAsia" w:cs="宋体"/>
          <w:color w:val="auto"/>
          <w:spacing w:val="-3"/>
          <w:sz w:val="21"/>
          <w:szCs w:val="21"/>
          <w:highlight w:val="none"/>
        </w:rPr>
        <w:t>承包人指定的接收人为合同协议书中载明的承包人项目经理本人或者项目经理的</w:t>
      </w:r>
      <w:r>
        <w:rPr>
          <w:rFonts w:hint="eastAsia" w:cs="宋体"/>
          <w:color w:val="auto"/>
          <w:spacing w:val="-10"/>
          <w:sz w:val="21"/>
          <w:szCs w:val="21"/>
          <w:highlight w:val="none"/>
        </w:rPr>
        <w:t xml:space="preserve">授权代表。承包人应在收到开工通知后 </w:t>
      </w:r>
      <w:r>
        <w:rPr>
          <w:rFonts w:hint="eastAsia" w:cs="宋体"/>
          <w:color w:val="auto"/>
          <w:sz w:val="21"/>
          <w:szCs w:val="21"/>
          <w:highlight w:val="none"/>
        </w:rPr>
        <w:t>7</w:t>
      </w:r>
      <w:r>
        <w:rPr>
          <w:rFonts w:hint="eastAsia" w:cs="宋体"/>
          <w:color w:val="auto"/>
          <w:spacing w:val="-13"/>
          <w:sz w:val="21"/>
          <w:szCs w:val="21"/>
          <w:highlight w:val="none"/>
        </w:rPr>
        <w:t xml:space="preserve"> 天内，按照合同条款第 </w:t>
      </w:r>
      <w:r>
        <w:rPr>
          <w:rFonts w:hint="eastAsia" w:cs="宋体"/>
          <w:color w:val="auto"/>
          <w:sz w:val="21"/>
          <w:szCs w:val="21"/>
          <w:highlight w:val="none"/>
        </w:rPr>
        <w:t>4.5.4</w:t>
      </w:r>
      <w:r>
        <w:rPr>
          <w:rFonts w:hint="eastAsia" w:cs="宋体"/>
          <w:color w:val="auto"/>
          <w:spacing w:val="-10"/>
          <w:sz w:val="21"/>
          <w:szCs w:val="21"/>
          <w:highlight w:val="none"/>
        </w:rPr>
        <w:t xml:space="preserve"> 项的约定，将授权代</w:t>
      </w:r>
      <w:r>
        <w:rPr>
          <w:rFonts w:hint="eastAsia" w:cs="宋体"/>
          <w:color w:val="auto"/>
          <w:spacing w:val="-5"/>
          <w:sz w:val="21"/>
          <w:szCs w:val="21"/>
          <w:highlight w:val="none"/>
        </w:rPr>
        <w:t xml:space="preserve">表其接收来往信函的项目经理的授权代表姓名和授权范围通知监理人。除合同另有约定外， </w:t>
      </w:r>
      <w:r>
        <w:rPr>
          <w:rFonts w:hint="eastAsia" w:cs="宋体"/>
          <w:color w:val="auto"/>
          <w:spacing w:val="-4"/>
          <w:sz w:val="21"/>
          <w:szCs w:val="21"/>
          <w:highlight w:val="none"/>
        </w:rPr>
        <w:t>承包人施工场地管理机构的办公地点即为承包人指定的接收地点。</w:t>
      </w:r>
    </w:p>
    <w:p>
      <w:pPr>
        <w:pStyle w:val="20"/>
        <w:widowControl w:val="0"/>
        <w:numPr>
          <w:ilvl w:val="0"/>
          <w:numId w:val="20"/>
        </w:numPr>
        <w:autoSpaceDE w:val="0"/>
        <w:autoSpaceDN w:val="0"/>
        <w:spacing w:before="0" w:beforeAutospacing="0" w:after="0" w:afterAutospacing="0" w:line="415" w:lineRule="auto"/>
        <w:ind w:right="203" w:firstLine="419"/>
        <w:rPr>
          <w:rFonts w:cs="宋体"/>
          <w:color w:val="auto"/>
          <w:sz w:val="21"/>
          <w:szCs w:val="21"/>
          <w:highlight w:val="none"/>
        </w:rPr>
      </w:pPr>
      <w:r>
        <w:rPr>
          <w:rFonts w:hint="eastAsia" w:cs="宋体"/>
          <w:color w:val="auto"/>
          <w:spacing w:val="-12"/>
          <w:sz w:val="21"/>
          <w:szCs w:val="21"/>
          <w:highlight w:val="none"/>
        </w:rPr>
        <w:t>发包人</w:t>
      </w:r>
      <w:r>
        <w:rPr>
          <w:rFonts w:hint="eastAsia" w:cs="宋体"/>
          <w:color w:val="auto"/>
          <w:sz w:val="21"/>
          <w:szCs w:val="21"/>
          <w:highlight w:val="none"/>
        </w:rPr>
        <w:t>（</w:t>
      </w:r>
      <w:r>
        <w:rPr>
          <w:rFonts w:hint="eastAsia" w:cs="宋体"/>
          <w:color w:val="auto"/>
          <w:spacing w:val="-3"/>
          <w:sz w:val="21"/>
          <w:szCs w:val="21"/>
          <w:highlight w:val="none"/>
        </w:rPr>
        <w:t>包括监理人</w:t>
      </w:r>
      <w:r>
        <w:rPr>
          <w:rFonts w:hint="eastAsia" w:cs="宋体"/>
          <w:color w:val="auto"/>
          <w:spacing w:val="-29"/>
          <w:sz w:val="21"/>
          <w:szCs w:val="21"/>
          <w:highlight w:val="none"/>
        </w:rPr>
        <w:t>）</w:t>
      </w:r>
      <w:r>
        <w:rPr>
          <w:rFonts w:hint="eastAsia" w:cs="宋体"/>
          <w:color w:val="auto"/>
          <w:spacing w:val="-3"/>
          <w:sz w:val="21"/>
          <w:szCs w:val="21"/>
          <w:highlight w:val="none"/>
        </w:rPr>
        <w:t xml:space="preserve">和承包人中任何一方指定的接收人或者接收地点发生变动 </w:t>
      </w:r>
      <w:r>
        <w:rPr>
          <w:rFonts w:hint="eastAsia" w:cs="宋体"/>
          <w:color w:val="auto"/>
          <w:spacing w:val="-5"/>
          <w:sz w:val="21"/>
          <w:szCs w:val="21"/>
          <w:highlight w:val="none"/>
        </w:rPr>
        <w:t>，应当在实际变动前提前至少一个工作日以书面形式通知另一方。发包人</w:t>
      </w:r>
      <w:r>
        <w:rPr>
          <w:rFonts w:hint="eastAsia" w:cs="宋体"/>
          <w:color w:val="auto"/>
          <w:spacing w:val="-3"/>
          <w:sz w:val="21"/>
          <w:szCs w:val="21"/>
          <w:highlight w:val="none"/>
        </w:rPr>
        <w:t>（包括监理人</w:t>
      </w:r>
      <w:r>
        <w:rPr>
          <w:rFonts w:hint="eastAsia" w:cs="宋体"/>
          <w:color w:val="auto"/>
          <w:spacing w:val="-29"/>
          <w:sz w:val="21"/>
          <w:szCs w:val="21"/>
          <w:highlight w:val="none"/>
        </w:rPr>
        <w:t>）</w:t>
      </w:r>
      <w:r>
        <w:rPr>
          <w:rFonts w:hint="eastAsia" w:cs="宋体"/>
          <w:color w:val="auto"/>
          <w:spacing w:val="-3"/>
          <w:sz w:val="21"/>
          <w:szCs w:val="21"/>
          <w:highlight w:val="none"/>
        </w:rPr>
        <w:t>和</w:t>
      </w:r>
      <w:r>
        <w:rPr>
          <w:rFonts w:hint="eastAsia" w:cs="宋体"/>
          <w:color w:val="auto"/>
          <w:spacing w:val="-6"/>
          <w:sz w:val="21"/>
          <w:szCs w:val="21"/>
          <w:highlight w:val="none"/>
        </w:rPr>
        <w:t>承包人应当确保其各自指定的接收人在法定的和</w:t>
      </w:r>
      <w:r>
        <w:rPr>
          <w:rFonts w:hint="eastAsia" w:cs="宋体"/>
          <w:color w:val="auto"/>
          <w:spacing w:val="-3"/>
          <w:sz w:val="21"/>
          <w:szCs w:val="21"/>
          <w:highlight w:val="none"/>
        </w:rPr>
        <w:t>（或</w:t>
      </w:r>
      <w:r>
        <w:rPr>
          <w:rFonts w:hint="eastAsia" w:cs="宋体"/>
          <w:color w:val="auto"/>
          <w:spacing w:val="-46"/>
          <w:sz w:val="21"/>
          <w:szCs w:val="21"/>
          <w:highlight w:val="none"/>
        </w:rPr>
        <w:t>）</w:t>
      </w:r>
      <w:r>
        <w:rPr>
          <w:rFonts w:hint="eastAsia" w:cs="宋体"/>
          <w:color w:val="auto"/>
          <w:spacing w:val="-3"/>
          <w:sz w:val="21"/>
          <w:szCs w:val="21"/>
          <w:highlight w:val="none"/>
        </w:rPr>
        <w:t>符合合同约定的工作时间内始终工作在指定的接收地点，指定接收人离开工作岗位而无法及时签收来往信函视为拒不签收。</w:t>
      </w:r>
    </w:p>
    <w:p>
      <w:pPr>
        <w:pStyle w:val="20"/>
        <w:widowControl w:val="0"/>
        <w:numPr>
          <w:ilvl w:val="0"/>
          <w:numId w:val="20"/>
        </w:numPr>
        <w:autoSpaceDE w:val="0"/>
        <w:autoSpaceDN w:val="0"/>
        <w:spacing w:before="0" w:beforeAutospacing="0" w:after="0" w:afterAutospacing="0" w:line="415" w:lineRule="auto"/>
        <w:ind w:right="310" w:firstLine="419"/>
        <w:jc w:val="both"/>
        <w:rPr>
          <w:rFonts w:cs="宋体"/>
          <w:color w:val="auto"/>
          <w:sz w:val="21"/>
          <w:szCs w:val="21"/>
          <w:highlight w:val="none"/>
        </w:rPr>
      </w:pPr>
      <w:r>
        <w:rPr>
          <w:rFonts w:hint="eastAsia" w:cs="宋体"/>
          <w:color w:val="auto"/>
          <w:spacing w:val="-2"/>
          <w:sz w:val="21"/>
          <w:szCs w:val="21"/>
          <w:highlight w:val="none"/>
        </w:rPr>
        <w:t>发包人</w:t>
      </w:r>
      <w:r>
        <w:rPr>
          <w:rFonts w:hint="eastAsia" w:cs="宋体"/>
          <w:color w:val="auto"/>
          <w:spacing w:val="-3"/>
          <w:sz w:val="21"/>
          <w:szCs w:val="21"/>
          <w:highlight w:val="none"/>
        </w:rPr>
        <w:t>（包括监理人</w:t>
      </w:r>
      <w:r>
        <w:rPr>
          <w:rFonts w:hint="eastAsia" w:cs="宋体"/>
          <w:color w:val="auto"/>
          <w:sz w:val="21"/>
          <w:szCs w:val="21"/>
          <w:highlight w:val="none"/>
        </w:rPr>
        <w:t>）</w:t>
      </w:r>
      <w:r>
        <w:rPr>
          <w:rFonts w:hint="eastAsia" w:cs="宋体"/>
          <w:color w:val="auto"/>
          <w:spacing w:val="-3"/>
          <w:sz w:val="21"/>
          <w:szCs w:val="21"/>
          <w:highlight w:val="none"/>
        </w:rPr>
        <w:t>和承包人中任何一方均应当及时签收另一方送达其指定接</w:t>
      </w:r>
      <w:r>
        <w:rPr>
          <w:rFonts w:hint="eastAsia" w:cs="宋体"/>
          <w:color w:val="auto"/>
          <w:spacing w:val="-9"/>
          <w:sz w:val="21"/>
          <w:szCs w:val="21"/>
          <w:highlight w:val="none"/>
        </w:rPr>
        <w:t>收地点的来往信函，拒不签收的，送达信函的一方可以采用挂号或者公证方式送达，由此所</w:t>
      </w:r>
      <w:r>
        <w:rPr>
          <w:rFonts w:hint="eastAsia" w:cs="宋体"/>
          <w:color w:val="auto"/>
          <w:spacing w:val="-7"/>
          <w:sz w:val="21"/>
          <w:szCs w:val="21"/>
          <w:highlight w:val="none"/>
        </w:rPr>
        <w:t>造成的直接的和间接的费用增加</w:t>
      </w:r>
      <w:r>
        <w:rPr>
          <w:rFonts w:hint="eastAsia" w:cs="宋体"/>
          <w:color w:val="auto"/>
          <w:spacing w:val="-3"/>
          <w:sz w:val="21"/>
          <w:szCs w:val="21"/>
          <w:highlight w:val="none"/>
        </w:rPr>
        <w:t>（包括被迫采用特殊送达方式所发生的费用</w:t>
      </w:r>
      <w:r>
        <w:rPr>
          <w:rFonts w:hint="eastAsia" w:cs="宋体"/>
          <w:color w:val="auto"/>
          <w:spacing w:val="-22"/>
          <w:sz w:val="21"/>
          <w:szCs w:val="21"/>
          <w:highlight w:val="none"/>
        </w:rPr>
        <w:t>）</w:t>
      </w:r>
      <w:r>
        <w:rPr>
          <w:rFonts w:hint="eastAsia" w:cs="宋体"/>
          <w:color w:val="auto"/>
          <w:spacing w:val="-25"/>
          <w:sz w:val="21"/>
          <w:szCs w:val="21"/>
          <w:highlight w:val="none"/>
        </w:rPr>
        <w:t>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pacing w:val="-22"/>
          <w:sz w:val="21"/>
          <w:szCs w:val="21"/>
          <w:highlight w:val="none"/>
        </w:rPr>
        <w:t>）</w:t>
      </w:r>
      <w:r>
        <w:rPr>
          <w:rFonts w:hint="eastAsia" w:cs="宋体"/>
          <w:color w:val="auto"/>
          <w:spacing w:val="-2"/>
          <w:sz w:val="21"/>
          <w:szCs w:val="21"/>
          <w:highlight w:val="none"/>
        </w:rPr>
        <w:t>延误</w:t>
      </w:r>
      <w:r>
        <w:rPr>
          <w:rFonts w:hint="eastAsia" w:cs="宋体"/>
          <w:color w:val="auto"/>
          <w:spacing w:val="-3"/>
          <w:sz w:val="21"/>
          <w:szCs w:val="21"/>
          <w:highlight w:val="none"/>
        </w:rPr>
        <w:t>的工期由拒绝签收一方承担。</w:t>
      </w:r>
    </w:p>
    <w:p>
      <w:pPr>
        <w:pStyle w:val="7"/>
        <w:widowControl/>
        <w:spacing w:before="135"/>
        <w:ind w:left="138"/>
        <w:rPr>
          <w:rFonts w:ascii="宋体" w:hAnsi="宋体" w:cs="宋体"/>
          <w:color w:val="auto"/>
          <w:sz w:val="24"/>
          <w:szCs w:val="24"/>
          <w:highlight w:val="none"/>
        </w:rPr>
      </w:pPr>
      <w:r>
        <w:rPr>
          <w:rFonts w:hint="eastAsia" w:ascii="宋体" w:hAnsi="宋体" w:cs="宋体"/>
          <w:color w:val="auto"/>
          <w:sz w:val="24"/>
          <w:szCs w:val="24"/>
          <w:highlight w:val="none"/>
        </w:rPr>
        <w:t>1.8</w:t>
      </w:r>
      <w:r>
        <w:rPr>
          <w:rFonts w:hint="eastAsia" w:ascii="宋体" w:hAnsi="宋体" w:cs="宋体"/>
          <w:color w:val="auto"/>
          <w:spacing w:val="-1"/>
          <w:sz w:val="24"/>
          <w:szCs w:val="24"/>
          <w:highlight w:val="none"/>
        </w:rPr>
        <w:t xml:space="preserve"> 转 让 </w:t>
      </w:r>
    </w:p>
    <w:p>
      <w:pPr>
        <w:pStyle w:val="20"/>
        <w:widowControl w:val="0"/>
        <w:autoSpaceDE w:val="0"/>
        <w:autoSpaceDN w:val="0"/>
        <w:spacing w:before="3" w:beforeAutospacing="0" w:after="0" w:afterAutospacing="0"/>
        <w:rPr>
          <w:rFonts w:cs="宋体"/>
          <w:color w:val="auto"/>
          <w:sz w:val="21"/>
          <w:szCs w:val="21"/>
          <w:highlight w:val="none"/>
        </w:rPr>
      </w:pPr>
      <w:r>
        <w:rPr>
          <w:rFonts w:hint="eastAsia" w:cs="宋体"/>
          <w:color w:val="auto"/>
          <w:spacing w:val="-10"/>
          <w:sz w:val="21"/>
          <w:szCs w:val="21"/>
          <w:highlight w:val="none"/>
        </w:rPr>
        <w:t>除合同另有约定外，未经对方当事人同意，一方当事人不得将合同权利全部或部分转让</w:t>
      </w:r>
      <w:r>
        <w:rPr>
          <w:rFonts w:hint="eastAsia" w:cs="宋体"/>
          <w:color w:val="auto"/>
          <w:spacing w:val="-5"/>
          <w:sz w:val="21"/>
          <w:szCs w:val="21"/>
          <w:highlight w:val="none"/>
        </w:rPr>
        <w:t>给第三人，也不得全部或部分转移合同义务。</w:t>
      </w:r>
    </w:p>
    <w:p>
      <w:pPr>
        <w:pStyle w:val="7"/>
        <w:widowControl/>
        <w:numPr>
          <w:ilvl w:val="1"/>
          <w:numId w:val="21"/>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严禁贿赂 </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8"/>
          <w:sz w:val="21"/>
          <w:szCs w:val="21"/>
          <w:highlight w:val="none"/>
        </w:rPr>
        <w:t>合同双方当事人不得以贿赂或变相贿赂的方式，谋取不当利益或损害对方权益。因贿赂</w:t>
      </w:r>
      <w:r>
        <w:rPr>
          <w:rFonts w:hint="eastAsia" w:cs="宋体"/>
          <w:color w:val="auto"/>
          <w:spacing w:val="-5"/>
          <w:sz w:val="21"/>
          <w:szCs w:val="21"/>
          <w:highlight w:val="none"/>
        </w:rPr>
        <w:t>造成对方损失的，行为人应赔偿损失，并承担相应的法律责任。</w:t>
      </w:r>
    </w:p>
    <w:p>
      <w:pPr>
        <w:pStyle w:val="7"/>
        <w:widowControl/>
        <w:numPr>
          <w:ilvl w:val="1"/>
          <w:numId w:val="21"/>
        </w:numPr>
        <w:spacing w:before="136"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化石、文物 </w:t>
      </w:r>
    </w:p>
    <w:p>
      <w:pPr>
        <w:pStyle w:val="20"/>
        <w:widowControl w:val="0"/>
        <w:numPr>
          <w:ilvl w:val="2"/>
          <w:numId w:val="21"/>
        </w:numPr>
        <w:autoSpaceDE w:val="0"/>
        <w:autoSpaceDN w:val="0"/>
        <w:spacing w:before="1" w:beforeAutospacing="0" w:after="0" w:afterAutospacing="0" w:line="415" w:lineRule="auto"/>
        <w:ind w:right="219" w:firstLine="419"/>
        <w:jc w:val="both"/>
        <w:rPr>
          <w:rFonts w:cs="宋体"/>
          <w:color w:val="auto"/>
          <w:sz w:val="21"/>
          <w:szCs w:val="21"/>
          <w:highlight w:val="none"/>
        </w:rPr>
      </w:pPr>
      <w:r>
        <w:rPr>
          <w:rFonts w:hint="eastAsia" w:cs="宋体"/>
          <w:color w:val="auto"/>
          <w:spacing w:val="-3"/>
          <w:sz w:val="21"/>
          <w:szCs w:val="21"/>
          <w:highlight w:val="none"/>
        </w:rPr>
        <w:t>在施工场地发掘的所有文物、古迹以及具有地质研究或考古价值的其他遗迹、化石、钱币或物品属于国家所有。一旦发现上述文物，承包人应采取有效合理的保护措施，防</w:t>
      </w:r>
      <w:r>
        <w:rPr>
          <w:rFonts w:hint="eastAsia" w:cs="宋体"/>
          <w:color w:val="auto"/>
          <w:spacing w:val="-7"/>
          <w:sz w:val="21"/>
          <w:szCs w:val="21"/>
          <w:highlight w:val="none"/>
        </w:rPr>
        <w:t>止任何人员移动或损坏上述物品，并立即报告当地文物行政部门，同时通知监理人。</w:t>
      </w:r>
    </w:p>
    <w:p>
      <w:pPr>
        <w:pStyle w:val="20"/>
        <w:widowControl w:val="0"/>
        <w:autoSpaceDE w:val="0"/>
        <w:autoSpaceDN w:val="0"/>
        <w:spacing w:before="72" w:beforeAutospacing="0" w:after="0" w:afterAutospacing="0" w:line="415" w:lineRule="auto"/>
        <w:ind w:left="138" w:right="220"/>
        <w:rPr>
          <w:rFonts w:cs="宋体"/>
          <w:color w:val="auto"/>
          <w:sz w:val="21"/>
          <w:szCs w:val="21"/>
          <w:highlight w:val="none"/>
        </w:rPr>
      </w:pPr>
      <w:r>
        <w:rPr>
          <w:rFonts w:hint="eastAsia" w:cs="宋体"/>
          <w:color w:val="auto"/>
          <w:spacing w:val="-7"/>
          <w:sz w:val="21"/>
          <w:szCs w:val="21"/>
          <w:highlight w:val="none"/>
        </w:rPr>
        <w:t>发包</w:t>
      </w:r>
      <w:r>
        <w:rPr>
          <w:rFonts w:hint="eastAsia" w:cs="宋体"/>
          <w:color w:val="auto"/>
          <w:sz w:val="21"/>
          <w:szCs w:val="21"/>
          <w:highlight w:val="none"/>
        </w:rPr>
        <w:t xml:space="preserve">人、监理人和承包人应按文物行政部门要求采取妥善保护措施，由此导致费用增加和（或） 工期延误由发包人承担。 </w:t>
      </w:r>
    </w:p>
    <w:p>
      <w:pPr>
        <w:pStyle w:val="20"/>
        <w:widowControl w:val="0"/>
        <w:numPr>
          <w:ilvl w:val="2"/>
          <w:numId w:val="21"/>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8"/>
          <w:sz w:val="21"/>
          <w:szCs w:val="21"/>
          <w:highlight w:val="none"/>
        </w:rPr>
        <w:t>承包人发现文物后不及时报告或隐瞒不报，致使文物丢失或损坏的，应赔偿损失</w:t>
      </w:r>
      <w:r>
        <w:rPr>
          <w:rFonts w:hint="eastAsia" w:cs="宋体"/>
          <w:color w:val="auto"/>
          <w:spacing w:val="-4"/>
          <w:sz w:val="21"/>
          <w:szCs w:val="21"/>
          <w:highlight w:val="none"/>
        </w:rPr>
        <w:t>，并承担相应的法律责任。</w:t>
      </w:r>
    </w:p>
    <w:p>
      <w:pPr>
        <w:pStyle w:val="7"/>
        <w:widowControl/>
        <w:numPr>
          <w:ilvl w:val="1"/>
          <w:numId w:val="21"/>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专利技术 </w:t>
      </w:r>
    </w:p>
    <w:p>
      <w:pPr>
        <w:pStyle w:val="20"/>
        <w:widowControl w:val="0"/>
        <w:numPr>
          <w:ilvl w:val="2"/>
          <w:numId w:val="21"/>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9"/>
          <w:sz w:val="21"/>
          <w:szCs w:val="21"/>
          <w:highlight w:val="none"/>
        </w:rPr>
        <w:t>承包人在使用任何材料、承包人设备、工程设备或采用施工工艺时，因侵犯专利权或其他知识产权所引起的责任，由承包人承担，但由于遵照发包人提供的设计或技术标准</w:t>
      </w:r>
      <w:r>
        <w:rPr>
          <w:rFonts w:hint="eastAsia" w:cs="宋体"/>
          <w:color w:val="auto"/>
          <w:spacing w:val="-4"/>
          <w:sz w:val="21"/>
          <w:szCs w:val="21"/>
          <w:highlight w:val="none"/>
        </w:rPr>
        <w:t>和要求引起的除外。</w:t>
      </w:r>
    </w:p>
    <w:p>
      <w:pPr>
        <w:pStyle w:val="20"/>
        <w:widowControl w:val="0"/>
        <w:numPr>
          <w:ilvl w:val="2"/>
          <w:numId w:val="21"/>
        </w:numPr>
        <w:autoSpaceDE w:val="0"/>
        <w:autoSpaceDN w:val="0"/>
        <w:spacing w:before="0" w:beforeAutospacing="0" w:after="0" w:afterAutospacing="0"/>
        <w:ind w:left="1192"/>
        <w:rPr>
          <w:rFonts w:cs="宋体"/>
          <w:color w:val="auto"/>
          <w:sz w:val="21"/>
          <w:szCs w:val="21"/>
          <w:highlight w:val="none"/>
        </w:rPr>
      </w:pPr>
      <w:r>
        <w:rPr>
          <w:rFonts w:hint="eastAsia" w:cs="宋体"/>
          <w:color w:val="auto"/>
          <w:spacing w:val="-6"/>
          <w:sz w:val="21"/>
          <w:szCs w:val="21"/>
          <w:highlight w:val="none"/>
        </w:rPr>
        <w:t>承包人在投标文件中采用专利技术的，专利技术的使用费包含在投标报价内。</w:t>
      </w:r>
    </w:p>
    <w:p>
      <w:pPr>
        <w:pStyle w:val="20"/>
        <w:widowControl w:val="0"/>
        <w:numPr>
          <w:ilvl w:val="2"/>
          <w:numId w:val="21"/>
        </w:numPr>
        <w:autoSpaceDE w:val="0"/>
        <w:autoSpaceDN w:val="0"/>
        <w:spacing w:before="1" w:beforeAutospacing="0" w:after="0" w:afterAutospacing="0" w:line="415" w:lineRule="auto"/>
        <w:ind w:right="309" w:firstLine="419"/>
        <w:rPr>
          <w:rFonts w:cs="宋体"/>
          <w:color w:val="auto"/>
          <w:sz w:val="21"/>
          <w:szCs w:val="21"/>
          <w:highlight w:val="none"/>
        </w:rPr>
      </w:pPr>
      <w:r>
        <w:rPr>
          <w:rFonts w:hint="eastAsia" w:cs="宋体"/>
          <w:color w:val="auto"/>
          <w:spacing w:val="-7"/>
          <w:sz w:val="21"/>
          <w:szCs w:val="21"/>
          <w:highlight w:val="none"/>
        </w:rPr>
        <w:t>承包人的技术秘密和声明需要保密的资料和信息，发包人和监理人不得为合同以</w:t>
      </w:r>
      <w:r>
        <w:rPr>
          <w:rFonts w:hint="eastAsia" w:cs="宋体"/>
          <w:color w:val="auto"/>
          <w:spacing w:val="-4"/>
          <w:sz w:val="21"/>
          <w:szCs w:val="21"/>
          <w:highlight w:val="none"/>
        </w:rPr>
        <w:t>外的目的泄露给他人。</w:t>
      </w:r>
    </w:p>
    <w:p>
      <w:pPr>
        <w:pStyle w:val="7"/>
        <w:widowControl/>
        <w:numPr>
          <w:ilvl w:val="1"/>
          <w:numId w:val="21"/>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图纸和文件的保密 </w:t>
      </w:r>
    </w:p>
    <w:p>
      <w:pPr>
        <w:pStyle w:val="20"/>
        <w:widowControl w:val="0"/>
        <w:numPr>
          <w:ilvl w:val="2"/>
          <w:numId w:val="21"/>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9"/>
          <w:sz w:val="21"/>
          <w:szCs w:val="21"/>
          <w:highlight w:val="none"/>
        </w:rPr>
        <w:t>发包人提供的图纸和文件，未经发包人同意，承包人不得为合同以外的目的泄露</w:t>
      </w:r>
      <w:r>
        <w:rPr>
          <w:rFonts w:hint="eastAsia" w:cs="宋体"/>
          <w:color w:val="auto"/>
          <w:spacing w:val="-4"/>
          <w:sz w:val="21"/>
          <w:szCs w:val="21"/>
          <w:highlight w:val="none"/>
        </w:rPr>
        <w:t>给他人或公开发表与引用。</w:t>
      </w:r>
    </w:p>
    <w:p>
      <w:pPr>
        <w:pStyle w:val="20"/>
        <w:widowControl w:val="0"/>
        <w:numPr>
          <w:ilvl w:val="2"/>
          <w:numId w:val="21"/>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11"/>
          <w:sz w:val="21"/>
          <w:szCs w:val="21"/>
          <w:highlight w:val="none"/>
        </w:rPr>
        <w:t>承包人提供的文件，未经承包人同意，发包人和监理人不得为合同以外的目的泄</w:t>
      </w:r>
      <w:r>
        <w:rPr>
          <w:rFonts w:hint="eastAsia" w:cs="宋体"/>
          <w:color w:val="auto"/>
          <w:spacing w:val="-5"/>
          <w:sz w:val="21"/>
          <w:szCs w:val="21"/>
          <w:highlight w:val="none"/>
        </w:rPr>
        <w:t>露给他人或公开发表与引用。</w:t>
      </w:r>
    </w:p>
    <w:p>
      <w:pPr>
        <w:pStyle w:val="6"/>
        <w:widowControl/>
        <w:numPr>
          <w:ilvl w:val="0"/>
          <w:numId w:val="14"/>
        </w:numPr>
        <w:spacing w:before="0" w:after="0"/>
        <w:ind w:hanging="284"/>
        <w:jc w:val="left"/>
        <w:rPr>
          <w:rFonts w:ascii="宋体" w:hAnsi="宋体" w:eastAsia="宋体" w:cs="宋体"/>
          <w:color w:val="auto"/>
          <w:szCs w:val="28"/>
          <w:highlight w:val="none"/>
        </w:rPr>
      </w:pPr>
      <w:r>
        <w:rPr>
          <w:rFonts w:hint="eastAsia" w:ascii="宋体" w:hAnsi="宋体" w:eastAsia="宋体" w:cs="宋体"/>
          <w:color w:val="auto"/>
          <w:spacing w:val="-2"/>
          <w:szCs w:val="28"/>
          <w:highlight w:val="none"/>
        </w:rPr>
        <w:t>发包人义务</w:t>
      </w:r>
    </w:p>
    <w:p>
      <w:pPr>
        <w:pStyle w:val="7"/>
        <w:widowControl/>
        <w:numPr>
          <w:ilvl w:val="1"/>
          <w:numId w:val="14"/>
        </w:numPr>
        <w:spacing w:before="0"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遵守法律 </w:t>
      </w:r>
    </w:p>
    <w:p>
      <w:pPr>
        <w:pStyle w:val="20"/>
        <w:widowControl w:val="0"/>
        <w:autoSpaceDE w:val="0"/>
        <w:autoSpaceDN w:val="0"/>
        <w:spacing w:before="0" w:beforeAutospacing="0" w:after="0" w:afterAutospacing="0" w:line="415" w:lineRule="auto"/>
        <w:ind w:left="138" w:right="310" w:firstLine="419"/>
        <w:rPr>
          <w:rFonts w:cs="宋体"/>
          <w:color w:val="auto"/>
          <w:sz w:val="21"/>
          <w:szCs w:val="21"/>
          <w:highlight w:val="none"/>
        </w:rPr>
      </w:pPr>
      <w:r>
        <w:rPr>
          <w:rFonts w:hint="eastAsia" w:cs="宋体"/>
          <w:color w:val="auto"/>
          <w:spacing w:val="-9"/>
          <w:sz w:val="21"/>
          <w:szCs w:val="21"/>
          <w:highlight w:val="none"/>
        </w:rPr>
        <w:t>发包人在履行合同过程中应遵守法律，并保证承包人免于承担因发包人违反法律而引起</w:t>
      </w:r>
      <w:r>
        <w:rPr>
          <w:rFonts w:hint="eastAsia" w:cs="宋体"/>
          <w:color w:val="auto"/>
          <w:spacing w:val="-6"/>
          <w:sz w:val="21"/>
          <w:szCs w:val="21"/>
          <w:highlight w:val="none"/>
        </w:rPr>
        <w:t>的任何责任。</w:t>
      </w:r>
    </w:p>
    <w:p>
      <w:pPr>
        <w:pStyle w:val="7"/>
        <w:widowControl/>
        <w:numPr>
          <w:ilvl w:val="1"/>
          <w:numId w:val="14"/>
        </w:numPr>
        <w:spacing w:before="136"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发出开工通知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发包人应委托监理人按第 11.1 款的约定向承包人发出开工通知。 </w:t>
      </w:r>
    </w:p>
    <w:p>
      <w:pPr>
        <w:pStyle w:val="7"/>
        <w:widowControl/>
        <w:numPr>
          <w:ilvl w:val="1"/>
          <w:numId w:val="14"/>
        </w:numPr>
        <w:spacing w:before="0"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提供施工场地 </w:t>
      </w:r>
    </w:p>
    <w:p>
      <w:pPr>
        <w:pStyle w:val="20"/>
        <w:widowControl w:val="0"/>
        <w:autoSpaceDE w:val="0"/>
        <w:autoSpaceDN w:val="0"/>
        <w:spacing w:before="0" w:beforeAutospacing="0" w:after="0" w:afterAutospacing="0" w:line="415" w:lineRule="auto"/>
        <w:ind w:left="138" w:right="220" w:firstLine="419"/>
        <w:jc w:val="both"/>
        <w:rPr>
          <w:color w:val="auto"/>
          <w:highlight w:val="none"/>
        </w:rPr>
      </w:pPr>
      <w:r>
        <w:rPr>
          <w:rFonts w:hint="eastAsia" w:cs="宋体"/>
          <w:color w:val="auto"/>
          <w:spacing w:val="-3"/>
          <w:sz w:val="21"/>
          <w:szCs w:val="21"/>
          <w:highlight w:val="none"/>
        </w:rPr>
        <w:t xml:space="preserve">发包人应在约定期限前确保施工场地具备施工条件并移交给承包人，具体施工条件在 </w:t>
      </w:r>
      <w:r>
        <w:rPr>
          <w:rFonts w:hint="eastAsia" w:cs="宋体"/>
          <w:color w:val="auto"/>
          <w:spacing w:val="-10"/>
          <w:sz w:val="21"/>
          <w:szCs w:val="21"/>
          <w:highlight w:val="none"/>
        </w:rPr>
        <w:t>“技术标准和要求”第一节“一般要求”中约定。发包人最迟应当在移交施工场地的同时向</w:t>
      </w:r>
      <w:r>
        <w:rPr>
          <w:rFonts w:hint="eastAsia" w:cs="宋体"/>
          <w:color w:val="auto"/>
          <w:spacing w:val="-5"/>
          <w:sz w:val="21"/>
          <w:szCs w:val="21"/>
          <w:highlight w:val="none"/>
        </w:rPr>
        <w:t>承包人提供施工场地内地下管线和地下设施等有关资料，并保证资料的真实、准确和完整。发包人移交施工场地</w:t>
      </w:r>
      <w:r>
        <w:rPr>
          <w:rFonts w:hint="eastAsia" w:cs="宋体"/>
          <w:color w:val="auto"/>
          <w:sz w:val="21"/>
          <w:szCs w:val="21"/>
          <w:highlight w:val="none"/>
        </w:rPr>
        <w:t>的期限见合同条款专用部分。</w:t>
      </w:r>
    </w:p>
    <w:p>
      <w:pPr>
        <w:pStyle w:val="7"/>
        <w:widowControl/>
        <w:numPr>
          <w:ilvl w:val="1"/>
          <w:numId w:val="14"/>
        </w:numPr>
        <w:spacing w:before="0"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协助承包人办理证件和批件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发包人应协助承包人办理法律规定的有关施工证件和批件。 </w:t>
      </w:r>
    </w:p>
    <w:p>
      <w:pPr>
        <w:pStyle w:val="7"/>
        <w:widowControl/>
        <w:numPr>
          <w:ilvl w:val="1"/>
          <w:numId w:val="14"/>
        </w:numPr>
        <w:spacing w:before="1"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组织设计交底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发包人应根据批准的合同进度计划，组织设计单位向承包人进行设计交底。 </w:t>
      </w:r>
    </w:p>
    <w:p>
      <w:pPr>
        <w:pStyle w:val="20"/>
        <w:widowControl w:val="0"/>
        <w:autoSpaceDE w:val="0"/>
        <w:autoSpaceDN w:val="0"/>
        <w:spacing w:before="0" w:beforeAutospacing="0" w:after="0" w:afterAutospacing="0" w:line="415" w:lineRule="auto"/>
        <w:ind w:left="138" w:right="325" w:firstLine="419"/>
        <w:jc w:val="both"/>
        <w:rPr>
          <w:rFonts w:cs="宋体"/>
          <w:color w:val="auto"/>
          <w:sz w:val="21"/>
          <w:szCs w:val="21"/>
          <w:highlight w:val="none"/>
        </w:rPr>
      </w:pPr>
      <w:r>
        <w:rPr>
          <w:rFonts w:hint="eastAsia" w:cs="宋体"/>
          <w:color w:val="auto"/>
          <w:spacing w:val="-7"/>
          <w:sz w:val="21"/>
          <w:szCs w:val="21"/>
          <w:highlight w:val="none"/>
        </w:rPr>
        <w:t xml:space="preserve">发包人应在第 </w:t>
      </w:r>
      <w:r>
        <w:rPr>
          <w:rFonts w:hint="eastAsia" w:cs="宋体"/>
          <w:color w:val="auto"/>
          <w:sz w:val="21"/>
          <w:szCs w:val="21"/>
          <w:highlight w:val="none"/>
        </w:rPr>
        <w:t>11.1.1</w:t>
      </w:r>
      <w:r>
        <w:rPr>
          <w:rFonts w:hint="eastAsia" w:cs="宋体"/>
          <w:color w:val="auto"/>
          <w:spacing w:val="-8"/>
          <w:sz w:val="21"/>
          <w:szCs w:val="21"/>
          <w:highlight w:val="none"/>
        </w:rPr>
        <w:t xml:space="preserve"> 项约定的开工日期前，组织设计人向承包人进行合同工程总体设</w:t>
      </w:r>
      <w:r>
        <w:rPr>
          <w:rFonts w:hint="eastAsia" w:cs="宋体"/>
          <w:color w:val="auto"/>
          <w:spacing w:val="-7"/>
          <w:sz w:val="21"/>
          <w:szCs w:val="21"/>
          <w:highlight w:val="none"/>
        </w:rPr>
        <w:t>计交底</w:t>
      </w:r>
      <w:r>
        <w:rPr>
          <w:rFonts w:hint="eastAsia" w:cs="宋体"/>
          <w:color w:val="auto"/>
          <w:sz w:val="21"/>
          <w:szCs w:val="21"/>
          <w:highlight w:val="none"/>
        </w:rPr>
        <w:t>（</w:t>
      </w:r>
      <w:r>
        <w:rPr>
          <w:rFonts w:hint="eastAsia" w:cs="宋体"/>
          <w:color w:val="auto"/>
          <w:spacing w:val="-3"/>
          <w:sz w:val="21"/>
          <w:szCs w:val="21"/>
          <w:highlight w:val="none"/>
        </w:rPr>
        <w:t>包括图纸会审</w:t>
      </w:r>
      <w:r>
        <w:rPr>
          <w:rFonts w:hint="eastAsia" w:cs="宋体"/>
          <w:color w:val="auto"/>
          <w:spacing w:val="-108"/>
          <w:sz w:val="21"/>
          <w:szCs w:val="21"/>
          <w:highlight w:val="none"/>
        </w:rPr>
        <w:t>）</w:t>
      </w:r>
      <w:r>
        <w:rPr>
          <w:rFonts w:hint="eastAsia" w:cs="宋体"/>
          <w:color w:val="auto"/>
          <w:spacing w:val="-3"/>
          <w:sz w:val="21"/>
          <w:szCs w:val="21"/>
          <w:highlight w:val="none"/>
        </w:rPr>
        <w:t>。发包人还应按照合同进度计划中载明的阶段性设计交底时间，组织和安排阶段工程设计交底</w:t>
      </w:r>
      <w:r>
        <w:rPr>
          <w:rFonts w:hint="eastAsia" w:cs="宋体"/>
          <w:color w:val="auto"/>
          <w:sz w:val="21"/>
          <w:szCs w:val="21"/>
          <w:highlight w:val="none"/>
        </w:rPr>
        <w:t>（</w:t>
      </w:r>
      <w:r>
        <w:rPr>
          <w:rFonts w:hint="eastAsia" w:cs="宋体"/>
          <w:color w:val="auto"/>
          <w:spacing w:val="-3"/>
          <w:sz w:val="21"/>
          <w:szCs w:val="21"/>
          <w:highlight w:val="none"/>
        </w:rPr>
        <w:t>包括图纸会审</w:t>
      </w:r>
      <w:r>
        <w:rPr>
          <w:rFonts w:hint="eastAsia" w:cs="宋体"/>
          <w:color w:val="auto"/>
          <w:spacing w:val="-108"/>
          <w:sz w:val="21"/>
          <w:szCs w:val="21"/>
          <w:highlight w:val="none"/>
        </w:rPr>
        <w:t>）</w:t>
      </w:r>
      <w:r>
        <w:rPr>
          <w:rFonts w:hint="eastAsia" w:cs="宋体"/>
          <w:color w:val="auto"/>
          <w:spacing w:val="-3"/>
          <w:sz w:val="21"/>
          <w:szCs w:val="21"/>
          <w:highlight w:val="none"/>
        </w:rPr>
        <w:t>。承包人应当以书面方式通过监理人向发包人申请增加设计交底，发包人在认为确有必要且条件许可时，应当尽快组织这类设计交底。</w:t>
      </w:r>
    </w:p>
    <w:p>
      <w:pPr>
        <w:pStyle w:val="7"/>
        <w:widowControl/>
        <w:numPr>
          <w:ilvl w:val="1"/>
          <w:numId w:val="14"/>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支付合同价款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发包人应按合同约定向承包人及时支付合同价款。 </w:t>
      </w:r>
    </w:p>
    <w:p>
      <w:pPr>
        <w:pStyle w:val="7"/>
        <w:widowControl/>
        <w:numPr>
          <w:ilvl w:val="1"/>
          <w:numId w:val="14"/>
        </w:numPr>
        <w:spacing w:before="0"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组织竣工验收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发包人应按合同约定及时组织竣工验收。 </w:t>
      </w:r>
    </w:p>
    <w:p>
      <w:pPr>
        <w:pStyle w:val="7"/>
        <w:widowControl/>
        <w:numPr>
          <w:ilvl w:val="1"/>
          <w:numId w:val="14"/>
        </w:numPr>
        <w:spacing w:before="0"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向承包人提交支付担保 </w:t>
      </w:r>
    </w:p>
    <w:p>
      <w:pPr>
        <w:pStyle w:val="20"/>
        <w:widowControl w:val="0"/>
        <w:autoSpaceDE w:val="0"/>
        <w:autoSpaceDN w:val="0"/>
        <w:spacing w:before="0" w:beforeAutospacing="0" w:after="0" w:afterAutospacing="0" w:line="415" w:lineRule="auto"/>
        <w:ind w:left="138" w:right="309" w:firstLine="204" w:firstLineChars="100"/>
        <w:jc w:val="both"/>
        <w:rPr>
          <w:rFonts w:cs="宋体"/>
          <w:color w:val="auto"/>
          <w:sz w:val="21"/>
          <w:szCs w:val="21"/>
          <w:highlight w:val="none"/>
        </w:rPr>
      </w:pPr>
      <w:r>
        <w:rPr>
          <w:rFonts w:hint="eastAsia" w:cs="宋体"/>
          <w:color w:val="auto"/>
          <w:spacing w:val="-3"/>
          <w:sz w:val="21"/>
          <w:szCs w:val="21"/>
          <w:highlight w:val="none"/>
        </w:rPr>
        <w:t>（1）发包人要求承包人提交履约担保的，除合同条款专用部分另有约定的，在承包人</w:t>
      </w:r>
      <w:r>
        <w:rPr>
          <w:rFonts w:hint="eastAsia" w:cs="宋体"/>
          <w:color w:val="auto"/>
          <w:spacing w:val="-8"/>
          <w:sz w:val="21"/>
          <w:szCs w:val="21"/>
          <w:highlight w:val="none"/>
        </w:rPr>
        <w:t xml:space="preserve">按合同条款第 </w:t>
      </w:r>
      <w:r>
        <w:rPr>
          <w:rFonts w:hint="eastAsia" w:cs="宋体"/>
          <w:color w:val="auto"/>
          <w:sz w:val="21"/>
          <w:szCs w:val="21"/>
          <w:highlight w:val="none"/>
        </w:rPr>
        <w:t>4.2</w:t>
      </w:r>
      <w:r>
        <w:rPr>
          <w:rFonts w:hint="eastAsia" w:cs="宋体"/>
          <w:color w:val="auto"/>
          <w:spacing w:val="-11"/>
          <w:sz w:val="21"/>
          <w:szCs w:val="21"/>
          <w:highlight w:val="none"/>
        </w:rPr>
        <w:t xml:space="preserve"> 款向发包人递交符合合同约定的履约担保的同时，发包人应当按照金额和条件对等的原则和合同文件中规定的格式或者其他经过承包人事先认可的格式向承包人递</w:t>
      </w:r>
      <w:r>
        <w:rPr>
          <w:rFonts w:hint="eastAsia" w:cs="宋体"/>
          <w:color w:val="auto"/>
          <w:spacing w:val="-6"/>
          <w:sz w:val="21"/>
          <w:szCs w:val="21"/>
          <w:highlight w:val="none"/>
        </w:rPr>
        <w:t>交一份支付担保。发包人提供支付担保格式见合同条款专用部分附件六。</w:t>
      </w:r>
    </w:p>
    <w:p>
      <w:pPr>
        <w:pStyle w:val="20"/>
        <w:widowControl w:val="0"/>
        <w:autoSpaceDE w:val="0"/>
        <w:autoSpaceDN w:val="0"/>
        <w:spacing w:before="0" w:beforeAutospacing="0" w:after="0" w:afterAutospacing="0"/>
        <w:ind w:left="138" w:firstLine="204" w:firstLineChars="100"/>
        <w:rPr>
          <w:rFonts w:cs="宋体"/>
          <w:color w:val="auto"/>
          <w:sz w:val="21"/>
          <w:szCs w:val="21"/>
          <w:highlight w:val="none"/>
        </w:rPr>
      </w:pPr>
      <w:r>
        <w:rPr>
          <w:rFonts w:hint="eastAsia" w:cs="宋体"/>
          <w:color w:val="auto"/>
          <w:spacing w:val="-3"/>
          <w:sz w:val="21"/>
          <w:szCs w:val="21"/>
          <w:highlight w:val="none"/>
        </w:rPr>
        <w:t>（2）支付担保的有效期应当自本合同生效之日起至发包人实际支付竣工付款之日止。</w:t>
      </w:r>
    </w:p>
    <w:p>
      <w:pPr>
        <w:pStyle w:val="20"/>
        <w:widowControl w:val="0"/>
        <w:autoSpaceDE w:val="0"/>
        <w:autoSpaceDN w:val="0"/>
        <w:spacing w:before="0" w:beforeAutospacing="0" w:after="0" w:afterAutospacing="0" w:line="415" w:lineRule="auto"/>
        <w:ind w:left="138" w:right="309" w:firstLine="204" w:firstLineChars="100"/>
        <w:jc w:val="both"/>
        <w:rPr>
          <w:rFonts w:cs="宋体"/>
          <w:color w:val="auto"/>
          <w:sz w:val="21"/>
          <w:szCs w:val="21"/>
          <w:highlight w:val="none"/>
        </w:rPr>
      </w:pPr>
      <w:r>
        <w:rPr>
          <w:rFonts w:hint="eastAsia" w:cs="宋体"/>
          <w:color w:val="auto"/>
          <w:spacing w:val="-3"/>
          <w:sz w:val="21"/>
          <w:szCs w:val="21"/>
          <w:highlight w:val="none"/>
        </w:rPr>
        <w:t>（3）发包人无法获得一份不带具体截止日期的履约担保，支付担保中应当约定有“变</w:t>
      </w:r>
      <w:r>
        <w:rPr>
          <w:rFonts w:hint="eastAsia" w:cs="宋体"/>
          <w:color w:val="auto"/>
          <w:spacing w:val="-9"/>
          <w:sz w:val="21"/>
          <w:szCs w:val="21"/>
          <w:highlight w:val="none"/>
        </w:rPr>
        <w:t>更工程竣工付款支付日期的，保证期间按照变更后的竣工付款支付日期做相应调整”或类似</w:t>
      </w:r>
      <w:r>
        <w:rPr>
          <w:rFonts w:hint="eastAsia" w:cs="宋体"/>
          <w:color w:val="auto"/>
          <w:spacing w:val="-6"/>
          <w:sz w:val="21"/>
          <w:szCs w:val="21"/>
          <w:highlight w:val="none"/>
        </w:rPr>
        <w:t>约定的条款。</w:t>
      </w:r>
    </w:p>
    <w:p>
      <w:pPr>
        <w:pStyle w:val="20"/>
        <w:widowControl w:val="0"/>
        <w:autoSpaceDE w:val="0"/>
        <w:autoSpaceDN w:val="0"/>
        <w:spacing w:before="0" w:beforeAutospacing="0" w:after="0" w:afterAutospacing="0" w:line="415" w:lineRule="auto"/>
        <w:ind w:left="138" w:right="311" w:firstLine="204" w:firstLineChars="100"/>
        <w:jc w:val="both"/>
        <w:rPr>
          <w:rFonts w:cs="宋体"/>
          <w:color w:val="auto"/>
          <w:sz w:val="21"/>
          <w:szCs w:val="21"/>
          <w:highlight w:val="none"/>
        </w:rPr>
      </w:pPr>
      <w:r>
        <w:rPr>
          <w:rFonts w:hint="eastAsia" w:cs="宋体"/>
          <w:color w:val="auto"/>
          <w:spacing w:val="-3"/>
          <w:sz w:val="21"/>
          <w:szCs w:val="21"/>
          <w:highlight w:val="none"/>
        </w:rPr>
        <w:t>（4）</w:t>
      </w:r>
      <w:r>
        <w:rPr>
          <w:rFonts w:hint="eastAsia" w:cs="宋体"/>
          <w:color w:val="auto"/>
          <w:spacing w:val="-6"/>
          <w:sz w:val="21"/>
          <w:szCs w:val="21"/>
          <w:highlight w:val="none"/>
        </w:rPr>
        <w:t xml:space="preserve">支付担保应当在发包人付清竣工付款之日后 </w:t>
      </w:r>
      <w:r>
        <w:rPr>
          <w:rFonts w:hint="eastAsia" w:cs="宋体"/>
          <w:color w:val="auto"/>
          <w:sz w:val="21"/>
          <w:szCs w:val="21"/>
          <w:highlight w:val="none"/>
        </w:rPr>
        <w:t>28</w:t>
      </w:r>
      <w:r>
        <w:rPr>
          <w:rFonts w:hint="eastAsia" w:cs="宋体"/>
          <w:color w:val="auto"/>
          <w:spacing w:val="-12"/>
          <w:sz w:val="21"/>
          <w:szCs w:val="21"/>
          <w:highlight w:val="none"/>
        </w:rPr>
        <w:t xml:space="preserve"> 天内退还给发包人；承包人不承 </w:t>
      </w:r>
      <w:r>
        <w:rPr>
          <w:rFonts w:hint="eastAsia" w:cs="宋体"/>
          <w:color w:val="auto"/>
          <w:spacing w:val="-3"/>
          <w:sz w:val="21"/>
          <w:szCs w:val="21"/>
          <w:highlight w:val="none"/>
        </w:rPr>
        <w:t>担发包人与支付担保有关的任何利息或其它类似的费用或者收益。</w:t>
      </w:r>
    </w:p>
    <w:p>
      <w:pPr>
        <w:pStyle w:val="7"/>
        <w:widowControl/>
        <w:numPr>
          <w:ilvl w:val="1"/>
          <w:numId w:val="14"/>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办理工程质量监督手续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发包人应按有关规定及时办理工程质量监督手续。 </w:t>
      </w:r>
    </w:p>
    <w:p>
      <w:pPr>
        <w:pStyle w:val="7"/>
        <w:widowControl/>
        <w:numPr>
          <w:ilvl w:val="1"/>
          <w:numId w:val="14"/>
        </w:numPr>
        <w:spacing w:before="66"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环境保护责任 </w:t>
      </w:r>
    </w:p>
    <w:p>
      <w:pPr>
        <w:pStyle w:val="20"/>
        <w:widowControl w:val="0"/>
        <w:autoSpaceDE w:val="0"/>
        <w:autoSpaceDN w:val="0"/>
        <w:spacing w:before="0" w:beforeAutospacing="0" w:after="0" w:afterAutospacing="0"/>
        <w:ind w:left="452"/>
        <w:rPr>
          <w:rFonts w:cs="宋体"/>
          <w:color w:val="auto"/>
          <w:sz w:val="21"/>
          <w:szCs w:val="21"/>
          <w:highlight w:val="none"/>
        </w:rPr>
      </w:pPr>
      <w:r>
        <w:rPr>
          <w:rFonts w:hint="eastAsia" w:cs="宋体"/>
          <w:color w:val="auto"/>
          <w:sz w:val="21"/>
          <w:szCs w:val="21"/>
          <w:highlight w:val="none"/>
        </w:rPr>
        <w:t xml:space="preserve">发包人对建筑垃圾处理、施工扬尘治理以及疫情防控常态化管理负总责。 </w:t>
      </w:r>
    </w:p>
    <w:p>
      <w:pPr>
        <w:pStyle w:val="7"/>
        <w:widowControl/>
        <w:numPr>
          <w:ilvl w:val="1"/>
          <w:numId w:val="14"/>
        </w:numPr>
        <w:spacing w:before="1"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移交工程档案 </w:t>
      </w:r>
    </w:p>
    <w:p>
      <w:pPr>
        <w:pStyle w:val="20"/>
        <w:widowControl w:val="0"/>
        <w:autoSpaceDE w:val="0"/>
        <w:autoSpaceDN w:val="0"/>
        <w:spacing w:before="0" w:beforeAutospacing="0" w:after="0" w:afterAutospacing="0" w:line="415" w:lineRule="auto"/>
        <w:ind w:left="138" w:right="219" w:firstLine="419"/>
        <w:rPr>
          <w:rFonts w:cs="宋体"/>
          <w:color w:val="auto"/>
          <w:sz w:val="21"/>
          <w:szCs w:val="21"/>
          <w:highlight w:val="none"/>
        </w:rPr>
      </w:pPr>
      <w:r>
        <w:rPr>
          <w:rFonts w:hint="eastAsia" w:cs="宋体"/>
          <w:color w:val="auto"/>
          <w:spacing w:val="-3"/>
          <w:sz w:val="21"/>
          <w:szCs w:val="21"/>
          <w:highlight w:val="none"/>
        </w:rPr>
        <w:t>发包人应根据建设行政主管部门和（</w:t>
      </w:r>
      <w:r>
        <w:rPr>
          <w:rFonts w:hint="eastAsia" w:cs="宋体"/>
          <w:color w:val="auto"/>
          <w:sz w:val="21"/>
          <w:szCs w:val="21"/>
          <w:highlight w:val="none"/>
        </w:rPr>
        <w:t>或</w:t>
      </w:r>
      <w:r>
        <w:rPr>
          <w:rFonts w:hint="eastAsia" w:cs="宋体"/>
          <w:color w:val="auto"/>
          <w:spacing w:val="-3"/>
          <w:sz w:val="21"/>
          <w:szCs w:val="21"/>
          <w:highlight w:val="none"/>
        </w:rPr>
        <w:t>）城市建设档案管理机构的规定，收集、整理、</w:t>
      </w:r>
      <w:r>
        <w:rPr>
          <w:rFonts w:hint="eastAsia" w:cs="宋体"/>
          <w:color w:val="auto"/>
          <w:spacing w:val="-12"/>
          <w:sz w:val="21"/>
          <w:szCs w:val="21"/>
          <w:highlight w:val="none"/>
        </w:rPr>
        <w:t>立卷、归档工程资料，并按规定时间向建设行政主管部门或者城市建设档案管理机构移交规</w:t>
      </w:r>
      <w:r>
        <w:rPr>
          <w:rFonts w:hint="eastAsia" w:cs="宋体"/>
          <w:color w:val="auto"/>
          <w:spacing w:val="-6"/>
          <w:sz w:val="21"/>
          <w:szCs w:val="21"/>
          <w:highlight w:val="none"/>
        </w:rPr>
        <w:t>定的工程档案。</w:t>
      </w:r>
    </w:p>
    <w:p>
      <w:pPr>
        <w:pStyle w:val="7"/>
        <w:widowControl/>
        <w:numPr>
          <w:ilvl w:val="1"/>
          <w:numId w:val="14"/>
        </w:numPr>
        <w:spacing w:before="136"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批准和确认 </w:t>
      </w:r>
    </w:p>
    <w:p>
      <w:pPr>
        <w:pStyle w:val="20"/>
        <w:widowControl w:val="0"/>
        <w:autoSpaceDE w:val="0"/>
        <w:autoSpaceDN w:val="0"/>
        <w:spacing w:before="0"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8"/>
          <w:sz w:val="21"/>
          <w:szCs w:val="21"/>
          <w:highlight w:val="none"/>
        </w:rPr>
        <w:t>按照合同约定应当由监理人或者发包人回复、批复、批准和确认，或承包人提出修改意</w:t>
      </w:r>
      <w:r>
        <w:rPr>
          <w:rFonts w:hint="eastAsia" w:cs="宋体"/>
          <w:color w:val="auto"/>
          <w:spacing w:val="-13"/>
          <w:sz w:val="21"/>
          <w:szCs w:val="21"/>
          <w:highlight w:val="none"/>
        </w:rPr>
        <w:t>见的要求、请求、申请和报批等，自监理人或者发包人指定的接收人收到承包人发出的相应</w:t>
      </w:r>
      <w:r>
        <w:rPr>
          <w:rFonts w:hint="eastAsia" w:cs="宋体"/>
          <w:color w:val="auto"/>
          <w:spacing w:val="-12"/>
          <w:sz w:val="21"/>
          <w:szCs w:val="21"/>
          <w:highlight w:val="none"/>
        </w:rPr>
        <w:t>要求、请求、申请和报批之日起，如果监理人或者发包人在合同约定的期限内未予回复、批</w:t>
      </w:r>
      <w:r>
        <w:rPr>
          <w:rFonts w:hint="eastAsia" w:cs="宋体"/>
          <w:color w:val="auto"/>
          <w:spacing w:val="-6"/>
          <w:sz w:val="21"/>
          <w:szCs w:val="21"/>
          <w:highlight w:val="none"/>
        </w:rPr>
        <w:t>复、批准、确认或提出修改意见的，视为监理人和发包人已经同意、确认或者批准。</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其他义务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发包人应履行的其他义务见合同条款专用部分。</w:t>
      </w:r>
    </w:p>
    <w:p>
      <w:pPr>
        <w:pStyle w:val="6"/>
        <w:widowControl/>
        <w:numPr>
          <w:ilvl w:val="0"/>
          <w:numId w:val="14"/>
        </w:numPr>
        <w:spacing w:before="132" w:after="0"/>
        <w:ind w:hanging="284"/>
        <w:jc w:val="left"/>
        <w:rPr>
          <w:rFonts w:ascii="宋体" w:hAnsi="宋体" w:eastAsia="宋体" w:cs="宋体"/>
          <w:color w:val="auto"/>
          <w:szCs w:val="28"/>
          <w:highlight w:val="none"/>
        </w:rPr>
      </w:pPr>
      <w:r>
        <w:rPr>
          <w:rFonts w:hint="eastAsia" w:ascii="宋体" w:hAnsi="宋体" w:eastAsia="宋体" w:cs="宋体"/>
          <w:color w:val="auto"/>
          <w:spacing w:val="-1"/>
          <w:szCs w:val="28"/>
          <w:highlight w:val="none"/>
        </w:rPr>
        <w:t>监理人</w:t>
      </w:r>
    </w:p>
    <w:p>
      <w:pPr>
        <w:pStyle w:val="7"/>
        <w:widowControl/>
        <w:numPr>
          <w:ilvl w:val="1"/>
          <w:numId w:val="14"/>
        </w:numPr>
        <w:spacing w:before="0"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监理人的职责和权力 </w:t>
      </w:r>
    </w:p>
    <w:p>
      <w:pPr>
        <w:pStyle w:val="20"/>
        <w:widowControl w:val="0"/>
        <w:autoSpaceDE w:val="0"/>
        <w:autoSpaceDN w:val="0"/>
        <w:spacing w:before="1" w:beforeAutospacing="0" w:after="0" w:afterAutospacing="0" w:line="415" w:lineRule="auto"/>
        <w:ind w:left="138" w:right="309" w:firstLine="204" w:firstLineChars="100"/>
        <w:jc w:val="both"/>
        <w:rPr>
          <w:rFonts w:cs="宋体"/>
          <w:color w:val="auto"/>
          <w:sz w:val="21"/>
          <w:szCs w:val="21"/>
          <w:highlight w:val="none"/>
        </w:rPr>
      </w:pPr>
      <w:r>
        <w:rPr>
          <w:rFonts w:hint="eastAsia" w:cs="宋体"/>
          <w:color w:val="auto"/>
          <w:spacing w:val="-3"/>
          <w:sz w:val="21"/>
          <w:szCs w:val="21"/>
          <w:highlight w:val="none"/>
        </w:rPr>
        <w:t>3.1.1 监理人受发包人委托，享有合同约定的权力。监理人在行使某项权力前需要经发</w:t>
      </w:r>
      <w:r>
        <w:rPr>
          <w:rFonts w:hint="eastAsia" w:cs="宋体"/>
          <w:color w:val="auto"/>
          <w:spacing w:val="-10"/>
          <w:sz w:val="21"/>
          <w:szCs w:val="21"/>
          <w:highlight w:val="none"/>
        </w:rPr>
        <w:t>包人事先批准，合同条款通用部分没有指明的，应在合同中指明。监理人履行须经发包人批</w:t>
      </w:r>
      <w:r>
        <w:rPr>
          <w:rFonts w:hint="eastAsia" w:cs="宋体"/>
          <w:color w:val="auto"/>
          <w:spacing w:val="-12"/>
          <w:sz w:val="21"/>
          <w:szCs w:val="21"/>
          <w:highlight w:val="none"/>
        </w:rPr>
        <w:t>准行使的权力时，应当向承包人出示其行使该权力已经取得发包人批准的文件或者其他合法</w:t>
      </w:r>
      <w:r>
        <w:rPr>
          <w:rFonts w:hint="eastAsia" w:cs="宋体"/>
          <w:color w:val="auto"/>
          <w:spacing w:val="-5"/>
          <w:sz w:val="21"/>
          <w:szCs w:val="21"/>
          <w:highlight w:val="none"/>
        </w:rPr>
        <w:t>有效的证明。发包人需批准明确行使的权力见合同条款专用部分。</w:t>
      </w:r>
    </w:p>
    <w:p>
      <w:pPr>
        <w:pStyle w:val="20"/>
        <w:widowControl w:val="0"/>
        <w:autoSpaceDE w:val="0"/>
        <w:autoSpaceDN w:val="0"/>
        <w:spacing w:before="0" w:beforeAutospacing="0" w:after="0" w:afterAutospacing="0" w:line="415" w:lineRule="auto"/>
        <w:ind w:left="138" w:right="309" w:firstLine="204" w:firstLineChars="100"/>
        <w:rPr>
          <w:rFonts w:cs="宋体"/>
          <w:color w:val="auto"/>
          <w:sz w:val="21"/>
          <w:szCs w:val="21"/>
          <w:highlight w:val="none"/>
        </w:rPr>
      </w:pPr>
      <w:r>
        <w:rPr>
          <w:rFonts w:hint="eastAsia" w:cs="宋体"/>
          <w:color w:val="auto"/>
          <w:spacing w:val="-3"/>
          <w:sz w:val="21"/>
          <w:szCs w:val="21"/>
          <w:highlight w:val="none"/>
        </w:rPr>
        <w:t>3.1.2 监理人发出的任何指示应视为已得到发包人的批准，但监理人无权免除或变更合同约定的发包人和承包人的权利、义务和责任。</w:t>
      </w:r>
    </w:p>
    <w:p>
      <w:pPr>
        <w:pStyle w:val="20"/>
        <w:widowControl w:val="0"/>
        <w:autoSpaceDE w:val="0"/>
        <w:autoSpaceDN w:val="0"/>
        <w:spacing w:before="0" w:beforeAutospacing="0" w:after="0" w:afterAutospacing="0" w:line="415" w:lineRule="auto"/>
        <w:ind w:left="138" w:right="309" w:firstLine="204" w:firstLineChars="100"/>
        <w:jc w:val="both"/>
        <w:rPr>
          <w:rFonts w:cs="宋体"/>
          <w:color w:val="auto"/>
          <w:sz w:val="21"/>
          <w:szCs w:val="21"/>
          <w:highlight w:val="none"/>
        </w:rPr>
      </w:pPr>
      <w:r>
        <w:rPr>
          <w:rFonts w:hint="eastAsia" w:cs="宋体"/>
          <w:color w:val="auto"/>
          <w:spacing w:val="-3"/>
          <w:sz w:val="21"/>
          <w:szCs w:val="21"/>
          <w:highlight w:val="none"/>
        </w:rPr>
        <w:t>3.1.3 合同约定应由承包人承担的义务和责任，不因监理人对承包人提交文件的审查或</w:t>
      </w:r>
      <w:r>
        <w:rPr>
          <w:rFonts w:hint="eastAsia" w:cs="宋体"/>
          <w:color w:val="auto"/>
          <w:spacing w:val="-11"/>
          <w:sz w:val="21"/>
          <w:szCs w:val="21"/>
          <w:highlight w:val="none"/>
        </w:rPr>
        <w:t>批准，对工程、材料和设备的检查和检验，以及为实施监理作出的指示等职务行为而减轻或</w:t>
      </w:r>
      <w:r>
        <w:rPr>
          <w:rFonts w:hint="eastAsia" w:cs="宋体"/>
          <w:color w:val="auto"/>
          <w:spacing w:val="-7"/>
          <w:sz w:val="21"/>
          <w:szCs w:val="21"/>
          <w:highlight w:val="none"/>
        </w:rPr>
        <w:t>解除。</w:t>
      </w:r>
    </w:p>
    <w:p>
      <w:pPr>
        <w:pStyle w:val="20"/>
        <w:widowControl w:val="0"/>
        <w:autoSpaceDE w:val="0"/>
        <w:autoSpaceDN w:val="0"/>
        <w:spacing w:before="0" w:beforeAutospacing="0" w:after="0" w:afterAutospacing="0" w:line="415" w:lineRule="auto"/>
        <w:ind w:left="138" w:right="309" w:firstLine="204" w:firstLineChars="100"/>
        <w:rPr>
          <w:rFonts w:cs="宋体"/>
          <w:color w:val="auto"/>
          <w:sz w:val="22"/>
          <w:szCs w:val="22"/>
          <w:highlight w:val="none"/>
        </w:rPr>
      </w:pPr>
      <w:r>
        <w:rPr>
          <w:rFonts w:hint="eastAsia" w:cs="宋体"/>
          <w:color w:val="auto"/>
          <w:spacing w:val="-3"/>
          <w:sz w:val="21"/>
          <w:szCs w:val="21"/>
          <w:highlight w:val="none"/>
        </w:rPr>
        <w:t>3.1.4 监理人负责审查施工现场疫情常态化防控工作方案，检查落实情况并提出合理化建议。</w:t>
      </w:r>
    </w:p>
    <w:p>
      <w:pPr>
        <w:pStyle w:val="7"/>
        <w:widowControl/>
        <w:numPr>
          <w:ilvl w:val="1"/>
          <w:numId w:val="14"/>
        </w:numPr>
        <w:spacing w:before="66"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总监理工程师 </w:t>
      </w:r>
    </w:p>
    <w:p>
      <w:pPr>
        <w:pStyle w:val="20"/>
        <w:widowControl w:val="0"/>
        <w:autoSpaceDE w:val="0"/>
        <w:autoSpaceDN w:val="0"/>
        <w:spacing w:before="0" w:beforeAutospacing="0" w:after="0" w:afterAutospacing="0" w:line="415" w:lineRule="auto"/>
        <w:ind w:left="138" w:right="206" w:firstLine="419"/>
        <w:jc w:val="both"/>
        <w:rPr>
          <w:rFonts w:cs="宋体"/>
          <w:color w:val="auto"/>
          <w:sz w:val="21"/>
          <w:szCs w:val="21"/>
          <w:highlight w:val="none"/>
        </w:rPr>
      </w:pPr>
      <w:r>
        <w:rPr>
          <w:rFonts w:hint="eastAsia" w:cs="宋体"/>
          <w:color w:val="auto"/>
          <w:spacing w:val="-3"/>
          <w:sz w:val="21"/>
          <w:szCs w:val="21"/>
          <w:highlight w:val="none"/>
        </w:rPr>
        <w:t xml:space="preserve">发包人应在发出开工通知前将总监理工程师的任命通知承包人。总监理工程师更换时， </w:t>
      </w:r>
      <w:r>
        <w:rPr>
          <w:rFonts w:hint="eastAsia" w:cs="宋体"/>
          <w:color w:val="auto"/>
          <w:spacing w:val="-10"/>
          <w:sz w:val="21"/>
          <w:szCs w:val="21"/>
          <w:highlight w:val="none"/>
        </w:rPr>
        <w:t xml:space="preserve">应在调离 </w:t>
      </w:r>
      <w:r>
        <w:rPr>
          <w:rFonts w:hint="eastAsia" w:cs="宋体"/>
          <w:color w:val="auto"/>
          <w:sz w:val="21"/>
          <w:szCs w:val="21"/>
          <w:highlight w:val="none"/>
        </w:rPr>
        <w:t>14</w:t>
      </w:r>
      <w:r>
        <w:rPr>
          <w:rFonts w:hint="eastAsia" w:cs="宋体"/>
          <w:color w:val="auto"/>
          <w:spacing w:val="-13"/>
          <w:sz w:val="21"/>
          <w:szCs w:val="21"/>
          <w:highlight w:val="none"/>
        </w:rPr>
        <w:t xml:space="preserve"> 天前通知承包人。总监理工程师短期离开施工场地的，应委派代表代行其职责， </w:t>
      </w:r>
      <w:r>
        <w:rPr>
          <w:rFonts w:hint="eastAsia" w:cs="宋体"/>
          <w:color w:val="auto"/>
          <w:spacing w:val="-6"/>
          <w:sz w:val="21"/>
          <w:szCs w:val="21"/>
          <w:highlight w:val="none"/>
        </w:rPr>
        <w:t>并通知承包人。</w:t>
      </w:r>
    </w:p>
    <w:p>
      <w:pPr>
        <w:pStyle w:val="7"/>
        <w:widowControl/>
        <w:numPr>
          <w:ilvl w:val="1"/>
          <w:numId w:val="14"/>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监理人员 </w:t>
      </w:r>
    </w:p>
    <w:p>
      <w:pPr>
        <w:pStyle w:val="20"/>
        <w:widowControl w:val="0"/>
        <w:autoSpaceDE w:val="0"/>
        <w:autoSpaceDN w:val="0"/>
        <w:spacing w:before="0" w:beforeAutospacing="0" w:after="0" w:afterAutospacing="0" w:line="415" w:lineRule="auto"/>
        <w:ind w:left="138" w:right="308" w:firstLine="408" w:firstLineChars="200"/>
        <w:jc w:val="both"/>
        <w:rPr>
          <w:rFonts w:cs="宋体"/>
          <w:color w:val="auto"/>
          <w:sz w:val="21"/>
          <w:szCs w:val="21"/>
          <w:highlight w:val="none"/>
        </w:rPr>
      </w:pPr>
      <w:r>
        <w:rPr>
          <w:rFonts w:hint="eastAsia" w:cs="宋体"/>
          <w:color w:val="auto"/>
          <w:spacing w:val="-3"/>
          <w:sz w:val="21"/>
          <w:szCs w:val="21"/>
          <w:highlight w:val="none"/>
        </w:rPr>
        <w:t>3.3.1 总监理工程师可以授权其他监理人员负责执行其指派的一项或多项监理工作。总</w:t>
      </w:r>
      <w:r>
        <w:rPr>
          <w:rFonts w:hint="eastAsia" w:cs="宋体"/>
          <w:color w:val="auto"/>
          <w:spacing w:val="-6"/>
          <w:sz w:val="21"/>
          <w:szCs w:val="21"/>
          <w:highlight w:val="none"/>
        </w:rPr>
        <w:t>监理工程师应将被授权监理人员的姓名及其授权范围通知承包人。被授权的监理人员在授权</w:t>
      </w:r>
      <w:r>
        <w:rPr>
          <w:rFonts w:hint="eastAsia" w:cs="宋体"/>
          <w:color w:val="auto"/>
          <w:spacing w:val="-8"/>
          <w:sz w:val="21"/>
          <w:szCs w:val="21"/>
          <w:highlight w:val="none"/>
        </w:rPr>
        <w:t>范围内发出的指示视为已得到总监理工程师的同意，与总监理工程师发出的指示具有同等效</w:t>
      </w:r>
      <w:r>
        <w:rPr>
          <w:rFonts w:hint="eastAsia" w:cs="宋体"/>
          <w:color w:val="auto"/>
          <w:spacing w:val="-4"/>
          <w:sz w:val="21"/>
          <w:szCs w:val="21"/>
          <w:highlight w:val="none"/>
        </w:rPr>
        <w:t xml:space="preserve">力。总监理工程师撤销某项授权时，应将撤销授权的决定及时通知承包人。 </w:t>
      </w:r>
    </w:p>
    <w:p>
      <w:pPr>
        <w:pStyle w:val="20"/>
        <w:widowControl w:val="0"/>
        <w:autoSpaceDE w:val="0"/>
        <w:autoSpaceDN w:val="0"/>
        <w:spacing w:before="0" w:beforeAutospacing="0" w:after="0" w:afterAutospacing="0" w:line="415" w:lineRule="auto"/>
        <w:ind w:left="138" w:right="203" w:firstLine="408" w:firstLineChars="200"/>
        <w:rPr>
          <w:rFonts w:cs="宋体"/>
          <w:color w:val="auto"/>
          <w:sz w:val="21"/>
          <w:szCs w:val="21"/>
          <w:highlight w:val="none"/>
        </w:rPr>
      </w:pPr>
      <w:r>
        <w:rPr>
          <w:rFonts w:hint="eastAsia" w:cs="宋体"/>
          <w:color w:val="auto"/>
          <w:spacing w:val="-3"/>
          <w:sz w:val="21"/>
          <w:szCs w:val="21"/>
          <w:highlight w:val="none"/>
        </w:rPr>
        <w:t>3.3.2 监理人员对承包人的任何工作、工程或其采用的材料和工程设备未在约定的或合</w:t>
      </w:r>
      <w:r>
        <w:rPr>
          <w:rFonts w:hint="eastAsia" w:cs="宋体"/>
          <w:color w:val="auto"/>
          <w:spacing w:val="-13"/>
          <w:sz w:val="21"/>
          <w:szCs w:val="21"/>
          <w:highlight w:val="none"/>
        </w:rPr>
        <w:t>理的期限内提出否定意见的，视为已获批准，但不影响监理人在以后拒绝该项工作、工程、材</w:t>
      </w:r>
      <w:r>
        <w:rPr>
          <w:rFonts w:hint="eastAsia" w:cs="宋体"/>
          <w:color w:val="auto"/>
          <w:spacing w:val="-5"/>
          <w:sz w:val="21"/>
          <w:szCs w:val="21"/>
          <w:highlight w:val="none"/>
        </w:rPr>
        <w:t>料或工程设备的权利。</w:t>
      </w:r>
    </w:p>
    <w:p>
      <w:pPr>
        <w:pStyle w:val="20"/>
        <w:widowControl w:val="0"/>
        <w:autoSpaceDE w:val="0"/>
        <w:autoSpaceDN w:val="0"/>
        <w:spacing w:before="0" w:beforeAutospacing="0" w:after="0" w:afterAutospacing="0" w:line="415" w:lineRule="auto"/>
        <w:ind w:left="138" w:right="309" w:firstLine="408" w:firstLineChars="200"/>
        <w:rPr>
          <w:rFonts w:cs="宋体"/>
          <w:color w:val="auto"/>
          <w:sz w:val="21"/>
          <w:szCs w:val="21"/>
          <w:highlight w:val="none"/>
        </w:rPr>
      </w:pPr>
      <w:r>
        <w:rPr>
          <w:rFonts w:hint="eastAsia" w:cs="宋体"/>
          <w:color w:val="auto"/>
          <w:spacing w:val="-3"/>
          <w:sz w:val="21"/>
          <w:szCs w:val="21"/>
          <w:highlight w:val="none"/>
        </w:rPr>
        <w:t>3.3.3 承包人对总监理工程师授权的监理人员发出的指示有疑问的，可向总监理工程师</w:t>
      </w:r>
      <w:r>
        <w:rPr>
          <w:rFonts w:hint="eastAsia" w:cs="宋体"/>
          <w:color w:val="auto"/>
          <w:spacing w:val="-7"/>
          <w:sz w:val="21"/>
          <w:szCs w:val="21"/>
          <w:highlight w:val="none"/>
        </w:rPr>
        <w:t xml:space="preserve">提出书面异议，总监理工程师应在 </w:t>
      </w:r>
      <w:r>
        <w:rPr>
          <w:rFonts w:hint="eastAsia" w:cs="宋体"/>
          <w:color w:val="auto"/>
          <w:sz w:val="21"/>
          <w:szCs w:val="21"/>
          <w:highlight w:val="none"/>
        </w:rPr>
        <w:t>48</w:t>
      </w:r>
      <w:r>
        <w:rPr>
          <w:rFonts w:hint="eastAsia" w:cs="宋体"/>
          <w:color w:val="auto"/>
          <w:spacing w:val="-9"/>
          <w:sz w:val="21"/>
          <w:szCs w:val="21"/>
          <w:highlight w:val="none"/>
        </w:rPr>
        <w:t xml:space="preserve"> 小时内对该指示予以确认、更改或撤销。</w:t>
      </w:r>
    </w:p>
    <w:p>
      <w:pPr>
        <w:pStyle w:val="20"/>
        <w:widowControl w:val="0"/>
        <w:autoSpaceDE w:val="0"/>
        <w:autoSpaceDN w:val="0"/>
        <w:spacing w:before="0" w:beforeAutospacing="0" w:after="0" w:afterAutospacing="0" w:line="415" w:lineRule="auto"/>
        <w:ind w:left="138" w:right="311" w:firstLine="400" w:firstLineChars="200"/>
        <w:rPr>
          <w:rFonts w:cs="宋体"/>
          <w:color w:val="auto"/>
          <w:sz w:val="21"/>
          <w:szCs w:val="21"/>
          <w:highlight w:val="none"/>
        </w:rPr>
      </w:pPr>
      <w:r>
        <w:rPr>
          <w:rFonts w:hint="eastAsia" w:cs="宋体"/>
          <w:color w:val="auto"/>
          <w:spacing w:val="-5"/>
          <w:sz w:val="21"/>
          <w:szCs w:val="21"/>
          <w:highlight w:val="none"/>
        </w:rPr>
        <w:t xml:space="preserve">3.3.4 总监理工程师不应将合同条款通用部分第 </w:t>
      </w:r>
      <w:r>
        <w:rPr>
          <w:rFonts w:hint="eastAsia" w:cs="宋体"/>
          <w:color w:val="auto"/>
          <w:sz w:val="21"/>
          <w:szCs w:val="21"/>
          <w:highlight w:val="none"/>
        </w:rPr>
        <w:t>3.5</w:t>
      </w:r>
      <w:r>
        <w:rPr>
          <w:rFonts w:hint="eastAsia" w:cs="宋体"/>
          <w:color w:val="auto"/>
          <w:spacing w:val="-7"/>
          <w:sz w:val="21"/>
          <w:szCs w:val="21"/>
          <w:highlight w:val="none"/>
        </w:rPr>
        <w:t xml:space="preserve"> 款约定应由总监理工程师作出确定</w:t>
      </w:r>
      <w:r>
        <w:rPr>
          <w:rFonts w:hint="eastAsia" w:cs="宋体"/>
          <w:color w:val="auto"/>
          <w:spacing w:val="-4"/>
          <w:sz w:val="21"/>
          <w:szCs w:val="21"/>
          <w:highlight w:val="none"/>
        </w:rPr>
        <w:t>的权力授权或者委托给其他监理人员。</w:t>
      </w:r>
    </w:p>
    <w:p>
      <w:pPr>
        <w:pStyle w:val="7"/>
        <w:widowControl/>
        <w:numPr>
          <w:ilvl w:val="1"/>
          <w:numId w:val="14"/>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监理人的指示 </w:t>
      </w:r>
    </w:p>
    <w:p>
      <w:pPr>
        <w:pStyle w:val="20"/>
        <w:widowControl w:val="0"/>
        <w:numPr>
          <w:ilvl w:val="2"/>
          <w:numId w:val="22"/>
        </w:numPr>
        <w:autoSpaceDE w:val="0"/>
        <w:autoSpaceDN w:val="0"/>
        <w:spacing w:before="1" w:beforeAutospacing="0" w:after="0" w:afterAutospacing="0"/>
        <w:rPr>
          <w:rFonts w:cs="宋体"/>
          <w:color w:val="auto"/>
          <w:sz w:val="21"/>
          <w:szCs w:val="21"/>
          <w:highlight w:val="none"/>
        </w:rPr>
      </w:pPr>
      <w:r>
        <w:rPr>
          <w:rFonts w:hint="eastAsia" w:cs="宋体"/>
          <w:color w:val="auto"/>
          <w:spacing w:val="-9"/>
          <w:sz w:val="21"/>
          <w:szCs w:val="21"/>
          <w:highlight w:val="none"/>
        </w:rPr>
        <w:t xml:space="preserve">监理人应按第 </w:t>
      </w:r>
      <w:r>
        <w:rPr>
          <w:rFonts w:hint="eastAsia" w:cs="宋体"/>
          <w:color w:val="auto"/>
          <w:sz w:val="21"/>
          <w:szCs w:val="21"/>
          <w:highlight w:val="none"/>
        </w:rPr>
        <w:t>3.1</w:t>
      </w:r>
      <w:r>
        <w:rPr>
          <w:rFonts w:hint="eastAsia" w:cs="宋体"/>
          <w:color w:val="auto"/>
          <w:spacing w:val="-8"/>
          <w:sz w:val="21"/>
          <w:szCs w:val="21"/>
          <w:highlight w:val="none"/>
        </w:rPr>
        <w:t xml:space="preserve"> 款的约定向承包人发出指示，监理人的指示应加盖监理人授</w:t>
      </w:r>
    </w:p>
    <w:p>
      <w:pPr>
        <w:pStyle w:val="20"/>
        <w:widowControl w:val="0"/>
        <w:autoSpaceDE w:val="0"/>
        <w:autoSpaceDN w:val="0"/>
        <w:spacing w:before="0" w:beforeAutospacing="0" w:after="0" w:afterAutospacing="0" w:line="415" w:lineRule="auto"/>
        <w:ind w:left="138" w:right="309"/>
        <w:rPr>
          <w:rFonts w:cs="宋体"/>
          <w:color w:val="auto"/>
          <w:sz w:val="21"/>
          <w:szCs w:val="21"/>
          <w:highlight w:val="none"/>
        </w:rPr>
      </w:pPr>
      <w:r>
        <w:rPr>
          <w:rFonts w:hint="eastAsia" w:cs="宋体"/>
          <w:color w:val="auto"/>
          <w:spacing w:val="-13"/>
          <w:sz w:val="21"/>
          <w:szCs w:val="21"/>
          <w:highlight w:val="none"/>
        </w:rPr>
        <w:t xml:space="preserve">权的施工场地机构章，并由总监理工程师或总监理工程师按第 </w:t>
      </w:r>
      <w:r>
        <w:rPr>
          <w:rFonts w:hint="eastAsia" w:cs="宋体"/>
          <w:color w:val="auto"/>
          <w:sz w:val="21"/>
          <w:szCs w:val="21"/>
          <w:highlight w:val="none"/>
        </w:rPr>
        <w:t>3.3.1</w:t>
      </w:r>
      <w:r>
        <w:rPr>
          <w:rFonts w:hint="eastAsia" w:cs="宋体"/>
          <w:color w:val="auto"/>
          <w:spacing w:val="-8"/>
          <w:sz w:val="21"/>
          <w:szCs w:val="21"/>
          <w:highlight w:val="none"/>
        </w:rPr>
        <w:t xml:space="preserve"> 项约定授权的监理人员</w:t>
      </w:r>
      <w:r>
        <w:rPr>
          <w:rFonts w:hint="eastAsia" w:cs="宋体"/>
          <w:color w:val="auto"/>
          <w:spacing w:val="-7"/>
          <w:sz w:val="21"/>
          <w:szCs w:val="21"/>
          <w:highlight w:val="none"/>
        </w:rPr>
        <w:t>签字。</w:t>
      </w:r>
    </w:p>
    <w:p>
      <w:pPr>
        <w:pStyle w:val="20"/>
        <w:widowControl w:val="0"/>
        <w:numPr>
          <w:ilvl w:val="2"/>
          <w:numId w:val="22"/>
        </w:numPr>
        <w:autoSpaceDE w:val="0"/>
        <w:autoSpaceDN w:val="0"/>
        <w:spacing w:before="1" w:beforeAutospacing="0" w:after="0" w:afterAutospacing="0"/>
        <w:rPr>
          <w:rFonts w:cs="宋体"/>
          <w:color w:val="auto"/>
          <w:sz w:val="21"/>
          <w:szCs w:val="21"/>
          <w:highlight w:val="none"/>
        </w:rPr>
      </w:pPr>
      <w:r>
        <w:rPr>
          <w:rFonts w:hint="eastAsia" w:cs="宋体"/>
          <w:color w:val="auto"/>
          <w:spacing w:val="-6"/>
          <w:sz w:val="21"/>
          <w:szCs w:val="21"/>
          <w:highlight w:val="none"/>
        </w:rPr>
        <w:t xml:space="preserve">承包人收到监理人按第 </w:t>
      </w:r>
      <w:r>
        <w:rPr>
          <w:rFonts w:hint="eastAsia" w:cs="宋体"/>
          <w:color w:val="auto"/>
          <w:sz w:val="21"/>
          <w:szCs w:val="21"/>
          <w:highlight w:val="none"/>
        </w:rPr>
        <w:t>3.4.1</w:t>
      </w:r>
      <w:r>
        <w:rPr>
          <w:rFonts w:hint="eastAsia" w:cs="宋体"/>
          <w:color w:val="auto"/>
          <w:spacing w:val="-14"/>
          <w:sz w:val="21"/>
          <w:szCs w:val="21"/>
          <w:highlight w:val="none"/>
        </w:rPr>
        <w:t xml:space="preserve"> 项作出的指示后，应遵照执行。指示构成变更的，</w:t>
      </w:r>
    </w:p>
    <w:p>
      <w:pPr>
        <w:pStyle w:val="20"/>
        <w:widowControl w:val="0"/>
        <w:autoSpaceDE w:val="0"/>
        <w:autoSpaceDN w:val="0"/>
        <w:spacing w:before="0" w:beforeAutospacing="0" w:after="0" w:afterAutospacing="0"/>
        <w:ind w:left="138"/>
        <w:rPr>
          <w:rFonts w:cs="宋体"/>
          <w:color w:val="auto"/>
          <w:sz w:val="21"/>
          <w:szCs w:val="21"/>
          <w:highlight w:val="none"/>
        </w:rPr>
      </w:pPr>
      <w:r>
        <w:rPr>
          <w:rFonts w:hint="eastAsia" w:cs="宋体"/>
          <w:color w:val="auto"/>
          <w:spacing w:val="-14"/>
          <w:sz w:val="21"/>
          <w:szCs w:val="21"/>
          <w:highlight w:val="none"/>
        </w:rPr>
        <w:t xml:space="preserve">应按第 </w:t>
      </w:r>
      <w:r>
        <w:rPr>
          <w:rFonts w:hint="eastAsia" w:cs="宋体"/>
          <w:color w:val="auto"/>
          <w:sz w:val="21"/>
          <w:szCs w:val="21"/>
          <w:highlight w:val="none"/>
        </w:rPr>
        <w:t>15</w:t>
      </w:r>
      <w:r>
        <w:rPr>
          <w:rFonts w:hint="eastAsia" w:cs="宋体"/>
          <w:color w:val="auto"/>
          <w:spacing w:val="-12"/>
          <w:sz w:val="21"/>
          <w:szCs w:val="21"/>
          <w:highlight w:val="none"/>
        </w:rPr>
        <w:t xml:space="preserve"> 条处理。</w:t>
      </w:r>
    </w:p>
    <w:p>
      <w:pPr>
        <w:pStyle w:val="20"/>
        <w:widowControl w:val="0"/>
        <w:numPr>
          <w:ilvl w:val="2"/>
          <w:numId w:val="22"/>
        </w:numPr>
        <w:autoSpaceDE w:val="0"/>
        <w:autoSpaceDN w:val="0"/>
        <w:spacing w:before="0" w:beforeAutospacing="0" w:after="0" w:afterAutospacing="0" w:line="415" w:lineRule="auto"/>
        <w:ind w:left="138" w:right="203" w:firstLine="419"/>
        <w:rPr>
          <w:rFonts w:cs="宋体"/>
          <w:color w:val="auto"/>
          <w:sz w:val="21"/>
          <w:szCs w:val="21"/>
          <w:highlight w:val="none"/>
        </w:rPr>
      </w:pPr>
      <w:r>
        <w:rPr>
          <w:rFonts w:hint="eastAsia" w:cs="宋体"/>
          <w:color w:val="auto"/>
          <w:spacing w:val="-12"/>
          <w:sz w:val="21"/>
          <w:szCs w:val="21"/>
          <w:highlight w:val="none"/>
        </w:rPr>
        <w:t>在紧急情况下，总监理工程师或被授权的监理人员可以当场签发临时书面指示，承</w:t>
      </w:r>
      <w:r>
        <w:rPr>
          <w:rFonts w:hint="eastAsia" w:cs="宋体"/>
          <w:color w:val="auto"/>
          <w:spacing w:val="-7"/>
          <w:sz w:val="21"/>
          <w:szCs w:val="21"/>
          <w:highlight w:val="none"/>
        </w:rPr>
        <w:t xml:space="preserve">包人应遵照执行。承包人应在收到上述临时书面指示后 </w:t>
      </w:r>
      <w:r>
        <w:rPr>
          <w:rFonts w:hint="eastAsia" w:cs="宋体"/>
          <w:color w:val="auto"/>
          <w:sz w:val="21"/>
          <w:szCs w:val="21"/>
          <w:highlight w:val="none"/>
        </w:rPr>
        <w:t>24</w:t>
      </w:r>
      <w:r>
        <w:rPr>
          <w:rFonts w:hint="eastAsia" w:cs="宋体"/>
          <w:color w:val="auto"/>
          <w:spacing w:val="-8"/>
          <w:sz w:val="21"/>
          <w:szCs w:val="21"/>
          <w:highlight w:val="none"/>
        </w:rPr>
        <w:t xml:space="preserve"> 小时内，向监理人发出书面确</w:t>
      </w:r>
    </w:p>
    <w:p>
      <w:pPr>
        <w:pStyle w:val="20"/>
        <w:widowControl w:val="0"/>
        <w:autoSpaceDE w:val="0"/>
        <w:autoSpaceDN w:val="0"/>
        <w:spacing w:before="0" w:beforeAutospacing="0" w:after="0" w:afterAutospacing="0" w:line="415" w:lineRule="auto"/>
        <w:ind w:left="138" w:right="308"/>
        <w:rPr>
          <w:rFonts w:cs="宋体"/>
          <w:color w:val="auto"/>
          <w:sz w:val="21"/>
          <w:szCs w:val="21"/>
          <w:highlight w:val="none"/>
        </w:rPr>
      </w:pPr>
      <w:r>
        <w:rPr>
          <w:rFonts w:hint="eastAsia" w:cs="宋体"/>
          <w:color w:val="auto"/>
          <w:spacing w:val="-5"/>
          <w:sz w:val="21"/>
          <w:szCs w:val="21"/>
          <w:highlight w:val="none"/>
        </w:rPr>
        <w:t xml:space="preserve">认函。监理人在收到书面确认函后 </w:t>
      </w:r>
      <w:r>
        <w:rPr>
          <w:rFonts w:hint="eastAsia" w:cs="宋体"/>
          <w:color w:val="auto"/>
          <w:sz w:val="21"/>
          <w:szCs w:val="21"/>
          <w:highlight w:val="none"/>
        </w:rPr>
        <w:t>24</w:t>
      </w:r>
      <w:r>
        <w:rPr>
          <w:rFonts w:hint="eastAsia" w:cs="宋体"/>
          <w:color w:val="auto"/>
          <w:spacing w:val="-7"/>
          <w:sz w:val="21"/>
          <w:szCs w:val="21"/>
          <w:highlight w:val="none"/>
        </w:rPr>
        <w:t xml:space="preserve"> 小时内未予答复的，该书面确认函应被视为监理人的</w:t>
      </w:r>
      <w:r>
        <w:rPr>
          <w:rFonts w:hint="eastAsia" w:cs="宋体"/>
          <w:color w:val="auto"/>
          <w:spacing w:val="-5"/>
          <w:sz w:val="21"/>
          <w:szCs w:val="21"/>
          <w:highlight w:val="none"/>
        </w:rPr>
        <w:t>正式指示。</w:t>
      </w:r>
    </w:p>
    <w:p>
      <w:pPr>
        <w:pStyle w:val="20"/>
        <w:widowControl w:val="0"/>
        <w:numPr>
          <w:ilvl w:val="2"/>
          <w:numId w:val="22"/>
        </w:numPr>
        <w:autoSpaceDE w:val="0"/>
        <w:autoSpaceDN w:val="0"/>
        <w:spacing w:before="0" w:beforeAutospacing="0" w:after="0" w:afterAutospacing="0" w:line="415" w:lineRule="auto"/>
        <w:ind w:left="138" w:right="309" w:firstLine="419"/>
        <w:rPr>
          <w:rFonts w:cs="宋体"/>
          <w:color w:val="auto"/>
          <w:sz w:val="23"/>
          <w:szCs w:val="23"/>
          <w:highlight w:val="none"/>
        </w:rPr>
      </w:pPr>
      <w:r>
        <w:rPr>
          <w:rFonts w:hint="eastAsia" w:cs="宋体"/>
          <w:color w:val="auto"/>
          <w:spacing w:val="-5"/>
          <w:sz w:val="21"/>
          <w:szCs w:val="21"/>
          <w:highlight w:val="none"/>
        </w:rPr>
        <w:t xml:space="preserve">除合同另有约定外，承包人只从总监理工程师或按第 </w:t>
      </w:r>
      <w:r>
        <w:rPr>
          <w:rFonts w:hint="eastAsia" w:cs="宋体"/>
          <w:color w:val="auto"/>
          <w:sz w:val="21"/>
          <w:szCs w:val="21"/>
          <w:highlight w:val="none"/>
        </w:rPr>
        <w:t>3.3.1</w:t>
      </w:r>
      <w:r>
        <w:rPr>
          <w:rFonts w:hint="eastAsia" w:cs="宋体"/>
          <w:color w:val="auto"/>
          <w:spacing w:val="-6"/>
          <w:sz w:val="21"/>
          <w:szCs w:val="21"/>
          <w:highlight w:val="none"/>
        </w:rPr>
        <w:t xml:space="preserve"> 项被授权的监理人员</w:t>
      </w:r>
      <w:r>
        <w:rPr>
          <w:rFonts w:hint="eastAsia" w:cs="宋体"/>
          <w:color w:val="auto"/>
          <w:spacing w:val="-4"/>
          <w:sz w:val="21"/>
          <w:szCs w:val="21"/>
          <w:highlight w:val="none"/>
        </w:rPr>
        <w:t>处取得指示。</w:t>
      </w:r>
    </w:p>
    <w:p>
      <w:pPr>
        <w:pStyle w:val="20"/>
        <w:widowControl w:val="0"/>
        <w:numPr>
          <w:ilvl w:val="2"/>
          <w:numId w:val="22"/>
        </w:numPr>
        <w:autoSpaceDE w:val="0"/>
        <w:autoSpaceDN w:val="0"/>
        <w:spacing w:before="72" w:beforeAutospacing="0" w:after="0" w:afterAutospacing="0" w:line="415" w:lineRule="auto"/>
        <w:ind w:left="138" w:right="309" w:firstLine="419"/>
        <w:rPr>
          <w:rFonts w:cs="宋体"/>
          <w:color w:val="auto"/>
          <w:sz w:val="21"/>
          <w:szCs w:val="21"/>
          <w:highlight w:val="none"/>
        </w:rPr>
      </w:pPr>
      <w:r>
        <w:rPr>
          <w:rFonts w:hint="eastAsia" w:cs="宋体"/>
          <w:color w:val="auto"/>
          <w:spacing w:val="-3"/>
          <w:sz w:val="21"/>
          <w:szCs w:val="21"/>
          <w:highlight w:val="none"/>
        </w:rPr>
        <w:t>由于监理人未能按合同约定发出指示、指示延误或指示错误而导致承包人费用增加和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z w:val="21"/>
          <w:szCs w:val="21"/>
          <w:highlight w:val="none"/>
        </w:rPr>
        <w:t>）</w:t>
      </w:r>
      <w:r>
        <w:rPr>
          <w:rFonts w:hint="eastAsia" w:cs="宋体"/>
          <w:color w:val="auto"/>
          <w:spacing w:val="-3"/>
          <w:sz w:val="21"/>
          <w:szCs w:val="21"/>
          <w:highlight w:val="none"/>
        </w:rPr>
        <w:t xml:space="preserve">工期延误的，由发包人承担赔偿责任。 </w:t>
      </w:r>
    </w:p>
    <w:p>
      <w:pPr>
        <w:pStyle w:val="7"/>
        <w:widowControl/>
        <w:numPr>
          <w:ilvl w:val="1"/>
          <w:numId w:val="14"/>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商定或确定 </w:t>
      </w:r>
    </w:p>
    <w:p>
      <w:pPr>
        <w:pStyle w:val="20"/>
        <w:widowControl w:val="0"/>
        <w:autoSpaceDE w:val="0"/>
        <w:autoSpaceDN w:val="0"/>
        <w:spacing w:before="0" w:beforeAutospacing="0" w:after="0" w:afterAutospacing="0" w:line="415" w:lineRule="auto"/>
        <w:ind w:left="138" w:right="309" w:firstLine="419"/>
        <w:jc w:val="right"/>
        <w:rPr>
          <w:rFonts w:hint="eastAsia" w:eastAsia="宋体" w:cs="宋体"/>
          <w:color w:val="auto"/>
          <w:spacing w:val="-3"/>
          <w:sz w:val="21"/>
          <w:szCs w:val="21"/>
          <w:highlight w:val="none"/>
          <w:lang w:eastAsia="zh-CN"/>
        </w:rPr>
      </w:pPr>
      <w:r>
        <w:rPr>
          <w:rFonts w:hint="eastAsia" w:cs="宋体"/>
          <w:color w:val="auto"/>
          <w:sz w:val="21"/>
          <w:szCs w:val="21"/>
          <w:highlight w:val="none"/>
        </w:rPr>
        <w:t>3.5.1</w:t>
      </w:r>
      <w:r>
        <w:rPr>
          <w:rFonts w:hint="eastAsia" w:cs="宋体"/>
          <w:color w:val="auto"/>
          <w:spacing w:val="-3"/>
          <w:sz w:val="21"/>
          <w:szCs w:val="21"/>
          <w:highlight w:val="none"/>
        </w:rPr>
        <w:t xml:space="preserve"> 总监理工程师应按照本款对任何事项进行商定或确定时，总监理工程师应与合同当事人协商，尽量达成一致。不能达成一致的，总监理工程师应认真研究后审慎确定</w:t>
      </w:r>
      <w:r>
        <w:rPr>
          <w:rFonts w:hint="eastAsia" w:cs="宋体"/>
          <w:color w:val="auto"/>
          <w:spacing w:val="-3"/>
          <w:sz w:val="21"/>
          <w:szCs w:val="21"/>
          <w:highlight w:val="none"/>
          <w:lang w:eastAsia="zh-CN"/>
        </w:rPr>
        <w:t>。</w:t>
      </w:r>
    </w:p>
    <w:p>
      <w:pPr>
        <w:pStyle w:val="20"/>
        <w:widowControl w:val="0"/>
        <w:autoSpaceDE w:val="0"/>
        <w:autoSpaceDN w:val="0"/>
        <w:spacing w:before="0" w:beforeAutospacing="0" w:after="0" w:afterAutospacing="0" w:line="415" w:lineRule="auto"/>
        <w:ind w:left="138" w:right="309" w:firstLine="419"/>
        <w:jc w:val="right"/>
        <w:rPr>
          <w:rFonts w:hint="eastAsia" w:cs="宋体"/>
          <w:color w:val="auto"/>
          <w:spacing w:val="-3"/>
          <w:sz w:val="21"/>
          <w:szCs w:val="21"/>
          <w:highlight w:val="none"/>
        </w:rPr>
      </w:pPr>
      <w:r>
        <w:rPr>
          <w:rFonts w:hint="eastAsia" w:cs="宋体"/>
          <w:color w:val="auto"/>
          <w:sz w:val="21"/>
          <w:szCs w:val="21"/>
          <w:highlight w:val="none"/>
        </w:rPr>
        <w:t>3.5.2</w:t>
      </w:r>
      <w:r>
        <w:rPr>
          <w:rFonts w:hint="eastAsia" w:cs="宋体"/>
          <w:color w:val="auto"/>
          <w:spacing w:val="-3"/>
          <w:sz w:val="21"/>
          <w:szCs w:val="21"/>
          <w:highlight w:val="none"/>
        </w:rPr>
        <w:t xml:space="preserve"> 总监理工程师应将商定或确定的事项通知合同当事人，并附详细依据。对总</w:t>
      </w:r>
    </w:p>
    <w:p>
      <w:pPr>
        <w:pStyle w:val="20"/>
        <w:widowControl w:val="0"/>
        <w:autoSpaceDE w:val="0"/>
        <w:autoSpaceDN w:val="0"/>
        <w:spacing w:before="0" w:beforeAutospacing="0" w:after="0" w:afterAutospacing="0" w:line="415" w:lineRule="auto"/>
        <w:ind w:right="309"/>
        <w:jc w:val="both"/>
        <w:rPr>
          <w:rFonts w:cs="宋体"/>
          <w:color w:val="auto"/>
          <w:sz w:val="21"/>
          <w:szCs w:val="21"/>
          <w:highlight w:val="none"/>
        </w:rPr>
      </w:pPr>
      <w:r>
        <w:rPr>
          <w:rFonts w:hint="eastAsia" w:cs="宋体"/>
          <w:color w:val="auto"/>
          <w:spacing w:val="-3"/>
          <w:sz w:val="21"/>
          <w:szCs w:val="21"/>
          <w:highlight w:val="none"/>
        </w:rPr>
        <w:t>监</w:t>
      </w:r>
      <w:r>
        <w:rPr>
          <w:rFonts w:hint="eastAsia" w:cs="宋体"/>
          <w:color w:val="auto"/>
          <w:spacing w:val="-4"/>
          <w:sz w:val="21"/>
          <w:szCs w:val="21"/>
          <w:highlight w:val="none"/>
        </w:rPr>
        <w:t xml:space="preserve">理工程师的确定有异议的，构成争议，按照第 </w:t>
      </w:r>
      <w:r>
        <w:rPr>
          <w:rFonts w:hint="eastAsia" w:cs="宋体"/>
          <w:color w:val="auto"/>
          <w:sz w:val="21"/>
          <w:szCs w:val="21"/>
          <w:highlight w:val="none"/>
        </w:rPr>
        <w:t>24</w:t>
      </w:r>
      <w:r>
        <w:rPr>
          <w:rFonts w:hint="eastAsia" w:cs="宋体"/>
          <w:color w:val="auto"/>
          <w:spacing w:val="-6"/>
          <w:sz w:val="21"/>
          <w:szCs w:val="21"/>
          <w:highlight w:val="none"/>
        </w:rPr>
        <w:t xml:space="preserve"> 条的约定处理。在争议解决前，双方应暂</w:t>
      </w:r>
      <w:r>
        <w:rPr>
          <w:rFonts w:hint="eastAsia" w:cs="宋体"/>
          <w:color w:val="auto"/>
          <w:spacing w:val="-5"/>
          <w:sz w:val="21"/>
          <w:szCs w:val="21"/>
          <w:highlight w:val="none"/>
        </w:rPr>
        <w:t xml:space="preserve">按总监理工程师的确定执行；按照第 </w:t>
      </w:r>
      <w:r>
        <w:rPr>
          <w:rFonts w:hint="eastAsia" w:cs="宋体"/>
          <w:color w:val="auto"/>
          <w:sz w:val="21"/>
          <w:szCs w:val="21"/>
          <w:highlight w:val="none"/>
        </w:rPr>
        <w:t>24</w:t>
      </w:r>
      <w:r>
        <w:rPr>
          <w:rFonts w:hint="eastAsia" w:cs="宋体"/>
          <w:color w:val="auto"/>
          <w:spacing w:val="-7"/>
          <w:sz w:val="21"/>
          <w:szCs w:val="21"/>
          <w:highlight w:val="none"/>
        </w:rPr>
        <w:t xml:space="preserve"> 条的约定对总监理工程师的确定需要作出修改的， </w:t>
      </w:r>
      <w:r>
        <w:rPr>
          <w:rFonts w:hint="eastAsia" w:cs="宋体"/>
          <w:color w:val="auto"/>
          <w:spacing w:val="-5"/>
          <w:sz w:val="21"/>
          <w:szCs w:val="21"/>
          <w:highlight w:val="none"/>
        </w:rPr>
        <w:t>按修改后的结果执行。</w:t>
      </w:r>
    </w:p>
    <w:p>
      <w:pPr>
        <w:pStyle w:val="7"/>
        <w:widowControl/>
        <w:numPr>
          <w:ilvl w:val="1"/>
          <w:numId w:val="14"/>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监理人的宽恕 </w:t>
      </w:r>
    </w:p>
    <w:p>
      <w:pPr>
        <w:pStyle w:val="20"/>
        <w:widowControl w:val="0"/>
        <w:autoSpaceDE w:val="0"/>
        <w:autoSpaceDN w:val="0"/>
        <w:spacing w:before="0"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6"/>
          <w:sz w:val="21"/>
          <w:szCs w:val="21"/>
          <w:highlight w:val="none"/>
        </w:rPr>
        <w:t>监理人或者发包人就承包人对合同约定的任何责任和义务的某种违约行为的宽恕，不影</w:t>
      </w:r>
      <w:r>
        <w:rPr>
          <w:rFonts w:hint="eastAsia" w:cs="宋体"/>
          <w:color w:val="auto"/>
          <w:spacing w:val="-7"/>
          <w:sz w:val="21"/>
          <w:szCs w:val="21"/>
          <w:highlight w:val="none"/>
        </w:rPr>
        <w:t>响监理人和发包人在此后的任何时间严格按合同约定处理承包人的其它违约行为，也不意味</w:t>
      </w:r>
      <w:r>
        <w:rPr>
          <w:rFonts w:hint="eastAsia" w:cs="宋体"/>
          <w:color w:val="auto"/>
          <w:spacing w:val="-5"/>
          <w:sz w:val="21"/>
          <w:szCs w:val="21"/>
          <w:highlight w:val="none"/>
        </w:rPr>
        <w:t>发包人放弃合同约定的发包人与上述违约有关的任何权利和赔偿要求。</w:t>
      </w:r>
    </w:p>
    <w:p>
      <w:pPr>
        <w:pStyle w:val="6"/>
        <w:widowControl/>
        <w:numPr>
          <w:ilvl w:val="0"/>
          <w:numId w:val="14"/>
        </w:numPr>
        <w:spacing w:before="1" w:after="0"/>
        <w:ind w:hanging="284"/>
        <w:jc w:val="left"/>
        <w:rPr>
          <w:rFonts w:ascii="宋体" w:hAnsi="宋体" w:eastAsia="宋体" w:cs="宋体"/>
          <w:color w:val="auto"/>
          <w:szCs w:val="28"/>
          <w:highlight w:val="none"/>
        </w:rPr>
      </w:pPr>
      <w:r>
        <w:rPr>
          <w:rFonts w:hint="eastAsia" w:ascii="宋体" w:hAnsi="宋体" w:eastAsia="宋体" w:cs="宋体"/>
          <w:color w:val="auto"/>
          <w:spacing w:val="-1"/>
          <w:szCs w:val="28"/>
          <w:highlight w:val="none"/>
        </w:rPr>
        <w:t>承包人</w:t>
      </w:r>
    </w:p>
    <w:p>
      <w:pPr>
        <w:pStyle w:val="7"/>
        <w:widowControl/>
        <w:numPr>
          <w:ilvl w:val="1"/>
          <w:numId w:val="14"/>
        </w:numPr>
        <w:spacing w:before="1"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承包人的一般义务 </w:t>
      </w:r>
    </w:p>
    <w:p>
      <w:pPr>
        <w:pStyle w:val="20"/>
        <w:widowControl w:val="0"/>
        <w:numPr>
          <w:ilvl w:val="2"/>
          <w:numId w:val="23"/>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遵守法律</w:t>
      </w:r>
    </w:p>
    <w:p>
      <w:pPr>
        <w:pStyle w:val="20"/>
        <w:widowControl w:val="0"/>
        <w:autoSpaceDE w:val="0"/>
        <w:autoSpaceDN w:val="0"/>
        <w:spacing w:before="0" w:beforeAutospacing="0" w:after="0" w:afterAutospacing="0" w:line="415" w:lineRule="auto"/>
        <w:ind w:left="138" w:right="310" w:firstLine="419"/>
        <w:rPr>
          <w:rFonts w:cs="宋体"/>
          <w:color w:val="auto"/>
          <w:sz w:val="21"/>
          <w:szCs w:val="21"/>
          <w:highlight w:val="none"/>
        </w:rPr>
      </w:pPr>
      <w:r>
        <w:rPr>
          <w:rFonts w:hint="eastAsia" w:cs="宋体"/>
          <w:color w:val="auto"/>
          <w:spacing w:val="-9"/>
          <w:sz w:val="21"/>
          <w:szCs w:val="21"/>
          <w:highlight w:val="none"/>
        </w:rPr>
        <w:t>承包人在履行合同过程中应遵守法律，并保证发包人免于承担因承包人违反法律而引起</w:t>
      </w:r>
      <w:r>
        <w:rPr>
          <w:rFonts w:hint="eastAsia" w:cs="宋体"/>
          <w:color w:val="auto"/>
          <w:spacing w:val="-6"/>
          <w:sz w:val="21"/>
          <w:szCs w:val="21"/>
          <w:highlight w:val="none"/>
        </w:rPr>
        <w:t>的任何责任。</w:t>
      </w:r>
    </w:p>
    <w:p>
      <w:pPr>
        <w:pStyle w:val="20"/>
        <w:widowControl w:val="0"/>
        <w:numPr>
          <w:ilvl w:val="2"/>
          <w:numId w:val="23"/>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 xml:space="preserve">依法纳税 </w:t>
      </w:r>
    </w:p>
    <w:p>
      <w:pPr>
        <w:pStyle w:val="20"/>
        <w:widowControl w:val="0"/>
        <w:autoSpaceDE w:val="0"/>
        <w:autoSpaceDN w:val="0"/>
        <w:spacing w:before="0" w:beforeAutospacing="0" w:after="0" w:afterAutospacing="0" w:line="415" w:lineRule="auto"/>
        <w:ind w:left="558" w:right="2006"/>
        <w:rPr>
          <w:rFonts w:cs="宋体"/>
          <w:color w:val="auto"/>
          <w:sz w:val="21"/>
          <w:szCs w:val="21"/>
          <w:highlight w:val="none"/>
        </w:rPr>
      </w:pPr>
      <w:r>
        <w:rPr>
          <w:rFonts w:hint="eastAsia" w:cs="宋体"/>
          <w:color w:val="auto"/>
          <w:sz w:val="21"/>
          <w:szCs w:val="21"/>
          <w:highlight w:val="none"/>
        </w:rPr>
        <w:t xml:space="preserve">承包人应按有关法律规定纳税，应缴纳的税金包括在合同价内。4.1.3 完成各项承包工作 </w:t>
      </w:r>
    </w:p>
    <w:p>
      <w:pPr>
        <w:pStyle w:val="20"/>
        <w:widowControl w:val="0"/>
        <w:numPr>
          <w:ilvl w:val="0"/>
          <w:numId w:val="24"/>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6"/>
          <w:sz w:val="21"/>
          <w:szCs w:val="21"/>
          <w:highlight w:val="none"/>
        </w:rPr>
        <w:t xml:space="preserve">承包人应按合同约定以及监理人根据第 </w:t>
      </w:r>
      <w:r>
        <w:rPr>
          <w:rFonts w:hint="eastAsia" w:cs="宋体"/>
          <w:color w:val="auto"/>
          <w:sz w:val="21"/>
          <w:szCs w:val="21"/>
          <w:highlight w:val="none"/>
        </w:rPr>
        <w:t>3.4</w:t>
      </w:r>
      <w:r>
        <w:rPr>
          <w:rFonts w:hint="eastAsia" w:cs="宋体"/>
          <w:color w:val="auto"/>
          <w:spacing w:val="-13"/>
          <w:sz w:val="21"/>
          <w:szCs w:val="21"/>
          <w:highlight w:val="none"/>
        </w:rPr>
        <w:t xml:space="preserve"> 款作出的指示，实施、完成全部工程，</w:t>
      </w:r>
    </w:p>
    <w:p>
      <w:pPr>
        <w:pStyle w:val="20"/>
        <w:widowControl w:val="0"/>
        <w:autoSpaceDE w:val="0"/>
        <w:autoSpaceDN w:val="0"/>
        <w:spacing w:before="0" w:beforeAutospacing="0" w:after="0" w:afterAutospacing="0" w:line="415" w:lineRule="auto"/>
        <w:ind w:left="138" w:right="220"/>
        <w:rPr>
          <w:rFonts w:cs="宋体"/>
          <w:color w:val="auto"/>
          <w:sz w:val="21"/>
          <w:szCs w:val="21"/>
          <w:highlight w:val="none"/>
        </w:rPr>
      </w:pPr>
      <w:r>
        <w:rPr>
          <w:rFonts w:hint="eastAsia" w:cs="宋体"/>
          <w:color w:val="auto"/>
          <w:spacing w:val="-14"/>
          <w:sz w:val="21"/>
          <w:szCs w:val="21"/>
          <w:highlight w:val="none"/>
        </w:rPr>
        <w:t xml:space="preserve">并修补工程中的任何缺陷。除第 </w:t>
      </w:r>
      <w:r>
        <w:rPr>
          <w:rFonts w:hint="eastAsia" w:cs="宋体"/>
          <w:color w:val="auto"/>
          <w:sz w:val="21"/>
          <w:szCs w:val="21"/>
          <w:highlight w:val="none"/>
        </w:rPr>
        <w:t>5.2</w:t>
      </w:r>
      <w:r>
        <w:rPr>
          <w:rFonts w:hint="eastAsia" w:cs="宋体"/>
          <w:color w:val="auto"/>
          <w:spacing w:val="-11"/>
          <w:sz w:val="21"/>
          <w:szCs w:val="21"/>
          <w:highlight w:val="none"/>
        </w:rPr>
        <w:t xml:space="preserve"> 款约定由发包人提供的材料和工程设备和第 </w:t>
      </w:r>
      <w:r>
        <w:rPr>
          <w:rFonts w:hint="eastAsia" w:cs="宋体"/>
          <w:color w:val="auto"/>
          <w:sz w:val="21"/>
          <w:szCs w:val="21"/>
          <w:highlight w:val="none"/>
        </w:rPr>
        <w:t>6.2</w:t>
      </w:r>
      <w:r>
        <w:rPr>
          <w:rFonts w:hint="eastAsia" w:cs="宋体"/>
          <w:color w:val="auto"/>
          <w:spacing w:val="-13"/>
          <w:sz w:val="21"/>
          <w:szCs w:val="21"/>
          <w:highlight w:val="none"/>
        </w:rPr>
        <w:t xml:space="preserve"> 款约定</w:t>
      </w:r>
      <w:r>
        <w:rPr>
          <w:rFonts w:hint="eastAsia" w:cs="宋体"/>
          <w:color w:val="auto"/>
          <w:spacing w:val="-10"/>
          <w:sz w:val="21"/>
          <w:szCs w:val="21"/>
          <w:highlight w:val="none"/>
        </w:rPr>
        <w:t>由发包人提供的施工设备和临时设施外，承包人应负责提供为完成合同工作所需的劳务、材</w:t>
      </w:r>
      <w:r>
        <w:rPr>
          <w:rFonts w:hint="eastAsia" w:cs="宋体"/>
          <w:color w:val="auto"/>
          <w:spacing w:val="-5"/>
          <w:sz w:val="21"/>
          <w:szCs w:val="21"/>
          <w:highlight w:val="none"/>
        </w:rPr>
        <w:t>料、施工设备、工程设备和其他物品，并按照合同约定负责临时设施的设计、建造、运行、</w:t>
      </w:r>
      <w:r>
        <w:rPr>
          <w:rFonts w:hint="eastAsia" w:cs="宋体"/>
          <w:color w:val="auto"/>
          <w:spacing w:val="-4"/>
          <w:sz w:val="21"/>
          <w:szCs w:val="21"/>
          <w:highlight w:val="none"/>
        </w:rPr>
        <w:t>维护、管理和拆除工作。</w:t>
      </w:r>
    </w:p>
    <w:p>
      <w:pPr>
        <w:pStyle w:val="20"/>
        <w:widowControl w:val="0"/>
        <w:numPr>
          <w:ilvl w:val="0"/>
          <w:numId w:val="24"/>
        </w:numPr>
        <w:autoSpaceDE w:val="0"/>
        <w:autoSpaceDN w:val="0"/>
        <w:spacing w:before="0" w:beforeAutospacing="0" w:after="0" w:afterAutospacing="0" w:line="269" w:lineRule="exact"/>
        <w:rPr>
          <w:rFonts w:cs="宋体"/>
          <w:color w:val="auto"/>
          <w:sz w:val="23"/>
          <w:szCs w:val="23"/>
          <w:highlight w:val="none"/>
        </w:rPr>
      </w:pPr>
      <w:r>
        <w:rPr>
          <w:rFonts w:hint="eastAsia" w:cs="宋体"/>
          <w:color w:val="auto"/>
          <w:spacing w:val="-6"/>
          <w:sz w:val="21"/>
          <w:szCs w:val="21"/>
          <w:highlight w:val="none"/>
        </w:rPr>
        <w:t>承包人应当依法合规建立施工扬尘综合治理、建筑垃圾、土方和砂石清运与消纳、</w:t>
      </w:r>
    </w:p>
    <w:p>
      <w:pPr>
        <w:pStyle w:val="20"/>
        <w:widowControl w:val="0"/>
        <w:autoSpaceDE w:val="0"/>
        <w:autoSpaceDN w:val="0"/>
        <w:spacing w:before="72" w:beforeAutospacing="0" w:after="0" w:afterAutospacing="0" w:line="415" w:lineRule="auto"/>
        <w:ind w:left="138" w:right="308"/>
        <w:jc w:val="both"/>
        <w:rPr>
          <w:rFonts w:cs="宋体"/>
          <w:color w:val="auto"/>
          <w:sz w:val="21"/>
          <w:szCs w:val="21"/>
          <w:highlight w:val="none"/>
        </w:rPr>
      </w:pPr>
      <w:r>
        <w:rPr>
          <w:rFonts w:hint="eastAsia" w:cs="宋体"/>
          <w:color w:val="auto"/>
          <w:sz w:val="21"/>
          <w:szCs w:val="21"/>
          <w:highlight w:val="none"/>
        </w:rPr>
        <w:t>保证使用已在本市进行信息编码登记符合排放标准的非道路移动机械和严禁使用高排放非</w:t>
      </w:r>
      <w:r>
        <w:rPr>
          <w:rFonts w:hint="eastAsia" w:cs="宋体"/>
          <w:color w:val="auto"/>
          <w:spacing w:val="-6"/>
          <w:sz w:val="21"/>
          <w:szCs w:val="21"/>
          <w:highlight w:val="none"/>
        </w:rPr>
        <w:t>道路移动机械以及行业挥发性有机物治理</w:t>
      </w:r>
      <w:r>
        <w:rPr>
          <w:rFonts w:hint="eastAsia" w:cs="宋体"/>
          <w:color w:val="auto"/>
          <w:spacing w:val="-3"/>
          <w:sz w:val="21"/>
          <w:szCs w:val="21"/>
          <w:highlight w:val="none"/>
        </w:rPr>
        <w:t>（</w:t>
      </w:r>
      <w:r>
        <w:rPr>
          <w:rFonts w:hint="eastAsia" w:cs="宋体"/>
          <w:color w:val="auto"/>
          <w:spacing w:val="-9"/>
          <w:sz w:val="21"/>
          <w:szCs w:val="21"/>
          <w:highlight w:val="none"/>
        </w:rPr>
        <w:t>如建筑外墙涂装、钢结构等鼓励使用水性漆替代</w:t>
      </w:r>
      <w:r>
        <w:rPr>
          <w:rFonts w:hint="eastAsia" w:cs="宋体"/>
          <w:color w:val="auto"/>
          <w:spacing w:val="-8"/>
          <w:sz w:val="21"/>
          <w:szCs w:val="21"/>
          <w:highlight w:val="none"/>
        </w:rPr>
        <w:t>油性漆</w:t>
      </w:r>
      <w:r>
        <w:rPr>
          <w:rFonts w:hint="eastAsia" w:cs="宋体"/>
          <w:color w:val="auto"/>
          <w:sz w:val="21"/>
          <w:szCs w:val="21"/>
          <w:highlight w:val="none"/>
        </w:rPr>
        <w:t>）</w:t>
      </w:r>
      <w:r>
        <w:rPr>
          <w:rFonts w:hint="eastAsia" w:cs="宋体"/>
          <w:color w:val="auto"/>
          <w:spacing w:val="-3"/>
          <w:sz w:val="21"/>
          <w:szCs w:val="21"/>
          <w:highlight w:val="none"/>
        </w:rPr>
        <w:t>等责任制，制定具体的管控机制和实施方案，严格落实。</w:t>
      </w:r>
    </w:p>
    <w:p>
      <w:pPr>
        <w:pStyle w:val="20"/>
        <w:widowControl w:val="0"/>
        <w:numPr>
          <w:ilvl w:val="2"/>
          <w:numId w:val="25"/>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对施工作业和施工方法的完备性负责</w:t>
      </w:r>
    </w:p>
    <w:p>
      <w:pPr>
        <w:pStyle w:val="20"/>
        <w:widowControl w:val="0"/>
        <w:autoSpaceDE w:val="0"/>
        <w:autoSpaceDN w:val="0"/>
        <w:spacing w:before="0" w:beforeAutospacing="0" w:after="0" w:afterAutospacing="0" w:line="415" w:lineRule="auto"/>
        <w:ind w:left="138" w:right="220" w:firstLine="419"/>
        <w:rPr>
          <w:rFonts w:cs="宋体"/>
          <w:color w:val="auto"/>
          <w:sz w:val="21"/>
          <w:szCs w:val="21"/>
          <w:highlight w:val="none"/>
        </w:rPr>
      </w:pPr>
      <w:r>
        <w:rPr>
          <w:rFonts w:hint="eastAsia" w:cs="宋体"/>
          <w:color w:val="auto"/>
          <w:sz w:val="21"/>
          <w:szCs w:val="21"/>
          <w:highlight w:val="none"/>
        </w:rPr>
        <w:t xml:space="preserve">承包人应按合同约定的工作内容和施工进度要求，编制施工组织设计和施工措施计划， 并对所有施工作业和施工方法的完备性和安全可靠性负责。 </w:t>
      </w:r>
    </w:p>
    <w:p>
      <w:pPr>
        <w:pStyle w:val="20"/>
        <w:widowControl w:val="0"/>
        <w:numPr>
          <w:ilvl w:val="2"/>
          <w:numId w:val="25"/>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保证工程施工和人员的安全</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7"/>
          <w:sz w:val="21"/>
          <w:szCs w:val="21"/>
          <w:highlight w:val="none"/>
        </w:rPr>
        <w:t xml:space="preserve">承包人应按照第 </w:t>
      </w:r>
      <w:r>
        <w:rPr>
          <w:rFonts w:hint="eastAsia" w:cs="宋体"/>
          <w:color w:val="auto"/>
          <w:sz w:val="21"/>
          <w:szCs w:val="21"/>
          <w:highlight w:val="none"/>
        </w:rPr>
        <w:t>9.2</w:t>
      </w:r>
      <w:r>
        <w:rPr>
          <w:rFonts w:hint="eastAsia" w:cs="宋体"/>
          <w:color w:val="auto"/>
          <w:spacing w:val="-12"/>
          <w:sz w:val="21"/>
          <w:szCs w:val="21"/>
          <w:highlight w:val="none"/>
        </w:rPr>
        <w:t xml:space="preserve"> 款约定采取施工安全措施，确保工程及其人员、材料、设备和设施</w:t>
      </w:r>
      <w:r>
        <w:rPr>
          <w:rFonts w:hint="eastAsia" w:cs="宋体"/>
          <w:color w:val="auto"/>
          <w:spacing w:val="-6"/>
          <w:sz w:val="21"/>
          <w:szCs w:val="21"/>
          <w:highlight w:val="none"/>
        </w:rPr>
        <w:t>的安全，防止因工程施工造成的人身伤害和财产损失。</w:t>
      </w:r>
    </w:p>
    <w:p>
      <w:pPr>
        <w:pStyle w:val="20"/>
        <w:widowControl w:val="0"/>
        <w:numPr>
          <w:ilvl w:val="2"/>
          <w:numId w:val="25"/>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 xml:space="preserve">负责施工场地、周边环境和生态保护以及疫情防控常态化工作 </w:t>
      </w:r>
    </w:p>
    <w:p>
      <w:pPr>
        <w:pStyle w:val="20"/>
        <w:widowControl w:val="0"/>
        <w:autoSpaceDE w:val="0"/>
        <w:autoSpaceDN w:val="0"/>
        <w:spacing w:before="0"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7"/>
          <w:sz w:val="21"/>
          <w:szCs w:val="21"/>
          <w:highlight w:val="none"/>
        </w:rPr>
        <w:t xml:space="preserve">承包人应按照第 </w:t>
      </w:r>
      <w:r>
        <w:rPr>
          <w:rFonts w:hint="eastAsia" w:cs="宋体"/>
          <w:color w:val="auto"/>
          <w:sz w:val="21"/>
          <w:szCs w:val="21"/>
          <w:highlight w:val="none"/>
        </w:rPr>
        <w:t>9.4</w:t>
      </w:r>
      <w:r>
        <w:rPr>
          <w:rFonts w:hint="eastAsia" w:cs="宋体"/>
          <w:color w:val="auto"/>
          <w:spacing w:val="-11"/>
          <w:sz w:val="21"/>
          <w:szCs w:val="21"/>
          <w:highlight w:val="none"/>
        </w:rPr>
        <w:t xml:space="preserve"> 款约定负责施工场地及其周边环境与生态的保护工作。同时负责施</w:t>
      </w:r>
      <w:r>
        <w:rPr>
          <w:rFonts w:hint="eastAsia" w:cs="宋体"/>
          <w:color w:val="auto"/>
          <w:spacing w:val="-9"/>
          <w:sz w:val="21"/>
          <w:szCs w:val="21"/>
          <w:highlight w:val="none"/>
        </w:rPr>
        <w:t>工现场及周边疫情常态化防控各项工作具体组织实施。即做好施工现场</w:t>
      </w:r>
      <w:r>
        <w:rPr>
          <w:rFonts w:hint="eastAsia" w:cs="宋体"/>
          <w:color w:val="auto"/>
          <w:spacing w:val="-3"/>
          <w:sz w:val="21"/>
          <w:szCs w:val="21"/>
          <w:highlight w:val="none"/>
        </w:rPr>
        <w:t>（含生活区</w:t>
      </w:r>
      <w:r>
        <w:rPr>
          <w:rFonts w:hint="eastAsia" w:cs="宋体"/>
          <w:color w:val="auto"/>
          <w:spacing w:val="-32"/>
          <w:sz w:val="21"/>
          <w:szCs w:val="21"/>
          <w:highlight w:val="none"/>
        </w:rPr>
        <w:t>）</w:t>
      </w:r>
      <w:r>
        <w:rPr>
          <w:rFonts w:hint="eastAsia" w:cs="宋体"/>
          <w:color w:val="auto"/>
          <w:spacing w:val="-2"/>
          <w:sz w:val="21"/>
          <w:szCs w:val="21"/>
          <w:highlight w:val="none"/>
        </w:rPr>
        <w:t>封闭式</w:t>
      </w:r>
      <w:r>
        <w:rPr>
          <w:rFonts w:hint="eastAsia" w:cs="宋体"/>
          <w:color w:val="auto"/>
          <w:spacing w:val="-11"/>
          <w:sz w:val="21"/>
          <w:szCs w:val="21"/>
          <w:highlight w:val="none"/>
        </w:rPr>
        <w:t>管理；做好施工现场实名制管理；做好对重点人群的管理；做好生活区隔离管理；做好智能</w:t>
      </w:r>
      <w:r>
        <w:rPr>
          <w:rFonts w:hint="eastAsia" w:cs="宋体"/>
          <w:color w:val="auto"/>
          <w:spacing w:val="-12"/>
          <w:sz w:val="21"/>
          <w:szCs w:val="21"/>
          <w:highlight w:val="none"/>
        </w:rPr>
        <w:t>体温计佩戴管理工作；做好环境卫生整治和消毒工作；做好施工现场从业人员健康素养宣传</w:t>
      </w:r>
      <w:r>
        <w:rPr>
          <w:rFonts w:hint="eastAsia" w:cs="宋体"/>
          <w:color w:val="auto"/>
          <w:spacing w:val="-7"/>
          <w:sz w:val="21"/>
          <w:szCs w:val="21"/>
          <w:highlight w:val="none"/>
        </w:rPr>
        <w:t>教育等工作。</w:t>
      </w:r>
    </w:p>
    <w:p>
      <w:pPr>
        <w:pStyle w:val="20"/>
        <w:widowControl w:val="0"/>
        <w:numPr>
          <w:ilvl w:val="2"/>
          <w:numId w:val="25"/>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避免施工对公众与他人的利益造成损害</w:t>
      </w:r>
    </w:p>
    <w:p>
      <w:pPr>
        <w:pStyle w:val="20"/>
        <w:widowControl w:val="0"/>
        <w:autoSpaceDE w:val="0"/>
        <w:autoSpaceDN w:val="0"/>
        <w:spacing w:before="1"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7"/>
          <w:sz w:val="21"/>
          <w:szCs w:val="21"/>
          <w:highlight w:val="none"/>
        </w:rPr>
        <w:t>承包人在进行合同约定的各项工作时，不得侵害发包人与他人使用公用道路、水源、市</w:t>
      </w:r>
      <w:r>
        <w:rPr>
          <w:rFonts w:hint="eastAsia" w:cs="宋体"/>
          <w:color w:val="auto"/>
          <w:spacing w:val="-11"/>
          <w:sz w:val="21"/>
          <w:szCs w:val="21"/>
          <w:highlight w:val="none"/>
        </w:rPr>
        <w:t>政管网等公共设施的权利，避免对邻近的公共设施产生干扰。承包人占用或使用他人的施工</w:t>
      </w:r>
      <w:r>
        <w:rPr>
          <w:rFonts w:hint="eastAsia" w:cs="宋体"/>
          <w:color w:val="auto"/>
          <w:spacing w:val="-6"/>
          <w:sz w:val="21"/>
          <w:szCs w:val="21"/>
          <w:highlight w:val="none"/>
        </w:rPr>
        <w:t>场地，影响他人作业或生活的，应承担相应责任。</w:t>
      </w:r>
    </w:p>
    <w:p>
      <w:pPr>
        <w:pStyle w:val="20"/>
        <w:widowControl w:val="0"/>
        <w:numPr>
          <w:ilvl w:val="2"/>
          <w:numId w:val="25"/>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为他人提供方便</w:t>
      </w:r>
    </w:p>
    <w:p>
      <w:pPr>
        <w:pStyle w:val="20"/>
        <w:widowControl w:val="0"/>
        <w:numPr>
          <w:ilvl w:val="0"/>
          <w:numId w:val="26"/>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3"/>
          <w:sz w:val="21"/>
          <w:szCs w:val="21"/>
          <w:highlight w:val="none"/>
        </w:rPr>
        <w:t>承包人应当对在施工场地或者附近实施与合同工程有关的其他工作的独立承包人</w:t>
      </w:r>
      <w:r>
        <w:rPr>
          <w:rFonts w:hint="eastAsia" w:cs="宋体"/>
          <w:color w:val="auto"/>
          <w:spacing w:val="-11"/>
          <w:sz w:val="21"/>
          <w:szCs w:val="21"/>
          <w:highlight w:val="none"/>
        </w:rPr>
        <w:t>履行管理、协调、配合、照管和服务义务，由此发生的费用被认为已经包括在承包人的签约</w:t>
      </w:r>
      <w:r>
        <w:rPr>
          <w:rFonts w:hint="eastAsia" w:cs="宋体"/>
          <w:color w:val="auto"/>
          <w:spacing w:val="-9"/>
          <w:sz w:val="21"/>
          <w:szCs w:val="21"/>
          <w:highlight w:val="none"/>
        </w:rPr>
        <w:t>合同价</w:t>
      </w:r>
      <w:r>
        <w:rPr>
          <w:rFonts w:hint="eastAsia" w:cs="宋体"/>
          <w:color w:val="auto"/>
          <w:sz w:val="21"/>
          <w:szCs w:val="21"/>
          <w:highlight w:val="none"/>
        </w:rPr>
        <w:t>（</w:t>
      </w:r>
      <w:r>
        <w:rPr>
          <w:rFonts w:hint="eastAsia" w:cs="宋体"/>
          <w:color w:val="auto"/>
          <w:spacing w:val="-3"/>
          <w:sz w:val="21"/>
          <w:szCs w:val="21"/>
          <w:highlight w:val="none"/>
        </w:rPr>
        <w:t>投标总报价</w:t>
      </w:r>
      <w:r>
        <w:rPr>
          <w:rFonts w:hint="eastAsia" w:cs="宋体"/>
          <w:color w:val="auto"/>
          <w:sz w:val="21"/>
          <w:szCs w:val="21"/>
          <w:highlight w:val="none"/>
        </w:rPr>
        <w:t>）</w:t>
      </w:r>
      <w:r>
        <w:rPr>
          <w:rFonts w:hint="eastAsia" w:cs="宋体"/>
          <w:color w:val="auto"/>
          <w:spacing w:val="-3"/>
          <w:sz w:val="21"/>
          <w:szCs w:val="21"/>
          <w:highlight w:val="none"/>
        </w:rPr>
        <w:t>中，具体工作内容和要求见合同条款专用部分。</w:t>
      </w:r>
    </w:p>
    <w:p>
      <w:pPr>
        <w:pStyle w:val="20"/>
        <w:widowControl w:val="0"/>
        <w:numPr>
          <w:ilvl w:val="0"/>
          <w:numId w:val="26"/>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承包人还应按照监理人指示为独立承包人以外的他人在施工场地或者附近实施与合同工程有关的其他工作提供可能的条件，可能发生费用由监理人按合同条款通用部分第</w:t>
      </w:r>
    </w:p>
    <w:p>
      <w:pPr>
        <w:pStyle w:val="20"/>
        <w:widowControl w:val="0"/>
        <w:autoSpaceDE w:val="0"/>
        <w:autoSpaceDN w:val="0"/>
        <w:spacing w:before="0" w:beforeAutospacing="0" w:after="0" w:afterAutospacing="0" w:line="269" w:lineRule="exact"/>
        <w:ind w:left="138"/>
        <w:rPr>
          <w:rFonts w:cs="宋体"/>
          <w:color w:val="auto"/>
          <w:sz w:val="21"/>
          <w:szCs w:val="21"/>
          <w:highlight w:val="none"/>
        </w:rPr>
      </w:pPr>
      <w:r>
        <w:rPr>
          <w:rFonts w:hint="eastAsia" w:cs="宋体"/>
          <w:color w:val="auto"/>
          <w:sz w:val="21"/>
          <w:szCs w:val="21"/>
          <w:highlight w:val="none"/>
        </w:rPr>
        <w:t xml:space="preserve">3.5 款商定或者确定。 </w:t>
      </w:r>
    </w:p>
    <w:p>
      <w:pPr>
        <w:pStyle w:val="20"/>
        <w:widowControl w:val="0"/>
        <w:numPr>
          <w:ilvl w:val="2"/>
          <w:numId w:val="25"/>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工程的维护和照管</w:t>
      </w:r>
    </w:p>
    <w:p>
      <w:pPr>
        <w:pStyle w:val="20"/>
        <w:widowControl w:val="0"/>
        <w:autoSpaceDE w:val="0"/>
        <w:autoSpaceDN w:val="0"/>
        <w:spacing w:before="0" w:beforeAutospacing="0" w:after="0" w:afterAutospacing="0" w:line="415" w:lineRule="auto"/>
        <w:ind w:left="138" w:right="309" w:firstLine="419"/>
        <w:jc w:val="both"/>
        <w:rPr>
          <w:rFonts w:cs="宋体"/>
          <w:color w:val="auto"/>
          <w:sz w:val="23"/>
          <w:szCs w:val="23"/>
          <w:highlight w:val="none"/>
        </w:rPr>
      </w:pPr>
      <w:r>
        <w:rPr>
          <w:rFonts w:hint="eastAsia" w:cs="宋体"/>
          <w:color w:val="auto"/>
          <w:spacing w:val="-10"/>
          <w:sz w:val="21"/>
          <w:szCs w:val="21"/>
          <w:highlight w:val="none"/>
        </w:rPr>
        <w:t>工程接收证书颁发前，承包人应负责照管和维护工程。工程接收证书颁发时尚有部分未</w:t>
      </w:r>
      <w:r>
        <w:rPr>
          <w:rFonts w:hint="eastAsia" w:cs="宋体"/>
          <w:color w:val="auto"/>
          <w:spacing w:val="-12"/>
          <w:sz w:val="21"/>
          <w:szCs w:val="21"/>
          <w:highlight w:val="none"/>
        </w:rPr>
        <w:t>竣工工程的，承包人还应负责该未竣工工程的照管和维护工作，直至竣工后移交给发包人为</w:t>
      </w:r>
      <w:r>
        <w:rPr>
          <w:rFonts w:hint="eastAsia" w:cs="宋体"/>
          <w:color w:val="auto"/>
          <w:spacing w:val="-8"/>
          <w:sz w:val="21"/>
          <w:szCs w:val="21"/>
          <w:highlight w:val="none"/>
        </w:rPr>
        <w:t>止。</w:t>
      </w:r>
    </w:p>
    <w:p>
      <w:pPr>
        <w:pStyle w:val="20"/>
        <w:widowControl w:val="0"/>
        <w:numPr>
          <w:ilvl w:val="2"/>
          <w:numId w:val="25"/>
        </w:numPr>
        <w:autoSpaceDE w:val="0"/>
        <w:autoSpaceDN w:val="0"/>
        <w:spacing w:before="72" w:beforeAutospacing="0" w:after="0" w:afterAutospacing="0"/>
        <w:ind w:left="1192" w:hanging="635"/>
        <w:rPr>
          <w:rFonts w:cs="宋体"/>
          <w:color w:val="auto"/>
          <w:sz w:val="21"/>
          <w:szCs w:val="21"/>
          <w:highlight w:val="none"/>
        </w:rPr>
      </w:pPr>
      <w:r>
        <w:rPr>
          <w:rFonts w:hint="eastAsia" w:cs="宋体"/>
          <w:color w:val="auto"/>
          <w:spacing w:val="-3"/>
          <w:sz w:val="21"/>
          <w:szCs w:val="21"/>
          <w:highlight w:val="none"/>
        </w:rPr>
        <w:t xml:space="preserve">承包人的设计工作 </w:t>
      </w:r>
    </w:p>
    <w:p>
      <w:pPr>
        <w:pStyle w:val="20"/>
        <w:widowControl w:val="0"/>
        <w:autoSpaceDE w:val="0"/>
        <w:autoSpaceDN w:val="0"/>
        <w:spacing w:before="0"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10"/>
          <w:sz w:val="21"/>
          <w:szCs w:val="21"/>
          <w:highlight w:val="none"/>
        </w:rPr>
        <w:t>根据发包人委托，在其设计资质等级和业务允许的范围内，完成约定的施工图设计或与</w:t>
      </w:r>
      <w:r>
        <w:rPr>
          <w:rFonts w:hint="eastAsia" w:cs="宋体"/>
          <w:color w:val="auto"/>
          <w:spacing w:val="-11"/>
          <w:sz w:val="21"/>
          <w:szCs w:val="21"/>
          <w:highlight w:val="none"/>
        </w:rPr>
        <w:t>工程配套的设计工作，经监理人确认后使用，发包人承担由此发生的费用和合理利润。由承</w:t>
      </w:r>
      <w:r>
        <w:rPr>
          <w:rFonts w:hint="eastAsia" w:cs="宋体"/>
          <w:color w:val="auto"/>
          <w:spacing w:val="-8"/>
          <w:sz w:val="21"/>
          <w:szCs w:val="21"/>
          <w:highlight w:val="none"/>
        </w:rPr>
        <w:t xml:space="preserve">包人负责完成的设计文件属于合同条款第 </w:t>
      </w:r>
      <w:r>
        <w:rPr>
          <w:rFonts w:hint="eastAsia" w:cs="宋体"/>
          <w:color w:val="auto"/>
          <w:sz w:val="21"/>
          <w:szCs w:val="21"/>
          <w:highlight w:val="none"/>
        </w:rPr>
        <w:t>1.6.2</w:t>
      </w:r>
      <w:r>
        <w:rPr>
          <w:rFonts w:hint="eastAsia" w:cs="宋体"/>
          <w:color w:val="auto"/>
          <w:spacing w:val="-14"/>
          <w:sz w:val="21"/>
          <w:szCs w:val="21"/>
          <w:highlight w:val="none"/>
        </w:rPr>
        <w:t xml:space="preserve"> 项约定的承包人提供的文件，承包人应按照</w:t>
      </w:r>
    </w:p>
    <w:p>
      <w:pPr>
        <w:pStyle w:val="20"/>
        <w:widowControl w:val="0"/>
        <w:autoSpaceDE w:val="0"/>
        <w:autoSpaceDN w:val="0"/>
        <w:spacing w:before="0" w:beforeAutospacing="0" w:after="0" w:afterAutospacing="0" w:line="415" w:lineRule="auto"/>
        <w:ind w:left="138" w:right="309"/>
        <w:jc w:val="both"/>
        <w:rPr>
          <w:rFonts w:cs="宋体"/>
          <w:color w:val="auto"/>
          <w:sz w:val="21"/>
          <w:szCs w:val="21"/>
          <w:highlight w:val="none"/>
        </w:rPr>
      </w:pPr>
      <w:r>
        <w:rPr>
          <w:rFonts w:hint="eastAsia" w:cs="宋体"/>
          <w:color w:val="auto"/>
          <w:spacing w:val="-7"/>
          <w:sz w:val="21"/>
          <w:szCs w:val="21"/>
          <w:highlight w:val="none"/>
        </w:rPr>
        <w:t xml:space="preserve">合同条款专用部分第 </w:t>
      </w:r>
      <w:r>
        <w:rPr>
          <w:rFonts w:hint="eastAsia" w:cs="宋体"/>
          <w:color w:val="auto"/>
          <w:sz w:val="21"/>
          <w:szCs w:val="21"/>
          <w:highlight w:val="none"/>
        </w:rPr>
        <w:t>1.6.2</w:t>
      </w:r>
      <w:r>
        <w:rPr>
          <w:rFonts w:hint="eastAsia" w:cs="宋体"/>
          <w:color w:val="auto"/>
          <w:spacing w:val="-14"/>
          <w:sz w:val="21"/>
          <w:szCs w:val="21"/>
          <w:highlight w:val="none"/>
        </w:rPr>
        <w:t xml:space="preserve"> 项约定的期限和数量提交，由此发生的费用被认为已经包括在承</w:t>
      </w:r>
      <w:r>
        <w:rPr>
          <w:rFonts w:hint="eastAsia" w:cs="宋体"/>
          <w:color w:val="auto"/>
          <w:spacing w:val="-11"/>
          <w:sz w:val="21"/>
          <w:szCs w:val="21"/>
          <w:highlight w:val="none"/>
        </w:rPr>
        <w:t>包人的签约合同价</w:t>
      </w:r>
      <w:r>
        <w:rPr>
          <w:rFonts w:hint="eastAsia" w:cs="宋体"/>
          <w:color w:val="auto"/>
          <w:sz w:val="21"/>
          <w:szCs w:val="21"/>
          <w:highlight w:val="none"/>
        </w:rPr>
        <w:t>（</w:t>
      </w:r>
      <w:r>
        <w:rPr>
          <w:rFonts w:hint="eastAsia" w:cs="宋体"/>
          <w:color w:val="auto"/>
          <w:spacing w:val="-3"/>
          <w:sz w:val="21"/>
          <w:szCs w:val="21"/>
          <w:highlight w:val="none"/>
        </w:rPr>
        <w:t>投标总报价</w:t>
      </w:r>
      <w:r>
        <w:rPr>
          <w:rFonts w:hint="eastAsia" w:cs="宋体"/>
          <w:color w:val="auto"/>
          <w:spacing w:val="-32"/>
          <w:sz w:val="21"/>
          <w:szCs w:val="21"/>
          <w:highlight w:val="none"/>
        </w:rPr>
        <w:t>）</w:t>
      </w:r>
      <w:r>
        <w:rPr>
          <w:rFonts w:hint="eastAsia" w:cs="宋体"/>
          <w:color w:val="auto"/>
          <w:spacing w:val="-7"/>
          <w:sz w:val="21"/>
          <w:szCs w:val="21"/>
          <w:highlight w:val="none"/>
        </w:rPr>
        <w:t>中。承包人承担的施工图设计或与工程配套的设计工作内</w:t>
      </w:r>
      <w:r>
        <w:rPr>
          <w:rFonts w:hint="eastAsia" w:cs="宋体"/>
          <w:color w:val="auto"/>
          <w:spacing w:val="-5"/>
          <w:sz w:val="21"/>
          <w:szCs w:val="21"/>
          <w:highlight w:val="none"/>
        </w:rPr>
        <w:t>容见合同条款专用部分。</w:t>
      </w:r>
    </w:p>
    <w:p>
      <w:pPr>
        <w:pStyle w:val="20"/>
        <w:widowControl w:val="0"/>
        <w:numPr>
          <w:ilvl w:val="2"/>
          <w:numId w:val="25"/>
        </w:numPr>
        <w:autoSpaceDE w:val="0"/>
        <w:autoSpaceDN w:val="0"/>
        <w:spacing w:before="0" w:beforeAutospacing="0" w:after="0" w:afterAutospacing="0"/>
        <w:ind w:left="1192" w:hanging="635"/>
        <w:rPr>
          <w:rFonts w:cs="宋体"/>
          <w:color w:val="auto"/>
          <w:sz w:val="21"/>
          <w:szCs w:val="21"/>
          <w:highlight w:val="none"/>
        </w:rPr>
      </w:pPr>
      <w:r>
        <w:rPr>
          <w:rFonts w:hint="eastAsia" w:cs="宋体"/>
          <w:color w:val="auto"/>
          <w:spacing w:val="-3"/>
          <w:sz w:val="21"/>
          <w:szCs w:val="21"/>
          <w:highlight w:val="none"/>
        </w:rPr>
        <w:t xml:space="preserve">农民工工资保证金 </w:t>
      </w:r>
    </w:p>
    <w:p>
      <w:pPr>
        <w:pStyle w:val="20"/>
        <w:widowControl w:val="0"/>
        <w:autoSpaceDE w:val="0"/>
        <w:autoSpaceDN w:val="0"/>
        <w:spacing w:before="0" w:beforeAutospacing="0" w:after="0" w:afterAutospacing="0" w:line="415" w:lineRule="auto"/>
        <w:ind w:left="138" w:right="310" w:firstLine="419"/>
        <w:rPr>
          <w:rFonts w:cs="宋体"/>
          <w:color w:val="auto"/>
          <w:sz w:val="21"/>
          <w:szCs w:val="21"/>
          <w:highlight w:val="none"/>
        </w:rPr>
      </w:pPr>
      <w:r>
        <w:rPr>
          <w:rFonts w:hint="eastAsia" w:cs="宋体"/>
          <w:color w:val="auto"/>
          <w:spacing w:val="-8"/>
          <w:sz w:val="21"/>
          <w:szCs w:val="21"/>
          <w:highlight w:val="none"/>
        </w:rPr>
        <w:t>承包人应在银行设立工资保证金专用账户，专项用于发生欠薪时支付农民工工资的应急</w:t>
      </w:r>
      <w:r>
        <w:rPr>
          <w:rFonts w:hint="eastAsia" w:cs="宋体"/>
          <w:color w:val="auto"/>
          <w:spacing w:val="-5"/>
          <w:sz w:val="21"/>
          <w:szCs w:val="21"/>
          <w:highlight w:val="none"/>
        </w:rPr>
        <w:t>保障。账户内资金启用应当经建设主管部门和劳动保障行政部门批准。</w:t>
      </w:r>
    </w:p>
    <w:p>
      <w:pPr>
        <w:pStyle w:val="20"/>
        <w:widowControl w:val="0"/>
        <w:numPr>
          <w:ilvl w:val="2"/>
          <w:numId w:val="25"/>
        </w:numPr>
        <w:autoSpaceDE w:val="0"/>
        <w:autoSpaceDN w:val="0"/>
        <w:spacing w:before="0" w:beforeAutospacing="0" w:after="0" w:afterAutospacing="0" w:line="269" w:lineRule="exact"/>
        <w:ind w:left="1192" w:hanging="635"/>
        <w:rPr>
          <w:rFonts w:cs="宋体"/>
          <w:color w:val="auto"/>
          <w:sz w:val="21"/>
          <w:szCs w:val="21"/>
          <w:highlight w:val="none"/>
        </w:rPr>
      </w:pPr>
      <w:r>
        <w:rPr>
          <w:rFonts w:hint="eastAsia" w:cs="宋体"/>
          <w:color w:val="auto"/>
          <w:spacing w:val="-3"/>
          <w:sz w:val="21"/>
          <w:szCs w:val="21"/>
          <w:highlight w:val="none"/>
        </w:rPr>
        <w:t xml:space="preserve">其他义务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承包人应履行的其他义务见合同条款专用部分。 </w:t>
      </w:r>
    </w:p>
    <w:p>
      <w:pPr>
        <w:pStyle w:val="7"/>
        <w:widowControl/>
        <w:numPr>
          <w:ilvl w:val="1"/>
          <w:numId w:val="27"/>
        </w:numPr>
        <w:spacing w:before="0"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履约担保 </w:t>
      </w:r>
    </w:p>
    <w:p>
      <w:pPr>
        <w:pStyle w:val="20"/>
        <w:widowControl w:val="0"/>
        <w:numPr>
          <w:ilvl w:val="2"/>
          <w:numId w:val="27"/>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履约担保的格式和金额</w:t>
      </w:r>
    </w:p>
    <w:p>
      <w:pPr>
        <w:pStyle w:val="20"/>
        <w:widowControl w:val="0"/>
        <w:autoSpaceDE w:val="0"/>
        <w:autoSpaceDN w:val="0"/>
        <w:spacing w:before="0" w:beforeAutospacing="0" w:after="0" w:afterAutospacing="0" w:line="415" w:lineRule="auto"/>
        <w:ind w:left="138" w:right="220" w:firstLine="419"/>
        <w:rPr>
          <w:rFonts w:cs="宋体"/>
          <w:color w:val="auto"/>
          <w:sz w:val="21"/>
          <w:szCs w:val="21"/>
          <w:highlight w:val="none"/>
        </w:rPr>
      </w:pPr>
      <w:r>
        <w:rPr>
          <w:rFonts w:hint="eastAsia" w:cs="宋体"/>
          <w:color w:val="auto"/>
          <w:spacing w:val="-8"/>
          <w:sz w:val="21"/>
          <w:szCs w:val="21"/>
          <w:highlight w:val="none"/>
        </w:rPr>
        <w:t>合同约定承包人提交履约担保的，承包人应在签订合同前，按照发包人约定的格式或者</w:t>
      </w:r>
      <w:r>
        <w:rPr>
          <w:rFonts w:hint="eastAsia" w:cs="宋体"/>
          <w:color w:val="auto"/>
          <w:spacing w:val="-9"/>
          <w:sz w:val="21"/>
          <w:szCs w:val="21"/>
          <w:highlight w:val="none"/>
        </w:rPr>
        <w:t>其他经过发包人认可的格式向发包人递交一份履约担保。经过发包人事先书面认可的其他格</w:t>
      </w:r>
      <w:r>
        <w:rPr>
          <w:rFonts w:hint="eastAsia" w:cs="宋体"/>
          <w:color w:val="auto"/>
          <w:spacing w:val="-5"/>
          <w:sz w:val="21"/>
          <w:szCs w:val="21"/>
          <w:highlight w:val="none"/>
        </w:rPr>
        <w:t>式的履约担保，其担保条款的实质性内容应当与发包人合同文件约定的格式内容保持一致。</w:t>
      </w:r>
      <w:r>
        <w:rPr>
          <w:rFonts w:hint="eastAsia" w:cs="宋体"/>
          <w:color w:val="auto"/>
          <w:spacing w:val="-7"/>
          <w:sz w:val="21"/>
          <w:szCs w:val="21"/>
          <w:highlight w:val="none"/>
        </w:rPr>
        <w:t>承包人是否提交履约担保及需要提交履约担保的金额见合同条款专用部分。承包人履约担保</w:t>
      </w:r>
      <w:r>
        <w:rPr>
          <w:rFonts w:hint="eastAsia" w:cs="宋体"/>
          <w:color w:val="auto"/>
          <w:spacing w:val="-5"/>
          <w:sz w:val="21"/>
          <w:szCs w:val="21"/>
          <w:highlight w:val="none"/>
        </w:rPr>
        <w:t>格式见合同条款专用部分附件五。</w:t>
      </w:r>
    </w:p>
    <w:p>
      <w:pPr>
        <w:pStyle w:val="20"/>
        <w:widowControl w:val="0"/>
        <w:numPr>
          <w:ilvl w:val="2"/>
          <w:numId w:val="27"/>
        </w:numPr>
        <w:autoSpaceDE w:val="0"/>
        <w:autoSpaceDN w:val="0"/>
        <w:spacing w:before="0" w:beforeAutospacing="0" w:after="0" w:afterAutospacing="0" w:line="268" w:lineRule="exact"/>
        <w:rPr>
          <w:rFonts w:cs="宋体"/>
          <w:color w:val="auto"/>
          <w:sz w:val="21"/>
          <w:szCs w:val="21"/>
          <w:highlight w:val="none"/>
        </w:rPr>
      </w:pPr>
      <w:r>
        <w:rPr>
          <w:rFonts w:hint="eastAsia" w:cs="宋体"/>
          <w:color w:val="auto"/>
          <w:spacing w:val="-3"/>
          <w:sz w:val="21"/>
          <w:szCs w:val="21"/>
          <w:highlight w:val="none"/>
        </w:rPr>
        <w:t>履约担保的有效期</w:t>
      </w:r>
    </w:p>
    <w:p>
      <w:pPr>
        <w:pStyle w:val="20"/>
        <w:widowControl w:val="0"/>
        <w:autoSpaceDE w:val="0"/>
        <w:autoSpaceDN w:val="0"/>
        <w:spacing w:before="1" w:beforeAutospacing="0" w:after="0" w:afterAutospacing="0" w:line="415" w:lineRule="auto"/>
        <w:ind w:left="138" w:right="309" w:firstLine="419"/>
        <w:jc w:val="both"/>
        <w:rPr>
          <w:rFonts w:cs="宋体"/>
          <w:color w:val="auto"/>
          <w:sz w:val="21"/>
          <w:szCs w:val="21"/>
          <w:highlight w:val="none"/>
        </w:rPr>
      </w:pPr>
      <w:r>
        <w:rPr>
          <w:rFonts w:hint="eastAsia" w:cs="宋体"/>
          <w:color w:val="auto"/>
          <w:sz w:val="21"/>
          <w:szCs w:val="21"/>
          <w:highlight w:val="none"/>
        </w:rPr>
        <w:t>履约担保的有效期应当自本合同生效之日起至发包人签认并由监理人向承包人出具工</w:t>
      </w:r>
      <w:r>
        <w:rPr>
          <w:rFonts w:hint="eastAsia" w:cs="宋体"/>
          <w:color w:val="auto"/>
          <w:spacing w:val="-10"/>
          <w:sz w:val="21"/>
          <w:szCs w:val="21"/>
          <w:highlight w:val="none"/>
        </w:rPr>
        <w:t>程接收证书之日止。如果承包人无法获得一份不带具体截止日期的担保，履约担保中就应当</w:t>
      </w:r>
      <w:r>
        <w:rPr>
          <w:rFonts w:hint="eastAsia" w:cs="宋体"/>
          <w:color w:val="auto"/>
          <w:spacing w:val="-12"/>
          <w:sz w:val="21"/>
          <w:szCs w:val="21"/>
          <w:highlight w:val="none"/>
        </w:rPr>
        <w:t>约定有“变更工程竣工日期的，保证期间按照变更后的竣工日期做相应调整”或类似约定的</w:t>
      </w:r>
      <w:r>
        <w:rPr>
          <w:rFonts w:hint="eastAsia" w:cs="宋体"/>
          <w:color w:val="auto"/>
          <w:spacing w:val="-9"/>
          <w:sz w:val="21"/>
          <w:szCs w:val="21"/>
          <w:highlight w:val="none"/>
        </w:rPr>
        <w:t>条款。</w:t>
      </w:r>
    </w:p>
    <w:p>
      <w:pPr>
        <w:pStyle w:val="20"/>
        <w:widowControl w:val="0"/>
        <w:numPr>
          <w:ilvl w:val="2"/>
          <w:numId w:val="27"/>
        </w:numPr>
        <w:autoSpaceDE w:val="0"/>
        <w:autoSpaceDN w:val="0"/>
        <w:spacing w:before="0" w:beforeAutospacing="0" w:after="0" w:afterAutospacing="0" w:line="268" w:lineRule="exact"/>
        <w:rPr>
          <w:rFonts w:cs="宋体"/>
          <w:color w:val="auto"/>
          <w:sz w:val="21"/>
          <w:szCs w:val="21"/>
          <w:highlight w:val="none"/>
        </w:rPr>
      </w:pPr>
      <w:r>
        <w:rPr>
          <w:rFonts w:hint="eastAsia" w:cs="宋体"/>
          <w:color w:val="auto"/>
          <w:spacing w:val="-3"/>
          <w:sz w:val="21"/>
          <w:szCs w:val="21"/>
          <w:highlight w:val="none"/>
        </w:rPr>
        <w:t>履约担保的退还</w:t>
      </w:r>
    </w:p>
    <w:p>
      <w:pPr>
        <w:pStyle w:val="20"/>
        <w:widowControl w:val="0"/>
        <w:autoSpaceDE w:val="0"/>
        <w:autoSpaceDN w:val="0"/>
        <w:spacing w:before="0" w:beforeAutospacing="0" w:after="0" w:afterAutospacing="0" w:line="415" w:lineRule="auto"/>
        <w:ind w:left="138" w:right="205" w:firstLine="419"/>
        <w:rPr>
          <w:rFonts w:cs="宋体"/>
          <w:color w:val="auto"/>
          <w:sz w:val="21"/>
          <w:szCs w:val="21"/>
          <w:highlight w:val="none"/>
        </w:rPr>
      </w:pPr>
      <w:r>
        <w:rPr>
          <w:rFonts w:hint="eastAsia" w:cs="宋体"/>
          <w:color w:val="auto"/>
          <w:spacing w:val="-6"/>
          <w:sz w:val="21"/>
          <w:szCs w:val="21"/>
          <w:highlight w:val="none"/>
        </w:rPr>
        <w:t>履约担保应在监理人向承包人颁发</w:t>
      </w:r>
      <w:r>
        <w:rPr>
          <w:rFonts w:hint="eastAsia" w:cs="宋体"/>
          <w:color w:val="auto"/>
          <w:sz w:val="21"/>
          <w:szCs w:val="21"/>
          <w:highlight w:val="none"/>
        </w:rPr>
        <w:t>（</w:t>
      </w:r>
      <w:r>
        <w:rPr>
          <w:rFonts w:hint="eastAsia" w:cs="宋体"/>
          <w:color w:val="auto"/>
          <w:spacing w:val="-3"/>
          <w:sz w:val="21"/>
          <w:szCs w:val="21"/>
          <w:highlight w:val="none"/>
        </w:rPr>
        <w:t>出具</w:t>
      </w:r>
      <w:r>
        <w:rPr>
          <w:rFonts w:hint="eastAsia" w:cs="宋体"/>
          <w:color w:val="auto"/>
          <w:spacing w:val="-44"/>
          <w:sz w:val="21"/>
          <w:szCs w:val="21"/>
          <w:highlight w:val="none"/>
        </w:rPr>
        <w:t>）</w:t>
      </w:r>
      <w:r>
        <w:rPr>
          <w:rFonts w:hint="eastAsia" w:cs="宋体"/>
          <w:color w:val="auto"/>
          <w:spacing w:val="-7"/>
          <w:sz w:val="21"/>
          <w:szCs w:val="21"/>
          <w:highlight w:val="none"/>
        </w:rPr>
        <w:t xml:space="preserve">工程接收证书之日后 </w:t>
      </w:r>
      <w:r>
        <w:rPr>
          <w:rFonts w:hint="eastAsia" w:cs="宋体"/>
          <w:color w:val="auto"/>
          <w:sz w:val="21"/>
          <w:szCs w:val="21"/>
          <w:highlight w:val="none"/>
        </w:rPr>
        <w:t>28</w:t>
      </w:r>
      <w:r>
        <w:rPr>
          <w:rFonts w:hint="eastAsia" w:cs="宋体"/>
          <w:color w:val="auto"/>
          <w:spacing w:val="-7"/>
          <w:sz w:val="21"/>
          <w:szCs w:val="21"/>
          <w:highlight w:val="none"/>
        </w:rPr>
        <w:t xml:space="preserve"> 天内退还给承包人。</w:t>
      </w:r>
      <w:r>
        <w:rPr>
          <w:rFonts w:hint="eastAsia" w:cs="宋体"/>
          <w:color w:val="auto"/>
          <w:spacing w:val="-5"/>
          <w:sz w:val="21"/>
          <w:szCs w:val="21"/>
          <w:highlight w:val="none"/>
        </w:rPr>
        <w:t xml:space="preserve">发包人不承担承包人与履约担保有关的任何利息或其它类似的费用或者收益。 </w:t>
      </w:r>
    </w:p>
    <w:p>
      <w:pPr>
        <w:pStyle w:val="20"/>
        <w:widowControl w:val="0"/>
        <w:numPr>
          <w:ilvl w:val="2"/>
          <w:numId w:val="27"/>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 xml:space="preserve">通知义务 </w:t>
      </w:r>
    </w:p>
    <w:p>
      <w:pPr>
        <w:pStyle w:val="20"/>
        <w:widowControl w:val="0"/>
        <w:autoSpaceDE w:val="0"/>
        <w:autoSpaceDN w:val="0"/>
        <w:spacing w:before="0" w:beforeAutospacing="0" w:after="0" w:afterAutospacing="0"/>
        <w:ind w:left="558"/>
        <w:rPr>
          <w:rFonts w:hint="eastAsia" w:cs="宋体"/>
          <w:color w:val="auto"/>
          <w:sz w:val="21"/>
          <w:szCs w:val="21"/>
          <w:highlight w:val="none"/>
        </w:rPr>
      </w:pPr>
      <w:r>
        <w:rPr>
          <w:rFonts w:hint="eastAsia" w:cs="宋体"/>
          <w:color w:val="auto"/>
          <w:sz w:val="21"/>
          <w:szCs w:val="21"/>
          <w:highlight w:val="none"/>
        </w:rPr>
        <w:t>不管履约担保条款中如何约定，发包人根据担保条款提出索赔或兑现要求 28 天前，</w:t>
      </w:r>
    </w:p>
    <w:p>
      <w:pPr>
        <w:pStyle w:val="20"/>
        <w:widowControl w:val="0"/>
        <w:autoSpaceDE w:val="0"/>
        <w:autoSpaceDN w:val="0"/>
        <w:spacing w:before="0" w:beforeAutospacing="0" w:after="0" w:afterAutospacing="0"/>
        <w:rPr>
          <w:rFonts w:cs="宋体"/>
          <w:color w:val="auto"/>
          <w:sz w:val="21"/>
          <w:szCs w:val="21"/>
          <w:highlight w:val="none"/>
        </w:rPr>
      </w:pPr>
      <w:r>
        <w:rPr>
          <w:rFonts w:hint="eastAsia" w:cs="宋体"/>
          <w:color w:val="auto"/>
          <w:sz w:val="21"/>
          <w:szCs w:val="21"/>
          <w:highlight w:val="none"/>
        </w:rPr>
        <w:t>应通知承包人并说明导致此类索赔或兑现的违约性质或原因。相应地，不管第 2.8 款约定的支</w:t>
      </w:r>
      <w:r>
        <w:rPr>
          <w:rFonts w:hint="eastAsia" w:cs="宋体"/>
          <w:color w:val="auto"/>
          <w:spacing w:val="-4"/>
          <w:sz w:val="21"/>
          <w:szCs w:val="21"/>
          <w:highlight w:val="none"/>
        </w:rPr>
        <w:t xml:space="preserve">付担保条款中如何约定，承包人根据担保条款提出索赔或兑现要求 </w:t>
      </w:r>
      <w:r>
        <w:rPr>
          <w:rFonts w:hint="eastAsia" w:cs="宋体"/>
          <w:color w:val="auto"/>
          <w:sz w:val="21"/>
          <w:szCs w:val="21"/>
          <w:highlight w:val="none"/>
        </w:rPr>
        <w:t>28</w:t>
      </w:r>
      <w:r>
        <w:rPr>
          <w:rFonts w:hint="eastAsia" w:cs="宋体"/>
          <w:color w:val="auto"/>
          <w:spacing w:val="-7"/>
          <w:sz w:val="21"/>
          <w:szCs w:val="21"/>
          <w:highlight w:val="none"/>
        </w:rPr>
        <w:t xml:space="preserve"> 天前，也应通知发包</w:t>
      </w:r>
      <w:r>
        <w:rPr>
          <w:rFonts w:hint="eastAsia" w:cs="宋体"/>
          <w:color w:val="auto"/>
          <w:spacing w:val="-9"/>
          <w:sz w:val="21"/>
          <w:szCs w:val="21"/>
          <w:highlight w:val="none"/>
        </w:rPr>
        <w:t>人并说明导致此类索赔或兑现的违约性质或原因。但是，本项约定的通知不应理解为是在任</w:t>
      </w:r>
      <w:r>
        <w:rPr>
          <w:rFonts w:hint="eastAsia" w:cs="宋体"/>
          <w:color w:val="auto"/>
          <w:spacing w:val="-5"/>
          <w:sz w:val="21"/>
          <w:szCs w:val="21"/>
          <w:highlight w:val="none"/>
        </w:rPr>
        <w:t>何意义上寻求承包人或者发包人的同意。</w:t>
      </w:r>
    </w:p>
    <w:p>
      <w:pPr>
        <w:pStyle w:val="7"/>
        <w:widowControl/>
        <w:spacing w:before="135"/>
        <w:ind w:left="138"/>
        <w:rPr>
          <w:rFonts w:ascii="宋体" w:hAnsi="宋体" w:cs="宋体"/>
          <w:color w:val="auto"/>
          <w:sz w:val="24"/>
          <w:szCs w:val="24"/>
          <w:highlight w:val="none"/>
        </w:rPr>
      </w:pPr>
      <w:r>
        <w:rPr>
          <w:rFonts w:hint="eastAsia" w:ascii="宋体" w:hAnsi="宋体" w:cs="宋体"/>
          <w:color w:val="auto"/>
          <w:sz w:val="24"/>
          <w:szCs w:val="24"/>
          <w:highlight w:val="none"/>
        </w:rPr>
        <w:t xml:space="preserve">4.3 分 包 </w:t>
      </w:r>
    </w:p>
    <w:p>
      <w:pPr>
        <w:pStyle w:val="20"/>
        <w:widowControl w:val="0"/>
        <w:numPr>
          <w:ilvl w:val="2"/>
          <w:numId w:val="28"/>
        </w:numPr>
        <w:autoSpaceDE w:val="0"/>
        <w:autoSpaceDN w:val="0"/>
        <w:spacing w:before="1"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承包人不得将其承包的全部工程转包给第三人，或将其承包的全部工程肢解后以分包的名义转包给第三人。</w:t>
      </w:r>
    </w:p>
    <w:p>
      <w:pPr>
        <w:pStyle w:val="20"/>
        <w:widowControl w:val="0"/>
        <w:numPr>
          <w:ilvl w:val="2"/>
          <w:numId w:val="28"/>
        </w:numPr>
        <w:autoSpaceDE w:val="0"/>
        <w:autoSpaceDN w:val="0"/>
        <w:spacing w:before="0" w:beforeAutospacing="0" w:after="0" w:afterAutospacing="0"/>
        <w:ind w:left="1087"/>
        <w:rPr>
          <w:rFonts w:cs="宋体"/>
          <w:color w:val="auto"/>
          <w:sz w:val="21"/>
          <w:szCs w:val="21"/>
          <w:highlight w:val="none"/>
        </w:rPr>
      </w:pPr>
      <w:r>
        <w:rPr>
          <w:rFonts w:hint="eastAsia" w:cs="宋体"/>
          <w:color w:val="auto"/>
          <w:spacing w:val="-3"/>
          <w:sz w:val="21"/>
          <w:szCs w:val="21"/>
          <w:highlight w:val="none"/>
        </w:rPr>
        <w:t>承包人不得将工程主体、关键性工作分包给第三人。</w:t>
      </w:r>
    </w:p>
    <w:p>
      <w:pPr>
        <w:pStyle w:val="20"/>
        <w:widowControl w:val="0"/>
        <w:numPr>
          <w:ilvl w:val="2"/>
          <w:numId w:val="28"/>
        </w:numPr>
        <w:autoSpaceDE w:val="0"/>
        <w:autoSpaceDN w:val="0"/>
        <w:spacing w:before="1"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未经发包人同意，承包人不得将其自行施工范围工程的其他部分或工作分包给第三人。发包人同意承包人分包的非主体、非关键性工作包括：</w:t>
      </w:r>
    </w:p>
    <w:p>
      <w:pPr>
        <w:pStyle w:val="20"/>
        <w:widowControl w:val="0"/>
        <w:numPr>
          <w:ilvl w:val="0"/>
          <w:numId w:val="29"/>
        </w:numPr>
        <w:autoSpaceDE w:val="0"/>
        <w:autoSpaceDN w:val="0"/>
        <w:spacing w:before="0" w:beforeAutospacing="0" w:after="0" w:afterAutospacing="0" w:line="269" w:lineRule="exact"/>
        <w:ind w:hanging="530"/>
        <w:rPr>
          <w:rFonts w:cs="宋体"/>
          <w:color w:val="auto"/>
          <w:sz w:val="21"/>
          <w:szCs w:val="21"/>
          <w:highlight w:val="none"/>
        </w:rPr>
      </w:pPr>
      <w:r>
        <w:rPr>
          <w:rFonts w:hint="eastAsia" w:cs="宋体"/>
          <w:color w:val="auto"/>
          <w:spacing w:val="-3"/>
          <w:sz w:val="21"/>
          <w:szCs w:val="21"/>
          <w:highlight w:val="none"/>
        </w:rPr>
        <w:t>投标函附录约定的分包工程；</w:t>
      </w:r>
    </w:p>
    <w:p>
      <w:pPr>
        <w:pStyle w:val="20"/>
        <w:widowControl w:val="0"/>
        <w:numPr>
          <w:ilvl w:val="0"/>
          <w:numId w:val="29"/>
        </w:numPr>
        <w:autoSpaceDE w:val="0"/>
        <w:autoSpaceDN w:val="0"/>
        <w:spacing w:before="0" w:beforeAutospacing="0" w:after="0" w:afterAutospacing="0" w:line="415" w:lineRule="auto"/>
        <w:ind w:left="138" w:right="309" w:firstLine="314"/>
        <w:jc w:val="both"/>
        <w:rPr>
          <w:rFonts w:cs="宋体"/>
          <w:color w:val="auto"/>
          <w:sz w:val="21"/>
          <w:szCs w:val="21"/>
          <w:highlight w:val="none"/>
        </w:rPr>
      </w:pPr>
      <w:r>
        <w:rPr>
          <w:rFonts w:hint="eastAsia" w:cs="宋体"/>
          <w:color w:val="auto"/>
          <w:spacing w:val="-6"/>
          <w:sz w:val="21"/>
          <w:szCs w:val="21"/>
          <w:highlight w:val="none"/>
        </w:rPr>
        <w:t xml:space="preserve">除投标函附录中约定的分包内容外，经过发包人和监理人同意的其他非主体、非 </w:t>
      </w:r>
      <w:r>
        <w:rPr>
          <w:rFonts w:hint="eastAsia" w:cs="宋体"/>
          <w:color w:val="auto"/>
          <w:spacing w:val="-10"/>
          <w:sz w:val="21"/>
          <w:szCs w:val="21"/>
          <w:highlight w:val="none"/>
        </w:rPr>
        <w:t>关键性工作，但分包人应当经过发包人和监理人审批。发包人和监理人有权拒绝承包人的分</w:t>
      </w:r>
      <w:r>
        <w:rPr>
          <w:rFonts w:hint="eastAsia" w:cs="宋体"/>
          <w:color w:val="auto"/>
          <w:spacing w:val="-7"/>
          <w:sz w:val="21"/>
          <w:szCs w:val="21"/>
          <w:highlight w:val="none"/>
        </w:rPr>
        <w:t>包请求和承包人选择的分包人。</w:t>
      </w:r>
    </w:p>
    <w:p>
      <w:pPr>
        <w:pStyle w:val="20"/>
        <w:widowControl w:val="0"/>
        <w:numPr>
          <w:ilvl w:val="2"/>
          <w:numId w:val="28"/>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3"/>
          <w:sz w:val="21"/>
          <w:szCs w:val="21"/>
          <w:highlight w:val="none"/>
        </w:rPr>
        <w:t>发包人在工程量清单中给定暂估价的专业工程，包括从暂列金额开支的专业工程</w:t>
      </w:r>
      <w:r>
        <w:rPr>
          <w:rFonts w:hint="eastAsia" w:cs="宋体"/>
          <w:color w:val="auto"/>
          <w:spacing w:val="-11"/>
          <w:sz w:val="21"/>
          <w:szCs w:val="21"/>
          <w:highlight w:val="none"/>
        </w:rPr>
        <w:t>，达到依法应当招标的规模标准的，以及虽未达到规定的规模标准但合同中约定采用招标方</w:t>
      </w:r>
      <w:r>
        <w:rPr>
          <w:rFonts w:hint="eastAsia" w:cs="宋体"/>
          <w:color w:val="auto"/>
          <w:spacing w:val="-8"/>
          <w:sz w:val="21"/>
          <w:szCs w:val="21"/>
          <w:highlight w:val="none"/>
        </w:rPr>
        <w:t xml:space="preserve">式实施的，应当按第 </w:t>
      </w:r>
      <w:r>
        <w:rPr>
          <w:rFonts w:hint="eastAsia" w:cs="宋体"/>
          <w:color w:val="auto"/>
          <w:sz w:val="21"/>
          <w:szCs w:val="21"/>
          <w:highlight w:val="none"/>
        </w:rPr>
        <w:t>15.8.1</w:t>
      </w:r>
      <w:r>
        <w:rPr>
          <w:rFonts w:hint="eastAsia" w:cs="宋体"/>
          <w:color w:val="auto"/>
          <w:spacing w:val="-7"/>
          <w:sz w:val="21"/>
          <w:szCs w:val="21"/>
          <w:highlight w:val="none"/>
        </w:rPr>
        <w:t xml:space="preserve"> 项的约定，由发包人和承包人以招标方式确定专业分包人。除</w:t>
      </w:r>
      <w:r>
        <w:rPr>
          <w:rFonts w:hint="eastAsia" w:cs="宋体"/>
          <w:color w:val="auto"/>
          <w:spacing w:val="-11"/>
          <w:sz w:val="21"/>
          <w:szCs w:val="21"/>
          <w:highlight w:val="none"/>
        </w:rPr>
        <w:t>项目审批部门有特别核准外，暂估价的专业工程的招标应当采用与施工总承包同样的招标方</w:t>
      </w:r>
      <w:r>
        <w:rPr>
          <w:rFonts w:hint="eastAsia" w:cs="宋体"/>
          <w:color w:val="auto"/>
          <w:spacing w:val="-8"/>
          <w:sz w:val="21"/>
          <w:szCs w:val="21"/>
          <w:highlight w:val="none"/>
        </w:rPr>
        <w:t>式。</w:t>
      </w:r>
    </w:p>
    <w:p>
      <w:pPr>
        <w:pStyle w:val="20"/>
        <w:widowControl w:val="0"/>
        <w:numPr>
          <w:ilvl w:val="2"/>
          <w:numId w:val="28"/>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4"/>
          <w:sz w:val="21"/>
          <w:szCs w:val="21"/>
          <w:highlight w:val="none"/>
        </w:rPr>
        <w:t xml:space="preserve">在相关分包合同签订并报送有关建设行政主管部门备案后 </w:t>
      </w:r>
      <w:r>
        <w:rPr>
          <w:rFonts w:hint="eastAsia" w:cs="宋体"/>
          <w:color w:val="auto"/>
          <w:sz w:val="21"/>
          <w:szCs w:val="21"/>
          <w:highlight w:val="none"/>
        </w:rPr>
        <w:t>7</w:t>
      </w:r>
      <w:r>
        <w:rPr>
          <w:rFonts w:hint="eastAsia" w:cs="宋体"/>
          <w:color w:val="auto"/>
          <w:spacing w:val="-6"/>
          <w:sz w:val="21"/>
          <w:szCs w:val="21"/>
          <w:highlight w:val="none"/>
        </w:rPr>
        <w:t xml:space="preserve"> 天内，承包人应当将</w:t>
      </w:r>
      <w:r>
        <w:rPr>
          <w:rFonts w:hint="eastAsia" w:cs="宋体"/>
          <w:color w:val="auto"/>
          <w:spacing w:val="-4"/>
          <w:sz w:val="21"/>
          <w:szCs w:val="21"/>
          <w:highlight w:val="none"/>
        </w:rPr>
        <w:t>一份副本提交给监理人，承包人应保障分包工作不得再次分包。</w:t>
      </w:r>
    </w:p>
    <w:p>
      <w:pPr>
        <w:pStyle w:val="20"/>
        <w:widowControl w:val="0"/>
        <w:numPr>
          <w:ilvl w:val="2"/>
          <w:numId w:val="28"/>
        </w:numPr>
        <w:autoSpaceDE w:val="0"/>
        <w:autoSpaceDN w:val="0"/>
        <w:spacing w:before="0" w:beforeAutospacing="0" w:after="0" w:afterAutospacing="0" w:line="415" w:lineRule="auto"/>
        <w:ind w:right="203" w:firstLine="419"/>
        <w:rPr>
          <w:rFonts w:cs="宋体"/>
          <w:color w:val="auto"/>
          <w:sz w:val="21"/>
          <w:szCs w:val="21"/>
          <w:highlight w:val="none"/>
        </w:rPr>
      </w:pPr>
      <w:r>
        <w:rPr>
          <w:rFonts w:hint="eastAsia" w:cs="宋体"/>
          <w:color w:val="auto"/>
          <w:spacing w:val="-3"/>
          <w:sz w:val="21"/>
          <w:szCs w:val="21"/>
          <w:highlight w:val="none"/>
        </w:rPr>
        <w:t>分包工程价款由承包人与分包人</w:t>
      </w:r>
      <w:r>
        <w:rPr>
          <w:rFonts w:hint="eastAsia" w:cs="宋体"/>
          <w:color w:val="auto"/>
          <w:sz w:val="21"/>
          <w:szCs w:val="21"/>
          <w:highlight w:val="none"/>
        </w:rPr>
        <w:t>（</w:t>
      </w:r>
      <w:r>
        <w:rPr>
          <w:rFonts w:hint="eastAsia" w:cs="宋体"/>
          <w:color w:val="auto"/>
          <w:spacing w:val="-3"/>
          <w:sz w:val="21"/>
          <w:szCs w:val="21"/>
          <w:highlight w:val="none"/>
        </w:rPr>
        <w:t>包括专业分包人</w:t>
      </w:r>
      <w:r>
        <w:rPr>
          <w:rFonts w:hint="eastAsia" w:cs="宋体"/>
          <w:color w:val="auto"/>
          <w:sz w:val="21"/>
          <w:szCs w:val="21"/>
          <w:highlight w:val="none"/>
        </w:rPr>
        <w:t>）</w:t>
      </w:r>
      <w:r>
        <w:rPr>
          <w:rFonts w:hint="eastAsia" w:cs="宋体"/>
          <w:color w:val="auto"/>
          <w:spacing w:val="-3"/>
          <w:sz w:val="21"/>
          <w:szCs w:val="21"/>
          <w:highlight w:val="none"/>
        </w:rPr>
        <w:t>结算。未经承包人同意，发</w:t>
      </w:r>
      <w:r>
        <w:rPr>
          <w:rFonts w:hint="eastAsia" w:cs="宋体"/>
          <w:color w:val="auto"/>
          <w:spacing w:val="-11"/>
          <w:sz w:val="21"/>
          <w:szCs w:val="21"/>
          <w:highlight w:val="none"/>
        </w:rPr>
        <w:t>包人不得以任何形式向分包人</w:t>
      </w:r>
      <w:r>
        <w:rPr>
          <w:rFonts w:hint="eastAsia" w:cs="宋体"/>
          <w:color w:val="auto"/>
          <w:spacing w:val="-3"/>
          <w:sz w:val="21"/>
          <w:szCs w:val="21"/>
          <w:highlight w:val="none"/>
        </w:rPr>
        <w:t>（包括专业分包人</w:t>
      </w:r>
      <w:r>
        <w:rPr>
          <w:rFonts w:hint="eastAsia" w:cs="宋体"/>
          <w:color w:val="auto"/>
          <w:spacing w:val="-99"/>
          <w:sz w:val="21"/>
          <w:szCs w:val="21"/>
          <w:highlight w:val="none"/>
        </w:rPr>
        <w:t>）</w:t>
      </w:r>
      <w:r>
        <w:rPr>
          <w:rFonts w:hint="eastAsia" w:cs="宋体"/>
          <w:color w:val="auto"/>
          <w:spacing w:val="-3"/>
          <w:sz w:val="21"/>
          <w:szCs w:val="21"/>
          <w:highlight w:val="none"/>
        </w:rPr>
        <w:t>支付相关分包合同项下的任何工程款项。因</w:t>
      </w:r>
      <w:r>
        <w:rPr>
          <w:rFonts w:hint="eastAsia" w:cs="宋体"/>
          <w:color w:val="auto"/>
          <w:spacing w:val="-6"/>
          <w:sz w:val="21"/>
          <w:szCs w:val="21"/>
          <w:highlight w:val="none"/>
        </w:rPr>
        <w:t>发包人未经承包人同意直接向分包人</w:t>
      </w:r>
      <w:r>
        <w:rPr>
          <w:rFonts w:hint="eastAsia" w:cs="宋体"/>
          <w:color w:val="auto"/>
          <w:sz w:val="21"/>
          <w:szCs w:val="21"/>
          <w:highlight w:val="none"/>
        </w:rPr>
        <w:t>（</w:t>
      </w:r>
      <w:r>
        <w:rPr>
          <w:rFonts w:hint="eastAsia" w:cs="宋体"/>
          <w:color w:val="auto"/>
          <w:spacing w:val="-3"/>
          <w:sz w:val="21"/>
          <w:szCs w:val="21"/>
          <w:highlight w:val="none"/>
        </w:rPr>
        <w:t>包括专业分包人</w:t>
      </w:r>
      <w:r>
        <w:rPr>
          <w:rFonts w:hint="eastAsia" w:cs="宋体"/>
          <w:color w:val="auto"/>
          <w:spacing w:val="-46"/>
          <w:sz w:val="21"/>
          <w:szCs w:val="21"/>
          <w:highlight w:val="none"/>
        </w:rPr>
        <w:t>）</w:t>
      </w:r>
      <w:r>
        <w:rPr>
          <w:rFonts w:hint="eastAsia" w:cs="宋体"/>
          <w:color w:val="auto"/>
          <w:spacing w:val="-3"/>
          <w:sz w:val="21"/>
          <w:szCs w:val="21"/>
          <w:highlight w:val="none"/>
        </w:rPr>
        <w:t>支付相关分包合同项下的任何工程款项而影响承包人工作的，所造成的承包人费用增加和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z w:val="21"/>
          <w:szCs w:val="21"/>
          <w:highlight w:val="none"/>
        </w:rPr>
        <w:t>）</w:t>
      </w:r>
      <w:r>
        <w:rPr>
          <w:rFonts w:hint="eastAsia" w:cs="宋体"/>
          <w:color w:val="auto"/>
          <w:spacing w:val="-11"/>
          <w:sz w:val="21"/>
          <w:szCs w:val="21"/>
          <w:highlight w:val="none"/>
        </w:rPr>
        <w:t>延误的工期由发包人承担。</w:t>
      </w:r>
    </w:p>
    <w:p>
      <w:pPr>
        <w:pStyle w:val="20"/>
        <w:widowControl w:val="0"/>
        <w:numPr>
          <w:ilvl w:val="2"/>
          <w:numId w:val="28"/>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未经发包人和监理人审批同意的分包工程和分包人，发包人有权拒绝验收分包工程和支付相应款项，由此引起的承包人费用增加和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z w:val="21"/>
          <w:szCs w:val="21"/>
          <w:highlight w:val="none"/>
        </w:rPr>
        <w:t>）</w:t>
      </w:r>
      <w:r>
        <w:rPr>
          <w:rFonts w:hint="eastAsia" w:cs="宋体"/>
          <w:color w:val="auto"/>
          <w:spacing w:val="-3"/>
          <w:sz w:val="21"/>
          <w:szCs w:val="21"/>
          <w:highlight w:val="none"/>
        </w:rPr>
        <w:t>延误的工期由承包人承担。</w:t>
      </w:r>
    </w:p>
    <w:p>
      <w:pPr>
        <w:pStyle w:val="20"/>
        <w:widowControl w:val="0"/>
        <w:numPr>
          <w:ilvl w:val="2"/>
          <w:numId w:val="28"/>
        </w:numPr>
        <w:autoSpaceDE w:val="0"/>
        <w:autoSpaceDN w:val="0"/>
        <w:spacing w:before="0" w:beforeAutospacing="0" w:after="0" w:afterAutospacing="0"/>
        <w:ind w:left="1087"/>
        <w:rPr>
          <w:rFonts w:cs="宋体"/>
          <w:color w:val="auto"/>
          <w:sz w:val="21"/>
          <w:szCs w:val="21"/>
          <w:highlight w:val="none"/>
        </w:rPr>
      </w:pPr>
      <w:r>
        <w:rPr>
          <w:rFonts w:hint="eastAsia" w:cs="宋体"/>
          <w:color w:val="auto"/>
          <w:spacing w:val="-3"/>
          <w:sz w:val="21"/>
          <w:szCs w:val="21"/>
          <w:highlight w:val="none"/>
        </w:rPr>
        <w:t>分包人的资格能力应与其分包工程的标准和规模相适应。</w:t>
      </w:r>
    </w:p>
    <w:p>
      <w:pPr>
        <w:pStyle w:val="20"/>
        <w:widowControl w:val="0"/>
        <w:numPr>
          <w:ilvl w:val="2"/>
          <w:numId w:val="28"/>
        </w:numPr>
        <w:autoSpaceDE w:val="0"/>
        <w:autoSpaceDN w:val="0"/>
        <w:spacing w:before="0" w:beforeAutospacing="0" w:after="0" w:afterAutospacing="0"/>
        <w:ind w:left="1087"/>
        <w:rPr>
          <w:rFonts w:cs="宋体"/>
          <w:color w:val="auto"/>
          <w:sz w:val="23"/>
          <w:szCs w:val="23"/>
          <w:highlight w:val="none"/>
        </w:rPr>
      </w:pPr>
      <w:r>
        <w:rPr>
          <w:rFonts w:hint="eastAsia" w:cs="宋体"/>
          <w:color w:val="auto"/>
          <w:spacing w:val="-3"/>
          <w:sz w:val="21"/>
          <w:szCs w:val="21"/>
          <w:highlight w:val="none"/>
        </w:rPr>
        <w:t xml:space="preserve">发包人同意的分包工程，承包人应向发包人和监理人提供合同副本。 </w:t>
      </w:r>
    </w:p>
    <w:p>
      <w:pPr>
        <w:pStyle w:val="20"/>
        <w:widowControl w:val="0"/>
        <w:numPr>
          <w:ilvl w:val="2"/>
          <w:numId w:val="28"/>
        </w:numPr>
        <w:autoSpaceDE w:val="0"/>
        <w:autoSpaceDN w:val="0"/>
        <w:spacing w:before="72" w:beforeAutospacing="0" w:after="0" w:afterAutospacing="0"/>
        <w:ind w:left="1192" w:hanging="635"/>
        <w:rPr>
          <w:rFonts w:cs="宋体"/>
          <w:color w:val="auto"/>
          <w:sz w:val="21"/>
          <w:szCs w:val="21"/>
          <w:highlight w:val="none"/>
        </w:rPr>
      </w:pPr>
      <w:r>
        <w:rPr>
          <w:rFonts w:hint="eastAsia" w:cs="宋体"/>
          <w:color w:val="auto"/>
          <w:spacing w:val="-3"/>
          <w:sz w:val="21"/>
          <w:szCs w:val="21"/>
          <w:highlight w:val="none"/>
        </w:rPr>
        <w:t>承包人应与分包人就分包工程向发包人承担连带责任。</w:t>
      </w:r>
    </w:p>
    <w:p>
      <w:pPr>
        <w:pStyle w:val="7"/>
        <w:widowControl/>
        <w:numPr>
          <w:ilvl w:val="1"/>
          <w:numId w:val="30"/>
        </w:numPr>
        <w:spacing w:before="0"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联合体 </w:t>
      </w:r>
    </w:p>
    <w:p>
      <w:pPr>
        <w:pStyle w:val="20"/>
        <w:widowControl w:val="0"/>
        <w:numPr>
          <w:ilvl w:val="2"/>
          <w:numId w:val="30"/>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联合体各方应共同与发包人签订合同协议书。联合体各方应为履行合同承担连带责任。</w:t>
      </w:r>
    </w:p>
    <w:p>
      <w:pPr>
        <w:pStyle w:val="20"/>
        <w:widowControl w:val="0"/>
        <w:numPr>
          <w:ilvl w:val="2"/>
          <w:numId w:val="30"/>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 xml:space="preserve">联合体协议经发包人确认后作为合同附件。在履行合同过程中，未经发包人同意，不得修改联合体协议。 </w:t>
      </w:r>
    </w:p>
    <w:p>
      <w:pPr>
        <w:pStyle w:val="20"/>
        <w:widowControl w:val="0"/>
        <w:numPr>
          <w:ilvl w:val="2"/>
          <w:numId w:val="30"/>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联合体牵头人负责与发包人和监理人联系，并接受指示，负责组织联合体各成员全面履行合同。</w:t>
      </w:r>
    </w:p>
    <w:p>
      <w:pPr>
        <w:pStyle w:val="7"/>
        <w:widowControl/>
        <w:numPr>
          <w:ilvl w:val="1"/>
          <w:numId w:val="30"/>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承包人项目经理 </w:t>
      </w:r>
    </w:p>
    <w:p>
      <w:pPr>
        <w:pStyle w:val="20"/>
        <w:widowControl w:val="0"/>
        <w:numPr>
          <w:ilvl w:val="2"/>
          <w:numId w:val="30"/>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2"/>
          <w:sz w:val="21"/>
          <w:szCs w:val="21"/>
          <w:highlight w:val="none"/>
        </w:rPr>
        <w:t xml:space="preserve">承包人项目经理必须与承包人投标时所承诺的人员一致，并在根据第 </w:t>
      </w:r>
      <w:r>
        <w:rPr>
          <w:rFonts w:hint="eastAsia" w:cs="宋体"/>
          <w:color w:val="auto"/>
          <w:sz w:val="21"/>
          <w:szCs w:val="21"/>
          <w:highlight w:val="none"/>
        </w:rPr>
        <w:t>11.1.1项</w:t>
      </w:r>
      <w:r>
        <w:rPr>
          <w:rFonts w:hint="eastAsia" w:cs="宋体"/>
          <w:color w:val="auto"/>
          <w:spacing w:val="-6"/>
          <w:sz w:val="21"/>
          <w:szCs w:val="21"/>
          <w:highlight w:val="none"/>
        </w:rPr>
        <w:t>确定的开工日期前到任。在监理人向承包人颁发</w:t>
      </w:r>
      <w:r>
        <w:rPr>
          <w:rFonts w:hint="eastAsia" w:cs="宋体"/>
          <w:color w:val="auto"/>
          <w:sz w:val="21"/>
          <w:szCs w:val="21"/>
          <w:highlight w:val="none"/>
        </w:rPr>
        <w:t>（</w:t>
      </w:r>
      <w:r>
        <w:rPr>
          <w:rFonts w:hint="eastAsia" w:cs="宋体"/>
          <w:color w:val="auto"/>
          <w:spacing w:val="-2"/>
          <w:sz w:val="21"/>
          <w:szCs w:val="21"/>
          <w:highlight w:val="none"/>
        </w:rPr>
        <w:t>出具</w:t>
      </w:r>
      <w:r>
        <w:rPr>
          <w:rFonts w:hint="eastAsia" w:cs="宋体"/>
          <w:color w:val="auto"/>
          <w:spacing w:val="-25"/>
          <w:sz w:val="21"/>
          <w:szCs w:val="21"/>
          <w:highlight w:val="none"/>
        </w:rPr>
        <w:t>）</w:t>
      </w:r>
      <w:r>
        <w:rPr>
          <w:rFonts w:hint="eastAsia" w:cs="宋体"/>
          <w:color w:val="auto"/>
          <w:spacing w:val="-6"/>
          <w:sz w:val="21"/>
          <w:szCs w:val="21"/>
          <w:highlight w:val="none"/>
        </w:rPr>
        <w:t>工程接收证书前，项目经理不得同</w:t>
      </w:r>
      <w:r>
        <w:rPr>
          <w:rFonts w:hint="eastAsia" w:cs="宋体"/>
          <w:color w:val="auto"/>
          <w:spacing w:val="-9"/>
          <w:sz w:val="21"/>
          <w:szCs w:val="21"/>
          <w:highlight w:val="none"/>
        </w:rPr>
        <w:t>时兼任其他任何项目的项目经理。未经发包人书面许可，承包人不得更换项目经理。承包人</w:t>
      </w:r>
      <w:r>
        <w:rPr>
          <w:rFonts w:hint="eastAsia" w:cs="宋体"/>
          <w:color w:val="auto"/>
          <w:spacing w:val="-11"/>
          <w:sz w:val="21"/>
          <w:szCs w:val="21"/>
          <w:highlight w:val="none"/>
        </w:rPr>
        <w:t>项目经理的姓名、职称、身份证号、执业资格证书号、注册证书号、执业印章号、安全生产</w:t>
      </w:r>
      <w:r>
        <w:rPr>
          <w:rFonts w:hint="eastAsia" w:cs="宋体"/>
          <w:color w:val="auto"/>
          <w:spacing w:val="-9"/>
          <w:sz w:val="21"/>
          <w:szCs w:val="21"/>
          <w:highlight w:val="none"/>
        </w:rPr>
        <w:t>考核合格证书号等细节资料应当在合同协议书中载明。承包人更换项目经理应事先征得发包</w:t>
      </w:r>
      <w:r>
        <w:rPr>
          <w:rFonts w:hint="eastAsia" w:cs="宋体"/>
          <w:color w:val="auto"/>
          <w:spacing w:val="-7"/>
          <w:sz w:val="21"/>
          <w:szCs w:val="21"/>
          <w:highlight w:val="none"/>
        </w:rPr>
        <w:t xml:space="preserve">人同意，并应在更换 </w:t>
      </w:r>
      <w:r>
        <w:rPr>
          <w:rFonts w:hint="eastAsia" w:cs="宋体"/>
          <w:color w:val="auto"/>
          <w:sz w:val="21"/>
          <w:szCs w:val="21"/>
          <w:highlight w:val="none"/>
        </w:rPr>
        <w:t>14</w:t>
      </w:r>
      <w:r>
        <w:rPr>
          <w:rFonts w:hint="eastAsia" w:cs="宋体"/>
          <w:color w:val="auto"/>
          <w:spacing w:val="-7"/>
          <w:sz w:val="21"/>
          <w:szCs w:val="21"/>
          <w:highlight w:val="none"/>
        </w:rPr>
        <w:t xml:space="preserve"> 天前通知发包人和监理人。承包人项目经理短期离开施工场地，应</w:t>
      </w:r>
      <w:r>
        <w:rPr>
          <w:rFonts w:hint="eastAsia" w:cs="宋体"/>
          <w:color w:val="auto"/>
          <w:spacing w:val="-4"/>
          <w:sz w:val="21"/>
          <w:szCs w:val="21"/>
          <w:highlight w:val="none"/>
        </w:rPr>
        <w:t>事先征得监理人同意，并委派代表代行其职责。</w:t>
      </w:r>
    </w:p>
    <w:p>
      <w:pPr>
        <w:pStyle w:val="20"/>
        <w:widowControl w:val="0"/>
        <w:numPr>
          <w:ilvl w:val="2"/>
          <w:numId w:val="30"/>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5"/>
          <w:sz w:val="21"/>
          <w:szCs w:val="21"/>
          <w:highlight w:val="none"/>
        </w:rPr>
        <w:t xml:space="preserve">承包人项目经理应按合同约定以及监理人按第 </w:t>
      </w:r>
      <w:r>
        <w:rPr>
          <w:rFonts w:hint="eastAsia" w:cs="宋体"/>
          <w:color w:val="auto"/>
          <w:sz w:val="21"/>
          <w:szCs w:val="21"/>
          <w:highlight w:val="none"/>
        </w:rPr>
        <w:t>3.4</w:t>
      </w:r>
      <w:r>
        <w:rPr>
          <w:rFonts w:hint="eastAsia" w:cs="宋体"/>
          <w:color w:val="auto"/>
          <w:spacing w:val="-6"/>
          <w:sz w:val="21"/>
          <w:szCs w:val="21"/>
          <w:highlight w:val="none"/>
        </w:rPr>
        <w:t xml:space="preserve"> 款作出的指示，负责组织合同</w:t>
      </w:r>
      <w:r>
        <w:rPr>
          <w:rFonts w:hint="eastAsia" w:cs="宋体"/>
          <w:color w:val="auto"/>
          <w:spacing w:val="-11"/>
          <w:sz w:val="21"/>
          <w:szCs w:val="21"/>
          <w:highlight w:val="none"/>
        </w:rPr>
        <w:t>工程的实施。在情况紧急且无法与监理人取得联系时，可采取保证工程和人员生命财产安全</w:t>
      </w:r>
      <w:r>
        <w:rPr>
          <w:rFonts w:hint="eastAsia" w:cs="宋体"/>
          <w:color w:val="auto"/>
          <w:spacing w:val="-9"/>
          <w:sz w:val="21"/>
          <w:szCs w:val="21"/>
          <w:highlight w:val="none"/>
        </w:rPr>
        <w:t xml:space="preserve">的紧急措施，并在采取措施后 </w:t>
      </w:r>
      <w:r>
        <w:rPr>
          <w:rFonts w:hint="eastAsia" w:cs="宋体"/>
          <w:color w:val="auto"/>
          <w:sz w:val="21"/>
          <w:szCs w:val="21"/>
          <w:highlight w:val="none"/>
        </w:rPr>
        <w:t>24</w:t>
      </w:r>
      <w:r>
        <w:rPr>
          <w:rFonts w:hint="eastAsia" w:cs="宋体"/>
          <w:color w:val="auto"/>
          <w:spacing w:val="-9"/>
          <w:sz w:val="21"/>
          <w:szCs w:val="21"/>
          <w:highlight w:val="none"/>
        </w:rPr>
        <w:t xml:space="preserve"> 小时内向监理人提交书面报告。</w:t>
      </w:r>
    </w:p>
    <w:p>
      <w:pPr>
        <w:pStyle w:val="20"/>
        <w:widowControl w:val="0"/>
        <w:numPr>
          <w:ilvl w:val="2"/>
          <w:numId w:val="30"/>
        </w:numPr>
        <w:autoSpaceDE w:val="0"/>
        <w:autoSpaceDN w:val="0"/>
        <w:spacing w:before="0" w:beforeAutospacing="0" w:after="0" w:afterAutospacing="0" w:line="415" w:lineRule="auto"/>
        <w:ind w:right="318" w:firstLine="419"/>
        <w:rPr>
          <w:rFonts w:cs="宋体"/>
          <w:color w:val="auto"/>
          <w:sz w:val="21"/>
          <w:szCs w:val="21"/>
          <w:highlight w:val="none"/>
        </w:rPr>
      </w:pPr>
      <w:r>
        <w:rPr>
          <w:rFonts w:hint="eastAsia" w:cs="宋体"/>
          <w:color w:val="auto"/>
          <w:spacing w:val="2"/>
          <w:sz w:val="21"/>
          <w:szCs w:val="21"/>
          <w:highlight w:val="none"/>
        </w:rPr>
        <w:t>承包人为履行合同发出的一切函件均应盖有承包人授权的施工场地管理机构章</w:t>
      </w:r>
      <w:r>
        <w:rPr>
          <w:rFonts w:hint="eastAsia" w:cs="宋体"/>
          <w:color w:val="auto"/>
          <w:spacing w:val="-3"/>
          <w:sz w:val="21"/>
          <w:szCs w:val="21"/>
          <w:highlight w:val="none"/>
        </w:rPr>
        <w:t>，并由承包人项目经理或其授权代表签字。</w:t>
      </w:r>
    </w:p>
    <w:p>
      <w:pPr>
        <w:pStyle w:val="20"/>
        <w:widowControl w:val="0"/>
        <w:numPr>
          <w:ilvl w:val="2"/>
          <w:numId w:val="30"/>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承包人项目经理可以授权其下属人员履行其某项职责，但事先应将这些人员的姓名和授权范围通知监理人。</w:t>
      </w:r>
    </w:p>
    <w:p>
      <w:pPr>
        <w:pStyle w:val="7"/>
        <w:widowControl/>
        <w:numPr>
          <w:ilvl w:val="1"/>
          <w:numId w:val="30"/>
        </w:numPr>
        <w:spacing w:before="134"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承包人人员的管理 </w:t>
      </w:r>
    </w:p>
    <w:p>
      <w:pPr>
        <w:pStyle w:val="20"/>
        <w:widowControl w:val="0"/>
        <w:numPr>
          <w:ilvl w:val="2"/>
          <w:numId w:val="30"/>
        </w:numPr>
        <w:autoSpaceDE w:val="0"/>
        <w:autoSpaceDN w:val="0"/>
        <w:spacing w:before="0" w:beforeAutospacing="0" w:after="0" w:afterAutospacing="0" w:line="415" w:lineRule="auto"/>
        <w:ind w:right="309" w:firstLine="419"/>
        <w:jc w:val="both"/>
        <w:rPr>
          <w:color w:val="auto"/>
          <w:highlight w:val="none"/>
        </w:rPr>
      </w:pPr>
      <w:r>
        <w:rPr>
          <w:rFonts w:hint="eastAsia" w:cs="宋体"/>
          <w:color w:val="auto"/>
          <w:spacing w:val="-6"/>
          <w:sz w:val="21"/>
          <w:szCs w:val="21"/>
          <w:highlight w:val="none"/>
        </w:rPr>
        <w:t xml:space="preserve">承包人应在接到开工通知后 </w:t>
      </w:r>
      <w:r>
        <w:rPr>
          <w:rFonts w:hint="eastAsia" w:cs="宋体"/>
          <w:color w:val="auto"/>
          <w:sz w:val="21"/>
          <w:szCs w:val="21"/>
          <w:highlight w:val="none"/>
        </w:rPr>
        <w:t>28</w:t>
      </w:r>
      <w:r>
        <w:rPr>
          <w:rFonts w:hint="eastAsia" w:cs="宋体"/>
          <w:color w:val="auto"/>
          <w:spacing w:val="-13"/>
          <w:sz w:val="21"/>
          <w:szCs w:val="21"/>
          <w:highlight w:val="none"/>
        </w:rPr>
        <w:t xml:space="preserve"> 天内，向监理人提交承包人在施工场地的管理机构</w:t>
      </w:r>
      <w:r>
        <w:rPr>
          <w:rFonts w:hint="eastAsia" w:cs="宋体"/>
          <w:color w:val="auto"/>
          <w:spacing w:val="-12"/>
          <w:sz w:val="21"/>
          <w:szCs w:val="21"/>
          <w:highlight w:val="none"/>
        </w:rPr>
        <w:t>以及人员安排的报告，其内容应包括管理机构的设置、各主要岗位的技术和管理人员名单及其资格，以及各工种技术工人的安排状况。承包人应向监理人提交施工场地人员变动情况的</w:t>
      </w:r>
      <w:r>
        <w:rPr>
          <w:rFonts w:hint="eastAsia" w:cs="宋体"/>
          <w:color w:val="auto"/>
          <w:spacing w:val="-7"/>
          <w:sz w:val="21"/>
          <w:szCs w:val="21"/>
          <w:highlight w:val="none"/>
        </w:rPr>
        <w:t>报告。</w:t>
      </w:r>
    </w:p>
    <w:p>
      <w:pPr>
        <w:pStyle w:val="20"/>
        <w:widowControl w:val="0"/>
        <w:numPr>
          <w:ilvl w:val="2"/>
          <w:numId w:val="30"/>
        </w:numPr>
        <w:autoSpaceDE w:val="0"/>
        <w:autoSpaceDN w:val="0"/>
        <w:spacing w:before="72" w:beforeAutospacing="0" w:after="0" w:afterAutospacing="0" w:line="415" w:lineRule="auto"/>
        <w:ind w:right="308" w:firstLine="419"/>
        <w:rPr>
          <w:rFonts w:cs="宋体"/>
          <w:color w:val="auto"/>
          <w:sz w:val="21"/>
          <w:szCs w:val="21"/>
          <w:highlight w:val="none"/>
        </w:rPr>
      </w:pPr>
      <w:r>
        <w:rPr>
          <w:rFonts w:hint="eastAsia" w:cs="宋体"/>
          <w:color w:val="auto"/>
          <w:spacing w:val="-3"/>
          <w:sz w:val="21"/>
          <w:szCs w:val="21"/>
          <w:highlight w:val="none"/>
        </w:rPr>
        <w:t>为完成合同约定的各项工作，承包人应向施工场地派遣或雇佣足够数量的下列人员：</w:t>
      </w:r>
    </w:p>
    <w:p>
      <w:pPr>
        <w:pStyle w:val="20"/>
        <w:widowControl w:val="0"/>
        <w:numPr>
          <w:ilvl w:val="0"/>
          <w:numId w:val="31"/>
        </w:numPr>
        <w:autoSpaceDE w:val="0"/>
        <w:autoSpaceDN w:val="0"/>
        <w:spacing w:before="0" w:beforeAutospacing="0" w:after="0" w:afterAutospacing="0" w:line="269" w:lineRule="exact"/>
        <w:ind w:hanging="530"/>
        <w:rPr>
          <w:rFonts w:cs="宋体"/>
          <w:color w:val="auto"/>
          <w:sz w:val="21"/>
          <w:szCs w:val="21"/>
          <w:highlight w:val="none"/>
        </w:rPr>
      </w:pPr>
      <w:r>
        <w:rPr>
          <w:rFonts w:hint="eastAsia" w:cs="宋体"/>
          <w:color w:val="auto"/>
          <w:spacing w:val="-3"/>
          <w:sz w:val="21"/>
          <w:szCs w:val="21"/>
          <w:highlight w:val="none"/>
        </w:rPr>
        <w:t>具有相应资格的专业技工和合格的普工；</w:t>
      </w:r>
    </w:p>
    <w:p>
      <w:pPr>
        <w:pStyle w:val="20"/>
        <w:widowControl w:val="0"/>
        <w:numPr>
          <w:ilvl w:val="0"/>
          <w:numId w:val="31"/>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具有相应施工经验的技术人员；</w:t>
      </w:r>
    </w:p>
    <w:p>
      <w:pPr>
        <w:pStyle w:val="20"/>
        <w:widowControl w:val="0"/>
        <w:numPr>
          <w:ilvl w:val="0"/>
          <w:numId w:val="31"/>
        </w:numPr>
        <w:autoSpaceDE w:val="0"/>
        <w:autoSpaceDN w:val="0"/>
        <w:spacing w:before="1"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具有相应岗位资格的各级管理人员。</w:t>
      </w:r>
    </w:p>
    <w:p>
      <w:pPr>
        <w:pStyle w:val="20"/>
        <w:widowControl w:val="0"/>
        <w:numPr>
          <w:ilvl w:val="2"/>
          <w:numId w:val="30"/>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承包人安排在施工场地的主要管理人员和技术骨干应相对稳定。承包人更换主要管理人员和技术骨干时，应取得监理人的同意。</w:t>
      </w:r>
    </w:p>
    <w:p>
      <w:pPr>
        <w:pStyle w:val="20"/>
        <w:widowControl w:val="0"/>
        <w:numPr>
          <w:ilvl w:val="2"/>
          <w:numId w:val="30"/>
        </w:numPr>
        <w:autoSpaceDE w:val="0"/>
        <w:autoSpaceDN w:val="0"/>
        <w:spacing w:before="1"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特殊岗位的工作人员均应持有相应的资格证明，监理人有权随时检查。监理人认为有必要时，可进行现场考核。</w:t>
      </w:r>
    </w:p>
    <w:p>
      <w:pPr>
        <w:pStyle w:val="20"/>
        <w:widowControl w:val="0"/>
        <w:numPr>
          <w:ilvl w:val="2"/>
          <w:numId w:val="30"/>
        </w:numPr>
        <w:autoSpaceDE w:val="0"/>
        <w:autoSpaceDN w:val="0"/>
        <w:spacing w:before="0" w:beforeAutospacing="0" w:after="0" w:afterAutospacing="0" w:line="415" w:lineRule="auto"/>
        <w:ind w:right="203" w:firstLine="419"/>
        <w:rPr>
          <w:rFonts w:cs="宋体"/>
          <w:color w:val="auto"/>
          <w:sz w:val="21"/>
          <w:szCs w:val="21"/>
          <w:highlight w:val="none"/>
        </w:rPr>
      </w:pPr>
      <w:r>
        <w:rPr>
          <w:rFonts w:hint="eastAsia" w:cs="宋体"/>
          <w:color w:val="auto"/>
          <w:spacing w:val="-3"/>
          <w:sz w:val="21"/>
          <w:szCs w:val="21"/>
          <w:highlight w:val="none"/>
        </w:rPr>
        <w:t>严格落实疫情防控常态化有关要求，核实项目人员身份及做好人员健康信息档案，不使用零散工和无健康信息的劳务人员， 不得使用按照有关规定需要隔离观察的劳务人</w:t>
      </w:r>
      <w:r>
        <w:rPr>
          <w:rFonts w:hint="eastAsia" w:cs="宋体"/>
          <w:color w:val="auto"/>
          <w:spacing w:val="-15"/>
          <w:sz w:val="21"/>
          <w:szCs w:val="21"/>
          <w:highlight w:val="none"/>
        </w:rPr>
        <w:t>员；现场进口设立体温监测点，对所有进入施工现场人员进行体温检测和“健康码”查验，核</w:t>
      </w:r>
      <w:r>
        <w:rPr>
          <w:rFonts w:hint="eastAsia" w:cs="宋体"/>
          <w:color w:val="auto"/>
          <w:spacing w:val="-16"/>
          <w:sz w:val="21"/>
          <w:szCs w:val="21"/>
          <w:highlight w:val="none"/>
        </w:rPr>
        <w:t>对人员身份和健康状况，凡有发热、干咳等症状的，禁止其进入，并及时报告和妥善处置；在</w:t>
      </w:r>
      <w:r>
        <w:rPr>
          <w:rFonts w:hint="eastAsia" w:cs="宋体"/>
          <w:color w:val="auto"/>
          <w:spacing w:val="-6"/>
          <w:sz w:val="21"/>
          <w:szCs w:val="21"/>
          <w:highlight w:val="none"/>
        </w:rPr>
        <w:t xml:space="preserve">人员密集的封闭场所与他人小于 </w:t>
      </w:r>
      <w:r>
        <w:rPr>
          <w:rFonts w:hint="eastAsia" w:cs="宋体"/>
          <w:color w:val="auto"/>
          <w:sz w:val="21"/>
          <w:szCs w:val="21"/>
          <w:highlight w:val="none"/>
        </w:rPr>
        <w:t>1</w:t>
      </w:r>
      <w:r>
        <w:rPr>
          <w:rFonts w:hint="eastAsia" w:cs="宋体"/>
          <w:color w:val="auto"/>
          <w:spacing w:val="-3"/>
          <w:sz w:val="21"/>
          <w:szCs w:val="21"/>
          <w:highlight w:val="none"/>
        </w:rPr>
        <w:t xml:space="preserve"> 米距离接触时要佩戴口罩。同时加强公共卫生教育培训</w:t>
      </w:r>
      <w:r>
        <w:rPr>
          <w:rFonts w:hint="eastAsia" w:cs="宋体"/>
          <w:color w:val="auto"/>
          <w:spacing w:val="-16"/>
          <w:sz w:val="21"/>
          <w:szCs w:val="21"/>
          <w:highlight w:val="none"/>
        </w:rPr>
        <w:t>，引导施工现场人员养成勤洗手、常通风、科学佩戴口罩、使用公勺公筷等良好卫生习惯，确</w:t>
      </w:r>
      <w:r>
        <w:rPr>
          <w:rFonts w:hint="eastAsia" w:cs="宋体"/>
          <w:color w:val="auto"/>
          <w:spacing w:val="-5"/>
          <w:sz w:val="21"/>
          <w:szCs w:val="21"/>
          <w:highlight w:val="none"/>
        </w:rPr>
        <w:t xml:space="preserve">保疫情防控管理常态化。 </w:t>
      </w:r>
    </w:p>
    <w:p>
      <w:pPr>
        <w:pStyle w:val="7"/>
        <w:widowControl/>
        <w:numPr>
          <w:ilvl w:val="1"/>
          <w:numId w:val="30"/>
        </w:numPr>
        <w:spacing w:before="134"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撤换承包人项目经理和其他人员 </w:t>
      </w:r>
    </w:p>
    <w:p>
      <w:pPr>
        <w:pStyle w:val="20"/>
        <w:widowControl w:val="0"/>
        <w:autoSpaceDE w:val="0"/>
        <w:autoSpaceDN w:val="0"/>
        <w:spacing w:before="0" w:beforeAutospacing="0" w:after="0" w:afterAutospacing="0" w:line="415" w:lineRule="auto"/>
        <w:ind w:left="138" w:right="220" w:firstLine="419"/>
        <w:rPr>
          <w:rFonts w:cs="宋体"/>
          <w:color w:val="auto"/>
          <w:sz w:val="21"/>
          <w:szCs w:val="21"/>
          <w:highlight w:val="none"/>
        </w:rPr>
      </w:pPr>
      <w:r>
        <w:rPr>
          <w:rFonts w:hint="eastAsia" w:cs="宋体"/>
          <w:color w:val="auto"/>
          <w:sz w:val="21"/>
          <w:szCs w:val="21"/>
          <w:highlight w:val="none"/>
        </w:rPr>
        <w:t xml:space="preserve">承包人应对其项目经理和其他人员进行有效管理。监理人要求撤换不能胜任本职工作、行为不端或玩忽职守的承包人项目经理和其他人员的，承包人应予以撤换。 </w:t>
      </w:r>
    </w:p>
    <w:p>
      <w:pPr>
        <w:pStyle w:val="7"/>
        <w:widowControl/>
        <w:numPr>
          <w:ilvl w:val="1"/>
          <w:numId w:val="30"/>
        </w:numPr>
        <w:spacing w:before="136"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保障承包人人员的合法权益 </w:t>
      </w:r>
    </w:p>
    <w:p>
      <w:pPr>
        <w:pStyle w:val="20"/>
        <w:widowControl w:val="0"/>
        <w:numPr>
          <w:ilvl w:val="2"/>
          <w:numId w:val="30"/>
        </w:numPr>
        <w:autoSpaceDE w:val="0"/>
        <w:autoSpaceDN w:val="0"/>
        <w:spacing w:before="0" w:beforeAutospacing="0" w:after="0" w:afterAutospacing="0"/>
        <w:ind w:left="1087"/>
        <w:rPr>
          <w:rFonts w:cs="宋体"/>
          <w:color w:val="auto"/>
          <w:sz w:val="21"/>
          <w:szCs w:val="21"/>
          <w:highlight w:val="none"/>
        </w:rPr>
      </w:pPr>
      <w:r>
        <w:rPr>
          <w:rFonts w:hint="eastAsia" w:cs="宋体"/>
          <w:color w:val="auto"/>
          <w:spacing w:val="-3"/>
          <w:sz w:val="21"/>
          <w:szCs w:val="21"/>
          <w:highlight w:val="none"/>
        </w:rPr>
        <w:t>承包人应与其雇佣的人员签订劳动合同，并按时发放工资。</w:t>
      </w:r>
    </w:p>
    <w:p>
      <w:pPr>
        <w:pStyle w:val="20"/>
        <w:widowControl w:val="0"/>
        <w:numPr>
          <w:ilvl w:val="2"/>
          <w:numId w:val="30"/>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3"/>
          <w:sz w:val="21"/>
          <w:szCs w:val="21"/>
          <w:highlight w:val="none"/>
        </w:rPr>
        <w:t>承包人应按劳动法的规定安排工作时间，保证其雇佣人员享有休息和休假的权利</w:t>
      </w:r>
      <w:r>
        <w:rPr>
          <w:rFonts w:hint="eastAsia" w:cs="宋体"/>
          <w:color w:val="auto"/>
          <w:spacing w:val="-9"/>
          <w:sz w:val="21"/>
          <w:szCs w:val="21"/>
          <w:highlight w:val="none"/>
        </w:rPr>
        <w:t>。因工程施工的特殊需要占用休假日或延长工作时间的，应不超过法律规定的限度，并按法</w:t>
      </w:r>
      <w:r>
        <w:rPr>
          <w:rFonts w:hint="eastAsia" w:cs="宋体"/>
          <w:color w:val="auto"/>
          <w:spacing w:val="-4"/>
          <w:sz w:val="21"/>
          <w:szCs w:val="21"/>
          <w:highlight w:val="none"/>
        </w:rPr>
        <w:t xml:space="preserve">律规定给予补休或付酬。 </w:t>
      </w:r>
    </w:p>
    <w:p>
      <w:pPr>
        <w:pStyle w:val="20"/>
        <w:widowControl w:val="0"/>
        <w:numPr>
          <w:ilvl w:val="2"/>
          <w:numId w:val="30"/>
        </w:numPr>
        <w:autoSpaceDE w:val="0"/>
        <w:autoSpaceDN w:val="0"/>
        <w:spacing w:before="0" w:beforeAutospacing="0" w:after="0" w:afterAutospacing="0" w:line="415" w:lineRule="auto"/>
        <w:ind w:right="208" w:firstLine="419"/>
        <w:rPr>
          <w:rFonts w:cs="宋体"/>
          <w:color w:val="auto"/>
          <w:sz w:val="21"/>
          <w:szCs w:val="21"/>
          <w:highlight w:val="none"/>
        </w:rPr>
      </w:pPr>
      <w:r>
        <w:rPr>
          <w:rFonts w:hint="eastAsia" w:cs="宋体"/>
          <w:color w:val="auto"/>
          <w:spacing w:val="-3"/>
          <w:sz w:val="21"/>
          <w:szCs w:val="21"/>
          <w:highlight w:val="none"/>
        </w:rPr>
        <w:t>承包人应为其雇佣人员提供必要的食宿条件，以及符合环境保护和卫生要求的生</w:t>
      </w:r>
      <w:r>
        <w:rPr>
          <w:rFonts w:hint="eastAsia" w:cs="宋体"/>
          <w:color w:val="auto"/>
          <w:spacing w:val="-20"/>
          <w:sz w:val="21"/>
          <w:szCs w:val="21"/>
          <w:highlight w:val="none"/>
        </w:rPr>
        <w:t>活环境，在远离城镇的施工场地，还应配备必要的伤病防治和急救的医务人员与医疗设施。</w:t>
      </w:r>
    </w:p>
    <w:p>
      <w:pPr>
        <w:pStyle w:val="20"/>
        <w:widowControl w:val="0"/>
        <w:numPr>
          <w:ilvl w:val="2"/>
          <w:numId w:val="30"/>
        </w:numPr>
        <w:autoSpaceDE w:val="0"/>
        <w:autoSpaceDN w:val="0"/>
        <w:spacing w:before="0" w:beforeAutospacing="0" w:after="0" w:afterAutospacing="0" w:line="415" w:lineRule="auto"/>
        <w:ind w:right="309" w:firstLine="419"/>
        <w:rPr>
          <w:color w:val="auto"/>
          <w:highlight w:val="none"/>
        </w:rPr>
      </w:pPr>
      <w:r>
        <w:rPr>
          <w:rFonts w:hint="eastAsia" w:cs="宋体"/>
          <w:color w:val="auto"/>
          <w:spacing w:val="-3"/>
          <w:sz w:val="21"/>
          <w:szCs w:val="21"/>
          <w:highlight w:val="none"/>
        </w:rPr>
        <w:t>承包人应按国家有关劳动保护的规定，采取有效的防止粉尘、降低噪声、控制有</w:t>
      </w:r>
      <w:r>
        <w:rPr>
          <w:rFonts w:hint="eastAsia" w:cs="宋体"/>
          <w:color w:val="auto"/>
          <w:spacing w:val="-11"/>
          <w:sz w:val="21"/>
          <w:szCs w:val="21"/>
          <w:highlight w:val="none"/>
        </w:rPr>
        <w:t>害气体和保障高温、高寒、高空作业安全等劳动保护措施。其雇佣人员在施工中受到伤害</w:t>
      </w:r>
      <w:r>
        <w:rPr>
          <w:rFonts w:hint="eastAsia" w:cs="宋体"/>
          <w:color w:val="auto"/>
          <w:sz w:val="22"/>
          <w:szCs w:val="22"/>
          <w:highlight w:val="none"/>
        </w:rPr>
        <w:t>的承包人应立即采取有效措施进行抢救和治疗。</w:t>
      </w:r>
    </w:p>
    <w:p>
      <w:pPr>
        <w:pStyle w:val="20"/>
        <w:widowControl w:val="0"/>
        <w:numPr>
          <w:ilvl w:val="2"/>
          <w:numId w:val="30"/>
        </w:numPr>
        <w:autoSpaceDE w:val="0"/>
        <w:autoSpaceDN w:val="0"/>
        <w:spacing w:before="0" w:beforeAutospacing="0" w:after="0" w:afterAutospacing="0"/>
        <w:ind w:left="1087"/>
        <w:rPr>
          <w:rFonts w:cs="宋体"/>
          <w:color w:val="auto"/>
          <w:sz w:val="21"/>
          <w:szCs w:val="21"/>
          <w:highlight w:val="none"/>
        </w:rPr>
      </w:pPr>
      <w:r>
        <w:rPr>
          <w:rFonts w:hint="eastAsia" w:cs="宋体"/>
          <w:color w:val="auto"/>
          <w:spacing w:val="-3"/>
          <w:sz w:val="21"/>
          <w:szCs w:val="21"/>
          <w:highlight w:val="none"/>
        </w:rPr>
        <w:t xml:space="preserve">承包人应按有关法律规定和合同约定，为其雇佣人员办理保险。 </w:t>
      </w:r>
    </w:p>
    <w:p>
      <w:pPr>
        <w:pStyle w:val="20"/>
        <w:widowControl w:val="0"/>
        <w:numPr>
          <w:ilvl w:val="2"/>
          <w:numId w:val="30"/>
        </w:numPr>
        <w:autoSpaceDE w:val="0"/>
        <w:autoSpaceDN w:val="0"/>
        <w:spacing w:before="1" w:beforeAutospacing="0" w:after="0" w:afterAutospacing="0"/>
        <w:ind w:left="1087"/>
        <w:rPr>
          <w:rFonts w:cs="宋体"/>
          <w:color w:val="auto"/>
          <w:sz w:val="21"/>
          <w:szCs w:val="21"/>
          <w:highlight w:val="none"/>
        </w:rPr>
      </w:pPr>
      <w:r>
        <w:rPr>
          <w:rFonts w:hint="eastAsia" w:cs="宋体"/>
          <w:color w:val="auto"/>
          <w:spacing w:val="-3"/>
          <w:sz w:val="21"/>
          <w:szCs w:val="21"/>
          <w:highlight w:val="none"/>
        </w:rPr>
        <w:t>承包人应负责处理其雇佣人员因工伤亡事故的善后事宜。</w:t>
      </w:r>
    </w:p>
    <w:p>
      <w:pPr>
        <w:pStyle w:val="7"/>
        <w:widowControl/>
        <w:numPr>
          <w:ilvl w:val="1"/>
          <w:numId w:val="30"/>
        </w:numPr>
        <w:spacing w:before="0"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工程价款应专款专用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发包人按合同约定支付给承包人的各项价款应专用于合同工程。 </w:t>
      </w:r>
    </w:p>
    <w:p>
      <w:pPr>
        <w:pStyle w:val="7"/>
        <w:widowControl/>
        <w:numPr>
          <w:ilvl w:val="1"/>
          <w:numId w:val="30"/>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承包人现场查勘 </w:t>
      </w:r>
    </w:p>
    <w:p>
      <w:pPr>
        <w:pStyle w:val="20"/>
        <w:widowControl w:val="0"/>
        <w:numPr>
          <w:ilvl w:val="2"/>
          <w:numId w:val="30"/>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8"/>
          <w:sz w:val="21"/>
          <w:szCs w:val="21"/>
          <w:highlight w:val="none"/>
        </w:rPr>
        <w:t>发包人应将其持有的现场地质勘探资料、水文气象资料提供给承包人，并对其准</w:t>
      </w:r>
      <w:r>
        <w:rPr>
          <w:rFonts w:hint="eastAsia" w:cs="宋体"/>
          <w:color w:val="auto"/>
          <w:spacing w:val="-4"/>
          <w:sz w:val="21"/>
          <w:szCs w:val="21"/>
          <w:highlight w:val="none"/>
        </w:rPr>
        <w:t xml:space="preserve">确性负责。但承包人应对其阅读上述有关资料后所作出的解释和推断负责。 </w:t>
      </w:r>
    </w:p>
    <w:p>
      <w:pPr>
        <w:pStyle w:val="20"/>
        <w:widowControl w:val="0"/>
        <w:numPr>
          <w:ilvl w:val="2"/>
          <w:numId w:val="30"/>
        </w:numPr>
        <w:autoSpaceDE w:val="0"/>
        <w:autoSpaceDN w:val="0"/>
        <w:spacing w:before="0" w:beforeAutospacing="0" w:after="0" w:afterAutospacing="0" w:line="415" w:lineRule="auto"/>
        <w:ind w:right="206" w:firstLine="419"/>
        <w:rPr>
          <w:rFonts w:cs="宋体"/>
          <w:color w:val="auto"/>
          <w:sz w:val="21"/>
          <w:szCs w:val="21"/>
          <w:highlight w:val="none"/>
        </w:rPr>
      </w:pPr>
      <w:r>
        <w:rPr>
          <w:rFonts w:hint="eastAsia" w:cs="宋体"/>
          <w:color w:val="auto"/>
          <w:spacing w:val="-12"/>
          <w:sz w:val="21"/>
          <w:szCs w:val="21"/>
          <w:highlight w:val="none"/>
        </w:rPr>
        <w:t>承包人应对施工场地和周围环境进行查勘，并收集有关地质、水文、气象条件、交</w:t>
      </w:r>
      <w:r>
        <w:rPr>
          <w:rFonts w:hint="eastAsia" w:cs="宋体"/>
          <w:color w:val="auto"/>
          <w:spacing w:val="-10"/>
          <w:sz w:val="21"/>
          <w:szCs w:val="21"/>
          <w:highlight w:val="none"/>
        </w:rPr>
        <w:t>通条件、风俗习惯以及其他为完成合同工作有关的当地资料。在全部合同工作中，应视为承</w:t>
      </w:r>
      <w:r>
        <w:rPr>
          <w:rFonts w:hint="eastAsia" w:cs="宋体"/>
          <w:color w:val="auto"/>
          <w:spacing w:val="-4"/>
          <w:sz w:val="21"/>
          <w:szCs w:val="21"/>
          <w:highlight w:val="none"/>
        </w:rPr>
        <w:t>包人已充分估计了应承担的责任和风险。</w:t>
      </w:r>
    </w:p>
    <w:p>
      <w:pPr>
        <w:pStyle w:val="7"/>
        <w:widowControl/>
        <w:numPr>
          <w:ilvl w:val="1"/>
          <w:numId w:val="30"/>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不利物质条件 </w:t>
      </w:r>
    </w:p>
    <w:p>
      <w:pPr>
        <w:pStyle w:val="20"/>
        <w:widowControl w:val="0"/>
        <w:numPr>
          <w:ilvl w:val="2"/>
          <w:numId w:val="30"/>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6"/>
          <w:sz w:val="21"/>
          <w:szCs w:val="21"/>
          <w:highlight w:val="none"/>
        </w:rPr>
        <w:t>不利物质条件一般是指承包人在施工场地遇到的不可预见的自然物质条件、非自</w:t>
      </w:r>
      <w:r>
        <w:rPr>
          <w:rFonts w:hint="eastAsia" w:cs="宋体"/>
          <w:color w:val="auto"/>
          <w:spacing w:val="-10"/>
          <w:sz w:val="21"/>
          <w:szCs w:val="21"/>
          <w:highlight w:val="none"/>
        </w:rPr>
        <w:t>然的物质障碍和污染物，包括地下和水文条件，但不包括气候条件。不利物质条件的具体范</w:t>
      </w:r>
      <w:r>
        <w:rPr>
          <w:rFonts w:hint="eastAsia" w:cs="宋体"/>
          <w:color w:val="auto"/>
          <w:spacing w:val="-4"/>
          <w:sz w:val="21"/>
          <w:szCs w:val="21"/>
          <w:highlight w:val="none"/>
        </w:rPr>
        <w:t xml:space="preserve">围见合同条款专用部分。 </w:t>
      </w:r>
    </w:p>
    <w:p>
      <w:pPr>
        <w:pStyle w:val="20"/>
        <w:widowControl w:val="0"/>
        <w:numPr>
          <w:ilvl w:val="2"/>
          <w:numId w:val="30"/>
        </w:numPr>
        <w:autoSpaceDE w:val="0"/>
        <w:autoSpaceDN w:val="0"/>
        <w:spacing w:before="0" w:beforeAutospacing="0" w:after="0" w:afterAutospacing="0" w:line="415" w:lineRule="auto"/>
        <w:ind w:right="208" w:firstLine="419"/>
        <w:rPr>
          <w:rFonts w:cs="宋体"/>
          <w:color w:val="auto"/>
          <w:sz w:val="21"/>
          <w:szCs w:val="21"/>
          <w:highlight w:val="none"/>
        </w:rPr>
      </w:pPr>
      <w:r>
        <w:rPr>
          <w:rFonts w:hint="eastAsia" w:cs="宋体"/>
          <w:color w:val="auto"/>
          <w:spacing w:val="-3"/>
          <w:sz w:val="21"/>
          <w:szCs w:val="21"/>
          <w:highlight w:val="none"/>
        </w:rPr>
        <w:t>承包人遇到不利物质条件时，应采取适应不利物质条件的合理措施继续施工，并</w:t>
      </w:r>
      <w:r>
        <w:rPr>
          <w:rFonts w:hint="eastAsia" w:cs="宋体"/>
          <w:color w:val="auto"/>
          <w:spacing w:val="-5"/>
          <w:sz w:val="21"/>
          <w:szCs w:val="21"/>
          <w:highlight w:val="none"/>
        </w:rPr>
        <w:t xml:space="preserve">及时通知监理人。监理人应当及时发出指示，指示构成变更的，按第 </w:t>
      </w:r>
      <w:r>
        <w:rPr>
          <w:rFonts w:hint="eastAsia" w:cs="宋体"/>
          <w:color w:val="auto"/>
          <w:sz w:val="21"/>
          <w:szCs w:val="21"/>
          <w:highlight w:val="none"/>
        </w:rPr>
        <w:t>15</w:t>
      </w:r>
      <w:r>
        <w:rPr>
          <w:rFonts w:hint="eastAsia" w:cs="宋体"/>
          <w:color w:val="auto"/>
          <w:spacing w:val="-7"/>
          <w:sz w:val="21"/>
          <w:szCs w:val="21"/>
          <w:highlight w:val="none"/>
        </w:rPr>
        <w:t xml:space="preserve"> 条约定办理。监理</w:t>
      </w:r>
      <w:r>
        <w:rPr>
          <w:rFonts w:hint="eastAsia" w:cs="宋体"/>
          <w:color w:val="auto"/>
          <w:spacing w:val="-12"/>
          <w:sz w:val="21"/>
          <w:szCs w:val="21"/>
          <w:highlight w:val="none"/>
        </w:rPr>
        <w:t>人没有发出指示的，承包人因采取合理措施增加的费用和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pacing w:val="-48"/>
          <w:sz w:val="21"/>
          <w:szCs w:val="21"/>
          <w:highlight w:val="none"/>
        </w:rPr>
        <w:t>）</w:t>
      </w:r>
      <w:r>
        <w:rPr>
          <w:rFonts w:hint="eastAsia" w:cs="宋体"/>
          <w:color w:val="auto"/>
          <w:spacing w:val="-18"/>
          <w:sz w:val="21"/>
          <w:szCs w:val="21"/>
          <w:highlight w:val="none"/>
        </w:rPr>
        <w:t>工期延误，由发包人承担。</w:t>
      </w:r>
    </w:p>
    <w:p>
      <w:pPr>
        <w:pStyle w:val="6"/>
        <w:widowControl/>
        <w:numPr>
          <w:ilvl w:val="0"/>
          <w:numId w:val="14"/>
        </w:numPr>
        <w:spacing w:before="0" w:after="0"/>
        <w:ind w:hanging="284"/>
        <w:jc w:val="left"/>
        <w:rPr>
          <w:rFonts w:ascii="宋体" w:hAnsi="宋体" w:eastAsia="宋体" w:cs="宋体"/>
          <w:color w:val="auto"/>
          <w:szCs w:val="28"/>
          <w:highlight w:val="none"/>
        </w:rPr>
      </w:pPr>
      <w:r>
        <w:rPr>
          <w:rFonts w:hint="eastAsia" w:ascii="宋体" w:hAnsi="宋体" w:eastAsia="宋体" w:cs="宋体"/>
          <w:color w:val="auto"/>
          <w:spacing w:val="-2"/>
          <w:szCs w:val="28"/>
          <w:highlight w:val="none"/>
        </w:rPr>
        <w:t xml:space="preserve">材料和工程设备 </w:t>
      </w:r>
    </w:p>
    <w:p>
      <w:pPr>
        <w:pStyle w:val="7"/>
        <w:widowControl/>
        <w:numPr>
          <w:ilvl w:val="1"/>
          <w:numId w:val="14"/>
        </w:numPr>
        <w:spacing w:before="0"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承包人提供的材料和工程设备 </w:t>
      </w:r>
    </w:p>
    <w:p>
      <w:pPr>
        <w:pStyle w:val="20"/>
        <w:widowControl w:val="0"/>
        <w:numPr>
          <w:ilvl w:val="2"/>
          <w:numId w:val="32"/>
        </w:numPr>
        <w:autoSpaceDE w:val="0"/>
        <w:autoSpaceDN w:val="0"/>
        <w:spacing w:before="1" w:beforeAutospacing="0" w:after="0" w:afterAutospacing="0" w:line="415" w:lineRule="auto"/>
        <w:ind w:right="220" w:firstLine="419"/>
        <w:rPr>
          <w:color w:val="auto"/>
          <w:highlight w:val="none"/>
        </w:rPr>
      </w:pPr>
      <w:r>
        <w:rPr>
          <w:rFonts w:hint="eastAsia" w:cs="宋体"/>
          <w:color w:val="auto"/>
          <w:spacing w:val="-13"/>
          <w:sz w:val="21"/>
          <w:szCs w:val="21"/>
          <w:highlight w:val="none"/>
        </w:rPr>
        <w:t xml:space="preserve">除第 </w:t>
      </w:r>
      <w:r>
        <w:rPr>
          <w:rFonts w:hint="eastAsia" w:cs="宋体"/>
          <w:color w:val="auto"/>
          <w:sz w:val="21"/>
          <w:szCs w:val="21"/>
          <w:highlight w:val="none"/>
        </w:rPr>
        <w:t>5.2</w:t>
      </w:r>
      <w:r>
        <w:rPr>
          <w:rFonts w:hint="eastAsia" w:cs="宋体"/>
          <w:color w:val="auto"/>
          <w:spacing w:val="-7"/>
          <w:sz w:val="21"/>
          <w:szCs w:val="21"/>
          <w:highlight w:val="none"/>
        </w:rPr>
        <w:t xml:space="preserve"> 款约定由发包人提供的材料和工程设备外，由承包人提供的材料和工程</w:t>
      </w:r>
      <w:r>
        <w:rPr>
          <w:rFonts w:hint="eastAsia" w:cs="宋体"/>
          <w:color w:val="auto"/>
          <w:spacing w:val="-11"/>
          <w:sz w:val="21"/>
          <w:szCs w:val="21"/>
          <w:highlight w:val="none"/>
        </w:rPr>
        <w:t>设备均由承包人负责采购、运输和保管。但是，发包人在工程量清单中给定暂估价的材料和</w:t>
      </w:r>
      <w:r>
        <w:rPr>
          <w:rFonts w:hint="eastAsia" w:cs="宋体"/>
          <w:color w:val="auto"/>
          <w:spacing w:val="-12"/>
          <w:sz w:val="21"/>
          <w:szCs w:val="21"/>
          <w:highlight w:val="none"/>
        </w:rPr>
        <w:t>工程设备，包括从暂列金额开支的材料和工程设备，其中属于依法必须招标的范围并达到规</w:t>
      </w:r>
      <w:r>
        <w:rPr>
          <w:rFonts w:hint="eastAsia" w:cs="宋体"/>
          <w:color w:val="auto"/>
          <w:spacing w:val="-5"/>
          <w:sz w:val="21"/>
          <w:szCs w:val="21"/>
          <w:highlight w:val="none"/>
        </w:rPr>
        <w:t>定的规模标准的，以及虽不属于依法必须招标的范围但合同中约定采用招标方式采购的，应</w:t>
      </w:r>
      <w:r>
        <w:rPr>
          <w:rFonts w:hint="eastAsia" w:cs="宋体"/>
          <w:color w:val="auto"/>
          <w:spacing w:val="-11"/>
          <w:sz w:val="21"/>
          <w:szCs w:val="21"/>
          <w:highlight w:val="none"/>
        </w:rPr>
        <w:t xml:space="preserve">当按第 </w:t>
      </w:r>
      <w:r>
        <w:rPr>
          <w:rFonts w:hint="eastAsia" w:cs="宋体"/>
          <w:color w:val="auto"/>
          <w:sz w:val="21"/>
          <w:szCs w:val="21"/>
          <w:highlight w:val="none"/>
        </w:rPr>
        <w:t>15.8.1</w:t>
      </w:r>
      <w:r>
        <w:rPr>
          <w:rFonts w:hint="eastAsia" w:cs="宋体"/>
          <w:color w:val="auto"/>
          <w:spacing w:val="-8"/>
          <w:sz w:val="21"/>
          <w:szCs w:val="21"/>
          <w:highlight w:val="none"/>
        </w:rPr>
        <w:t xml:space="preserve"> 项的约定，由发包人和承包人以招标方式确定专项供应商。承包人负责提供的主要材料和工程设备清单见合同条款专用部分“附件三：承包人提供的材料和工程设备</w:t>
      </w:r>
      <w:r>
        <w:rPr>
          <w:rFonts w:hint="eastAsia" w:cs="宋体"/>
          <w:color w:val="auto"/>
          <w:sz w:val="22"/>
          <w:szCs w:val="22"/>
          <w:highlight w:val="none"/>
        </w:rPr>
        <w:t>一览表”。</w:t>
      </w:r>
    </w:p>
    <w:p>
      <w:pPr>
        <w:pStyle w:val="20"/>
        <w:widowControl w:val="0"/>
        <w:numPr>
          <w:ilvl w:val="2"/>
          <w:numId w:val="32"/>
        </w:numPr>
        <w:autoSpaceDE w:val="0"/>
        <w:autoSpaceDN w:val="0"/>
        <w:spacing w:before="0" w:beforeAutospacing="0" w:after="0" w:afterAutospacing="0" w:line="415" w:lineRule="auto"/>
        <w:ind w:right="206" w:firstLine="419"/>
        <w:rPr>
          <w:rFonts w:cs="宋体"/>
          <w:color w:val="auto"/>
          <w:sz w:val="21"/>
          <w:szCs w:val="21"/>
          <w:highlight w:val="none"/>
        </w:rPr>
      </w:pPr>
      <w:r>
        <w:rPr>
          <w:rFonts w:hint="eastAsia" w:cs="宋体"/>
          <w:color w:val="auto"/>
          <w:spacing w:val="-9"/>
          <w:sz w:val="21"/>
          <w:szCs w:val="21"/>
          <w:highlight w:val="none"/>
        </w:rPr>
        <w:t>承包人应在合同约定的期限内，将各项材料和工程设备的供货人和品种、规格、数</w:t>
      </w:r>
      <w:r>
        <w:rPr>
          <w:rFonts w:hint="eastAsia" w:cs="宋体"/>
          <w:color w:val="auto"/>
          <w:spacing w:val="-10"/>
          <w:sz w:val="21"/>
          <w:szCs w:val="21"/>
          <w:highlight w:val="none"/>
        </w:rPr>
        <w:t>量及供货时间等报送监理人审批。承包人应向监理人提交其负责提供的材料和工程设备的质</w:t>
      </w:r>
      <w:r>
        <w:rPr>
          <w:rFonts w:hint="eastAsia" w:cs="宋体"/>
          <w:color w:val="auto"/>
          <w:spacing w:val="-12"/>
          <w:sz w:val="21"/>
          <w:szCs w:val="21"/>
          <w:highlight w:val="none"/>
        </w:rPr>
        <w:t>量证明文件，并满足合同约定的质量标准。承包人将其提供的各项材料和工程设备的供货人</w:t>
      </w:r>
      <w:r>
        <w:rPr>
          <w:rFonts w:hint="eastAsia" w:cs="宋体"/>
          <w:color w:val="auto"/>
          <w:spacing w:val="-5"/>
          <w:sz w:val="21"/>
          <w:szCs w:val="21"/>
          <w:highlight w:val="none"/>
        </w:rPr>
        <w:t>和品种、规格、数量及供货时间等报送监理人审批的期限见合同条款专用部分。</w:t>
      </w:r>
    </w:p>
    <w:p>
      <w:pPr>
        <w:pStyle w:val="20"/>
        <w:widowControl w:val="0"/>
        <w:numPr>
          <w:ilvl w:val="2"/>
          <w:numId w:val="32"/>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3"/>
          <w:sz w:val="21"/>
          <w:szCs w:val="21"/>
          <w:highlight w:val="none"/>
        </w:rPr>
        <w:t>对承包人提供的材料和工程设备，承包人应会同监理人进行检验和交货验收，查</w:t>
      </w:r>
      <w:r>
        <w:rPr>
          <w:rFonts w:hint="eastAsia" w:cs="宋体"/>
          <w:color w:val="auto"/>
          <w:spacing w:val="-8"/>
          <w:sz w:val="21"/>
          <w:szCs w:val="21"/>
          <w:highlight w:val="none"/>
        </w:rPr>
        <w:t>验材料合格证明和产品合格证书，并按照合同约定和监理人指示，进行材料的抽样检验和工</w:t>
      </w:r>
      <w:r>
        <w:rPr>
          <w:rFonts w:hint="eastAsia" w:cs="宋体"/>
          <w:color w:val="auto"/>
          <w:spacing w:val="-4"/>
          <w:sz w:val="21"/>
          <w:szCs w:val="21"/>
          <w:highlight w:val="none"/>
        </w:rPr>
        <w:t>程设备的检验测试，检验和测试结果应提交监理人，所需费用由承包人承担。</w:t>
      </w:r>
    </w:p>
    <w:p>
      <w:pPr>
        <w:pStyle w:val="7"/>
        <w:widowControl/>
        <w:numPr>
          <w:ilvl w:val="1"/>
          <w:numId w:val="14"/>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发包人提供的材料和工程设备 </w:t>
      </w:r>
    </w:p>
    <w:p>
      <w:pPr>
        <w:pStyle w:val="20"/>
        <w:widowControl w:val="0"/>
        <w:autoSpaceDE w:val="0"/>
        <w:autoSpaceDN w:val="0"/>
        <w:spacing w:before="1" w:beforeAutospacing="0" w:after="0" w:afterAutospacing="0" w:line="415" w:lineRule="auto"/>
        <w:ind w:left="557" w:right="308" w:firstLine="419"/>
        <w:jc w:val="both"/>
        <w:rPr>
          <w:rFonts w:cs="宋体"/>
          <w:color w:val="auto"/>
          <w:sz w:val="21"/>
          <w:szCs w:val="21"/>
          <w:highlight w:val="none"/>
        </w:rPr>
      </w:pPr>
      <w:r>
        <w:rPr>
          <w:rFonts w:hint="eastAsia" w:cs="宋体"/>
          <w:color w:val="auto"/>
          <w:spacing w:val="-3"/>
          <w:sz w:val="21"/>
          <w:szCs w:val="21"/>
          <w:highlight w:val="none"/>
        </w:rPr>
        <w:t>5.2.1 发包人负责提供的材料和工程设备的名称、规格、数量、价格、交货方式、交货</w:t>
      </w:r>
      <w:r>
        <w:rPr>
          <w:rFonts w:hint="eastAsia" w:cs="宋体"/>
          <w:color w:val="auto"/>
          <w:spacing w:val="-8"/>
          <w:sz w:val="21"/>
          <w:szCs w:val="21"/>
          <w:highlight w:val="none"/>
        </w:rPr>
        <w:t>地点和计划交货日期等见合同条款专用部分“附件四：发包人提供的材料和工程设备一览表</w:t>
      </w:r>
      <w:r>
        <w:rPr>
          <w:rFonts w:hint="eastAsia" w:cs="宋体"/>
          <w:color w:val="auto"/>
          <w:spacing w:val="-55"/>
          <w:sz w:val="21"/>
          <w:szCs w:val="21"/>
          <w:highlight w:val="none"/>
        </w:rPr>
        <w:t>”。</w:t>
      </w:r>
    </w:p>
    <w:p>
      <w:pPr>
        <w:pStyle w:val="20"/>
        <w:widowControl w:val="0"/>
        <w:autoSpaceDE w:val="0"/>
        <w:autoSpaceDN w:val="0"/>
        <w:spacing w:before="0" w:beforeAutospacing="0" w:after="0" w:afterAutospacing="0" w:line="415" w:lineRule="auto"/>
        <w:ind w:left="557" w:right="205" w:firstLine="419"/>
        <w:rPr>
          <w:rFonts w:cs="宋体"/>
          <w:color w:val="auto"/>
          <w:sz w:val="21"/>
          <w:szCs w:val="21"/>
          <w:highlight w:val="none"/>
        </w:rPr>
      </w:pPr>
      <w:r>
        <w:rPr>
          <w:rFonts w:hint="eastAsia" w:cs="宋体"/>
          <w:color w:val="auto"/>
          <w:spacing w:val="-9"/>
          <w:sz w:val="21"/>
          <w:szCs w:val="21"/>
          <w:highlight w:val="none"/>
        </w:rPr>
        <w:t>5.2.2 承包人应根据合同进度计划的安排，向监理人报送要求发包人交货的日期计划。发</w:t>
      </w:r>
      <w:r>
        <w:rPr>
          <w:rFonts w:hint="eastAsia" w:cs="宋体"/>
          <w:color w:val="auto"/>
          <w:spacing w:val="-4"/>
          <w:sz w:val="21"/>
          <w:szCs w:val="21"/>
          <w:highlight w:val="none"/>
        </w:rPr>
        <w:t>包人应按照监理人与合同双方当事人商定的交货日期，向承包人提交材料和工程设备。</w:t>
      </w:r>
    </w:p>
    <w:p>
      <w:pPr>
        <w:pStyle w:val="20"/>
        <w:widowControl w:val="0"/>
        <w:autoSpaceDE w:val="0"/>
        <w:autoSpaceDN w:val="0"/>
        <w:spacing w:before="0" w:beforeAutospacing="0" w:after="0" w:afterAutospacing="0" w:line="415" w:lineRule="auto"/>
        <w:ind w:left="557" w:right="309" w:firstLine="419"/>
        <w:jc w:val="both"/>
        <w:rPr>
          <w:rFonts w:cs="宋体"/>
          <w:color w:val="auto"/>
          <w:sz w:val="21"/>
          <w:szCs w:val="21"/>
          <w:highlight w:val="none"/>
        </w:rPr>
      </w:pPr>
      <w:r>
        <w:rPr>
          <w:rFonts w:hint="eastAsia" w:cs="宋体"/>
          <w:color w:val="auto"/>
          <w:spacing w:val="-5"/>
          <w:sz w:val="21"/>
          <w:szCs w:val="21"/>
          <w:highlight w:val="none"/>
        </w:rPr>
        <w:t xml:space="preserve">5.2.3 发包人应在材料和工程设备到货 </w:t>
      </w:r>
      <w:r>
        <w:rPr>
          <w:rFonts w:hint="eastAsia" w:cs="宋体"/>
          <w:color w:val="auto"/>
          <w:sz w:val="21"/>
          <w:szCs w:val="21"/>
          <w:highlight w:val="none"/>
        </w:rPr>
        <w:t>7</w:t>
      </w:r>
      <w:r>
        <w:rPr>
          <w:rFonts w:hint="eastAsia" w:cs="宋体"/>
          <w:color w:val="auto"/>
          <w:spacing w:val="-6"/>
          <w:sz w:val="21"/>
          <w:szCs w:val="21"/>
          <w:highlight w:val="none"/>
        </w:rPr>
        <w:t xml:space="preserve"> 天前通知承包人，承包人应会同监理人在约定</w:t>
      </w:r>
      <w:r>
        <w:rPr>
          <w:rFonts w:hint="eastAsia" w:cs="宋体"/>
          <w:color w:val="auto"/>
          <w:spacing w:val="-11"/>
          <w:sz w:val="21"/>
          <w:szCs w:val="21"/>
          <w:highlight w:val="none"/>
        </w:rPr>
        <w:t>的时间内，赴交货地点共同进行验收。由发包人提供的材料和工程设备验收后，由承包人负</w:t>
      </w:r>
      <w:r>
        <w:rPr>
          <w:rFonts w:hint="eastAsia" w:cs="宋体"/>
          <w:color w:val="auto"/>
          <w:spacing w:val="-5"/>
          <w:sz w:val="21"/>
          <w:szCs w:val="21"/>
          <w:highlight w:val="none"/>
        </w:rPr>
        <w:t>责接收、运输和保管。</w:t>
      </w:r>
    </w:p>
    <w:p>
      <w:pPr>
        <w:pStyle w:val="20"/>
        <w:widowControl w:val="0"/>
        <w:autoSpaceDE w:val="0"/>
        <w:autoSpaceDN w:val="0"/>
        <w:spacing w:before="0" w:beforeAutospacing="0" w:after="0" w:afterAutospacing="0" w:line="415" w:lineRule="auto"/>
        <w:ind w:left="557" w:right="309" w:firstLine="419"/>
        <w:rPr>
          <w:rFonts w:cs="宋体"/>
          <w:color w:val="auto"/>
          <w:sz w:val="21"/>
          <w:szCs w:val="21"/>
          <w:highlight w:val="none"/>
        </w:rPr>
      </w:pPr>
      <w:r>
        <w:rPr>
          <w:rFonts w:hint="eastAsia" w:cs="宋体"/>
          <w:color w:val="auto"/>
          <w:spacing w:val="-3"/>
          <w:sz w:val="21"/>
          <w:szCs w:val="21"/>
          <w:highlight w:val="none"/>
        </w:rPr>
        <w:t xml:space="preserve">5.2.4 发包人要求向承包人提前交货的，承包人不得拒绝，但发包人应承担承包人由此增加的费用。 </w:t>
      </w:r>
    </w:p>
    <w:p>
      <w:pPr>
        <w:pStyle w:val="20"/>
        <w:widowControl w:val="0"/>
        <w:autoSpaceDE w:val="0"/>
        <w:autoSpaceDN w:val="0"/>
        <w:spacing w:before="0" w:beforeAutospacing="0" w:after="0" w:afterAutospacing="0" w:line="415" w:lineRule="auto"/>
        <w:ind w:left="557" w:right="309" w:firstLine="419"/>
        <w:rPr>
          <w:rFonts w:cs="宋体"/>
          <w:color w:val="auto"/>
          <w:sz w:val="21"/>
          <w:szCs w:val="21"/>
          <w:highlight w:val="none"/>
        </w:rPr>
      </w:pPr>
      <w:r>
        <w:rPr>
          <w:rFonts w:hint="eastAsia" w:cs="宋体"/>
          <w:color w:val="auto"/>
          <w:spacing w:val="-3"/>
          <w:sz w:val="21"/>
          <w:szCs w:val="21"/>
          <w:highlight w:val="none"/>
        </w:rPr>
        <w:t>5.2.5 承包人要求更改交货日期或地点的，应事先报请监理人批准。由于承包人要求更改交货时间或地点所增加的费用和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z w:val="21"/>
          <w:szCs w:val="21"/>
          <w:highlight w:val="none"/>
        </w:rPr>
        <w:t>）</w:t>
      </w:r>
      <w:r>
        <w:rPr>
          <w:rFonts w:hint="eastAsia" w:cs="宋体"/>
          <w:color w:val="auto"/>
          <w:spacing w:val="-3"/>
          <w:sz w:val="21"/>
          <w:szCs w:val="21"/>
          <w:highlight w:val="none"/>
        </w:rPr>
        <w:t xml:space="preserve">工期延误由承包人承担。 </w:t>
      </w:r>
    </w:p>
    <w:p>
      <w:pPr>
        <w:pStyle w:val="20"/>
        <w:widowControl w:val="0"/>
        <w:autoSpaceDE w:val="0"/>
        <w:autoSpaceDN w:val="0"/>
        <w:spacing w:before="0" w:beforeAutospacing="0" w:after="0" w:afterAutospacing="0" w:line="415" w:lineRule="auto"/>
        <w:ind w:left="557" w:right="203" w:firstLine="419"/>
        <w:rPr>
          <w:rFonts w:cs="宋体"/>
          <w:color w:val="auto"/>
          <w:sz w:val="21"/>
          <w:szCs w:val="21"/>
          <w:highlight w:val="none"/>
        </w:rPr>
      </w:pPr>
      <w:r>
        <w:rPr>
          <w:rFonts w:hint="eastAsia" w:cs="宋体"/>
          <w:color w:val="auto"/>
          <w:spacing w:val="-3"/>
          <w:sz w:val="21"/>
          <w:szCs w:val="21"/>
          <w:highlight w:val="none"/>
        </w:rPr>
        <w:t>5.2.6 发包人提供的材料和工程设备的规格、数量或质量不符合合同要求，或由于发包</w:t>
      </w:r>
      <w:r>
        <w:rPr>
          <w:rFonts w:hint="eastAsia" w:cs="宋体"/>
          <w:color w:val="auto"/>
          <w:spacing w:val="-11"/>
          <w:sz w:val="21"/>
          <w:szCs w:val="21"/>
          <w:highlight w:val="none"/>
        </w:rPr>
        <w:t>人原因发生交货日期延误及交货地点变更等情况的，发包人应承担由此增加的费用和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z w:val="21"/>
          <w:szCs w:val="21"/>
          <w:highlight w:val="none"/>
        </w:rPr>
        <w:t>）工</w:t>
      </w:r>
      <w:r>
        <w:rPr>
          <w:rFonts w:hint="eastAsia" w:cs="宋体"/>
          <w:color w:val="auto"/>
          <w:spacing w:val="-3"/>
          <w:sz w:val="21"/>
          <w:szCs w:val="21"/>
          <w:highlight w:val="none"/>
        </w:rPr>
        <w:t>期延误，并向承包人支付合理利润。</w:t>
      </w:r>
    </w:p>
    <w:p>
      <w:pPr>
        <w:pStyle w:val="7"/>
        <w:widowControl/>
        <w:numPr>
          <w:ilvl w:val="1"/>
          <w:numId w:val="14"/>
        </w:numPr>
        <w:spacing w:before="134"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材料和工程设备专用于合同工程 </w:t>
      </w:r>
    </w:p>
    <w:p>
      <w:pPr>
        <w:pStyle w:val="20"/>
        <w:widowControl w:val="0"/>
        <w:numPr>
          <w:ilvl w:val="2"/>
          <w:numId w:val="33"/>
        </w:numPr>
        <w:autoSpaceDE w:val="0"/>
        <w:autoSpaceDN w:val="0"/>
        <w:spacing w:before="0" w:beforeAutospacing="0" w:after="0" w:afterAutospacing="0" w:line="415" w:lineRule="auto"/>
        <w:ind w:right="205" w:firstLine="419"/>
        <w:rPr>
          <w:rFonts w:cs="宋体"/>
          <w:color w:val="auto"/>
          <w:sz w:val="21"/>
          <w:szCs w:val="21"/>
          <w:highlight w:val="none"/>
        </w:rPr>
      </w:pPr>
      <w:r>
        <w:rPr>
          <w:rFonts w:hint="eastAsia" w:cs="宋体"/>
          <w:color w:val="auto"/>
          <w:spacing w:val="-9"/>
          <w:sz w:val="21"/>
          <w:szCs w:val="21"/>
          <w:highlight w:val="none"/>
        </w:rPr>
        <w:t>运入施工场地的材料、工程设备，包括备品备件、安装专用工器具与随机资料，必</w:t>
      </w:r>
      <w:r>
        <w:rPr>
          <w:rFonts w:hint="eastAsia" w:cs="宋体"/>
          <w:color w:val="auto"/>
          <w:spacing w:val="-4"/>
          <w:sz w:val="21"/>
          <w:szCs w:val="21"/>
          <w:highlight w:val="none"/>
        </w:rPr>
        <w:t>须专用于合同工程，未经监理人同意，承包人不得运出施工场地或挪作他用。</w:t>
      </w:r>
    </w:p>
    <w:p>
      <w:pPr>
        <w:pStyle w:val="20"/>
        <w:widowControl w:val="0"/>
        <w:numPr>
          <w:ilvl w:val="2"/>
          <w:numId w:val="33"/>
        </w:numPr>
        <w:autoSpaceDE w:val="0"/>
        <w:autoSpaceDN w:val="0"/>
        <w:spacing w:before="0" w:beforeAutospacing="0" w:after="0" w:afterAutospacing="0"/>
        <w:ind w:left="1087"/>
        <w:rPr>
          <w:color w:val="auto"/>
          <w:highlight w:val="none"/>
        </w:rPr>
      </w:pPr>
      <w:r>
        <w:rPr>
          <w:rFonts w:hint="eastAsia" w:cs="宋体"/>
          <w:color w:val="auto"/>
          <w:spacing w:val="-3"/>
          <w:sz w:val="21"/>
          <w:szCs w:val="21"/>
          <w:highlight w:val="none"/>
        </w:rPr>
        <w:t>随同工程设备运入施工场地的备品备件、专用工器具与随机资料，应由承包人</w:t>
      </w:r>
    </w:p>
    <w:p>
      <w:pPr>
        <w:pStyle w:val="20"/>
        <w:widowControl w:val="0"/>
        <w:autoSpaceDE w:val="0"/>
        <w:autoSpaceDN w:val="0"/>
        <w:spacing w:before="72" w:beforeAutospacing="0" w:after="0" w:afterAutospacing="0" w:line="415" w:lineRule="auto"/>
        <w:ind w:left="138" w:right="309"/>
        <w:rPr>
          <w:rFonts w:cs="宋体"/>
          <w:color w:val="auto"/>
          <w:sz w:val="21"/>
          <w:szCs w:val="21"/>
          <w:highlight w:val="none"/>
        </w:rPr>
      </w:pPr>
      <w:r>
        <w:rPr>
          <w:rFonts w:hint="eastAsia" w:cs="宋体"/>
          <w:color w:val="auto"/>
          <w:spacing w:val="-8"/>
          <w:sz w:val="21"/>
          <w:szCs w:val="21"/>
          <w:highlight w:val="none"/>
        </w:rPr>
        <w:t>未经监理人同意不得启用。承包人因合同工</w:t>
      </w:r>
      <w:r>
        <w:rPr>
          <w:rFonts w:hint="eastAsia" w:cs="宋体"/>
          <w:color w:val="auto"/>
          <w:spacing w:val="-5"/>
          <w:sz w:val="21"/>
          <w:szCs w:val="21"/>
          <w:highlight w:val="none"/>
        </w:rPr>
        <w:t>作需要使用上述物品时，应向监理人提出申请。</w:t>
      </w:r>
    </w:p>
    <w:p>
      <w:pPr>
        <w:pStyle w:val="7"/>
        <w:widowControl/>
        <w:numPr>
          <w:ilvl w:val="1"/>
          <w:numId w:val="14"/>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禁止使用不合格的材料和工程设备 </w:t>
      </w:r>
    </w:p>
    <w:p>
      <w:pPr>
        <w:pStyle w:val="20"/>
        <w:widowControl w:val="0"/>
        <w:numPr>
          <w:ilvl w:val="2"/>
          <w:numId w:val="34"/>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3"/>
          <w:sz w:val="21"/>
          <w:szCs w:val="21"/>
          <w:highlight w:val="none"/>
        </w:rPr>
        <w:t>监理人有权拒绝承包人提供的不合格材料或工程设备，并要求承包人立即进行更</w:t>
      </w:r>
      <w:r>
        <w:rPr>
          <w:rFonts w:hint="eastAsia" w:cs="宋体"/>
          <w:color w:val="auto"/>
          <w:spacing w:val="-8"/>
          <w:sz w:val="21"/>
          <w:szCs w:val="21"/>
          <w:highlight w:val="none"/>
        </w:rPr>
        <w:t>换。监理人应在更换后再次进行检查和检验，由此增加的费用和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25"/>
          <w:sz w:val="21"/>
          <w:szCs w:val="21"/>
          <w:highlight w:val="none"/>
        </w:rPr>
        <w:t>）</w:t>
      </w:r>
      <w:r>
        <w:rPr>
          <w:rFonts w:hint="eastAsia" w:cs="宋体"/>
          <w:color w:val="auto"/>
          <w:spacing w:val="-3"/>
          <w:sz w:val="21"/>
          <w:szCs w:val="21"/>
          <w:highlight w:val="none"/>
        </w:rPr>
        <w:t>工期延误由承包人承担。</w:t>
      </w:r>
    </w:p>
    <w:p>
      <w:pPr>
        <w:pStyle w:val="20"/>
        <w:widowControl w:val="0"/>
        <w:numPr>
          <w:ilvl w:val="2"/>
          <w:numId w:val="34"/>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监理人发现承包人使用了不合格的材料和工程设备，应即时发出指示要求承包人立即改正，并禁止在工程中继续使用不合格的材料和工程设备。</w:t>
      </w:r>
    </w:p>
    <w:p>
      <w:pPr>
        <w:pStyle w:val="20"/>
        <w:widowControl w:val="0"/>
        <w:numPr>
          <w:ilvl w:val="2"/>
          <w:numId w:val="34"/>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发包人提供的材料或工程设备不符合合同要求的，承包人有权拒绝，并可要求发包人更换，由此增加的费用和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z w:val="21"/>
          <w:szCs w:val="21"/>
          <w:highlight w:val="none"/>
        </w:rPr>
        <w:t>）</w:t>
      </w:r>
      <w:r>
        <w:rPr>
          <w:rFonts w:hint="eastAsia" w:cs="宋体"/>
          <w:color w:val="auto"/>
          <w:spacing w:val="-3"/>
          <w:sz w:val="21"/>
          <w:szCs w:val="21"/>
          <w:highlight w:val="none"/>
        </w:rPr>
        <w:t>工期延误由发包人承担。</w:t>
      </w:r>
    </w:p>
    <w:p>
      <w:pPr>
        <w:pStyle w:val="6"/>
        <w:widowControl/>
        <w:numPr>
          <w:ilvl w:val="0"/>
          <w:numId w:val="14"/>
        </w:numPr>
        <w:spacing w:before="0" w:after="0"/>
        <w:ind w:hanging="284"/>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 xml:space="preserve">施工设备和临时设施 </w:t>
      </w:r>
    </w:p>
    <w:p>
      <w:pPr>
        <w:pStyle w:val="7"/>
        <w:widowControl/>
        <w:numPr>
          <w:ilvl w:val="1"/>
          <w:numId w:val="14"/>
        </w:numPr>
        <w:spacing w:before="0"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承包人提供的施工设备和临时设施 </w:t>
      </w:r>
    </w:p>
    <w:p>
      <w:pPr>
        <w:pStyle w:val="20"/>
        <w:widowControl w:val="0"/>
        <w:numPr>
          <w:ilvl w:val="2"/>
          <w:numId w:val="35"/>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3"/>
          <w:sz w:val="21"/>
          <w:szCs w:val="21"/>
          <w:highlight w:val="none"/>
        </w:rPr>
        <w:t>承包人应按合同进度计划的要求，及时配置施工设备和修建临时设施。进入施工场地的承包人设备需经监理人核查后才能投入使用。承包人更换合同约定的承包人设备的，应报监理人批准。</w:t>
      </w:r>
    </w:p>
    <w:p>
      <w:pPr>
        <w:pStyle w:val="20"/>
        <w:widowControl w:val="0"/>
        <w:numPr>
          <w:ilvl w:val="2"/>
          <w:numId w:val="35"/>
        </w:numPr>
        <w:autoSpaceDE w:val="0"/>
        <w:autoSpaceDN w:val="0"/>
        <w:spacing w:before="0" w:beforeAutospacing="0" w:after="0" w:afterAutospacing="0" w:line="415" w:lineRule="auto"/>
        <w:ind w:right="205" w:firstLine="419"/>
        <w:rPr>
          <w:rFonts w:cs="宋体"/>
          <w:color w:val="auto"/>
          <w:sz w:val="21"/>
          <w:szCs w:val="21"/>
          <w:highlight w:val="none"/>
        </w:rPr>
      </w:pPr>
      <w:r>
        <w:rPr>
          <w:rFonts w:hint="eastAsia" w:cs="宋体"/>
          <w:color w:val="auto"/>
          <w:spacing w:val="-10"/>
          <w:sz w:val="21"/>
          <w:szCs w:val="21"/>
          <w:highlight w:val="none"/>
        </w:rPr>
        <w:t>除合同另有约定外，承包人应承担自行修建临时设施的费用。需要临时占地的，应</w:t>
      </w:r>
      <w:r>
        <w:rPr>
          <w:rFonts w:hint="eastAsia" w:cs="宋体"/>
          <w:color w:val="auto"/>
          <w:spacing w:val="-9"/>
          <w:sz w:val="21"/>
          <w:szCs w:val="21"/>
          <w:highlight w:val="none"/>
        </w:rPr>
        <w:t>由发包人办理申请手续并承担相应费用。承包人自行修建临时设施的范围以及所需临时占地</w:t>
      </w:r>
      <w:r>
        <w:rPr>
          <w:rFonts w:hint="eastAsia" w:cs="宋体"/>
          <w:color w:val="auto"/>
          <w:spacing w:val="-4"/>
          <w:sz w:val="21"/>
          <w:szCs w:val="21"/>
          <w:highlight w:val="none"/>
        </w:rPr>
        <w:t>见合同条款专用部分。</w:t>
      </w:r>
    </w:p>
    <w:p>
      <w:pPr>
        <w:pStyle w:val="7"/>
        <w:widowControl/>
        <w:numPr>
          <w:ilvl w:val="1"/>
          <w:numId w:val="14"/>
        </w:numPr>
        <w:spacing w:before="136"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发包人提供的施工设备和临时设施 </w:t>
      </w:r>
    </w:p>
    <w:p>
      <w:pPr>
        <w:pStyle w:val="20"/>
        <w:widowControl w:val="0"/>
        <w:autoSpaceDE w:val="0"/>
        <w:autoSpaceDN w:val="0"/>
        <w:spacing w:before="0" w:beforeAutospacing="0" w:after="0" w:afterAutospacing="0" w:line="415" w:lineRule="auto"/>
        <w:ind w:left="138" w:right="308" w:firstLine="419"/>
        <w:rPr>
          <w:rFonts w:cs="宋体"/>
          <w:color w:val="auto"/>
          <w:sz w:val="21"/>
          <w:szCs w:val="21"/>
          <w:highlight w:val="none"/>
        </w:rPr>
      </w:pPr>
      <w:r>
        <w:rPr>
          <w:rFonts w:hint="eastAsia" w:cs="宋体"/>
          <w:color w:val="auto"/>
          <w:spacing w:val="-8"/>
          <w:sz w:val="21"/>
          <w:szCs w:val="21"/>
          <w:highlight w:val="none"/>
        </w:rPr>
        <w:t>发包人提供的施工设备或临时设施，以及相关运行、维护、拆除、清运费用的承担人见</w:t>
      </w:r>
      <w:r>
        <w:rPr>
          <w:rFonts w:hint="eastAsia" w:cs="宋体"/>
          <w:color w:val="auto"/>
          <w:spacing w:val="-5"/>
          <w:sz w:val="21"/>
          <w:szCs w:val="21"/>
          <w:highlight w:val="none"/>
        </w:rPr>
        <w:t>合同条款专用部分。</w:t>
      </w:r>
    </w:p>
    <w:p>
      <w:pPr>
        <w:pStyle w:val="7"/>
        <w:widowControl/>
        <w:numPr>
          <w:ilvl w:val="1"/>
          <w:numId w:val="14"/>
        </w:numPr>
        <w:spacing w:before="136"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要求承包人增加或更换施工设备 </w:t>
      </w:r>
    </w:p>
    <w:p>
      <w:pPr>
        <w:pStyle w:val="20"/>
        <w:widowControl w:val="0"/>
        <w:autoSpaceDE w:val="0"/>
        <w:autoSpaceDN w:val="0"/>
        <w:spacing w:before="0"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5"/>
          <w:sz w:val="21"/>
          <w:szCs w:val="21"/>
          <w:highlight w:val="none"/>
        </w:rPr>
        <w:t>承包人使用的施工设备不能满足合同进度计划和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32"/>
          <w:sz w:val="21"/>
          <w:szCs w:val="21"/>
          <w:highlight w:val="none"/>
        </w:rPr>
        <w:t>）</w:t>
      </w:r>
      <w:r>
        <w:rPr>
          <w:rFonts w:hint="eastAsia" w:cs="宋体"/>
          <w:color w:val="auto"/>
          <w:spacing w:val="-7"/>
          <w:sz w:val="21"/>
          <w:szCs w:val="21"/>
          <w:highlight w:val="none"/>
        </w:rPr>
        <w:t>质量要求时，监理人有权要求承</w:t>
      </w:r>
      <w:r>
        <w:rPr>
          <w:rFonts w:hint="eastAsia" w:cs="宋体"/>
          <w:color w:val="auto"/>
          <w:spacing w:val="-9"/>
          <w:sz w:val="21"/>
          <w:szCs w:val="21"/>
          <w:highlight w:val="none"/>
        </w:rPr>
        <w:t>包人增加或更换施工设备，承包人应及时增加或更换，由此增加的费用和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25"/>
          <w:sz w:val="21"/>
          <w:szCs w:val="21"/>
          <w:highlight w:val="none"/>
        </w:rPr>
        <w:t>）</w:t>
      </w:r>
      <w:r>
        <w:rPr>
          <w:rFonts w:hint="eastAsia" w:cs="宋体"/>
          <w:color w:val="auto"/>
          <w:spacing w:val="-3"/>
          <w:sz w:val="21"/>
          <w:szCs w:val="21"/>
          <w:highlight w:val="none"/>
        </w:rPr>
        <w:t>工期延误由承包人承担。</w:t>
      </w:r>
    </w:p>
    <w:p>
      <w:pPr>
        <w:pStyle w:val="7"/>
        <w:widowControl/>
        <w:numPr>
          <w:ilvl w:val="1"/>
          <w:numId w:val="14"/>
        </w:numPr>
        <w:spacing w:before="66"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施工设备和临时设施专用于合同工程 </w:t>
      </w:r>
    </w:p>
    <w:p>
      <w:pPr>
        <w:pStyle w:val="20"/>
        <w:widowControl w:val="0"/>
        <w:autoSpaceDE w:val="0"/>
        <w:autoSpaceDN w:val="0"/>
        <w:spacing w:before="0" w:beforeAutospacing="0" w:after="0" w:afterAutospacing="0" w:line="415" w:lineRule="auto"/>
        <w:ind w:left="138" w:right="308" w:firstLine="432" w:firstLineChars="200"/>
        <w:jc w:val="both"/>
        <w:rPr>
          <w:rFonts w:cs="宋体"/>
          <w:color w:val="auto"/>
          <w:sz w:val="21"/>
          <w:szCs w:val="21"/>
          <w:highlight w:val="none"/>
        </w:rPr>
      </w:pPr>
      <w:r>
        <w:rPr>
          <w:rFonts w:hint="eastAsia" w:cs="宋体"/>
          <w:color w:val="auto"/>
          <w:spacing w:val="3"/>
          <w:sz w:val="21"/>
          <w:szCs w:val="21"/>
          <w:highlight w:val="none"/>
        </w:rPr>
        <w:t xml:space="preserve">6.4.1 除为第 </w:t>
      </w:r>
      <w:r>
        <w:rPr>
          <w:rFonts w:hint="eastAsia" w:cs="宋体"/>
          <w:color w:val="auto"/>
          <w:sz w:val="21"/>
          <w:szCs w:val="21"/>
          <w:highlight w:val="none"/>
        </w:rPr>
        <w:t>4.1.8</w:t>
      </w:r>
      <w:r>
        <w:rPr>
          <w:rFonts w:hint="eastAsia" w:cs="宋体"/>
          <w:color w:val="auto"/>
          <w:spacing w:val="-3"/>
          <w:sz w:val="21"/>
          <w:szCs w:val="21"/>
          <w:highlight w:val="none"/>
        </w:rPr>
        <w:t xml:space="preserve"> 项约定的其他独立承包人和监理人指示的他人提供条件外,承包人</w:t>
      </w:r>
      <w:r>
        <w:rPr>
          <w:rFonts w:hint="eastAsia" w:cs="宋体"/>
          <w:color w:val="auto"/>
          <w:spacing w:val="-6"/>
          <w:sz w:val="21"/>
          <w:szCs w:val="21"/>
          <w:highlight w:val="none"/>
        </w:rPr>
        <w:t>运入施工场地的所有施工设备以及在施工场地建设的临时设施仅限于用于合同工程。未经监</w:t>
      </w:r>
      <w:r>
        <w:rPr>
          <w:rFonts w:hint="eastAsia" w:cs="宋体"/>
          <w:color w:val="auto"/>
          <w:spacing w:val="-4"/>
          <w:sz w:val="21"/>
          <w:szCs w:val="21"/>
          <w:highlight w:val="none"/>
        </w:rPr>
        <w:t>理人同意，不得将上述施工设备和临时设施中的任何部分运出施工场地或挪作他用。</w:t>
      </w:r>
    </w:p>
    <w:p>
      <w:pPr>
        <w:pStyle w:val="20"/>
        <w:widowControl w:val="0"/>
        <w:autoSpaceDE w:val="0"/>
        <w:autoSpaceDN w:val="0"/>
        <w:spacing w:before="0" w:beforeAutospacing="0" w:after="0" w:afterAutospacing="0" w:line="269" w:lineRule="exact"/>
        <w:ind w:left="138" w:firstLine="408" w:firstLineChars="200"/>
        <w:rPr>
          <w:rFonts w:cs="宋体"/>
          <w:color w:val="auto"/>
          <w:sz w:val="21"/>
          <w:szCs w:val="21"/>
          <w:highlight w:val="none"/>
        </w:rPr>
      </w:pPr>
      <w:r>
        <w:rPr>
          <w:rFonts w:hint="eastAsia" w:cs="宋体"/>
          <w:color w:val="auto"/>
          <w:spacing w:val="-3"/>
          <w:sz w:val="21"/>
          <w:szCs w:val="21"/>
          <w:highlight w:val="none"/>
        </w:rPr>
        <w:t xml:space="preserve">6.4.2 经监理人同意，承包人可根据合同进度计划撤走闲置的施工设备。 </w:t>
      </w:r>
    </w:p>
    <w:p>
      <w:pPr>
        <w:pStyle w:val="6"/>
        <w:widowControl/>
        <w:numPr>
          <w:ilvl w:val="0"/>
          <w:numId w:val="14"/>
        </w:numPr>
        <w:spacing w:before="132" w:after="0"/>
        <w:ind w:hanging="284"/>
        <w:jc w:val="left"/>
        <w:rPr>
          <w:rFonts w:ascii="宋体" w:hAnsi="宋体" w:eastAsia="宋体" w:cs="宋体"/>
          <w:color w:val="auto"/>
          <w:szCs w:val="28"/>
          <w:highlight w:val="none"/>
        </w:rPr>
      </w:pPr>
      <w:r>
        <w:rPr>
          <w:rFonts w:hint="eastAsia" w:ascii="宋体" w:hAnsi="宋体" w:eastAsia="宋体" w:cs="宋体"/>
          <w:color w:val="auto"/>
          <w:spacing w:val="-2"/>
          <w:szCs w:val="28"/>
          <w:highlight w:val="none"/>
        </w:rPr>
        <w:t>交通运输</w:t>
      </w:r>
    </w:p>
    <w:p>
      <w:pPr>
        <w:pStyle w:val="7"/>
        <w:widowControl/>
        <w:numPr>
          <w:ilvl w:val="1"/>
          <w:numId w:val="14"/>
        </w:numPr>
        <w:spacing w:before="1"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道路通行权和场外设施 </w:t>
      </w:r>
    </w:p>
    <w:p>
      <w:pPr>
        <w:pStyle w:val="20"/>
        <w:widowControl w:val="0"/>
        <w:autoSpaceDE w:val="0"/>
        <w:autoSpaceDN w:val="0"/>
        <w:spacing w:before="0"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8"/>
          <w:sz w:val="21"/>
          <w:szCs w:val="21"/>
          <w:highlight w:val="none"/>
        </w:rPr>
        <w:t>除合同条款专用部分另有约定外，发包人应根据合同工程的施工需要，负责办理取得出</w:t>
      </w:r>
      <w:r>
        <w:rPr>
          <w:rFonts w:hint="eastAsia" w:cs="宋体"/>
          <w:color w:val="auto"/>
          <w:spacing w:val="-10"/>
          <w:sz w:val="21"/>
          <w:szCs w:val="21"/>
          <w:highlight w:val="none"/>
        </w:rPr>
        <w:t>入施工场地的专用和临时道路的通行权，以及取得为工程建设所需修建场外设施的权利，并</w:t>
      </w:r>
      <w:r>
        <w:rPr>
          <w:rFonts w:hint="eastAsia" w:cs="宋体"/>
          <w:color w:val="auto"/>
          <w:spacing w:val="-3"/>
          <w:sz w:val="21"/>
          <w:szCs w:val="21"/>
          <w:highlight w:val="none"/>
        </w:rPr>
        <w:t xml:space="preserve">承担有关费用。承包人应协助发包人办理上述手续。 </w:t>
      </w:r>
    </w:p>
    <w:p>
      <w:pPr>
        <w:pStyle w:val="7"/>
        <w:widowControl/>
        <w:numPr>
          <w:ilvl w:val="1"/>
          <w:numId w:val="14"/>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场内施工道路 </w:t>
      </w:r>
    </w:p>
    <w:p>
      <w:pPr>
        <w:pStyle w:val="20"/>
        <w:widowControl w:val="0"/>
        <w:numPr>
          <w:ilvl w:val="2"/>
          <w:numId w:val="36"/>
        </w:numPr>
        <w:autoSpaceDE w:val="0"/>
        <w:autoSpaceDN w:val="0"/>
        <w:spacing w:before="1" w:beforeAutospacing="0" w:after="0" w:afterAutospacing="0" w:line="415" w:lineRule="auto"/>
        <w:ind w:right="309" w:firstLine="419"/>
        <w:jc w:val="both"/>
        <w:rPr>
          <w:rFonts w:cs="宋体"/>
          <w:color w:val="auto"/>
          <w:sz w:val="21"/>
          <w:szCs w:val="21"/>
          <w:highlight w:val="none"/>
        </w:rPr>
      </w:pPr>
      <w:r>
        <w:rPr>
          <w:rFonts w:hint="eastAsia" w:cs="宋体"/>
          <w:color w:val="auto"/>
          <w:spacing w:val="-3"/>
          <w:sz w:val="21"/>
          <w:szCs w:val="21"/>
          <w:highlight w:val="none"/>
        </w:rPr>
        <w:t>除合同条款专用部分另有约定外，承包人应负责修建、维修、养护和管理施工所</w:t>
      </w:r>
      <w:r>
        <w:rPr>
          <w:rFonts w:hint="eastAsia" w:cs="宋体"/>
          <w:color w:val="auto"/>
          <w:spacing w:val="-9"/>
          <w:sz w:val="21"/>
          <w:szCs w:val="21"/>
          <w:highlight w:val="none"/>
        </w:rPr>
        <w:t>需的临时道路和交通设施，包括维修、养护和管理发包人提供的道路和交通设施，并承担相</w:t>
      </w:r>
      <w:r>
        <w:rPr>
          <w:rFonts w:hint="eastAsia" w:cs="宋体"/>
          <w:color w:val="auto"/>
          <w:spacing w:val="-4"/>
          <w:sz w:val="21"/>
          <w:szCs w:val="21"/>
          <w:highlight w:val="none"/>
        </w:rPr>
        <w:t>应费用。</w:t>
      </w:r>
    </w:p>
    <w:p>
      <w:pPr>
        <w:pStyle w:val="20"/>
        <w:widowControl w:val="0"/>
        <w:numPr>
          <w:ilvl w:val="2"/>
          <w:numId w:val="36"/>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发包人和监理人有权无偿使用承包人修建的临时道路和交通设施，不需要交纳任何费用。</w:t>
      </w:r>
    </w:p>
    <w:p>
      <w:pPr>
        <w:pStyle w:val="7"/>
        <w:widowControl/>
        <w:numPr>
          <w:ilvl w:val="1"/>
          <w:numId w:val="14"/>
        </w:numPr>
        <w:spacing w:before="134"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场外交通 </w:t>
      </w:r>
    </w:p>
    <w:p>
      <w:pPr>
        <w:pStyle w:val="20"/>
        <w:widowControl w:val="0"/>
        <w:numPr>
          <w:ilvl w:val="2"/>
          <w:numId w:val="37"/>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承包人车辆外出行驶所需的场外公共道路的通行费、养路费和税款等由承包人承担。</w:t>
      </w:r>
    </w:p>
    <w:p>
      <w:pPr>
        <w:pStyle w:val="20"/>
        <w:widowControl w:val="0"/>
        <w:numPr>
          <w:ilvl w:val="2"/>
          <w:numId w:val="37"/>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承包人应遵守有关交通法规，严格按照道路和桥梁的限制荷重安全行驶，并服从交通管理部门的检查和监督。</w:t>
      </w:r>
    </w:p>
    <w:p>
      <w:pPr>
        <w:pStyle w:val="7"/>
        <w:widowControl/>
        <w:numPr>
          <w:ilvl w:val="1"/>
          <w:numId w:val="14"/>
        </w:numPr>
        <w:spacing w:before="136"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超大件和超重件的运输 </w:t>
      </w:r>
    </w:p>
    <w:p>
      <w:pPr>
        <w:pStyle w:val="20"/>
        <w:widowControl w:val="0"/>
        <w:autoSpaceDE w:val="0"/>
        <w:autoSpaceDN w:val="0"/>
        <w:spacing w:before="0" w:beforeAutospacing="0" w:after="0" w:afterAutospacing="0" w:line="415" w:lineRule="auto"/>
        <w:ind w:left="138" w:right="220" w:firstLine="419"/>
        <w:rPr>
          <w:rFonts w:cs="宋体"/>
          <w:color w:val="auto"/>
          <w:sz w:val="21"/>
          <w:szCs w:val="21"/>
          <w:highlight w:val="none"/>
        </w:rPr>
      </w:pPr>
      <w:r>
        <w:rPr>
          <w:rFonts w:hint="eastAsia" w:cs="宋体"/>
          <w:color w:val="auto"/>
          <w:spacing w:val="-3"/>
          <w:sz w:val="21"/>
          <w:szCs w:val="21"/>
          <w:highlight w:val="none"/>
        </w:rPr>
        <w:t>由承包人负责运输的超大件或超重件，应由承包人负责向交通管理部门办理申请手续， 发包人给予协助。运输超大件或超重件所需的道路和桥梁临时加固改造费用和其他有关费 用，由承包人承担，但合同条款专用部分另有约定除外。</w:t>
      </w:r>
    </w:p>
    <w:p>
      <w:pPr>
        <w:pStyle w:val="7"/>
        <w:widowControl/>
        <w:numPr>
          <w:ilvl w:val="1"/>
          <w:numId w:val="14"/>
        </w:numPr>
        <w:spacing w:before="66"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道路和桥梁的损坏责任 </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7"/>
          <w:sz w:val="21"/>
          <w:szCs w:val="21"/>
          <w:highlight w:val="none"/>
        </w:rPr>
        <w:t>因承包人运输造成施工场地内外公共道路和桥梁损坏的，由承包人承担修复损坏的全部</w:t>
      </w:r>
      <w:r>
        <w:rPr>
          <w:rFonts w:hint="eastAsia" w:cs="宋体"/>
          <w:color w:val="auto"/>
          <w:spacing w:val="-5"/>
          <w:sz w:val="21"/>
          <w:szCs w:val="21"/>
          <w:highlight w:val="none"/>
        </w:rPr>
        <w:t>费用和可能引起的赔偿。</w:t>
      </w:r>
    </w:p>
    <w:p>
      <w:pPr>
        <w:pStyle w:val="7"/>
        <w:widowControl/>
        <w:numPr>
          <w:ilvl w:val="1"/>
          <w:numId w:val="14"/>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水路和航空运输 </w:t>
      </w:r>
    </w:p>
    <w:p>
      <w:pPr>
        <w:pStyle w:val="20"/>
        <w:widowControl w:val="0"/>
        <w:autoSpaceDE w:val="0"/>
        <w:autoSpaceDN w:val="0"/>
        <w:spacing w:before="0" w:beforeAutospacing="0" w:after="0" w:afterAutospacing="0" w:line="415" w:lineRule="auto"/>
        <w:ind w:left="138" w:right="219" w:firstLine="419"/>
        <w:rPr>
          <w:rFonts w:cs="宋体"/>
          <w:color w:val="auto"/>
          <w:sz w:val="21"/>
          <w:szCs w:val="21"/>
          <w:highlight w:val="none"/>
        </w:rPr>
      </w:pPr>
      <w:r>
        <w:rPr>
          <w:rFonts w:hint="eastAsia" w:cs="宋体"/>
          <w:color w:val="auto"/>
          <w:spacing w:val="-3"/>
          <w:sz w:val="21"/>
          <w:szCs w:val="21"/>
          <w:highlight w:val="none"/>
        </w:rPr>
        <w:t>本条上述各款的内容适用于水路运输和航空运输，其中“道路”一词的涵义包括河道、</w:t>
      </w:r>
      <w:r>
        <w:rPr>
          <w:rFonts w:hint="eastAsia" w:cs="宋体"/>
          <w:color w:val="auto"/>
          <w:spacing w:val="-7"/>
          <w:sz w:val="21"/>
          <w:szCs w:val="21"/>
          <w:highlight w:val="none"/>
        </w:rPr>
        <w:t>航线、船闸、机场、码头、堤防以及水路或航空运输中其他相似结构物；“车辆”一词的涵</w:t>
      </w:r>
      <w:r>
        <w:rPr>
          <w:rFonts w:hint="eastAsia" w:cs="宋体"/>
          <w:color w:val="auto"/>
          <w:spacing w:val="-5"/>
          <w:sz w:val="21"/>
          <w:szCs w:val="21"/>
          <w:highlight w:val="none"/>
        </w:rPr>
        <w:t>义包括船舶和飞机等。</w:t>
      </w:r>
    </w:p>
    <w:p>
      <w:pPr>
        <w:pStyle w:val="6"/>
        <w:widowControl/>
        <w:numPr>
          <w:ilvl w:val="0"/>
          <w:numId w:val="14"/>
        </w:numPr>
        <w:spacing w:before="0" w:after="0"/>
        <w:ind w:hanging="284"/>
        <w:jc w:val="left"/>
        <w:rPr>
          <w:rFonts w:ascii="宋体" w:hAnsi="宋体" w:eastAsia="宋体" w:cs="宋体"/>
          <w:color w:val="auto"/>
          <w:szCs w:val="28"/>
          <w:highlight w:val="none"/>
        </w:rPr>
      </w:pPr>
      <w:r>
        <w:rPr>
          <w:rFonts w:hint="eastAsia" w:ascii="宋体" w:hAnsi="宋体" w:eastAsia="宋体" w:cs="宋体"/>
          <w:color w:val="auto"/>
          <w:spacing w:val="-2"/>
          <w:szCs w:val="28"/>
          <w:highlight w:val="none"/>
        </w:rPr>
        <w:t>测量放线</w:t>
      </w:r>
    </w:p>
    <w:p>
      <w:pPr>
        <w:pStyle w:val="7"/>
        <w:widowControl/>
        <w:numPr>
          <w:ilvl w:val="1"/>
          <w:numId w:val="14"/>
        </w:numPr>
        <w:spacing w:before="0"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施工控制网 </w:t>
      </w:r>
    </w:p>
    <w:p>
      <w:pPr>
        <w:pStyle w:val="20"/>
        <w:widowControl w:val="0"/>
        <w:autoSpaceDE w:val="0"/>
        <w:autoSpaceDN w:val="0"/>
        <w:spacing w:before="0" w:beforeAutospacing="0" w:after="0" w:afterAutospacing="0" w:line="415" w:lineRule="auto"/>
        <w:ind w:left="557" w:right="308" w:firstLine="419"/>
        <w:jc w:val="both"/>
        <w:rPr>
          <w:rFonts w:cs="宋体"/>
          <w:color w:val="auto"/>
          <w:sz w:val="21"/>
          <w:szCs w:val="21"/>
          <w:highlight w:val="none"/>
        </w:rPr>
      </w:pPr>
      <w:r>
        <w:rPr>
          <w:rFonts w:hint="eastAsia" w:cs="宋体"/>
          <w:color w:val="auto"/>
          <w:spacing w:val="-3"/>
          <w:sz w:val="21"/>
          <w:szCs w:val="21"/>
          <w:highlight w:val="none"/>
        </w:rPr>
        <w:t>8.1.1 发包人应在合同约定的期限内，通过监理人向承包人提供测量基准点、基准线和</w:t>
      </w:r>
      <w:r>
        <w:rPr>
          <w:rFonts w:hint="eastAsia" w:cs="宋体"/>
          <w:color w:val="auto"/>
          <w:spacing w:val="-10"/>
          <w:sz w:val="21"/>
          <w:szCs w:val="21"/>
          <w:highlight w:val="none"/>
        </w:rPr>
        <w:t>水准点及其书面资料。向承包人提供测量基准点、基准线和水准点及其书面资料的期限见合</w:t>
      </w:r>
      <w:r>
        <w:rPr>
          <w:rFonts w:hint="eastAsia" w:cs="宋体"/>
          <w:color w:val="auto"/>
          <w:spacing w:val="-4"/>
          <w:sz w:val="21"/>
          <w:szCs w:val="21"/>
          <w:highlight w:val="none"/>
        </w:rPr>
        <w:t>同条款专用部分。</w:t>
      </w:r>
    </w:p>
    <w:p>
      <w:pPr>
        <w:pStyle w:val="20"/>
        <w:widowControl w:val="0"/>
        <w:autoSpaceDE w:val="0"/>
        <w:autoSpaceDN w:val="0"/>
        <w:spacing w:before="0" w:beforeAutospacing="0" w:after="0" w:afterAutospacing="0" w:line="415" w:lineRule="auto"/>
        <w:ind w:left="557" w:right="203" w:firstLine="419"/>
        <w:rPr>
          <w:rFonts w:cs="宋体"/>
          <w:color w:val="auto"/>
          <w:sz w:val="21"/>
          <w:szCs w:val="21"/>
          <w:highlight w:val="none"/>
        </w:rPr>
      </w:pPr>
      <w:r>
        <w:rPr>
          <w:rFonts w:hint="eastAsia" w:cs="宋体"/>
          <w:color w:val="auto"/>
          <w:spacing w:val="-18"/>
          <w:sz w:val="21"/>
          <w:szCs w:val="21"/>
          <w:highlight w:val="none"/>
        </w:rPr>
        <w:t>8.1.2 承包人应根据国家测绘基准、测绘系统和工程测量技术规范，按上述基准点</w:t>
      </w:r>
      <w:r>
        <w:rPr>
          <w:rFonts w:hint="eastAsia" w:cs="宋体"/>
          <w:color w:val="auto"/>
          <w:spacing w:val="-3"/>
          <w:sz w:val="21"/>
          <w:szCs w:val="21"/>
          <w:highlight w:val="none"/>
        </w:rPr>
        <w:t>（</w:t>
      </w:r>
      <w:r>
        <w:rPr>
          <w:rFonts w:hint="eastAsia" w:cs="宋体"/>
          <w:color w:val="auto"/>
          <w:sz w:val="21"/>
          <w:szCs w:val="21"/>
          <w:highlight w:val="none"/>
        </w:rPr>
        <w:t>线）以</w:t>
      </w:r>
      <w:r>
        <w:rPr>
          <w:rFonts w:hint="eastAsia" w:cs="宋体"/>
          <w:color w:val="auto"/>
          <w:spacing w:val="-11"/>
          <w:sz w:val="21"/>
          <w:szCs w:val="21"/>
          <w:highlight w:val="none"/>
        </w:rPr>
        <w:t>及合同工程精度要求，测设施工控制网，承包人测设施工控制网的其他要求见合同条款专用</w:t>
      </w:r>
      <w:r>
        <w:rPr>
          <w:rFonts w:hint="eastAsia" w:cs="宋体"/>
          <w:color w:val="auto"/>
          <w:spacing w:val="-12"/>
          <w:sz w:val="21"/>
          <w:szCs w:val="21"/>
          <w:highlight w:val="none"/>
        </w:rPr>
        <w:t>部分。并将施工控制网资料在约定期限内报送监理人审批，其报送监理人审批的期限见合同</w:t>
      </w:r>
      <w:r>
        <w:rPr>
          <w:rFonts w:hint="eastAsia" w:cs="宋体"/>
          <w:color w:val="auto"/>
          <w:spacing w:val="-5"/>
          <w:sz w:val="21"/>
          <w:szCs w:val="21"/>
          <w:highlight w:val="none"/>
        </w:rPr>
        <w:t>条款专用部分。</w:t>
      </w:r>
    </w:p>
    <w:p>
      <w:pPr>
        <w:pStyle w:val="20"/>
        <w:widowControl w:val="0"/>
        <w:autoSpaceDE w:val="0"/>
        <w:autoSpaceDN w:val="0"/>
        <w:spacing w:before="0" w:beforeAutospacing="0" w:after="0" w:afterAutospacing="0" w:line="415" w:lineRule="auto"/>
        <w:ind w:left="557" w:right="309" w:firstLine="419"/>
        <w:rPr>
          <w:rFonts w:cs="宋体"/>
          <w:color w:val="auto"/>
          <w:sz w:val="21"/>
          <w:szCs w:val="21"/>
          <w:highlight w:val="none"/>
        </w:rPr>
      </w:pPr>
      <w:r>
        <w:rPr>
          <w:rFonts w:hint="eastAsia" w:cs="宋体"/>
          <w:color w:val="auto"/>
          <w:spacing w:val="-3"/>
          <w:sz w:val="21"/>
          <w:szCs w:val="21"/>
          <w:highlight w:val="none"/>
        </w:rPr>
        <w:t>8.1.3 承包人应负责管理施工控制网点。施工控制网点丢失或损坏的，承包人应及时修复，并承担施工控制网点的管理与修复费用。工程竣工后将施工控制网点移交发包人。</w:t>
      </w:r>
    </w:p>
    <w:p>
      <w:pPr>
        <w:pStyle w:val="7"/>
        <w:widowControl/>
        <w:numPr>
          <w:ilvl w:val="1"/>
          <w:numId w:val="14"/>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施工测量 </w:t>
      </w:r>
    </w:p>
    <w:p>
      <w:pPr>
        <w:pStyle w:val="20"/>
        <w:widowControl w:val="0"/>
        <w:numPr>
          <w:ilvl w:val="2"/>
          <w:numId w:val="38"/>
        </w:numPr>
        <w:autoSpaceDE w:val="0"/>
        <w:autoSpaceDN w:val="0"/>
        <w:spacing w:before="1" w:beforeAutospacing="0" w:after="0" w:afterAutospacing="0" w:line="415" w:lineRule="auto"/>
        <w:ind w:right="206" w:firstLine="419"/>
        <w:rPr>
          <w:rFonts w:cs="宋体"/>
          <w:color w:val="auto"/>
          <w:sz w:val="21"/>
          <w:szCs w:val="21"/>
          <w:highlight w:val="none"/>
        </w:rPr>
      </w:pPr>
      <w:r>
        <w:rPr>
          <w:rFonts w:hint="eastAsia" w:cs="宋体"/>
          <w:color w:val="auto"/>
          <w:spacing w:val="-7"/>
          <w:sz w:val="21"/>
          <w:szCs w:val="21"/>
          <w:highlight w:val="none"/>
        </w:rPr>
        <w:t>承包人应负责施工过程中的全部施工测量放线工作，并配置合格的人员、仪器、设</w:t>
      </w:r>
      <w:r>
        <w:rPr>
          <w:rFonts w:hint="eastAsia" w:cs="宋体"/>
          <w:color w:val="auto"/>
          <w:spacing w:val="-4"/>
          <w:sz w:val="21"/>
          <w:szCs w:val="21"/>
          <w:highlight w:val="none"/>
        </w:rPr>
        <w:t>备和其他物品。</w:t>
      </w:r>
    </w:p>
    <w:p>
      <w:pPr>
        <w:pStyle w:val="20"/>
        <w:widowControl w:val="0"/>
        <w:numPr>
          <w:ilvl w:val="2"/>
          <w:numId w:val="38"/>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 xml:space="preserve">监理人可以指示承包人进行抽样复测，当复测中发现错误或出现超过合同约定的误差时，承包人应按监理人指示进行修正或补测，并承担相应的复测费用。 </w:t>
      </w:r>
    </w:p>
    <w:p>
      <w:pPr>
        <w:pStyle w:val="7"/>
        <w:widowControl/>
        <w:numPr>
          <w:ilvl w:val="1"/>
          <w:numId w:val="14"/>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基准资料错误的责任 </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8"/>
          <w:sz w:val="21"/>
          <w:szCs w:val="21"/>
          <w:highlight w:val="none"/>
        </w:rPr>
        <w:t>发包人应对其提供的测量基准点、基准线和水准点及其书面资料的真实性、准确性和完整性负责。发包人提供上述基准资料错误导致承包人测量放线工作的返工或造成工程损失</w:t>
      </w:r>
      <w:r>
        <w:rPr>
          <w:rFonts w:hint="eastAsia" w:cs="宋体"/>
          <w:color w:val="auto"/>
          <w:spacing w:val="-6"/>
          <w:sz w:val="21"/>
          <w:szCs w:val="21"/>
          <w:highlight w:val="none"/>
        </w:rPr>
        <w:t>的，发包人应当承担由此增加的费用和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pacing w:val="-20"/>
          <w:sz w:val="21"/>
          <w:szCs w:val="21"/>
          <w:highlight w:val="none"/>
        </w:rPr>
        <w:t>）</w:t>
      </w:r>
      <w:r>
        <w:rPr>
          <w:rFonts w:hint="eastAsia" w:cs="宋体"/>
          <w:color w:val="auto"/>
          <w:spacing w:val="-7"/>
          <w:sz w:val="21"/>
          <w:szCs w:val="21"/>
          <w:highlight w:val="none"/>
        </w:rPr>
        <w:t>工期延误，并向承包人支付合理利润。承包人</w:t>
      </w:r>
      <w:r>
        <w:rPr>
          <w:rFonts w:hint="eastAsia" w:cs="宋体"/>
          <w:color w:val="auto"/>
          <w:spacing w:val="-5"/>
          <w:sz w:val="21"/>
          <w:szCs w:val="21"/>
          <w:highlight w:val="none"/>
        </w:rPr>
        <w:t xml:space="preserve">发现发包人提供的上述基准资料存在明显错误或疏忽的，应及时通知监理人。 </w:t>
      </w:r>
    </w:p>
    <w:p>
      <w:pPr>
        <w:pStyle w:val="7"/>
        <w:widowControl/>
        <w:numPr>
          <w:ilvl w:val="1"/>
          <w:numId w:val="14"/>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监理人使用施工控制网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监理人需要使用施工控制网的，承包人应提供必要的协助，发包人不再为此支付费用。 </w:t>
      </w:r>
    </w:p>
    <w:p>
      <w:pPr>
        <w:pStyle w:val="6"/>
        <w:widowControl/>
        <w:numPr>
          <w:ilvl w:val="0"/>
          <w:numId w:val="14"/>
        </w:numPr>
        <w:spacing w:before="132" w:after="0"/>
        <w:ind w:hanging="284"/>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 xml:space="preserve">施工安全、治安保卫和环境保护 </w:t>
      </w:r>
    </w:p>
    <w:p>
      <w:pPr>
        <w:pStyle w:val="7"/>
        <w:widowControl/>
        <w:numPr>
          <w:ilvl w:val="1"/>
          <w:numId w:val="14"/>
        </w:numPr>
        <w:spacing w:before="0"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发包人的施工安全责任 </w:t>
      </w:r>
    </w:p>
    <w:p>
      <w:pPr>
        <w:pStyle w:val="20"/>
        <w:widowControl w:val="0"/>
        <w:numPr>
          <w:ilvl w:val="2"/>
          <w:numId w:val="39"/>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发包人应按合同约定履行安全职责，授权监理人按合同约定的安全工作内容监督、检查承包人安全工作的实施，组织承包人和有关单位进行安全检查。</w:t>
      </w:r>
    </w:p>
    <w:p>
      <w:pPr>
        <w:pStyle w:val="20"/>
        <w:widowControl w:val="0"/>
        <w:numPr>
          <w:ilvl w:val="2"/>
          <w:numId w:val="39"/>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发包人应对其现场机构雇佣的全部人员的工伤事故承担责任，但由于承包人原因造成发包人人员工伤的，应由承包人承担责任。</w:t>
      </w:r>
    </w:p>
    <w:p>
      <w:pPr>
        <w:pStyle w:val="20"/>
        <w:widowControl w:val="0"/>
        <w:numPr>
          <w:ilvl w:val="2"/>
          <w:numId w:val="39"/>
        </w:numPr>
        <w:autoSpaceDE w:val="0"/>
        <w:autoSpaceDN w:val="0"/>
        <w:spacing w:before="0" w:beforeAutospacing="0" w:after="0" w:afterAutospacing="0" w:line="269" w:lineRule="exact"/>
        <w:ind w:left="1087"/>
        <w:rPr>
          <w:rFonts w:cs="宋体"/>
          <w:color w:val="auto"/>
          <w:sz w:val="21"/>
          <w:szCs w:val="21"/>
          <w:highlight w:val="none"/>
        </w:rPr>
      </w:pPr>
      <w:r>
        <w:rPr>
          <w:rFonts w:hint="eastAsia" w:cs="宋体"/>
          <w:color w:val="auto"/>
          <w:spacing w:val="-3"/>
          <w:sz w:val="21"/>
          <w:szCs w:val="21"/>
          <w:highlight w:val="none"/>
        </w:rPr>
        <w:t xml:space="preserve">发包人应负责赔偿以下各种情况造成的第三者人身伤亡和财产损失： </w:t>
      </w:r>
    </w:p>
    <w:p>
      <w:pPr>
        <w:pStyle w:val="20"/>
        <w:widowControl w:val="0"/>
        <w:numPr>
          <w:ilvl w:val="0"/>
          <w:numId w:val="40"/>
        </w:numPr>
        <w:autoSpaceDE w:val="0"/>
        <w:autoSpaceDN w:val="0"/>
        <w:spacing w:before="1"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工程或工程的任何部分对土地的占用所造成的第三者财产损失；</w:t>
      </w:r>
    </w:p>
    <w:p>
      <w:pPr>
        <w:pStyle w:val="20"/>
        <w:widowControl w:val="0"/>
        <w:numPr>
          <w:ilvl w:val="0"/>
          <w:numId w:val="40"/>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由于发包人原因在施工场地及其毗邻地带造成的第三者人身伤亡和财产损失。</w:t>
      </w:r>
    </w:p>
    <w:p>
      <w:pPr>
        <w:pStyle w:val="7"/>
        <w:widowControl/>
        <w:numPr>
          <w:ilvl w:val="1"/>
          <w:numId w:val="14"/>
        </w:numPr>
        <w:spacing w:before="0"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承包人的施工安全责任 </w:t>
      </w:r>
    </w:p>
    <w:p>
      <w:pPr>
        <w:pStyle w:val="20"/>
        <w:widowControl w:val="0"/>
        <w:autoSpaceDE w:val="0"/>
        <w:autoSpaceDN w:val="0"/>
        <w:spacing w:before="0" w:beforeAutospacing="0" w:after="0" w:afterAutospacing="0" w:line="415" w:lineRule="auto"/>
        <w:ind w:right="308"/>
        <w:jc w:val="both"/>
        <w:rPr>
          <w:rFonts w:cs="宋体"/>
          <w:color w:val="auto"/>
          <w:sz w:val="21"/>
          <w:szCs w:val="21"/>
          <w:highlight w:val="none"/>
        </w:rPr>
      </w:pPr>
      <w:r>
        <w:rPr>
          <w:rFonts w:hint="eastAsia" w:cs="宋体"/>
          <w:color w:val="auto"/>
          <w:spacing w:val="-3"/>
          <w:sz w:val="21"/>
          <w:szCs w:val="21"/>
          <w:highlight w:val="none"/>
        </w:rPr>
        <w:t>9.2.1 承包人应按合同约定履行安全职责,执行监理人有关安全工作的指示,并在合同条</w:t>
      </w:r>
      <w:r>
        <w:rPr>
          <w:rFonts w:hint="eastAsia" w:cs="宋体"/>
          <w:color w:val="auto"/>
          <w:spacing w:val="-9"/>
          <w:sz w:val="21"/>
          <w:szCs w:val="21"/>
          <w:highlight w:val="none"/>
        </w:rPr>
        <w:t>款专用部分约定的期限内，按合同约定的安全工作内容，编制施工安全措施计划报送监理人</w:t>
      </w:r>
      <w:r>
        <w:rPr>
          <w:rFonts w:hint="eastAsia" w:cs="宋体"/>
          <w:color w:val="auto"/>
          <w:spacing w:val="-4"/>
          <w:sz w:val="21"/>
          <w:szCs w:val="21"/>
          <w:highlight w:val="none"/>
        </w:rPr>
        <w:t>审批。监理人应在合同条款专用部分约定的期限内完成批复。</w:t>
      </w:r>
    </w:p>
    <w:p>
      <w:pPr>
        <w:pStyle w:val="20"/>
        <w:widowControl w:val="0"/>
        <w:autoSpaceDE w:val="0"/>
        <w:autoSpaceDN w:val="0"/>
        <w:spacing w:before="0" w:beforeAutospacing="0" w:after="0" w:afterAutospacing="0" w:line="415" w:lineRule="auto"/>
        <w:ind w:right="309"/>
        <w:jc w:val="both"/>
        <w:rPr>
          <w:rFonts w:cs="宋体"/>
          <w:color w:val="auto"/>
          <w:sz w:val="21"/>
          <w:szCs w:val="21"/>
          <w:highlight w:val="none"/>
        </w:rPr>
      </w:pPr>
      <w:r>
        <w:rPr>
          <w:rFonts w:hint="eastAsia" w:cs="宋体"/>
          <w:color w:val="auto"/>
          <w:spacing w:val="-3"/>
          <w:sz w:val="21"/>
          <w:szCs w:val="21"/>
          <w:highlight w:val="none"/>
        </w:rPr>
        <w:t>9.2.2 承包人应加强施工作业安全管理，特别应加强易燃、易爆材料、火工器材、有毒</w:t>
      </w:r>
      <w:r>
        <w:rPr>
          <w:rFonts w:hint="eastAsia" w:cs="宋体"/>
          <w:color w:val="auto"/>
          <w:spacing w:val="-11"/>
          <w:sz w:val="21"/>
          <w:szCs w:val="21"/>
          <w:highlight w:val="none"/>
        </w:rPr>
        <w:t>与腐蚀性材料、行业挥发性有机物和其他危险品的管理，以及对爆破作业和地下工程施工等</w:t>
      </w:r>
      <w:r>
        <w:rPr>
          <w:rFonts w:hint="eastAsia" w:cs="宋体"/>
          <w:color w:val="auto"/>
          <w:spacing w:val="-5"/>
          <w:sz w:val="21"/>
          <w:szCs w:val="21"/>
          <w:highlight w:val="none"/>
        </w:rPr>
        <w:t>危险作业的管理。</w:t>
      </w:r>
    </w:p>
    <w:p>
      <w:pPr>
        <w:pStyle w:val="20"/>
        <w:widowControl w:val="0"/>
        <w:autoSpaceDE w:val="0"/>
        <w:autoSpaceDN w:val="0"/>
        <w:spacing w:before="0" w:beforeAutospacing="0" w:after="0" w:afterAutospacing="0" w:line="415" w:lineRule="auto"/>
        <w:ind w:right="309"/>
        <w:jc w:val="both"/>
        <w:rPr>
          <w:rFonts w:hint="eastAsia" w:cs="宋体"/>
          <w:color w:val="auto"/>
          <w:spacing w:val="-3"/>
          <w:sz w:val="21"/>
          <w:szCs w:val="21"/>
          <w:highlight w:val="none"/>
        </w:rPr>
      </w:pPr>
      <w:r>
        <w:rPr>
          <w:rFonts w:hint="eastAsia" w:cs="宋体"/>
          <w:color w:val="auto"/>
          <w:spacing w:val="-3"/>
          <w:sz w:val="21"/>
          <w:szCs w:val="21"/>
          <w:highlight w:val="none"/>
        </w:rPr>
        <w:t>9.2.3 承包人应严格按照国家安全标准制定施工安全操作规程，配备必要的安全生产和劳动保护设施，加强对承包人人员的安全教育，并发放安全工作手册和劳动保护用具。</w:t>
      </w:r>
    </w:p>
    <w:p>
      <w:pPr>
        <w:pStyle w:val="20"/>
        <w:widowControl w:val="0"/>
        <w:autoSpaceDE w:val="0"/>
        <w:autoSpaceDN w:val="0"/>
        <w:spacing w:before="0" w:beforeAutospacing="0" w:after="0" w:afterAutospacing="0" w:line="415" w:lineRule="auto"/>
        <w:ind w:right="309"/>
        <w:jc w:val="both"/>
        <w:rPr>
          <w:rFonts w:cs="宋体"/>
          <w:color w:val="auto"/>
          <w:sz w:val="21"/>
          <w:szCs w:val="21"/>
          <w:highlight w:val="none"/>
        </w:rPr>
      </w:pPr>
      <w:r>
        <w:rPr>
          <w:rFonts w:hint="eastAsia" w:cs="宋体"/>
          <w:color w:val="auto"/>
          <w:sz w:val="21"/>
          <w:szCs w:val="21"/>
          <w:highlight w:val="none"/>
        </w:rPr>
        <w:t>9.2.4</w:t>
      </w:r>
      <w:r>
        <w:rPr>
          <w:rFonts w:hint="eastAsia" w:cs="宋体"/>
          <w:color w:val="auto"/>
          <w:spacing w:val="-3"/>
          <w:sz w:val="21"/>
          <w:szCs w:val="21"/>
          <w:highlight w:val="none"/>
        </w:rPr>
        <w:t xml:space="preserve"> 承包人应按监理人的指示制定应对灾害的紧急预案，报送监理人审批。承包人</w:t>
      </w:r>
      <w:r>
        <w:rPr>
          <w:rFonts w:hint="eastAsia" w:cs="宋体"/>
          <w:color w:val="auto"/>
          <w:spacing w:val="-9"/>
          <w:sz w:val="21"/>
          <w:szCs w:val="21"/>
          <w:highlight w:val="none"/>
        </w:rPr>
        <w:t>还应按预案做好安全检查，配置必要的救助物资和器材，切实保护好有关人员的人身和财产</w:t>
      </w:r>
      <w:r>
        <w:rPr>
          <w:rFonts w:hint="eastAsia" w:cs="宋体"/>
          <w:color w:val="auto"/>
          <w:spacing w:val="-8"/>
          <w:sz w:val="21"/>
          <w:szCs w:val="21"/>
          <w:highlight w:val="none"/>
        </w:rPr>
        <w:t>安全。</w:t>
      </w:r>
    </w:p>
    <w:p>
      <w:pPr>
        <w:pStyle w:val="20"/>
        <w:widowControl w:val="0"/>
        <w:autoSpaceDE w:val="0"/>
        <w:autoSpaceDN w:val="0"/>
        <w:spacing w:before="0" w:beforeAutospacing="0" w:after="0" w:afterAutospacing="0" w:line="415" w:lineRule="auto"/>
        <w:ind w:right="309"/>
        <w:rPr>
          <w:rFonts w:cs="宋体"/>
          <w:color w:val="auto"/>
          <w:spacing w:val="-3"/>
          <w:sz w:val="21"/>
          <w:szCs w:val="21"/>
          <w:highlight w:val="none"/>
        </w:rPr>
      </w:pPr>
      <w:r>
        <w:rPr>
          <w:rFonts w:hint="eastAsia" w:cs="宋体"/>
          <w:color w:val="auto"/>
          <w:spacing w:val="-3"/>
          <w:sz w:val="21"/>
          <w:szCs w:val="21"/>
          <w:highlight w:val="none"/>
        </w:rPr>
        <w:t>9.2.5 合同约定的安全作业环境及安全施工措施所需费用应遵守有关规定，并包括在</w:t>
      </w:r>
    </w:p>
    <w:p>
      <w:pPr>
        <w:pStyle w:val="20"/>
        <w:widowControl w:val="0"/>
        <w:autoSpaceDE w:val="0"/>
        <w:autoSpaceDN w:val="0"/>
        <w:spacing w:before="0" w:beforeAutospacing="0" w:after="0" w:afterAutospacing="0" w:line="415" w:lineRule="auto"/>
        <w:ind w:right="309"/>
        <w:rPr>
          <w:rFonts w:cs="宋体"/>
          <w:color w:val="auto"/>
          <w:sz w:val="21"/>
          <w:szCs w:val="21"/>
          <w:highlight w:val="none"/>
        </w:rPr>
      </w:pPr>
      <w:r>
        <w:rPr>
          <w:rFonts w:hint="eastAsia" w:cs="宋体"/>
          <w:color w:val="auto"/>
          <w:spacing w:val="-3"/>
          <w:sz w:val="21"/>
          <w:szCs w:val="21"/>
          <w:highlight w:val="none"/>
        </w:rPr>
        <w:t>相</w:t>
      </w:r>
      <w:r>
        <w:rPr>
          <w:rFonts w:hint="eastAsia" w:cs="宋体"/>
          <w:color w:val="auto"/>
          <w:spacing w:val="-9"/>
          <w:sz w:val="21"/>
          <w:szCs w:val="21"/>
          <w:highlight w:val="none"/>
        </w:rPr>
        <w:t>关工作的合同价格中。因采取合同未约定的安全作业环境及安全施工措施增加的费用，由</w:t>
      </w:r>
      <w:r>
        <w:rPr>
          <w:rFonts w:hint="eastAsia" w:cs="宋体"/>
          <w:color w:val="auto"/>
          <w:sz w:val="21"/>
          <w:szCs w:val="21"/>
          <w:highlight w:val="none"/>
        </w:rPr>
        <w:t xml:space="preserve">监理人按第 3.5 款商定或确定。 </w:t>
      </w:r>
    </w:p>
    <w:p>
      <w:pPr>
        <w:pStyle w:val="20"/>
        <w:widowControl w:val="0"/>
        <w:autoSpaceDE w:val="0"/>
        <w:autoSpaceDN w:val="0"/>
        <w:spacing w:before="7" w:beforeAutospacing="0" w:after="0" w:afterAutospacing="0"/>
        <w:rPr>
          <w:rFonts w:cs="宋体"/>
          <w:color w:val="auto"/>
          <w:sz w:val="21"/>
          <w:szCs w:val="21"/>
          <w:highlight w:val="none"/>
        </w:rPr>
      </w:pPr>
      <w:r>
        <w:rPr>
          <w:rFonts w:hint="eastAsia" w:cs="宋体"/>
          <w:color w:val="auto"/>
          <w:spacing w:val="-3"/>
          <w:sz w:val="21"/>
          <w:szCs w:val="21"/>
          <w:highlight w:val="none"/>
        </w:rPr>
        <w:t xml:space="preserve">9.2.6 承包人应对其履行合同所雇佣的全部人员，包括分包人人员的工伤事故承担责任，但由于发包人原因造成承包人人员工伤事故的，应由发包人承担责任。 </w:t>
      </w:r>
    </w:p>
    <w:p>
      <w:pPr>
        <w:pStyle w:val="20"/>
        <w:widowControl w:val="0"/>
        <w:autoSpaceDE w:val="0"/>
        <w:autoSpaceDN w:val="0"/>
        <w:spacing w:before="0" w:beforeAutospacing="0" w:after="0" w:afterAutospacing="0" w:line="415" w:lineRule="auto"/>
        <w:ind w:right="318"/>
        <w:rPr>
          <w:rFonts w:cs="宋体"/>
          <w:color w:val="auto"/>
          <w:sz w:val="21"/>
          <w:szCs w:val="21"/>
          <w:highlight w:val="none"/>
        </w:rPr>
      </w:pPr>
      <w:r>
        <w:rPr>
          <w:rFonts w:hint="eastAsia" w:cs="宋体"/>
          <w:color w:val="auto"/>
          <w:spacing w:val="2"/>
          <w:sz w:val="21"/>
          <w:szCs w:val="21"/>
          <w:highlight w:val="none"/>
        </w:rPr>
        <w:t>9.2.7 由于承包人原因在施工场地内及其毗邻地带造成的第三者人员伤亡和财产损失</w:t>
      </w:r>
      <w:r>
        <w:rPr>
          <w:rFonts w:hint="eastAsia" w:cs="宋体"/>
          <w:color w:val="auto"/>
          <w:spacing w:val="-3"/>
          <w:sz w:val="21"/>
          <w:szCs w:val="21"/>
          <w:highlight w:val="none"/>
        </w:rPr>
        <w:t>，由承包人负责赔偿。</w:t>
      </w:r>
    </w:p>
    <w:p>
      <w:pPr>
        <w:pStyle w:val="7"/>
        <w:widowControl/>
        <w:numPr>
          <w:ilvl w:val="1"/>
          <w:numId w:val="14"/>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治安保卫 </w:t>
      </w:r>
    </w:p>
    <w:p>
      <w:pPr>
        <w:pStyle w:val="20"/>
        <w:widowControl w:val="0"/>
        <w:numPr>
          <w:ilvl w:val="2"/>
          <w:numId w:val="41"/>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发包人应与当地公安部门协商，在现场建立治安管理机构或联防组织，负责统一管理施工场地的治安保卫事项，履行合同工程的治安保卫职责。</w:t>
      </w:r>
    </w:p>
    <w:p>
      <w:pPr>
        <w:pStyle w:val="20"/>
        <w:widowControl w:val="0"/>
        <w:numPr>
          <w:ilvl w:val="2"/>
          <w:numId w:val="41"/>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发包人和承包人除应协助现场治安管理机构或联防组织维护施工场地的社会治安外，还应做好包括生活区在内的各自管辖区的治安保卫工作。</w:t>
      </w:r>
    </w:p>
    <w:p>
      <w:pPr>
        <w:pStyle w:val="20"/>
        <w:widowControl w:val="0"/>
        <w:numPr>
          <w:ilvl w:val="2"/>
          <w:numId w:val="41"/>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4"/>
          <w:sz w:val="21"/>
          <w:szCs w:val="21"/>
          <w:highlight w:val="none"/>
        </w:rPr>
        <w:t>在工程开工前应当明确责任人编制施工场地治安管理计划，并制定应对突发治安</w:t>
      </w:r>
      <w:r>
        <w:rPr>
          <w:rFonts w:hint="eastAsia" w:cs="宋体"/>
          <w:color w:val="auto"/>
          <w:spacing w:val="-9"/>
          <w:sz w:val="21"/>
          <w:szCs w:val="21"/>
          <w:highlight w:val="none"/>
        </w:rPr>
        <w:t>事件的紧急预案。在工程施工过程中，发生暴乱、爆炸等恐怖事件，以及群殴、械斗等群体</w:t>
      </w:r>
      <w:r>
        <w:rPr>
          <w:rFonts w:hint="eastAsia" w:cs="宋体"/>
          <w:color w:val="auto"/>
          <w:spacing w:val="-11"/>
          <w:sz w:val="21"/>
          <w:szCs w:val="21"/>
          <w:highlight w:val="none"/>
        </w:rPr>
        <w:t>性突发治安事件的，发包人和承包人应立即向当地政府报告。发包人和承包人应积极协助当</w:t>
      </w:r>
      <w:r>
        <w:rPr>
          <w:rFonts w:hint="eastAsia" w:cs="宋体"/>
          <w:color w:val="auto"/>
          <w:spacing w:val="-10"/>
          <w:sz w:val="21"/>
          <w:szCs w:val="21"/>
          <w:highlight w:val="none"/>
        </w:rPr>
        <w:t>地有关部门采取措施平息事态，防止事态扩大，尽量减少财产损失和避免人员伤亡。制定施</w:t>
      </w:r>
      <w:r>
        <w:rPr>
          <w:rFonts w:hint="eastAsia" w:cs="宋体"/>
          <w:color w:val="auto"/>
          <w:spacing w:val="-4"/>
          <w:sz w:val="21"/>
          <w:szCs w:val="21"/>
          <w:highlight w:val="none"/>
        </w:rPr>
        <w:t>工场地治安管理计划和突发治安事件紧急预案的责任人见合同条款专用部分。</w:t>
      </w:r>
    </w:p>
    <w:p>
      <w:pPr>
        <w:pStyle w:val="20"/>
        <w:widowControl w:val="0"/>
        <w:numPr>
          <w:ilvl w:val="2"/>
          <w:numId w:val="41"/>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3"/>
          <w:sz w:val="21"/>
          <w:szCs w:val="21"/>
          <w:highlight w:val="none"/>
        </w:rPr>
        <w:t>建立健全疫情常态化防控应急机制，始终坚持疫情常态化防控和应急处置相结合</w:t>
      </w:r>
      <w:r>
        <w:rPr>
          <w:rFonts w:hint="eastAsia" w:cs="宋体"/>
          <w:color w:val="auto"/>
          <w:spacing w:val="-9"/>
          <w:sz w:val="21"/>
          <w:szCs w:val="21"/>
          <w:highlight w:val="none"/>
        </w:rPr>
        <w:t>的原则，按照项目所在地分区分级标准及时制定完善应急预案，明确应急处置流程，适时开</w:t>
      </w:r>
      <w:r>
        <w:rPr>
          <w:rFonts w:hint="eastAsia" w:cs="宋体"/>
          <w:color w:val="auto"/>
          <w:spacing w:val="-4"/>
          <w:sz w:val="21"/>
          <w:szCs w:val="21"/>
          <w:highlight w:val="none"/>
        </w:rPr>
        <w:t>展应急演练，确保责任落实到人。</w:t>
      </w:r>
    </w:p>
    <w:p>
      <w:pPr>
        <w:pStyle w:val="20"/>
        <w:widowControl w:val="0"/>
        <w:autoSpaceDE w:val="0"/>
        <w:autoSpaceDN w:val="0"/>
        <w:spacing w:before="0"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9"/>
          <w:sz w:val="21"/>
          <w:szCs w:val="21"/>
          <w:highlight w:val="none"/>
        </w:rPr>
        <w:t>建立联防联控机制，对接属地社区、卫生健康、疾控等部门，全面落实各项疫情常态化</w:t>
      </w:r>
      <w:r>
        <w:rPr>
          <w:rFonts w:hint="eastAsia" w:cs="宋体"/>
          <w:color w:val="auto"/>
          <w:spacing w:val="-12"/>
          <w:sz w:val="21"/>
          <w:szCs w:val="21"/>
          <w:highlight w:val="none"/>
        </w:rPr>
        <w:t>防控措施。发生涉疫情况，应第一时间向有关部门报告、第一时间启动应急预案、第一时间采取停工措施并封闭现场；并按照应急预案和相关规定进行先期处置，安排涉疫人员至隔离观察区域，与现场其他人员进行隔离，并安排专人负责卫生健康、疾控等部门防控专业人员的进场引导工作，保障急救通道畅通；同时积极配合卫生健康、疾控等部门做好流行病学调</w:t>
      </w:r>
      <w:r>
        <w:rPr>
          <w:rFonts w:hint="eastAsia" w:cs="宋体"/>
          <w:color w:val="auto"/>
          <w:spacing w:val="-6"/>
          <w:sz w:val="21"/>
          <w:szCs w:val="21"/>
          <w:highlight w:val="none"/>
        </w:rPr>
        <w:t>查、医学观察，对现场进行全面消杀。</w:t>
      </w:r>
    </w:p>
    <w:p>
      <w:pPr>
        <w:pStyle w:val="7"/>
        <w:widowControl/>
        <w:numPr>
          <w:ilvl w:val="1"/>
          <w:numId w:val="14"/>
        </w:numPr>
        <w:spacing w:before="134"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环境保护 </w:t>
      </w:r>
    </w:p>
    <w:p>
      <w:pPr>
        <w:pStyle w:val="20"/>
        <w:widowControl w:val="0"/>
        <w:numPr>
          <w:ilvl w:val="2"/>
          <w:numId w:val="42"/>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承包人在施工过程中，应遵守有关环境保护的法律，履行合同约定的环境保护义务，并对违反法律和合同约定义务所造成的环境破坏、人身伤害和财产损失负责。</w:t>
      </w:r>
    </w:p>
    <w:p>
      <w:pPr>
        <w:pStyle w:val="20"/>
        <w:widowControl w:val="0"/>
        <w:numPr>
          <w:ilvl w:val="2"/>
          <w:numId w:val="42"/>
        </w:numPr>
        <w:autoSpaceDE w:val="0"/>
        <w:autoSpaceDN w:val="0"/>
        <w:spacing w:before="0" w:beforeAutospacing="0" w:after="0" w:afterAutospacing="0"/>
        <w:ind w:left="1087"/>
        <w:rPr>
          <w:rFonts w:cs="宋体"/>
          <w:color w:val="auto"/>
          <w:sz w:val="21"/>
          <w:szCs w:val="21"/>
          <w:highlight w:val="none"/>
        </w:rPr>
      </w:pPr>
      <w:r>
        <w:rPr>
          <w:rFonts w:hint="eastAsia" w:cs="宋体"/>
          <w:color w:val="auto"/>
          <w:spacing w:val="-3"/>
          <w:sz w:val="21"/>
          <w:szCs w:val="21"/>
          <w:highlight w:val="none"/>
        </w:rPr>
        <w:t>承包人应建立施工扬尘治理、建筑垃圾、土方和砂石清运与消纳、保证使用已</w:t>
      </w:r>
    </w:p>
    <w:p>
      <w:pPr>
        <w:pStyle w:val="20"/>
        <w:widowControl w:val="0"/>
        <w:autoSpaceDE w:val="0"/>
        <w:autoSpaceDN w:val="0"/>
        <w:spacing w:before="72" w:beforeAutospacing="0" w:after="0" w:afterAutospacing="0" w:line="415" w:lineRule="auto"/>
        <w:ind w:left="138" w:right="308"/>
        <w:jc w:val="both"/>
        <w:rPr>
          <w:rFonts w:cs="宋体"/>
          <w:color w:val="auto"/>
          <w:sz w:val="21"/>
          <w:szCs w:val="21"/>
          <w:highlight w:val="none"/>
        </w:rPr>
      </w:pPr>
      <w:r>
        <w:rPr>
          <w:rFonts w:hint="eastAsia" w:cs="宋体"/>
          <w:color w:val="auto"/>
          <w:sz w:val="21"/>
          <w:szCs w:val="21"/>
          <w:highlight w:val="none"/>
        </w:rPr>
        <w:t>在本市进行信息编码登记符合排放标准的非道路移动机械和严禁使用高排放非道路移动机</w:t>
      </w:r>
      <w:r>
        <w:rPr>
          <w:rFonts w:hint="eastAsia" w:cs="宋体"/>
          <w:color w:val="auto"/>
          <w:spacing w:val="-6"/>
          <w:sz w:val="21"/>
          <w:szCs w:val="21"/>
          <w:highlight w:val="none"/>
        </w:rPr>
        <w:t>械以及行业挥发性有机物治理</w:t>
      </w:r>
      <w:r>
        <w:rPr>
          <w:rFonts w:hint="eastAsia" w:cs="宋体"/>
          <w:color w:val="auto"/>
          <w:sz w:val="21"/>
          <w:szCs w:val="21"/>
          <w:highlight w:val="none"/>
        </w:rPr>
        <w:t>（</w:t>
      </w:r>
      <w:r>
        <w:rPr>
          <w:rFonts w:hint="eastAsia" w:cs="宋体"/>
          <w:color w:val="auto"/>
          <w:spacing w:val="-7"/>
          <w:sz w:val="21"/>
          <w:szCs w:val="21"/>
          <w:highlight w:val="none"/>
        </w:rPr>
        <w:t>如建筑外墙涂装、钢结构等鼓励使用水性漆替代油性漆</w:t>
      </w:r>
      <w:r>
        <w:rPr>
          <w:rFonts w:hint="eastAsia" w:cs="宋体"/>
          <w:color w:val="auto"/>
          <w:spacing w:val="-32"/>
          <w:sz w:val="21"/>
          <w:szCs w:val="21"/>
          <w:highlight w:val="none"/>
        </w:rPr>
        <w:t>）</w:t>
      </w:r>
      <w:r>
        <w:rPr>
          <w:rFonts w:hint="eastAsia" w:cs="宋体"/>
          <w:color w:val="auto"/>
          <w:sz w:val="21"/>
          <w:szCs w:val="21"/>
          <w:highlight w:val="none"/>
        </w:rPr>
        <w:t>等</w:t>
      </w:r>
      <w:r>
        <w:rPr>
          <w:rFonts w:hint="eastAsia" w:cs="宋体"/>
          <w:color w:val="auto"/>
          <w:spacing w:val="-9"/>
          <w:sz w:val="21"/>
          <w:szCs w:val="21"/>
          <w:highlight w:val="none"/>
        </w:rPr>
        <w:t>责任制，针对工程项目特点制定具体的实施方案，并严格实施。如扬尘治理，承包人应在建</w:t>
      </w:r>
      <w:r>
        <w:rPr>
          <w:rFonts w:hint="eastAsia" w:cs="宋体"/>
          <w:color w:val="auto"/>
          <w:spacing w:val="-10"/>
          <w:sz w:val="21"/>
          <w:szCs w:val="21"/>
          <w:highlight w:val="none"/>
        </w:rPr>
        <w:t>筑工地公示施工扬尘治理措施、责任人、主管部门等信息，并及时向当地主管部门报送施工</w:t>
      </w:r>
      <w:r>
        <w:rPr>
          <w:rFonts w:hint="eastAsia" w:cs="宋体"/>
          <w:color w:val="auto"/>
          <w:spacing w:val="-5"/>
          <w:sz w:val="21"/>
          <w:szCs w:val="21"/>
          <w:highlight w:val="none"/>
        </w:rPr>
        <w:t>扬尘治理措施落实情况。</w:t>
      </w:r>
    </w:p>
    <w:p>
      <w:pPr>
        <w:pStyle w:val="20"/>
        <w:widowControl w:val="0"/>
        <w:numPr>
          <w:ilvl w:val="2"/>
          <w:numId w:val="42"/>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3"/>
          <w:sz w:val="21"/>
          <w:szCs w:val="21"/>
          <w:highlight w:val="none"/>
        </w:rPr>
        <w:t>承包人应在合同条款专用部分约定的时限内，按合同约定的环保工作内容，编制施工环保措施计划</w:t>
      </w:r>
      <w:r>
        <w:rPr>
          <w:rFonts w:hint="eastAsia" w:cs="宋体"/>
          <w:color w:val="auto"/>
          <w:sz w:val="21"/>
          <w:szCs w:val="21"/>
          <w:highlight w:val="none"/>
        </w:rPr>
        <w:t>（</w:t>
      </w:r>
      <w:r>
        <w:rPr>
          <w:rFonts w:hint="eastAsia" w:cs="宋体"/>
          <w:color w:val="auto"/>
          <w:spacing w:val="-2"/>
          <w:sz w:val="21"/>
          <w:szCs w:val="21"/>
          <w:highlight w:val="none"/>
        </w:rPr>
        <w:t>包含第</w:t>
      </w:r>
      <w:r>
        <w:rPr>
          <w:rFonts w:hint="eastAsia" w:cs="宋体"/>
          <w:color w:val="auto"/>
          <w:sz w:val="21"/>
          <w:szCs w:val="21"/>
          <w:highlight w:val="none"/>
        </w:rPr>
        <w:t>9.</w:t>
      </w:r>
      <w:r>
        <w:rPr>
          <w:rFonts w:hint="eastAsia" w:cs="宋体"/>
          <w:color w:val="auto"/>
          <w:spacing w:val="-3"/>
          <w:sz w:val="21"/>
          <w:szCs w:val="21"/>
          <w:highlight w:val="none"/>
        </w:rPr>
        <w:t>4</w:t>
      </w:r>
      <w:r>
        <w:rPr>
          <w:rFonts w:hint="eastAsia" w:cs="宋体"/>
          <w:color w:val="auto"/>
          <w:sz w:val="21"/>
          <w:szCs w:val="21"/>
          <w:highlight w:val="none"/>
        </w:rPr>
        <w:t>.2</w:t>
      </w:r>
      <w:r>
        <w:rPr>
          <w:rFonts w:hint="eastAsia" w:cs="宋体"/>
          <w:color w:val="auto"/>
          <w:spacing w:val="-3"/>
          <w:sz w:val="21"/>
          <w:szCs w:val="21"/>
          <w:highlight w:val="none"/>
        </w:rPr>
        <w:t>项约定的实施方案内容</w:t>
      </w:r>
      <w:r>
        <w:rPr>
          <w:rFonts w:hint="eastAsia" w:cs="宋体"/>
          <w:color w:val="auto"/>
          <w:spacing w:val="-108"/>
          <w:sz w:val="21"/>
          <w:szCs w:val="21"/>
          <w:highlight w:val="none"/>
        </w:rPr>
        <w:t>）</w:t>
      </w:r>
      <w:r>
        <w:rPr>
          <w:rFonts w:hint="eastAsia" w:cs="宋体"/>
          <w:color w:val="auto"/>
          <w:spacing w:val="-3"/>
          <w:sz w:val="21"/>
          <w:szCs w:val="21"/>
          <w:highlight w:val="none"/>
        </w:rPr>
        <w:t>，报送监理人审批。监理人在合同条款专用部分约定的期限内给予批复。</w:t>
      </w:r>
    </w:p>
    <w:p>
      <w:pPr>
        <w:pStyle w:val="20"/>
        <w:widowControl w:val="0"/>
        <w:numPr>
          <w:ilvl w:val="2"/>
          <w:numId w:val="42"/>
        </w:numPr>
        <w:autoSpaceDE w:val="0"/>
        <w:autoSpaceDN w:val="0"/>
        <w:spacing w:before="0" w:beforeAutospacing="0" w:after="0" w:afterAutospacing="0" w:line="415" w:lineRule="auto"/>
        <w:ind w:right="203" w:firstLine="419"/>
        <w:rPr>
          <w:rFonts w:cs="宋体"/>
          <w:color w:val="auto"/>
          <w:sz w:val="21"/>
          <w:szCs w:val="21"/>
          <w:highlight w:val="none"/>
        </w:rPr>
      </w:pPr>
      <w:r>
        <w:rPr>
          <w:rFonts w:hint="eastAsia" w:cs="宋体"/>
          <w:color w:val="auto"/>
          <w:spacing w:val="-3"/>
          <w:sz w:val="21"/>
          <w:szCs w:val="21"/>
          <w:highlight w:val="none"/>
        </w:rPr>
        <w:t>承包人应按照批准的施工环保措施计划有序地堆放和处理施工废弃物，避免对环</w:t>
      </w:r>
      <w:r>
        <w:rPr>
          <w:rFonts w:hint="eastAsia" w:cs="宋体"/>
          <w:color w:val="auto"/>
          <w:spacing w:val="-15"/>
          <w:sz w:val="21"/>
          <w:szCs w:val="21"/>
          <w:highlight w:val="none"/>
        </w:rPr>
        <w:t>境造成破坏。因承包人任意堆放或弃置施工废弃物造成妨碍公共交通、影响城镇居民生活、降</w:t>
      </w:r>
      <w:r>
        <w:rPr>
          <w:rFonts w:hint="eastAsia" w:cs="宋体"/>
          <w:color w:val="auto"/>
          <w:spacing w:val="-5"/>
          <w:sz w:val="21"/>
          <w:szCs w:val="21"/>
          <w:highlight w:val="none"/>
        </w:rPr>
        <w:t>低河流行洪能力、危及居民安全、破坏和污染环境，或者影响其他承包人施工等后果的，承</w:t>
      </w:r>
      <w:r>
        <w:rPr>
          <w:rFonts w:hint="eastAsia" w:cs="宋体"/>
          <w:color w:val="auto"/>
          <w:spacing w:val="-3"/>
          <w:sz w:val="21"/>
          <w:szCs w:val="21"/>
          <w:highlight w:val="none"/>
        </w:rPr>
        <w:t>包人应承担责任。</w:t>
      </w:r>
    </w:p>
    <w:p>
      <w:pPr>
        <w:pStyle w:val="20"/>
        <w:widowControl w:val="0"/>
        <w:numPr>
          <w:ilvl w:val="2"/>
          <w:numId w:val="42"/>
        </w:numPr>
        <w:autoSpaceDE w:val="0"/>
        <w:autoSpaceDN w:val="0"/>
        <w:spacing w:before="0" w:beforeAutospacing="0" w:after="0" w:afterAutospacing="0" w:line="415" w:lineRule="auto"/>
        <w:ind w:right="311" w:firstLine="419"/>
        <w:rPr>
          <w:rFonts w:cs="宋体"/>
          <w:color w:val="auto"/>
          <w:sz w:val="21"/>
          <w:szCs w:val="21"/>
          <w:highlight w:val="none"/>
        </w:rPr>
      </w:pPr>
      <w:r>
        <w:rPr>
          <w:rFonts w:hint="eastAsia" w:cs="宋体"/>
          <w:color w:val="auto"/>
          <w:spacing w:val="-9"/>
          <w:sz w:val="21"/>
          <w:szCs w:val="21"/>
          <w:highlight w:val="none"/>
        </w:rPr>
        <w:t>承包人应按合同约定采取有效措施，对施工开挖的边坡及时进行支护,维护排水设</w:t>
      </w:r>
      <w:r>
        <w:rPr>
          <w:rFonts w:hint="eastAsia" w:cs="宋体"/>
          <w:color w:val="auto"/>
          <w:spacing w:val="-4"/>
          <w:sz w:val="21"/>
          <w:szCs w:val="21"/>
          <w:highlight w:val="none"/>
        </w:rPr>
        <w:t>施，并进行水土保护，避免因施工造成的地质灾害。</w:t>
      </w:r>
    </w:p>
    <w:p>
      <w:pPr>
        <w:pStyle w:val="20"/>
        <w:widowControl w:val="0"/>
        <w:numPr>
          <w:ilvl w:val="2"/>
          <w:numId w:val="42"/>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承包人应按国家饮用水管理标准定期对饮用水源进行监测，防止施工活动污染饮用水源。</w:t>
      </w:r>
    </w:p>
    <w:p>
      <w:pPr>
        <w:pStyle w:val="20"/>
        <w:widowControl w:val="0"/>
        <w:numPr>
          <w:ilvl w:val="2"/>
          <w:numId w:val="42"/>
        </w:numPr>
        <w:autoSpaceDE w:val="0"/>
        <w:autoSpaceDN w:val="0"/>
        <w:spacing w:before="0" w:beforeAutospacing="0" w:after="0" w:afterAutospacing="0" w:line="415" w:lineRule="auto"/>
        <w:ind w:right="311" w:firstLine="424"/>
        <w:rPr>
          <w:rFonts w:cs="宋体"/>
          <w:color w:val="auto"/>
          <w:sz w:val="21"/>
          <w:szCs w:val="21"/>
          <w:highlight w:val="none"/>
        </w:rPr>
      </w:pPr>
      <w:r>
        <w:rPr>
          <w:rFonts w:hint="eastAsia" w:cs="宋体"/>
          <w:color w:val="auto"/>
          <w:spacing w:val="-3"/>
          <w:sz w:val="21"/>
          <w:szCs w:val="21"/>
          <w:highlight w:val="none"/>
        </w:rPr>
        <w:t>承包人应按合同约定，加强对噪声、粉尘、废气、废水和废油的控制，努力降低噪声，控制粉尘和废气浓度，做好废水和废油的治理和排放。</w:t>
      </w:r>
    </w:p>
    <w:p>
      <w:pPr>
        <w:pStyle w:val="7"/>
        <w:widowControl/>
        <w:numPr>
          <w:ilvl w:val="1"/>
          <w:numId w:val="14"/>
        </w:numPr>
        <w:spacing w:before="134"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事故处理 </w:t>
      </w:r>
    </w:p>
    <w:p>
      <w:pPr>
        <w:pStyle w:val="20"/>
        <w:widowControl w:val="0"/>
        <w:autoSpaceDE w:val="0"/>
        <w:autoSpaceDN w:val="0"/>
        <w:spacing w:before="0"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8"/>
          <w:sz w:val="21"/>
          <w:szCs w:val="21"/>
          <w:highlight w:val="none"/>
        </w:rPr>
        <w:t>工程施工过程中发生事故的，承包人应立即通知监理人，监理人应立即通知发包人。发包人和承包人应立即组织人员和设备进行紧急抢救和抢修，减少人员伤亡和财产损失，防止</w:t>
      </w:r>
      <w:r>
        <w:rPr>
          <w:rFonts w:hint="eastAsia" w:cs="宋体"/>
          <w:color w:val="auto"/>
          <w:spacing w:val="-12"/>
          <w:sz w:val="21"/>
          <w:szCs w:val="21"/>
          <w:highlight w:val="none"/>
        </w:rPr>
        <w:t>事故扩大，并保护事故现场。需要移动现场物品时，应作出标记和书面记录，妥善保管有关</w:t>
      </w:r>
      <w:r>
        <w:rPr>
          <w:rFonts w:hint="eastAsia" w:cs="宋体"/>
          <w:color w:val="auto"/>
          <w:spacing w:val="-11"/>
          <w:sz w:val="21"/>
          <w:szCs w:val="21"/>
          <w:highlight w:val="none"/>
        </w:rPr>
        <w:t>证据。发包人和承包人应按国家有关规定，及时如实地向有关部门报告事故发生的情况，以</w:t>
      </w:r>
      <w:r>
        <w:rPr>
          <w:rFonts w:hint="eastAsia" w:cs="宋体"/>
          <w:color w:val="auto"/>
          <w:spacing w:val="-6"/>
          <w:sz w:val="21"/>
          <w:szCs w:val="21"/>
          <w:highlight w:val="none"/>
        </w:rPr>
        <w:t xml:space="preserve">及正在采取的紧急措施等。 </w:t>
      </w:r>
    </w:p>
    <w:p>
      <w:pPr>
        <w:pStyle w:val="7"/>
        <w:widowControl/>
        <w:numPr>
          <w:ilvl w:val="1"/>
          <w:numId w:val="14"/>
        </w:numPr>
        <w:spacing w:before="136"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施工现场安全生产标准化管理目标 </w:t>
      </w:r>
    </w:p>
    <w:p>
      <w:pPr>
        <w:pStyle w:val="20"/>
        <w:widowControl w:val="0"/>
        <w:numPr>
          <w:ilvl w:val="2"/>
          <w:numId w:val="43"/>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6"/>
          <w:sz w:val="21"/>
          <w:szCs w:val="21"/>
          <w:highlight w:val="none"/>
        </w:rPr>
        <w:t>由于承包人原因，施工现场安全生产标准化评定、认定等级未达到合同协议书中</w:t>
      </w:r>
      <w:r>
        <w:rPr>
          <w:rFonts w:hint="eastAsia" w:cs="宋体"/>
          <w:color w:val="auto"/>
          <w:spacing w:val="-5"/>
          <w:sz w:val="21"/>
          <w:szCs w:val="21"/>
          <w:highlight w:val="none"/>
        </w:rPr>
        <w:t>约定的管理目标等级但“达标</w:t>
      </w:r>
      <w:r>
        <w:rPr>
          <w:rFonts w:hint="eastAsia" w:cs="宋体"/>
          <w:color w:val="auto"/>
          <w:sz w:val="21"/>
          <w:szCs w:val="21"/>
          <w:highlight w:val="none"/>
        </w:rPr>
        <w:t>（</w:t>
      </w:r>
      <w:r>
        <w:rPr>
          <w:rFonts w:hint="eastAsia" w:cs="宋体"/>
          <w:color w:val="auto"/>
          <w:spacing w:val="-2"/>
          <w:sz w:val="21"/>
          <w:szCs w:val="21"/>
          <w:highlight w:val="none"/>
        </w:rPr>
        <w:t>合格</w:t>
      </w:r>
      <w:r>
        <w:rPr>
          <w:rFonts w:hint="eastAsia" w:cs="宋体"/>
          <w:color w:val="auto"/>
          <w:spacing w:val="-106"/>
          <w:sz w:val="21"/>
          <w:szCs w:val="21"/>
          <w:highlight w:val="none"/>
        </w:rPr>
        <w:t>）</w:t>
      </w:r>
      <w:r>
        <w:rPr>
          <w:rFonts w:hint="eastAsia" w:cs="宋体"/>
          <w:color w:val="auto"/>
          <w:spacing w:val="-3"/>
          <w:sz w:val="21"/>
          <w:szCs w:val="21"/>
          <w:highlight w:val="none"/>
        </w:rPr>
        <w:t>”的，承包人应当向发包人支付未达到合同协议书中</w:t>
      </w:r>
      <w:r>
        <w:rPr>
          <w:rFonts w:hint="eastAsia" w:cs="宋体"/>
          <w:color w:val="auto"/>
          <w:spacing w:val="-7"/>
          <w:sz w:val="21"/>
          <w:szCs w:val="21"/>
          <w:highlight w:val="none"/>
        </w:rPr>
        <w:t>约定的安全生产标准化管理目标等级的违约金或损失赔偿金。未达到合同协议书中约定的安</w:t>
      </w:r>
      <w:r>
        <w:rPr>
          <w:rFonts w:hint="eastAsia" w:cs="宋体"/>
          <w:color w:val="auto"/>
          <w:sz w:val="21"/>
          <w:szCs w:val="21"/>
          <w:highlight w:val="none"/>
        </w:rPr>
        <w:t xml:space="preserve">全生产标准化管理目标等级的违约金或损失赔偿金的金额或者计算方法见合同条款专用部分。 </w:t>
      </w:r>
    </w:p>
    <w:p>
      <w:pPr>
        <w:pStyle w:val="20"/>
        <w:widowControl w:val="0"/>
        <w:numPr>
          <w:ilvl w:val="2"/>
          <w:numId w:val="43"/>
        </w:numPr>
        <w:autoSpaceDE w:val="0"/>
        <w:autoSpaceDN w:val="0"/>
        <w:spacing w:before="0" w:beforeAutospacing="0" w:after="0" w:afterAutospacing="0" w:line="415" w:lineRule="auto"/>
        <w:ind w:right="220" w:firstLine="419"/>
        <w:rPr>
          <w:rFonts w:cs="宋体"/>
          <w:color w:val="auto"/>
          <w:sz w:val="21"/>
          <w:szCs w:val="21"/>
          <w:highlight w:val="none"/>
        </w:rPr>
      </w:pPr>
      <w:r>
        <w:rPr>
          <w:rFonts w:hint="eastAsia" w:cs="宋体"/>
          <w:color w:val="auto"/>
          <w:spacing w:val="-7"/>
          <w:sz w:val="21"/>
          <w:szCs w:val="21"/>
          <w:highlight w:val="none"/>
        </w:rPr>
        <w:t xml:space="preserve">发包人鼓励承包人提高施工现场安全生产标准化管理。施工现场安全生产标准化 </w:t>
      </w:r>
      <w:r>
        <w:rPr>
          <w:rFonts w:hint="eastAsia" w:cs="宋体"/>
          <w:color w:val="auto"/>
          <w:spacing w:val="-5"/>
          <w:sz w:val="21"/>
          <w:szCs w:val="21"/>
          <w:highlight w:val="none"/>
        </w:rPr>
        <w:t>评定、认定等级高于合同协议书中约定的管理目标等级的，发包人可给予承包人创优奖励。</w:t>
      </w:r>
      <w:r>
        <w:rPr>
          <w:rFonts w:hint="eastAsia" w:cs="宋体"/>
          <w:color w:val="auto"/>
          <w:spacing w:val="-4"/>
          <w:sz w:val="21"/>
          <w:szCs w:val="21"/>
          <w:highlight w:val="none"/>
        </w:rPr>
        <w:t>发包人是否给予承包人创优奖励及创优奖励金额或者计算方法见合同条款专用部分。</w:t>
      </w:r>
    </w:p>
    <w:p>
      <w:pPr>
        <w:pStyle w:val="7"/>
        <w:widowControl/>
        <w:numPr>
          <w:ilvl w:val="1"/>
          <w:numId w:val="14"/>
        </w:numPr>
        <w:spacing w:before="135" w:after="0"/>
        <w:ind w:hanging="36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特殊安全文明施工 </w:t>
      </w:r>
    </w:p>
    <w:p>
      <w:pPr>
        <w:pStyle w:val="20"/>
        <w:widowControl w:val="0"/>
        <w:numPr>
          <w:ilvl w:val="2"/>
          <w:numId w:val="44"/>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6"/>
          <w:sz w:val="21"/>
          <w:szCs w:val="21"/>
          <w:highlight w:val="none"/>
        </w:rPr>
        <w:t>由于承包人原因，特殊安全文明施工要求未达到合同约定的要求，承包人应当向</w:t>
      </w:r>
      <w:r>
        <w:rPr>
          <w:rFonts w:hint="eastAsia" w:cs="宋体"/>
          <w:color w:val="auto"/>
          <w:spacing w:val="-7"/>
          <w:sz w:val="21"/>
          <w:szCs w:val="21"/>
          <w:highlight w:val="none"/>
        </w:rPr>
        <w:t>发包人支付未达到合同约定的特殊安全文明施工要求的违约金或损失赔偿金。未达到合同约定的特殊安全文明施工要求的违约金或损失赔偿金的金额或者计算方法见合同条款专用部</w:t>
      </w:r>
      <w:r>
        <w:rPr>
          <w:rFonts w:hint="eastAsia" w:cs="宋体"/>
          <w:color w:val="auto"/>
          <w:spacing w:val="-5"/>
          <w:sz w:val="21"/>
          <w:szCs w:val="21"/>
          <w:highlight w:val="none"/>
        </w:rPr>
        <w:t>分。</w:t>
      </w:r>
    </w:p>
    <w:p>
      <w:pPr>
        <w:pStyle w:val="20"/>
        <w:widowControl w:val="0"/>
        <w:numPr>
          <w:ilvl w:val="2"/>
          <w:numId w:val="44"/>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8"/>
          <w:sz w:val="21"/>
          <w:szCs w:val="21"/>
          <w:highlight w:val="none"/>
        </w:rPr>
        <w:t>发包人鼓励承包人提高特殊安全文明施工要求。特殊安全文明施工要求高于合同</w:t>
      </w:r>
      <w:r>
        <w:rPr>
          <w:rFonts w:hint="eastAsia" w:cs="宋体"/>
          <w:color w:val="auto"/>
          <w:spacing w:val="-12"/>
          <w:sz w:val="21"/>
          <w:szCs w:val="21"/>
          <w:highlight w:val="none"/>
        </w:rPr>
        <w:t>约定的要求，发包人可给予承包人创优奖励。发包人是否给予承包人创优奖励及创优奖励金</w:t>
      </w:r>
      <w:r>
        <w:rPr>
          <w:rFonts w:hint="eastAsia" w:cs="宋体"/>
          <w:color w:val="auto"/>
          <w:spacing w:val="-6"/>
          <w:sz w:val="21"/>
          <w:szCs w:val="21"/>
          <w:highlight w:val="none"/>
        </w:rPr>
        <w:t>额或者计算方法见合同条款专用部分。</w:t>
      </w:r>
    </w:p>
    <w:p>
      <w:pPr>
        <w:pStyle w:val="6"/>
        <w:widowControl/>
        <w:numPr>
          <w:ilvl w:val="0"/>
          <w:numId w:val="14"/>
        </w:numPr>
        <w:spacing w:before="0" w:after="0"/>
        <w:ind w:left="560" w:hanging="423"/>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进度计划</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合同进度计划 </w:t>
      </w:r>
    </w:p>
    <w:p>
      <w:pPr>
        <w:pStyle w:val="20"/>
        <w:widowControl w:val="0"/>
        <w:numPr>
          <w:ilvl w:val="2"/>
          <w:numId w:val="45"/>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6"/>
          <w:sz w:val="21"/>
          <w:szCs w:val="21"/>
          <w:highlight w:val="none"/>
        </w:rPr>
        <w:t xml:space="preserve">承包人应当在收到监理人按照第 </w:t>
      </w:r>
      <w:r>
        <w:rPr>
          <w:rFonts w:hint="eastAsia" w:cs="宋体"/>
          <w:color w:val="auto"/>
          <w:sz w:val="21"/>
          <w:szCs w:val="21"/>
          <w:highlight w:val="none"/>
        </w:rPr>
        <w:t>11.1.1</w:t>
      </w:r>
      <w:r>
        <w:rPr>
          <w:rFonts w:hint="eastAsia" w:cs="宋体"/>
          <w:color w:val="auto"/>
          <w:spacing w:val="-12"/>
          <w:sz w:val="21"/>
          <w:szCs w:val="21"/>
          <w:highlight w:val="none"/>
        </w:rPr>
        <w:t xml:space="preserve"> 项发出的开工通知后 </w:t>
      </w:r>
      <w:r>
        <w:rPr>
          <w:rFonts w:hint="eastAsia" w:cs="宋体"/>
          <w:color w:val="auto"/>
          <w:sz w:val="21"/>
          <w:szCs w:val="21"/>
          <w:highlight w:val="none"/>
        </w:rPr>
        <w:t>7</w:t>
      </w:r>
      <w:r>
        <w:rPr>
          <w:rFonts w:hint="eastAsia" w:cs="宋体"/>
          <w:color w:val="auto"/>
          <w:spacing w:val="-7"/>
          <w:sz w:val="21"/>
          <w:szCs w:val="21"/>
          <w:highlight w:val="none"/>
        </w:rPr>
        <w:t xml:space="preserve"> 天内，编制详细</w:t>
      </w:r>
      <w:r>
        <w:rPr>
          <w:rFonts w:hint="eastAsia" w:cs="宋体"/>
          <w:color w:val="auto"/>
          <w:spacing w:val="-9"/>
          <w:sz w:val="21"/>
          <w:szCs w:val="21"/>
          <w:highlight w:val="none"/>
        </w:rPr>
        <w:t>的施工进度计划和施工方案说明报送监理人，施工进度计划中应载明要求发包人组织设计人</w:t>
      </w:r>
      <w:r>
        <w:rPr>
          <w:rFonts w:hint="eastAsia" w:cs="宋体"/>
          <w:color w:val="auto"/>
          <w:spacing w:val="-10"/>
          <w:sz w:val="21"/>
          <w:szCs w:val="21"/>
          <w:highlight w:val="none"/>
        </w:rPr>
        <w:t>进行阶段性工程设计交底的时间。监理人应在收到承包人报送的相关进度计划和施工方案说</w:t>
      </w:r>
      <w:r>
        <w:rPr>
          <w:rFonts w:hint="eastAsia" w:cs="宋体"/>
          <w:color w:val="auto"/>
          <w:spacing w:val="-16"/>
          <w:sz w:val="21"/>
          <w:szCs w:val="21"/>
          <w:highlight w:val="none"/>
        </w:rPr>
        <w:t xml:space="preserve">明后 </w:t>
      </w:r>
      <w:r>
        <w:rPr>
          <w:rFonts w:hint="eastAsia" w:cs="宋体"/>
          <w:color w:val="auto"/>
          <w:sz w:val="21"/>
          <w:szCs w:val="21"/>
          <w:highlight w:val="none"/>
        </w:rPr>
        <w:t>14</w:t>
      </w:r>
      <w:r>
        <w:rPr>
          <w:rFonts w:hint="eastAsia" w:cs="宋体"/>
          <w:color w:val="auto"/>
          <w:spacing w:val="-7"/>
          <w:sz w:val="21"/>
          <w:szCs w:val="21"/>
          <w:highlight w:val="none"/>
        </w:rPr>
        <w:t xml:space="preserve"> 天内批复或提出修改意见，否则该进度计划视为已得到批准。经监理人批准的施工</w:t>
      </w:r>
      <w:r>
        <w:rPr>
          <w:rFonts w:hint="eastAsia" w:cs="宋体"/>
          <w:color w:val="auto"/>
          <w:spacing w:val="-10"/>
          <w:sz w:val="21"/>
          <w:szCs w:val="21"/>
          <w:highlight w:val="none"/>
        </w:rPr>
        <w:t>进度计划称合同进度计划，是控制合同工程进度的依据。承包人编制施工进度计划和施工方</w:t>
      </w:r>
      <w:r>
        <w:rPr>
          <w:rFonts w:hint="eastAsia" w:cs="宋体"/>
          <w:color w:val="auto"/>
          <w:spacing w:val="-4"/>
          <w:sz w:val="21"/>
          <w:szCs w:val="21"/>
          <w:highlight w:val="none"/>
        </w:rPr>
        <w:t>案说明的内容见合同条款专用部分。</w:t>
      </w:r>
    </w:p>
    <w:p>
      <w:pPr>
        <w:pStyle w:val="20"/>
        <w:widowControl w:val="0"/>
        <w:numPr>
          <w:ilvl w:val="2"/>
          <w:numId w:val="45"/>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5"/>
          <w:sz w:val="21"/>
          <w:szCs w:val="21"/>
          <w:highlight w:val="none"/>
        </w:rPr>
        <w:t xml:space="preserve">承包人还应根据合同进度计划，按照第 </w:t>
      </w:r>
      <w:r>
        <w:rPr>
          <w:rFonts w:hint="eastAsia" w:cs="宋体"/>
          <w:color w:val="auto"/>
          <w:sz w:val="21"/>
          <w:szCs w:val="21"/>
          <w:highlight w:val="none"/>
        </w:rPr>
        <w:t>10.1.1</w:t>
      </w:r>
      <w:r>
        <w:rPr>
          <w:rFonts w:hint="eastAsia" w:cs="宋体"/>
          <w:color w:val="auto"/>
          <w:spacing w:val="-7"/>
          <w:sz w:val="21"/>
          <w:szCs w:val="21"/>
          <w:highlight w:val="none"/>
        </w:rPr>
        <w:t xml:space="preserve"> 项相关约定编制更为详细的分阶</w:t>
      </w:r>
      <w:r>
        <w:rPr>
          <w:rFonts w:hint="eastAsia" w:cs="宋体"/>
          <w:color w:val="auto"/>
          <w:spacing w:val="-12"/>
          <w:sz w:val="21"/>
          <w:szCs w:val="21"/>
          <w:highlight w:val="none"/>
        </w:rPr>
        <w:t>段或分项进度计划，报监理人审批。承包人编制分阶段或分项施工进度计划和施工方案说明</w:t>
      </w:r>
      <w:r>
        <w:rPr>
          <w:rFonts w:hint="eastAsia" w:cs="宋体"/>
          <w:color w:val="auto"/>
          <w:spacing w:val="-5"/>
          <w:sz w:val="21"/>
          <w:szCs w:val="21"/>
          <w:highlight w:val="none"/>
        </w:rPr>
        <w:t>的内容及时限要求见合同条款专用部分。</w:t>
      </w:r>
    </w:p>
    <w:p>
      <w:pPr>
        <w:pStyle w:val="20"/>
        <w:widowControl w:val="0"/>
        <w:numPr>
          <w:ilvl w:val="2"/>
          <w:numId w:val="45"/>
        </w:numPr>
        <w:autoSpaceDE w:val="0"/>
        <w:autoSpaceDN w:val="0"/>
        <w:spacing w:before="0" w:beforeAutospacing="0" w:after="0" w:afterAutospacing="0" w:line="415" w:lineRule="auto"/>
        <w:ind w:right="309" w:firstLine="419"/>
        <w:jc w:val="both"/>
        <w:rPr>
          <w:rFonts w:cs="宋体"/>
          <w:color w:val="auto"/>
          <w:sz w:val="22"/>
          <w:szCs w:val="22"/>
          <w:highlight w:val="none"/>
        </w:rPr>
      </w:pPr>
      <w:r>
        <w:rPr>
          <w:rFonts w:hint="eastAsia" w:cs="宋体"/>
          <w:color w:val="auto"/>
          <w:spacing w:val="-9"/>
          <w:sz w:val="21"/>
          <w:szCs w:val="21"/>
          <w:highlight w:val="none"/>
        </w:rPr>
        <w:t>群体工程中单位工程分期进行施工的，承包人应当按照发包人提供图纸及有关资</w:t>
      </w:r>
      <w:r>
        <w:rPr>
          <w:rFonts w:hint="eastAsia" w:cs="宋体"/>
          <w:color w:val="auto"/>
          <w:spacing w:val="-11"/>
          <w:sz w:val="21"/>
          <w:szCs w:val="21"/>
          <w:highlight w:val="none"/>
        </w:rPr>
        <w:t>料的时间要求，编制单位工程进度计划和施工方案说明。群体工程中有关编制进度计划和施</w:t>
      </w:r>
      <w:r>
        <w:rPr>
          <w:rFonts w:hint="eastAsia" w:cs="宋体"/>
          <w:color w:val="auto"/>
          <w:spacing w:val="-5"/>
          <w:sz w:val="21"/>
          <w:szCs w:val="21"/>
          <w:highlight w:val="none"/>
        </w:rPr>
        <w:t>工方案说明的要求见合同条款专用部分。</w:t>
      </w:r>
    </w:p>
    <w:p>
      <w:pPr>
        <w:pStyle w:val="7"/>
        <w:widowControl/>
        <w:numPr>
          <w:ilvl w:val="1"/>
          <w:numId w:val="14"/>
        </w:numPr>
        <w:spacing w:before="66"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合同进度计划的修订 </w:t>
      </w:r>
    </w:p>
    <w:p>
      <w:pPr>
        <w:pStyle w:val="20"/>
        <w:widowControl w:val="0"/>
        <w:numPr>
          <w:ilvl w:val="2"/>
          <w:numId w:val="46"/>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5"/>
          <w:sz w:val="21"/>
          <w:szCs w:val="21"/>
          <w:highlight w:val="none"/>
        </w:rPr>
        <w:t xml:space="preserve">不论何种原因造成工程的实际进度与第 </w:t>
      </w:r>
      <w:r>
        <w:rPr>
          <w:rFonts w:hint="eastAsia" w:cs="宋体"/>
          <w:color w:val="auto"/>
          <w:sz w:val="21"/>
          <w:szCs w:val="21"/>
          <w:highlight w:val="none"/>
        </w:rPr>
        <w:t>10.1</w:t>
      </w:r>
      <w:r>
        <w:rPr>
          <w:rFonts w:hint="eastAsia" w:cs="宋体"/>
          <w:color w:val="auto"/>
          <w:spacing w:val="-7"/>
          <w:sz w:val="21"/>
          <w:szCs w:val="21"/>
          <w:highlight w:val="none"/>
        </w:rPr>
        <w:t xml:space="preserve"> 款的合同进度计划不符时，承包人可以在合同条款专用部分约定的期限内向监理人提交修订合同进度计划的申请报告，并附有</w:t>
      </w:r>
      <w:r>
        <w:rPr>
          <w:rFonts w:hint="eastAsia" w:cs="宋体"/>
          <w:color w:val="auto"/>
          <w:spacing w:val="-4"/>
          <w:sz w:val="21"/>
          <w:szCs w:val="21"/>
          <w:highlight w:val="none"/>
        </w:rPr>
        <w:t>关措施和相关资料，报监理人审批；</w:t>
      </w:r>
    </w:p>
    <w:p>
      <w:pPr>
        <w:pStyle w:val="20"/>
        <w:widowControl w:val="0"/>
        <w:numPr>
          <w:ilvl w:val="2"/>
          <w:numId w:val="46"/>
        </w:numPr>
        <w:autoSpaceDE w:val="0"/>
        <w:autoSpaceDN w:val="0"/>
        <w:spacing w:before="0" w:beforeAutospacing="0" w:after="0" w:afterAutospacing="0" w:line="415" w:lineRule="auto"/>
        <w:ind w:right="220" w:firstLine="419"/>
        <w:rPr>
          <w:rFonts w:cs="宋体"/>
          <w:color w:val="auto"/>
          <w:sz w:val="21"/>
          <w:szCs w:val="21"/>
          <w:highlight w:val="none"/>
        </w:rPr>
      </w:pPr>
      <w:r>
        <w:rPr>
          <w:rFonts w:hint="eastAsia" w:cs="宋体"/>
          <w:color w:val="auto"/>
          <w:spacing w:val="-7"/>
          <w:sz w:val="21"/>
          <w:szCs w:val="21"/>
          <w:highlight w:val="none"/>
        </w:rPr>
        <w:t>监理人也可以直接向承包人作出修订合同进度计划的指示，承包人应按该指示修</w:t>
      </w:r>
      <w:r>
        <w:rPr>
          <w:rFonts w:hint="eastAsia" w:cs="宋体"/>
          <w:color w:val="auto"/>
          <w:spacing w:val="-4"/>
          <w:sz w:val="21"/>
          <w:szCs w:val="21"/>
          <w:highlight w:val="none"/>
        </w:rPr>
        <w:t>订合同进度计划，报监理人审批。监理人应在合同条款专用部分约定的期限内完成批复。监</w:t>
      </w:r>
      <w:r>
        <w:rPr>
          <w:rFonts w:hint="eastAsia" w:cs="宋体"/>
          <w:color w:val="auto"/>
          <w:spacing w:val="-3"/>
          <w:sz w:val="21"/>
          <w:szCs w:val="21"/>
          <w:highlight w:val="none"/>
        </w:rPr>
        <w:t>理人在批复前应获得发包人同意。</w:t>
      </w:r>
    </w:p>
    <w:p>
      <w:pPr>
        <w:pStyle w:val="6"/>
        <w:widowControl/>
        <w:numPr>
          <w:ilvl w:val="0"/>
          <w:numId w:val="14"/>
        </w:numPr>
        <w:spacing w:before="1" w:after="0"/>
        <w:ind w:left="560" w:hanging="423"/>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开工和竣工</w:t>
      </w:r>
    </w:p>
    <w:p>
      <w:pPr>
        <w:pStyle w:val="7"/>
        <w:widowControl/>
        <w:spacing w:before="1"/>
        <w:ind w:left="138"/>
        <w:rPr>
          <w:rFonts w:ascii="宋体" w:hAnsi="宋体" w:cs="宋体"/>
          <w:color w:val="auto"/>
          <w:sz w:val="24"/>
          <w:szCs w:val="24"/>
          <w:highlight w:val="none"/>
        </w:rPr>
      </w:pPr>
      <w:r>
        <w:rPr>
          <w:rFonts w:hint="eastAsia" w:ascii="宋体" w:hAnsi="宋体" w:cs="宋体"/>
          <w:color w:val="auto"/>
          <w:sz w:val="24"/>
          <w:szCs w:val="24"/>
          <w:highlight w:val="none"/>
        </w:rPr>
        <w:t xml:space="preserve">11.1 开 工 </w:t>
      </w:r>
    </w:p>
    <w:p>
      <w:pPr>
        <w:pStyle w:val="20"/>
        <w:widowControl w:val="0"/>
        <w:numPr>
          <w:ilvl w:val="2"/>
          <w:numId w:val="47"/>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7"/>
          <w:sz w:val="21"/>
          <w:szCs w:val="21"/>
          <w:highlight w:val="none"/>
        </w:rPr>
        <w:t xml:space="preserve">监理人应在开工日期 </w:t>
      </w:r>
      <w:r>
        <w:rPr>
          <w:rFonts w:hint="eastAsia" w:cs="宋体"/>
          <w:color w:val="auto"/>
          <w:sz w:val="21"/>
          <w:szCs w:val="21"/>
          <w:highlight w:val="none"/>
        </w:rPr>
        <w:t>7</w:t>
      </w:r>
      <w:r>
        <w:rPr>
          <w:rFonts w:hint="eastAsia" w:cs="宋体"/>
          <w:color w:val="auto"/>
          <w:spacing w:val="-14"/>
          <w:sz w:val="21"/>
          <w:szCs w:val="21"/>
          <w:highlight w:val="none"/>
        </w:rPr>
        <w:t xml:space="preserve"> 天前向承包人发出开工通知。监理人在发出开工通知前应</w:t>
      </w:r>
      <w:r>
        <w:rPr>
          <w:rFonts w:hint="eastAsia" w:cs="宋体"/>
          <w:color w:val="auto"/>
          <w:spacing w:val="-12"/>
          <w:sz w:val="21"/>
          <w:szCs w:val="21"/>
          <w:highlight w:val="none"/>
        </w:rPr>
        <w:t>获得发包人同意。工期自监理人发出的开工通知中载明的开工日期起计算。承包人应在开工</w:t>
      </w:r>
      <w:r>
        <w:rPr>
          <w:rFonts w:hint="eastAsia" w:cs="宋体"/>
          <w:color w:val="auto"/>
          <w:spacing w:val="-5"/>
          <w:sz w:val="21"/>
          <w:szCs w:val="21"/>
          <w:highlight w:val="none"/>
        </w:rPr>
        <w:t>日期后尽快施工。</w:t>
      </w:r>
    </w:p>
    <w:p>
      <w:pPr>
        <w:pStyle w:val="20"/>
        <w:widowControl w:val="0"/>
        <w:numPr>
          <w:ilvl w:val="2"/>
          <w:numId w:val="47"/>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7"/>
          <w:sz w:val="21"/>
          <w:szCs w:val="21"/>
          <w:highlight w:val="none"/>
        </w:rPr>
        <w:t xml:space="preserve">承包人应按第 </w:t>
      </w:r>
      <w:r>
        <w:rPr>
          <w:rFonts w:hint="eastAsia" w:cs="宋体"/>
          <w:color w:val="auto"/>
          <w:sz w:val="21"/>
          <w:szCs w:val="21"/>
          <w:highlight w:val="none"/>
        </w:rPr>
        <w:t>10.1</w:t>
      </w:r>
      <w:r>
        <w:rPr>
          <w:rFonts w:hint="eastAsia" w:cs="宋体"/>
          <w:color w:val="auto"/>
          <w:spacing w:val="-7"/>
          <w:sz w:val="21"/>
          <w:szCs w:val="21"/>
          <w:highlight w:val="none"/>
        </w:rPr>
        <w:t xml:space="preserve"> 款约定的合同进度计划，向监理人提交工程开工报审表，经</w:t>
      </w:r>
      <w:r>
        <w:rPr>
          <w:rFonts w:hint="eastAsia" w:cs="宋体"/>
          <w:color w:val="auto"/>
          <w:spacing w:val="-10"/>
          <w:sz w:val="21"/>
          <w:szCs w:val="21"/>
          <w:highlight w:val="none"/>
        </w:rPr>
        <w:t>监理人审批后执行。开工报审表应详细说明按合同进度计划正常施工所需的施工道路、临时</w:t>
      </w:r>
      <w:r>
        <w:rPr>
          <w:rFonts w:hint="eastAsia" w:cs="宋体"/>
          <w:color w:val="auto"/>
          <w:spacing w:val="-4"/>
          <w:sz w:val="21"/>
          <w:szCs w:val="21"/>
          <w:highlight w:val="none"/>
        </w:rPr>
        <w:t>设施、材料设备、施工人员等施工组织措施的落实情况以及工程的进度安排。</w:t>
      </w:r>
    </w:p>
    <w:p>
      <w:pPr>
        <w:pStyle w:val="7"/>
        <w:widowControl/>
        <w:spacing w:before="135"/>
        <w:ind w:left="138"/>
        <w:rPr>
          <w:rFonts w:ascii="宋体" w:hAnsi="宋体" w:cs="宋体"/>
          <w:color w:val="auto"/>
          <w:sz w:val="24"/>
          <w:szCs w:val="24"/>
          <w:highlight w:val="none"/>
        </w:rPr>
      </w:pPr>
      <w:r>
        <w:rPr>
          <w:rFonts w:hint="eastAsia" w:ascii="宋体" w:hAnsi="宋体" w:cs="宋体"/>
          <w:color w:val="auto"/>
          <w:sz w:val="24"/>
          <w:szCs w:val="24"/>
          <w:highlight w:val="none"/>
        </w:rPr>
        <w:t xml:space="preserve">11.2 竣 工 </w:t>
      </w:r>
    </w:p>
    <w:p>
      <w:pPr>
        <w:pStyle w:val="20"/>
        <w:widowControl w:val="0"/>
        <w:autoSpaceDE w:val="0"/>
        <w:autoSpaceDN w:val="0"/>
        <w:spacing w:before="0" w:beforeAutospacing="0" w:after="0" w:afterAutospacing="0" w:line="415" w:lineRule="auto"/>
        <w:ind w:right="309"/>
        <w:rPr>
          <w:rFonts w:cs="宋体"/>
          <w:color w:val="auto"/>
          <w:sz w:val="21"/>
          <w:szCs w:val="21"/>
          <w:highlight w:val="none"/>
        </w:rPr>
      </w:pPr>
      <w:r>
        <w:rPr>
          <w:rFonts w:hint="eastAsia" w:cs="宋体"/>
          <w:color w:val="auto"/>
          <w:sz w:val="21"/>
          <w:szCs w:val="21"/>
          <w:highlight w:val="none"/>
        </w:rPr>
        <w:t xml:space="preserve">承包人应在第 1.1.4.3 目约定的期限内完成合同工程。实际竣工日期在接收证书中写明。 </w:t>
      </w:r>
    </w:p>
    <w:p>
      <w:pPr>
        <w:pStyle w:val="7"/>
        <w:widowControl/>
        <w:numPr>
          <w:ilvl w:val="1"/>
          <w:numId w:val="48"/>
        </w:numPr>
        <w:spacing w:before="136"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发包人的工期延误 </w:t>
      </w:r>
    </w:p>
    <w:p>
      <w:pPr>
        <w:pStyle w:val="20"/>
        <w:widowControl w:val="0"/>
        <w:autoSpaceDE w:val="0"/>
        <w:autoSpaceDN w:val="0"/>
        <w:spacing w:before="1"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10"/>
          <w:sz w:val="21"/>
          <w:szCs w:val="21"/>
          <w:highlight w:val="none"/>
        </w:rPr>
        <w:t>在履行合同过程中，由于发包人的下列原因造成承包人关键线路工期延误的，承包人有</w:t>
      </w:r>
      <w:r>
        <w:rPr>
          <w:rFonts w:hint="eastAsia" w:cs="宋体"/>
          <w:color w:val="auto"/>
          <w:spacing w:val="-7"/>
          <w:sz w:val="21"/>
          <w:szCs w:val="21"/>
          <w:highlight w:val="none"/>
        </w:rPr>
        <w:t>权要求发包人延长工期和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pacing w:val="-20"/>
          <w:sz w:val="21"/>
          <w:szCs w:val="21"/>
          <w:highlight w:val="none"/>
        </w:rPr>
        <w:t>）</w:t>
      </w:r>
      <w:r>
        <w:rPr>
          <w:rFonts w:hint="eastAsia" w:cs="宋体"/>
          <w:color w:val="auto"/>
          <w:spacing w:val="-8"/>
          <w:sz w:val="21"/>
          <w:szCs w:val="21"/>
          <w:highlight w:val="none"/>
        </w:rPr>
        <w:t>增加费用，并支付合理利润。需要修订合同进度计划的，按</w:t>
      </w:r>
      <w:r>
        <w:rPr>
          <w:rFonts w:hint="eastAsia" w:cs="宋体"/>
          <w:color w:val="auto"/>
          <w:spacing w:val="-24"/>
          <w:sz w:val="21"/>
          <w:szCs w:val="21"/>
          <w:highlight w:val="none"/>
        </w:rPr>
        <w:t xml:space="preserve">照第 </w:t>
      </w:r>
      <w:r>
        <w:rPr>
          <w:rFonts w:hint="eastAsia" w:cs="宋体"/>
          <w:color w:val="auto"/>
          <w:sz w:val="21"/>
          <w:szCs w:val="21"/>
          <w:highlight w:val="none"/>
        </w:rPr>
        <w:t>10.2</w:t>
      </w:r>
      <w:r>
        <w:rPr>
          <w:rFonts w:hint="eastAsia" w:cs="宋体"/>
          <w:color w:val="auto"/>
          <w:spacing w:val="-10"/>
          <w:sz w:val="21"/>
          <w:szCs w:val="21"/>
          <w:highlight w:val="none"/>
        </w:rPr>
        <w:t xml:space="preserve"> 款的约定办理。</w:t>
      </w:r>
    </w:p>
    <w:p>
      <w:pPr>
        <w:pStyle w:val="20"/>
        <w:widowControl w:val="0"/>
        <w:numPr>
          <w:ilvl w:val="2"/>
          <w:numId w:val="48"/>
        </w:numPr>
        <w:autoSpaceDE w:val="0"/>
        <w:autoSpaceDN w:val="0"/>
        <w:spacing w:before="0" w:beforeAutospacing="0" w:after="0" w:afterAutospacing="0" w:line="269" w:lineRule="exact"/>
        <w:ind w:hanging="530"/>
        <w:rPr>
          <w:rFonts w:cs="宋体"/>
          <w:color w:val="auto"/>
          <w:sz w:val="21"/>
          <w:szCs w:val="21"/>
          <w:highlight w:val="none"/>
        </w:rPr>
      </w:pPr>
      <w:r>
        <w:rPr>
          <w:rFonts w:hint="eastAsia" w:cs="宋体"/>
          <w:color w:val="auto"/>
          <w:spacing w:val="-3"/>
          <w:sz w:val="21"/>
          <w:szCs w:val="21"/>
          <w:highlight w:val="none"/>
        </w:rPr>
        <w:t>增加合同工作内容；</w:t>
      </w:r>
    </w:p>
    <w:p>
      <w:pPr>
        <w:pStyle w:val="20"/>
        <w:widowControl w:val="0"/>
        <w:numPr>
          <w:ilvl w:val="2"/>
          <w:numId w:val="48"/>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改变合同中任何一项工作的质量要求或其他特性；</w:t>
      </w:r>
    </w:p>
    <w:p>
      <w:pPr>
        <w:pStyle w:val="20"/>
        <w:widowControl w:val="0"/>
        <w:numPr>
          <w:ilvl w:val="2"/>
          <w:numId w:val="48"/>
        </w:numPr>
        <w:autoSpaceDE w:val="0"/>
        <w:autoSpaceDN w:val="0"/>
        <w:spacing w:before="1"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发包人迟延提供材料、工程设备或变更交货地点的；</w:t>
      </w:r>
    </w:p>
    <w:p>
      <w:pPr>
        <w:pStyle w:val="20"/>
        <w:widowControl w:val="0"/>
        <w:numPr>
          <w:ilvl w:val="2"/>
          <w:numId w:val="48"/>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因发包人原因导致的暂停施工；</w:t>
      </w:r>
    </w:p>
    <w:p>
      <w:pPr>
        <w:pStyle w:val="20"/>
        <w:widowControl w:val="0"/>
        <w:numPr>
          <w:ilvl w:val="2"/>
          <w:numId w:val="48"/>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提供图纸延误；</w:t>
      </w:r>
    </w:p>
    <w:p>
      <w:pPr>
        <w:pStyle w:val="20"/>
        <w:widowControl w:val="0"/>
        <w:numPr>
          <w:ilvl w:val="2"/>
          <w:numId w:val="48"/>
        </w:numPr>
        <w:autoSpaceDE w:val="0"/>
        <w:autoSpaceDN w:val="0"/>
        <w:spacing w:before="72"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未按合同约定及时支付预付款、进度款；</w:t>
      </w:r>
    </w:p>
    <w:p>
      <w:pPr>
        <w:pStyle w:val="20"/>
        <w:widowControl w:val="0"/>
        <w:numPr>
          <w:ilvl w:val="2"/>
          <w:numId w:val="48"/>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 xml:space="preserve">因发包人原因不能按照监理人发出的开工通知中载明的开工日期开工； </w:t>
      </w:r>
    </w:p>
    <w:p>
      <w:pPr>
        <w:pStyle w:val="20"/>
        <w:widowControl w:val="0"/>
        <w:numPr>
          <w:ilvl w:val="2"/>
          <w:numId w:val="48"/>
        </w:numPr>
        <w:autoSpaceDE w:val="0"/>
        <w:autoSpaceDN w:val="0"/>
        <w:spacing w:before="1"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发包人造成工期延误的其他原因见合同条款专用部分。</w:t>
      </w:r>
    </w:p>
    <w:p>
      <w:pPr>
        <w:pStyle w:val="7"/>
        <w:widowControl/>
        <w:numPr>
          <w:ilvl w:val="1"/>
          <w:numId w:val="48"/>
        </w:numPr>
        <w:spacing w:before="0"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异常恶劣的气候条件 </w:t>
      </w:r>
    </w:p>
    <w:p>
      <w:pPr>
        <w:pStyle w:val="20"/>
        <w:widowControl w:val="0"/>
        <w:autoSpaceDE w:val="0"/>
        <w:autoSpaceDN w:val="0"/>
        <w:spacing w:before="0" w:beforeAutospacing="0" w:after="0" w:afterAutospacing="0" w:line="415" w:lineRule="auto"/>
        <w:ind w:left="138" w:right="311" w:firstLine="419"/>
        <w:rPr>
          <w:rFonts w:cs="宋体"/>
          <w:color w:val="auto"/>
          <w:sz w:val="21"/>
          <w:szCs w:val="21"/>
          <w:highlight w:val="none"/>
        </w:rPr>
      </w:pPr>
      <w:r>
        <w:rPr>
          <w:rFonts w:hint="eastAsia" w:cs="宋体"/>
          <w:color w:val="auto"/>
          <w:spacing w:val="-8"/>
          <w:sz w:val="21"/>
          <w:szCs w:val="21"/>
          <w:highlight w:val="none"/>
        </w:rPr>
        <w:t>由于出现异常恶劣气候的条件导致工期延误的，承包人有权要求发包人延长工期。异常</w:t>
      </w:r>
      <w:r>
        <w:rPr>
          <w:rFonts w:hint="eastAsia" w:cs="宋体"/>
          <w:color w:val="auto"/>
          <w:spacing w:val="-3"/>
          <w:sz w:val="21"/>
          <w:szCs w:val="21"/>
          <w:highlight w:val="none"/>
        </w:rPr>
        <w:t>恶劣的气候条件的范围和标准见合同条款专用部分。</w:t>
      </w:r>
    </w:p>
    <w:p>
      <w:pPr>
        <w:pStyle w:val="7"/>
        <w:widowControl/>
        <w:numPr>
          <w:ilvl w:val="1"/>
          <w:numId w:val="48"/>
        </w:numPr>
        <w:spacing w:before="136"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承包人的工期延误 </w:t>
      </w:r>
    </w:p>
    <w:p>
      <w:pPr>
        <w:pStyle w:val="20"/>
        <w:widowControl w:val="0"/>
        <w:numPr>
          <w:ilvl w:val="2"/>
          <w:numId w:val="49"/>
        </w:numPr>
        <w:autoSpaceDE w:val="0"/>
        <w:autoSpaceDN w:val="0"/>
        <w:spacing w:before="0" w:beforeAutospacing="0" w:after="0" w:afterAutospacing="0" w:line="415" w:lineRule="auto"/>
        <w:ind w:right="208" w:firstLine="419"/>
        <w:rPr>
          <w:rFonts w:cs="宋体"/>
          <w:color w:val="auto"/>
          <w:sz w:val="21"/>
          <w:szCs w:val="21"/>
          <w:highlight w:val="none"/>
        </w:rPr>
      </w:pPr>
      <w:r>
        <w:rPr>
          <w:rFonts w:hint="eastAsia" w:cs="宋体"/>
          <w:color w:val="auto"/>
          <w:spacing w:val="-11"/>
          <w:sz w:val="21"/>
          <w:szCs w:val="21"/>
          <w:highlight w:val="none"/>
        </w:rPr>
        <w:t>由于承包人原因，未能按合同进度计划完成工作，或监理人认为承包人施工进度</w:t>
      </w:r>
      <w:r>
        <w:rPr>
          <w:rFonts w:hint="eastAsia" w:cs="宋体"/>
          <w:color w:val="auto"/>
          <w:spacing w:val="-8"/>
          <w:sz w:val="21"/>
          <w:szCs w:val="21"/>
          <w:highlight w:val="none"/>
        </w:rPr>
        <w:t>不能满足合同工期要求的，承包人应采取措施加快进度，并承担加快进度所增加的费用。</w:t>
      </w:r>
    </w:p>
    <w:p>
      <w:pPr>
        <w:pStyle w:val="20"/>
        <w:widowControl w:val="0"/>
        <w:numPr>
          <w:ilvl w:val="2"/>
          <w:numId w:val="49"/>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8"/>
          <w:sz w:val="21"/>
          <w:szCs w:val="21"/>
          <w:highlight w:val="none"/>
        </w:rPr>
        <w:t>由于承包人原因造成不能按期竣工的，按照合同约定的竣工日期</w:t>
      </w:r>
      <w:r>
        <w:rPr>
          <w:rFonts w:hint="eastAsia" w:cs="宋体"/>
          <w:color w:val="auto"/>
          <w:spacing w:val="-3"/>
          <w:sz w:val="21"/>
          <w:szCs w:val="21"/>
          <w:highlight w:val="none"/>
        </w:rPr>
        <w:t>（</w:t>
      </w:r>
      <w:r>
        <w:rPr>
          <w:rFonts w:hint="eastAsia" w:cs="宋体"/>
          <w:color w:val="auto"/>
          <w:spacing w:val="-1"/>
          <w:sz w:val="21"/>
          <w:szCs w:val="21"/>
          <w:highlight w:val="none"/>
        </w:rPr>
        <w:t>包括按合同工</w:t>
      </w:r>
      <w:r>
        <w:rPr>
          <w:rFonts w:hint="eastAsia" w:cs="宋体"/>
          <w:color w:val="auto"/>
          <w:spacing w:val="-3"/>
          <w:sz w:val="21"/>
          <w:szCs w:val="21"/>
          <w:highlight w:val="none"/>
        </w:rPr>
        <w:t>期延长</w:t>
      </w:r>
      <w:r>
        <w:rPr>
          <w:rFonts w:hint="eastAsia" w:cs="宋体"/>
          <w:color w:val="auto"/>
          <w:spacing w:val="-44"/>
          <w:sz w:val="21"/>
          <w:szCs w:val="21"/>
          <w:highlight w:val="none"/>
        </w:rPr>
        <w:t>）</w:t>
      </w:r>
      <w:r>
        <w:rPr>
          <w:rFonts w:hint="eastAsia" w:cs="宋体"/>
          <w:color w:val="auto"/>
          <w:spacing w:val="-23"/>
          <w:sz w:val="21"/>
          <w:szCs w:val="21"/>
          <w:highlight w:val="none"/>
        </w:rPr>
        <w:t xml:space="preserve">后 </w:t>
      </w:r>
      <w:r>
        <w:rPr>
          <w:rFonts w:hint="eastAsia" w:cs="宋体"/>
          <w:color w:val="auto"/>
          <w:sz w:val="21"/>
          <w:szCs w:val="21"/>
          <w:highlight w:val="none"/>
        </w:rPr>
        <w:t>7</w:t>
      </w:r>
      <w:r>
        <w:rPr>
          <w:rFonts w:hint="eastAsia" w:cs="宋体"/>
          <w:color w:val="auto"/>
          <w:spacing w:val="-14"/>
          <w:sz w:val="21"/>
          <w:szCs w:val="21"/>
          <w:highlight w:val="none"/>
        </w:rPr>
        <w:t xml:space="preserve"> 天内，监理人应当按第 </w:t>
      </w:r>
      <w:r>
        <w:rPr>
          <w:rFonts w:hint="eastAsia" w:cs="宋体"/>
          <w:color w:val="auto"/>
          <w:sz w:val="21"/>
          <w:szCs w:val="21"/>
          <w:highlight w:val="none"/>
        </w:rPr>
        <w:t>23.4.1</w:t>
      </w:r>
      <w:r>
        <w:rPr>
          <w:rFonts w:hint="eastAsia" w:cs="宋体"/>
          <w:color w:val="auto"/>
          <w:spacing w:val="-8"/>
          <w:sz w:val="21"/>
          <w:szCs w:val="21"/>
          <w:highlight w:val="none"/>
        </w:rPr>
        <w:t xml:space="preserve"> 项的约定书面通知承包人,说明发包人有权得到</w:t>
      </w:r>
      <w:r>
        <w:rPr>
          <w:rFonts w:hint="eastAsia" w:cs="宋体"/>
          <w:color w:val="auto"/>
          <w:spacing w:val="-11"/>
          <w:sz w:val="21"/>
          <w:szCs w:val="21"/>
          <w:highlight w:val="none"/>
        </w:rPr>
        <w:t>逾期竣工违约金，逾期竣工违约金计算标准和计算方法见合同条款专用部分。但最终逾期竣</w:t>
      </w:r>
      <w:r>
        <w:rPr>
          <w:rFonts w:hint="eastAsia" w:cs="宋体"/>
          <w:color w:val="auto"/>
          <w:spacing w:val="-9"/>
          <w:sz w:val="21"/>
          <w:szCs w:val="21"/>
          <w:highlight w:val="none"/>
        </w:rPr>
        <w:t>工违约金的金额不应超过合同约定的逾期竣工违约金最高限额。逾期竣工违约金最高限额见</w:t>
      </w:r>
      <w:r>
        <w:rPr>
          <w:rFonts w:hint="eastAsia" w:cs="宋体"/>
          <w:color w:val="auto"/>
          <w:spacing w:val="-4"/>
          <w:sz w:val="21"/>
          <w:szCs w:val="21"/>
          <w:highlight w:val="none"/>
        </w:rPr>
        <w:t>合同条款专用部分。</w:t>
      </w:r>
    </w:p>
    <w:p>
      <w:pPr>
        <w:pStyle w:val="20"/>
        <w:widowControl w:val="0"/>
        <w:autoSpaceDE w:val="0"/>
        <w:autoSpaceDN w:val="0"/>
        <w:spacing w:before="0" w:beforeAutospacing="0" w:after="0" w:afterAutospacing="0" w:line="415" w:lineRule="auto"/>
        <w:ind w:right="310"/>
        <w:rPr>
          <w:rFonts w:cs="宋体"/>
          <w:color w:val="auto"/>
          <w:sz w:val="21"/>
          <w:szCs w:val="21"/>
          <w:highlight w:val="none"/>
        </w:rPr>
      </w:pPr>
      <w:r>
        <w:rPr>
          <w:rFonts w:hint="eastAsia" w:cs="宋体"/>
          <w:color w:val="auto"/>
          <w:spacing w:val="-7"/>
          <w:sz w:val="21"/>
          <w:szCs w:val="21"/>
          <w:highlight w:val="none"/>
        </w:rPr>
        <w:t>监理人未在规定的期限内发出本款约定的书面通知的，发包人丧失主张逾期竣工违约金</w:t>
      </w:r>
      <w:r>
        <w:rPr>
          <w:rFonts w:hint="eastAsia" w:cs="宋体"/>
          <w:color w:val="auto"/>
          <w:spacing w:val="-6"/>
          <w:sz w:val="21"/>
          <w:szCs w:val="21"/>
          <w:highlight w:val="none"/>
        </w:rPr>
        <w:t>的权利。</w:t>
      </w:r>
    </w:p>
    <w:p>
      <w:pPr>
        <w:pStyle w:val="20"/>
        <w:widowControl w:val="0"/>
        <w:numPr>
          <w:ilvl w:val="2"/>
          <w:numId w:val="49"/>
        </w:numPr>
        <w:autoSpaceDE w:val="0"/>
        <w:autoSpaceDN w:val="0"/>
        <w:spacing w:before="0" w:beforeAutospacing="0" w:after="0" w:afterAutospacing="0" w:line="269" w:lineRule="exact"/>
        <w:ind w:left="1192"/>
        <w:rPr>
          <w:rFonts w:cs="宋体"/>
          <w:color w:val="auto"/>
          <w:sz w:val="21"/>
          <w:szCs w:val="21"/>
          <w:highlight w:val="none"/>
        </w:rPr>
      </w:pPr>
      <w:r>
        <w:rPr>
          <w:rFonts w:hint="eastAsia" w:cs="宋体"/>
          <w:color w:val="auto"/>
          <w:spacing w:val="-3"/>
          <w:sz w:val="21"/>
          <w:szCs w:val="21"/>
          <w:highlight w:val="none"/>
        </w:rPr>
        <w:t>承包人支付逾期竣工违约金，不免除承包人完成工程及修补缺陷的义务。</w:t>
      </w:r>
    </w:p>
    <w:p>
      <w:pPr>
        <w:pStyle w:val="7"/>
        <w:widowControl/>
        <w:numPr>
          <w:ilvl w:val="1"/>
          <w:numId w:val="48"/>
        </w:numPr>
        <w:spacing w:before="0"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工期提前 </w:t>
      </w:r>
    </w:p>
    <w:p>
      <w:pPr>
        <w:pStyle w:val="20"/>
        <w:widowControl w:val="0"/>
        <w:autoSpaceDE w:val="0"/>
        <w:autoSpaceDN w:val="0"/>
        <w:spacing w:before="0" w:beforeAutospacing="0" w:after="0" w:afterAutospacing="0" w:line="415" w:lineRule="auto"/>
        <w:ind w:left="138" w:right="220" w:firstLine="419"/>
        <w:rPr>
          <w:rFonts w:cs="宋体"/>
          <w:color w:val="auto"/>
          <w:sz w:val="21"/>
          <w:szCs w:val="21"/>
          <w:highlight w:val="none"/>
        </w:rPr>
      </w:pPr>
      <w:r>
        <w:rPr>
          <w:rFonts w:hint="eastAsia" w:cs="宋体"/>
          <w:color w:val="auto"/>
          <w:spacing w:val="-3"/>
          <w:sz w:val="21"/>
          <w:szCs w:val="21"/>
          <w:highlight w:val="none"/>
        </w:rPr>
        <w:t xml:space="preserve">发包人要求承包人提前竣工，或承包人提出提前竣工的建议能够给发包人带来效益的， </w:t>
      </w:r>
      <w:r>
        <w:rPr>
          <w:rFonts w:hint="eastAsia" w:cs="宋体"/>
          <w:color w:val="auto"/>
          <w:spacing w:val="-6"/>
          <w:sz w:val="21"/>
          <w:szCs w:val="21"/>
          <w:highlight w:val="none"/>
        </w:rPr>
        <w:t>应由监理人与承包人共同协商采取加快工程进度的措施和修订合同进度计划。发包人应承担</w:t>
      </w:r>
      <w:r>
        <w:rPr>
          <w:rFonts w:hint="eastAsia" w:cs="宋体"/>
          <w:color w:val="auto"/>
          <w:spacing w:val="-10"/>
          <w:sz w:val="21"/>
          <w:szCs w:val="21"/>
          <w:highlight w:val="none"/>
        </w:rPr>
        <w:t>承包人由此增加的费用，并向承包人支付相应的奖金。提前竣工的奖励办法见合同条款专用</w:t>
      </w:r>
      <w:r>
        <w:rPr>
          <w:rFonts w:hint="eastAsia" w:cs="宋体"/>
          <w:color w:val="auto"/>
          <w:spacing w:val="-8"/>
          <w:sz w:val="21"/>
          <w:szCs w:val="21"/>
          <w:highlight w:val="none"/>
        </w:rPr>
        <w:t>部分。</w:t>
      </w:r>
    </w:p>
    <w:p>
      <w:pPr>
        <w:pStyle w:val="6"/>
        <w:widowControl/>
        <w:numPr>
          <w:ilvl w:val="0"/>
          <w:numId w:val="14"/>
        </w:numPr>
        <w:spacing w:before="0" w:after="0"/>
        <w:ind w:left="560" w:hanging="423"/>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暂停施工</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承包人暂停施工的责任 </w:t>
      </w:r>
    </w:p>
    <w:p>
      <w:pPr>
        <w:pStyle w:val="20"/>
        <w:widowControl w:val="0"/>
        <w:autoSpaceDE w:val="0"/>
        <w:autoSpaceDN w:val="0"/>
        <w:spacing w:before="1" w:beforeAutospacing="0" w:after="0" w:afterAutospacing="0"/>
        <w:ind w:left="558"/>
        <w:rPr>
          <w:rFonts w:cs="宋体"/>
          <w:color w:val="auto"/>
          <w:sz w:val="21"/>
          <w:szCs w:val="21"/>
          <w:highlight w:val="none"/>
        </w:rPr>
      </w:pPr>
      <w:r>
        <w:rPr>
          <w:rFonts w:hint="eastAsia" w:cs="宋体"/>
          <w:color w:val="auto"/>
          <w:sz w:val="21"/>
          <w:szCs w:val="21"/>
          <w:highlight w:val="none"/>
        </w:rPr>
        <w:t xml:space="preserve">因下列情形暂停施工增加的费用和（或）工期延误由承包人承担： </w:t>
      </w:r>
    </w:p>
    <w:p>
      <w:pPr>
        <w:pStyle w:val="20"/>
        <w:widowControl w:val="0"/>
        <w:numPr>
          <w:ilvl w:val="0"/>
          <w:numId w:val="50"/>
        </w:numPr>
        <w:autoSpaceDE w:val="0"/>
        <w:autoSpaceDN w:val="0"/>
        <w:spacing w:before="0" w:beforeAutospacing="0" w:after="0" w:afterAutospacing="0"/>
        <w:ind w:hanging="530"/>
        <w:rPr>
          <w:rFonts w:cs="宋体"/>
          <w:color w:val="auto"/>
          <w:sz w:val="23"/>
          <w:szCs w:val="23"/>
          <w:highlight w:val="none"/>
        </w:rPr>
      </w:pPr>
      <w:r>
        <w:rPr>
          <w:rFonts w:hint="eastAsia" w:cs="宋体"/>
          <w:color w:val="auto"/>
          <w:spacing w:val="-3"/>
          <w:sz w:val="21"/>
          <w:szCs w:val="21"/>
          <w:highlight w:val="none"/>
        </w:rPr>
        <w:t>承包人违约引起的暂停施工；</w:t>
      </w:r>
    </w:p>
    <w:p>
      <w:pPr>
        <w:pStyle w:val="20"/>
        <w:widowControl w:val="0"/>
        <w:numPr>
          <w:ilvl w:val="0"/>
          <w:numId w:val="50"/>
        </w:numPr>
        <w:autoSpaceDE w:val="0"/>
        <w:autoSpaceDN w:val="0"/>
        <w:spacing w:before="72"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由于承包人原因为工程合理施工和安全保障所必需的暂停施工；</w:t>
      </w:r>
    </w:p>
    <w:p>
      <w:pPr>
        <w:pStyle w:val="20"/>
        <w:widowControl w:val="0"/>
        <w:numPr>
          <w:ilvl w:val="0"/>
          <w:numId w:val="50"/>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 xml:space="preserve">承包人擅自暂停施工； </w:t>
      </w:r>
    </w:p>
    <w:p>
      <w:pPr>
        <w:pStyle w:val="20"/>
        <w:widowControl w:val="0"/>
        <w:numPr>
          <w:ilvl w:val="0"/>
          <w:numId w:val="50"/>
        </w:numPr>
        <w:autoSpaceDE w:val="0"/>
        <w:autoSpaceDN w:val="0"/>
        <w:spacing w:before="1"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承包人承担暂停施工责任的其他情形见合同条款专用部分。</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发包人暂停施工的责任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由于发包人原因引起的暂停施工造成工期延误的，承包人有权要求发包人延长工期和</w:t>
      </w:r>
    </w:p>
    <w:p>
      <w:pPr>
        <w:pStyle w:val="20"/>
        <w:widowControl w:val="0"/>
        <w:autoSpaceDE w:val="0"/>
        <w:autoSpaceDN w:val="0"/>
        <w:spacing w:before="0" w:beforeAutospacing="0" w:after="0" w:afterAutospacing="0"/>
        <w:ind w:left="138"/>
        <w:rPr>
          <w:rFonts w:cs="宋体"/>
          <w:color w:val="auto"/>
          <w:sz w:val="21"/>
          <w:szCs w:val="21"/>
          <w:highlight w:val="none"/>
        </w:rPr>
      </w:pPr>
      <w:r>
        <w:rPr>
          <w:rFonts w:hint="eastAsia" w:cs="宋体"/>
          <w:color w:val="auto"/>
          <w:sz w:val="21"/>
          <w:szCs w:val="21"/>
          <w:highlight w:val="none"/>
        </w:rPr>
        <w:t xml:space="preserve">（或）增加费用，并支付合理利润。 </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监理人暂停施工指示 </w:t>
      </w:r>
    </w:p>
    <w:p>
      <w:pPr>
        <w:pStyle w:val="20"/>
        <w:widowControl w:val="0"/>
        <w:numPr>
          <w:ilvl w:val="2"/>
          <w:numId w:val="51"/>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10"/>
          <w:sz w:val="21"/>
          <w:szCs w:val="21"/>
          <w:highlight w:val="none"/>
        </w:rPr>
        <w:t>监理人认为有必要时，可向承包人作出暂停施工的指示，承包人应按监理人指示</w:t>
      </w:r>
      <w:r>
        <w:rPr>
          <w:rFonts w:hint="eastAsia" w:cs="宋体"/>
          <w:color w:val="auto"/>
          <w:spacing w:val="-12"/>
          <w:sz w:val="21"/>
          <w:szCs w:val="21"/>
          <w:highlight w:val="none"/>
        </w:rPr>
        <w:t>暂停施工。不论由于何种原因引起的暂停施工，暂停施工期间承包人应负责妥善保护工程并</w:t>
      </w:r>
      <w:r>
        <w:rPr>
          <w:rFonts w:hint="eastAsia" w:cs="宋体"/>
          <w:color w:val="auto"/>
          <w:spacing w:val="-5"/>
          <w:sz w:val="21"/>
          <w:szCs w:val="21"/>
          <w:highlight w:val="none"/>
        </w:rPr>
        <w:t>提供安全保障。</w:t>
      </w:r>
    </w:p>
    <w:p>
      <w:pPr>
        <w:pStyle w:val="20"/>
        <w:widowControl w:val="0"/>
        <w:numPr>
          <w:ilvl w:val="2"/>
          <w:numId w:val="51"/>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8"/>
          <w:sz w:val="21"/>
          <w:szCs w:val="21"/>
          <w:highlight w:val="none"/>
        </w:rPr>
        <w:t>由于发包人的原因发生暂停施工的紧急情况，且监理人未及时下达暂停施工指示</w:t>
      </w:r>
      <w:r>
        <w:rPr>
          <w:rFonts w:hint="eastAsia" w:cs="宋体"/>
          <w:color w:val="auto"/>
          <w:spacing w:val="-11"/>
          <w:sz w:val="21"/>
          <w:szCs w:val="21"/>
          <w:highlight w:val="none"/>
        </w:rPr>
        <w:t>的，承包人可先暂停施工，并及时向监理人提出暂停施工的书面请求。监理人应在接到书面</w:t>
      </w:r>
      <w:r>
        <w:rPr>
          <w:rFonts w:hint="eastAsia" w:cs="宋体"/>
          <w:color w:val="auto"/>
          <w:spacing w:val="-15"/>
          <w:sz w:val="21"/>
          <w:szCs w:val="21"/>
          <w:highlight w:val="none"/>
        </w:rPr>
        <w:t xml:space="preserve">请求后的 </w:t>
      </w:r>
      <w:r>
        <w:rPr>
          <w:rFonts w:hint="eastAsia" w:cs="宋体"/>
          <w:color w:val="auto"/>
          <w:sz w:val="21"/>
          <w:szCs w:val="21"/>
          <w:highlight w:val="none"/>
        </w:rPr>
        <w:t>24</w:t>
      </w:r>
      <w:r>
        <w:rPr>
          <w:rFonts w:hint="eastAsia" w:cs="宋体"/>
          <w:color w:val="auto"/>
          <w:spacing w:val="-9"/>
          <w:sz w:val="21"/>
          <w:szCs w:val="21"/>
          <w:highlight w:val="none"/>
        </w:rPr>
        <w:t xml:space="preserve"> 小时内予以答复，逾期未答复的，视为同意承包人的暂停施工请求。 </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暂停施工后的复工 </w:t>
      </w:r>
    </w:p>
    <w:p>
      <w:pPr>
        <w:pStyle w:val="20"/>
        <w:widowControl w:val="0"/>
        <w:numPr>
          <w:ilvl w:val="2"/>
          <w:numId w:val="52"/>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10"/>
          <w:sz w:val="21"/>
          <w:szCs w:val="21"/>
          <w:highlight w:val="none"/>
        </w:rPr>
        <w:t>暂停施工后，监理人应与发包人和承包人协商，采取有效措施积极消除暂停施工</w:t>
      </w:r>
      <w:r>
        <w:rPr>
          <w:rFonts w:hint="eastAsia" w:cs="宋体"/>
          <w:color w:val="auto"/>
          <w:spacing w:val="-11"/>
          <w:sz w:val="21"/>
          <w:szCs w:val="21"/>
          <w:highlight w:val="none"/>
        </w:rPr>
        <w:t>的影响。当工程具备复工条件时，监理人应立即向承包人发出复工通知。承包人收到复工通</w:t>
      </w:r>
      <w:r>
        <w:rPr>
          <w:rFonts w:hint="eastAsia" w:cs="宋体"/>
          <w:color w:val="auto"/>
          <w:spacing w:val="-5"/>
          <w:sz w:val="21"/>
          <w:szCs w:val="21"/>
          <w:highlight w:val="none"/>
        </w:rPr>
        <w:t>知后，应在监理人指定的期限内复工。</w:t>
      </w:r>
    </w:p>
    <w:p>
      <w:pPr>
        <w:pStyle w:val="20"/>
        <w:widowControl w:val="0"/>
        <w:numPr>
          <w:ilvl w:val="2"/>
          <w:numId w:val="52"/>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8"/>
          <w:sz w:val="21"/>
          <w:szCs w:val="21"/>
          <w:highlight w:val="none"/>
        </w:rPr>
        <w:t>承包人无故拖延和拒绝复工的，由此增加的费用和工期延误由承包人承担；因发</w:t>
      </w:r>
      <w:r>
        <w:rPr>
          <w:rFonts w:hint="eastAsia" w:cs="宋体"/>
          <w:color w:val="auto"/>
          <w:spacing w:val="-7"/>
          <w:sz w:val="21"/>
          <w:szCs w:val="21"/>
          <w:highlight w:val="none"/>
        </w:rPr>
        <w:t>包人原因无法按时复工的，承包人有权要求发包人延长工期和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pacing w:val="-22"/>
          <w:sz w:val="21"/>
          <w:szCs w:val="21"/>
          <w:highlight w:val="none"/>
        </w:rPr>
        <w:t>）</w:t>
      </w:r>
      <w:r>
        <w:rPr>
          <w:rFonts w:hint="eastAsia" w:cs="宋体"/>
          <w:color w:val="auto"/>
          <w:spacing w:val="-6"/>
          <w:sz w:val="21"/>
          <w:szCs w:val="21"/>
          <w:highlight w:val="none"/>
        </w:rPr>
        <w:t>增加费用，并支付合理</w:t>
      </w:r>
      <w:r>
        <w:rPr>
          <w:rFonts w:hint="eastAsia" w:cs="宋体"/>
          <w:color w:val="auto"/>
          <w:spacing w:val="-5"/>
          <w:sz w:val="21"/>
          <w:szCs w:val="21"/>
          <w:highlight w:val="none"/>
        </w:rPr>
        <w:t>利润。</w:t>
      </w:r>
    </w:p>
    <w:p>
      <w:pPr>
        <w:pStyle w:val="20"/>
        <w:widowControl w:val="0"/>
        <w:numPr>
          <w:ilvl w:val="2"/>
          <w:numId w:val="52"/>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9"/>
          <w:sz w:val="21"/>
          <w:szCs w:val="21"/>
          <w:highlight w:val="none"/>
        </w:rPr>
        <w:t xml:space="preserve">根据第 </w:t>
      </w:r>
      <w:r>
        <w:rPr>
          <w:rFonts w:hint="eastAsia" w:cs="宋体"/>
          <w:color w:val="auto"/>
          <w:sz w:val="21"/>
          <w:szCs w:val="21"/>
          <w:highlight w:val="none"/>
        </w:rPr>
        <w:t>12.4.1</w:t>
      </w:r>
      <w:r>
        <w:rPr>
          <w:rFonts w:hint="eastAsia" w:cs="宋体"/>
          <w:color w:val="auto"/>
          <w:spacing w:val="-7"/>
          <w:sz w:val="21"/>
          <w:szCs w:val="21"/>
          <w:highlight w:val="none"/>
        </w:rPr>
        <w:t xml:space="preserve"> 款的约定，监理人发出复工通知后，监理人应和承包人一起对受</w:t>
      </w:r>
      <w:r>
        <w:rPr>
          <w:rFonts w:hint="eastAsia" w:cs="宋体"/>
          <w:color w:val="auto"/>
          <w:spacing w:val="-10"/>
          <w:sz w:val="21"/>
          <w:szCs w:val="21"/>
          <w:highlight w:val="none"/>
        </w:rPr>
        <w:t>到暂停施工影响的工程、材料和工程设备进行检查。承包人负责修复在暂停施工期间发生在</w:t>
      </w:r>
      <w:r>
        <w:rPr>
          <w:rFonts w:hint="eastAsia" w:cs="宋体"/>
          <w:color w:val="auto"/>
          <w:spacing w:val="-11"/>
          <w:sz w:val="21"/>
          <w:szCs w:val="21"/>
          <w:highlight w:val="none"/>
        </w:rPr>
        <w:t>工程、材料和工程设备上的任何损蚀、缺陷或损失，修复费用由承担暂停施工责任的责任人</w:t>
      </w:r>
      <w:r>
        <w:rPr>
          <w:rFonts w:hint="eastAsia" w:cs="宋体"/>
          <w:color w:val="auto"/>
          <w:spacing w:val="-7"/>
          <w:sz w:val="21"/>
          <w:szCs w:val="21"/>
          <w:highlight w:val="none"/>
        </w:rPr>
        <w:t>承担。</w:t>
      </w:r>
    </w:p>
    <w:p>
      <w:pPr>
        <w:pStyle w:val="20"/>
        <w:widowControl w:val="0"/>
        <w:numPr>
          <w:ilvl w:val="2"/>
          <w:numId w:val="52"/>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7"/>
          <w:sz w:val="21"/>
          <w:szCs w:val="21"/>
          <w:highlight w:val="none"/>
        </w:rPr>
        <w:t xml:space="preserve">暂停施工持续 </w:t>
      </w:r>
      <w:r>
        <w:rPr>
          <w:rFonts w:hint="eastAsia" w:cs="宋体"/>
          <w:color w:val="auto"/>
          <w:sz w:val="21"/>
          <w:szCs w:val="21"/>
          <w:highlight w:val="none"/>
        </w:rPr>
        <w:t>56</w:t>
      </w:r>
      <w:r>
        <w:rPr>
          <w:rFonts w:hint="eastAsia" w:cs="宋体"/>
          <w:color w:val="auto"/>
          <w:spacing w:val="-7"/>
          <w:sz w:val="21"/>
          <w:szCs w:val="21"/>
          <w:highlight w:val="none"/>
        </w:rPr>
        <w:t xml:space="preserve"> 天以上，按合同约定由承包人提供的材料和工程设备，由于暂停施工原因导致承包人在暂停施工前已经订购但被暂停运至施工现场的，发包人应按照承包</w:t>
      </w:r>
      <w:r>
        <w:rPr>
          <w:rFonts w:hint="eastAsia" w:cs="宋体"/>
          <w:color w:val="auto"/>
          <w:spacing w:val="-4"/>
          <w:sz w:val="21"/>
          <w:szCs w:val="21"/>
          <w:highlight w:val="none"/>
        </w:rPr>
        <w:t>人订购合同的约定支付相应的订购款项。</w:t>
      </w:r>
    </w:p>
    <w:p>
      <w:pPr>
        <w:pStyle w:val="7"/>
        <w:widowControl/>
        <w:numPr>
          <w:ilvl w:val="1"/>
          <w:numId w:val="14"/>
        </w:numPr>
        <w:spacing w:before="66" w:after="0"/>
        <w:ind w:left="619" w:hanging="482"/>
        <w:rPr>
          <w:rFonts w:ascii="宋体" w:hAnsi="宋体" w:cs="宋体"/>
          <w:color w:val="auto"/>
          <w:sz w:val="24"/>
          <w:szCs w:val="24"/>
          <w:highlight w:val="none"/>
        </w:rPr>
      </w:pPr>
      <w:r>
        <w:rPr>
          <w:rFonts w:hint="eastAsia" w:ascii="宋体" w:hAnsi="宋体" w:cs="宋体"/>
          <w:color w:val="auto"/>
          <w:spacing w:val="-9"/>
          <w:sz w:val="24"/>
          <w:szCs w:val="24"/>
          <w:highlight w:val="none"/>
        </w:rPr>
        <w:t xml:space="preserve">暂停施工持续 </w:t>
      </w:r>
      <w:r>
        <w:rPr>
          <w:rFonts w:hint="eastAsia" w:ascii="宋体" w:hAnsi="宋体" w:cs="宋体"/>
          <w:color w:val="auto"/>
          <w:sz w:val="24"/>
          <w:szCs w:val="24"/>
          <w:highlight w:val="none"/>
        </w:rPr>
        <w:t>56</w:t>
      </w:r>
      <w:r>
        <w:rPr>
          <w:rFonts w:hint="eastAsia" w:ascii="宋体" w:hAnsi="宋体" w:cs="宋体"/>
          <w:color w:val="auto"/>
          <w:spacing w:val="-15"/>
          <w:sz w:val="24"/>
          <w:szCs w:val="24"/>
          <w:highlight w:val="none"/>
        </w:rPr>
        <w:t xml:space="preserve"> 天以上 </w:t>
      </w:r>
    </w:p>
    <w:p>
      <w:pPr>
        <w:pStyle w:val="20"/>
        <w:widowControl w:val="0"/>
        <w:numPr>
          <w:ilvl w:val="2"/>
          <w:numId w:val="53"/>
        </w:numPr>
        <w:autoSpaceDE w:val="0"/>
        <w:autoSpaceDN w:val="0"/>
        <w:spacing w:before="0" w:beforeAutospacing="0" w:after="0" w:afterAutospacing="0"/>
        <w:ind w:hanging="636"/>
        <w:jc w:val="both"/>
        <w:rPr>
          <w:rFonts w:cs="宋体"/>
          <w:color w:val="auto"/>
          <w:sz w:val="21"/>
          <w:szCs w:val="21"/>
          <w:highlight w:val="none"/>
        </w:rPr>
      </w:pPr>
      <w:r>
        <w:rPr>
          <w:rFonts w:hint="eastAsia" w:cs="宋体"/>
          <w:color w:val="auto"/>
          <w:spacing w:val="-6"/>
          <w:sz w:val="21"/>
          <w:szCs w:val="21"/>
          <w:highlight w:val="none"/>
        </w:rPr>
        <w:t xml:space="preserve">监理人发出暂停施工指示后 </w:t>
      </w:r>
      <w:r>
        <w:rPr>
          <w:rFonts w:hint="eastAsia" w:cs="宋体"/>
          <w:color w:val="auto"/>
          <w:sz w:val="21"/>
          <w:szCs w:val="21"/>
          <w:highlight w:val="none"/>
        </w:rPr>
        <w:t>56</w:t>
      </w:r>
      <w:r>
        <w:rPr>
          <w:rFonts w:hint="eastAsia" w:cs="宋体"/>
          <w:color w:val="auto"/>
          <w:spacing w:val="-7"/>
          <w:sz w:val="21"/>
          <w:szCs w:val="21"/>
          <w:highlight w:val="none"/>
        </w:rPr>
        <w:t xml:space="preserve"> 天内未向承包人发出复工通知，除了该项停工</w:t>
      </w:r>
    </w:p>
    <w:p>
      <w:pPr>
        <w:pStyle w:val="20"/>
        <w:widowControl w:val="0"/>
        <w:autoSpaceDE w:val="0"/>
        <w:autoSpaceDN w:val="0"/>
        <w:spacing w:before="0" w:beforeAutospacing="0" w:after="0" w:afterAutospacing="0"/>
        <w:ind w:left="138"/>
        <w:jc w:val="both"/>
        <w:rPr>
          <w:rFonts w:cs="宋体"/>
          <w:color w:val="auto"/>
          <w:sz w:val="21"/>
          <w:szCs w:val="21"/>
          <w:highlight w:val="none"/>
        </w:rPr>
      </w:pPr>
      <w:r>
        <w:rPr>
          <w:rFonts w:hint="eastAsia" w:cs="宋体"/>
          <w:color w:val="auto"/>
          <w:sz w:val="21"/>
          <w:szCs w:val="21"/>
          <w:highlight w:val="none"/>
        </w:rPr>
        <w:t>属于第 12.1 款的情况外，承包人可向监理人提交书面通知，要求监理人在收到书面通知后28</w:t>
      </w:r>
      <w:r>
        <w:rPr>
          <w:rFonts w:hint="eastAsia" w:cs="宋体"/>
          <w:color w:val="auto"/>
          <w:spacing w:val="-3"/>
          <w:sz w:val="21"/>
          <w:szCs w:val="21"/>
          <w:highlight w:val="none"/>
        </w:rPr>
        <w:t>天内准许已暂停施工的工程或其中一部分工程继续施工。如监理人逾期不予批准，则承</w:t>
      </w:r>
      <w:r>
        <w:rPr>
          <w:rFonts w:hint="eastAsia" w:cs="宋体"/>
          <w:color w:val="auto"/>
          <w:spacing w:val="-5"/>
          <w:sz w:val="21"/>
          <w:szCs w:val="21"/>
          <w:highlight w:val="none"/>
        </w:rPr>
        <w:t xml:space="preserve">包人可以通知监理人，将工程受影响的部分视为按第 </w:t>
      </w:r>
      <w:r>
        <w:rPr>
          <w:rFonts w:hint="eastAsia" w:cs="宋体"/>
          <w:color w:val="auto"/>
          <w:spacing w:val="-4"/>
          <w:sz w:val="21"/>
          <w:szCs w:val="21"/>
          <w:highlight w:val="none"/>
        </w:rPr>
        <w:t>15.1（1）项的可取消工作。如暂停施</w:t>
      </w:r>
      <w:r>
        <w:rPr>
          <w:rFonts w:hint="eastAsia" w:cs="宋体"/>
          <w:color w:val="auto"/>
          <w:spacing w:val="-6"/>
          <w:sz w:val="21"/>
          <w:szCs w:val="21"/>
          <w:highlight w:val="none"/>
        </w:rPr>
        <w:t xml:space="preserve">工影响到整个工程，可视为发包人违约，应按第 </w:t>
      </w:r>
      <w:r>
        <w:rPr>
          <w:rFonts w:hint="eastAsia" w:cs="宋体"/>
          <w:color w:val="auto"/>
          <w:sz w:val="21"/>
          <w:szCs w:val="21"/>
          <w:highlight w:val="none"/>
        </w:rPr>
        <w:t>22.2</w:t>
      </w:r>
      <w:r>
        <w:rPr>
          <w:rFonts w:hint="eastAsia" w:cs="宋体"/>
          <w:color w:val="auto"/>
          <w:spacing w:val="-10"/>
          <w:sz w:val="21"/>
          <w:szCs w:val="21"/>
          <w:highlight w:val="none"/>
        </w:rPr>
        <w:t xml:space="preserve"> 款的规定办理。</w:t>
      </w:r>
    </w:p>
    <w:p>
      <w:pPr>
        <w:pStyle w:val="20"/>
        <w:widowControl w:val="0"/>
        <w:numPr>
          <w:ilvl w:val="2"/>
          <w:numId w:val="53"/>
        </w:numPr>
        <w:autoSpaceDE w:val="0"/>
        <w:autoSpaceDN w:val="0"/>
        <w:spacing w:before="0" w:beforeAutospacing="0" w:after="0" w:afterAutospacing="0"/>
        <w:ind w:left="1192"/>
        <w:jc w:val="both"/>
        <w:rPr>
          <w:rFonts w:cs="宋体"/>
          <w:color w:val="auto"/>
          <w:sz w:val="21"/>
          <w:szCs w:val="21"/>
          <w:highlight w:val="none"/>
        </w:rPr>
      </w:pPr>
      <w:r>
        <w:rPr>
          <w:rFonts w:hint="eastAsia" w:cs="宋体"/>
          <w:color w:val="auto"/>
          <w:spacing w:val="-3"/>
          <w:sz w:val="21"/>
          <w:szCs w:val="21"/>
          <w:highlight w:val="none"/>
        </w:rPr>
        <w:t>由于承包人责任引起的暂停施工，如承包人在收到监理人暂停施工指示后 56</w:t>
      </w:r>
    </w:p>
    <w:p>
      <w:pPr>
        <w:pStyle w:val="20"/>
        <w:widowControl w:val="0"/>
        <w:autoSpaceDE w:val="0"/>
        <w:autoSpaceDN w:val="0"/>
        <w:spacing w:before="1" w:beforeAutospacing="0" w:after="0" w:afterAutospacing="0" w:line="415" w:lineRule="auto"/>
        <w:ind w:left="138" w:right="311"/>
        <w:jc w:val="both"/>
        <w:rPr>
          <w:rFonts w:cs="宋体"/>
          <w:color w:val="auto"/>
          <w:sz w:val="21"/>
          <w:szCs w:val="21"/>
          <w:highlight w:val="none"/>
        </w:rPr>
      </w:pPr>
      <w:r>
        <w:rPr>
          <w:rFonts w:hint="eastAsia" w:cs="宋体"/>
          <w:color w:val="auto"/>
          <w:spacing w:val="-4"/>
          <w:sz w:val="21"/>
          <w:szCs w:val="21"/>
          <w:highlight w:val="none"/>
        </w:rPr>
        <w:t xml:space="preserve">天内不认真采取有效的复工措施，造成工期延误，可视为承包人违约，应按第 </w:t>
      </w:r>
      <w:r>
        <w:rPr>
          <w:rFonts w:hint="eastAsia" w:cs="宋体"/>
          <w:color w:val="auto"/>
          <w:sz w:val="21"/>
          <w:szCs w:val="21"/>
          <w:highlight w:val="none"/>
        </w:rPr>
        <w:t>22.1</w:t>
      </w:r>
      <w:r>
        <w:rPr>
          <w:rFonts w:hint="eastAsia" w:cs="宋体"/>
          <w:color w:val="auto"/>
          <w:spacing w:val="-9"/>
          <w:sz w:val="21"/>
          <w:szCs w:val="21"/>
          <w:highlight w:val="none"/>
        </w:rPr>
        <w:t xml:space="preserve"> 款的规</w:t>
      </w:r>
      <w:r>
        <w:rPr>
          <w:rFonts w:hint="eastAsia" w:cs="宋体"/>
          <w:color w:val="auto"/>
          <w:spacing w:val="-2"/>
          <w:sz w:val="21"/>
          <w:szCs w:val="21"/>
          <w:highlight w:val="none"/>
        </w:rPr>
        <w:t>定办理。</w:t>
      </w:r>
    </w:p>
    <w:p>
      <w:pPr>
        <w:pStyle w:val="6"/>
        <w:widowControl/>
        <w:numPr>
          <w:ilvl w:val="0"/>
          <w:numId w:val="14"/>
        </w:numPr>
        <w:spacing w:before="0" w:after="0"/>
        <w:ind w:left="560" w:hanging="423"/>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工程质量</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工程质量要求 </w:t>
      </w:r>
    </w:p>
    <w:p>
      <w:pPr>
        <w:pStyle w:val="20"/>
        <w:widowControl w:val="0"/>
        <w:numPr>
          <w:ilvl w:val="2"/>
          <w:numId w:val="54"/>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工程质量验收按合同约定验收标准执行。</w:t>
      </w:r>
    </w:p>
    <w:p>
      <w:pPr>
        <w:pStyle w:val="20"/>
        <w:widowControl w:val="0"/>
        <w:numPr>
          <w:ilvl w:val="2"/>
          <w:numId w:val="54"/>
        </w:numPr>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7"/>
          <w:sz w:val="21"/>
          <w:szCs w:val="21"/>
          <w:highlight w:val="none"/>
        </w:rPr>
        <w:t>因承包人原因造成工程质量达不到合同约定验收标准的，监理人有权要求承包人</w:t>
      </w:r>
      <w:r>
        <w:rPr>
          <w:rFonts w:hint="eastAsia" w:cs="宋体"/>
          <w:color w:val="auto"/>
          <w:spacing w:val="-4"/>
          <w:sz w:val="21"/>
          <w:szCs w:val="21"/>
          <w:highlight w:val="none"/>
        </w:rPr>
        <w:t>返工直至符合合同要求为止，由此造成的费用增加和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3"/>
          <w:sz w:val="21"/>
          <w:szCs w:val="21"/>
          <w:highlight w:val="none"/>
        </w:rPr>
        <w:t>）工期延误由承包人承担。</w:t>
      </w:r>
    </w:p>
    <w:p>
      <w:pPr>
        <w:pStyle w:val="20"/>
        <w:widowControl w:val="0"/>
        <w:numPr>
          <w:ilvl w:val="2"/>
          <w:numId w:val="54"/>
        </w:numPr>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7"/>
          <w:sz w:val="21"/>
          <w:szCs w:val="21"/>
          <w:highlight w:val="none"/>
        </w:rPr>
        <w:t>因发包人原因造成工程质量达不到合同约定验收标准的，发包人应承担由于承包</w:t>
      </w:r>
      <w:r>
        <w:rPr>
          <w:rFonts w:hint="eastAsia" w:cs="宋体"/>
          <w:color w:val="auto"/>
          <w:spacing w:val="-4"/>
          <w:sz w:val="21"/>
          <w:szCs w:val="21"/>
          <w:highlight w:val="none"/>
        </w:rPr>
        <w:t>人返工造成的费用增加和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z w:val="21"/>
          <w:szCs w:val="21"/>
          <w:highlight w:val="none"/>
        </w:rPr>
        <w:t>）</w:t>
      </w:r>
      <w:r>
        <w:rPr>
          <w:rFonts w:hint="eastAsia" w:cs="宋体"/>
          <w:color w:val="auto"/>
          <w:spacing w:val="-3"/>
          <w:sz w:val="21"/>
          <w:szCs w:val="21"/>
          <w:highlight w:val="none"/>
        </w:rPr>
        <w:t>工期延误，并支付承包人合理利润。</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承包人的质量管理 </w:t>
      </w:r>
    </w:p>
    <w:p>
      <w:pPr>
        <w:pStyle w:val="20"/>
        <w:widowControl w:val="0"/>
        <w:numPr>
          <w:ilvl w:val="2"/>
          <w:numId w:val="55"/>
        </w:numPr>
        <w:autoSpaceDE w:val="0"/>
        <w:autoSpaceDN w:val="0"/>
        <w:spacing w:before="1" w:beforeAutospacing="0" w:after="0" w:afterAutospacing="0" w:line="415" w:lineRule="auto"/>
        <w:ind w:right="205" w:firstLine="419"/>
        <w:rPr>
          <w:rFonts w:cs="宋体"/>
          <w:color w:val="auto"/>
          <w:sz w:val="21"/>
          <w:szCs w:val="21"/>
          <w:highlight w:val="none"/>
        </w:rPr>
      </w:pPr>
      <w:r>
        <w:rPr>
          <w:rFonts w:hint="eastAsia" w:cs="宋体"/>
          <w:color w:val="auto"/>
          <w:spacing w:val="-7"/>
          <w:sz w:val="21"/>
          <w:szCs w:val="21"/>
          <w:highlight w:val="none"/>
        </w:rPr>
        <w:t>承包人应在施工场地设置专门的质量检查机构，配备专职质量检查人员，建立完</w:t>
      </w:r>
      <w:r>
        <w:rPr>
          <w:rFonts w:hint="eastAsia" w:cs="宋体"/>
          <w:color w:val="auto"/>
          <w:spacing w:val="-11"/>
          <w:sz w:val="21"/>
          <w:szCs w:val="21"/>
          <w:highlight w:val="none"/>
        </w:rPr>
        <w:t>善的质量检查制度。承包人应在合同条款专用部分约定的期限内，提交工程质量保证措施文</w:t>
      </w:r>
      <w:r>
        <w:rPr>
          <w:rFonts w:hint="eastAsia" w:cs="宋体"/>
          <w:color w:val="auto"/>
          <w:spacing w:val="-16"/>
          <w:sz w:val="21"/>
          <w:szCs w:val="21"/>
          <w:highlight w:val="none"/>
        </w:rPr>
        <w:t>件，包括质量检查机构的组织和岗位责任、质检人员的组成、质量检查程序和实施细则等，报</w:t>
      </w:r>
      <w:r>
        <w:rPr>
          <w:rFonts w:hint="eastAsia" w:cs="宋体"/>
          <w:color w:val="auto"/>
          <w:spacing w:val="-5"/>
          <w:sz w:val="21"/>
          <w:szCs w:val="21"/>
          <w:highlight w:val="none"/>
        </w:rPr>
        <w:t>送监理人审批。监理人应在合同条款专用部分约定的期限内完成审批。</w:t>
      </w:r>
    </w:p>
    <w:p>
      <w:pPr>
        <w:pStyle w:val="20"/>
        <w:widowControl w:val="0"/>
        <w:numPr>
          <w:ilvl w:val="2"/>
          <w:numId w:val="55"/>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7"/>
          <w:sz w:val="21"/>
          <w:szCs w:val="21"/>
          <w:highlight w:val="none"/>
        </w:rPr>
        <w:t>承包人应加强对施工人员的质量教育和技术培训，定期考核施工人员的劳动技能</w:t>
      </w:r>
      <w:r>
        <w:rPr>
          <w:rFonts w:hint="eastAsia" w:cs="宋体"/>
          <w:color w:val="auto"/>
          <w:spacing w:val="-4"/>
          <w:sz w:val="21"/>
          <w:szCs w:val="21"/>
          <w:highlight w:val="none"/>
        </w:rPr>
        <w:t>，严格执行规范和操作规程。</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承包人的质量检查 </w:t>
      </w:r>
    </w:p>
    <w:p>
      <w:pPr>
        <w:pStyle w:val="20"/>
        <w:widowControl w:val="0"/>
        <w:autoSpaceDE w:val="0"/>
        <w:autoSpaceDN w:val="0"/>
        <w:spacing w:before="0"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8"/>
          <w:sz w:val="21"/>
          <w:szCs w:val="21"/>
          <w:highlight w:val="none"/>
        </w:rPr>
        <w:t>承包人应按合同条款专用部分的约定对材料、工程设备以及工程的所有部位及其施工工</w:t>
      </w:r>
      <w:r>
        <w:rPr>
          <w:rFonts w:hint="eastAsia" w:cs="宋体"/>
          <w:color w:val="auto"/>
          <w:spacing w:val="-10"/>
          <w:sz w:val="21"/>
          <w:szCs w:val="21"/>
          <w:highlight w:val="none"/>
        </w:rPr>
        <w:t>艺进行全过程的质量检查和检验，并作详细记录，编制工程质量报表，报送监理人审查。监</w:t>
      </w:r>
      <w:r>
        <w:rPr>
          <w:rFonts w:hint="eastAsia" w:cs="宋体"/>
          <w:color w:val="auto"/>
          <w:spacing w:val="-5"/>
          <w:sz w:val="21"/>
          <w:szCs w:val="21"/>
          <w:highlight w:val="none"/>
        </w:rPr>
        <w:t xml:space="preserve">理人应在合同条款专用部分约定的期限内完成审查。 </w:t>
      </w:r>
    </w:p>
    <w:p>
      <w:pPr>
        <w:pStyle w:val="7"/>
        <w:widowControl/>
        <w:numPr>
          <w:ilvl w:val="1"/>
          <w:numId w:val="14"/>
        </w:numPr>
        <w:spacing w:before="66"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监理人的质量检查 </w:t>
      </w:r>
    </w:p>
    <w:p>
      <w:pPr>
        <w:pStyle w:val="20"/>
        <w:widowControl w:val="0"/>
        <w:autoSpaceDE w:val="0"/>
        <w:autoSpaceDN w:val="0"/>
        <w:spacing w:before="0"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8"/>
          <w:sz w:val="21"/>
          <w:szCs w:val="21"/>
          <w:highlight w:val="none"/>
        </w:rPr>
        <w:t>监理人有权对工程的所有部位及其施工工艺、材料和工程设备进行检查和检验。承包人</w:t>
      </w:r>
      <w:r>
        <w:rPr>
          <w:rFonts w:hint="eastAsia" w:cs="宋体"/>
          <w:color w:val="auto"/>
          <w:spacing w:val="-10"/>
          <w:sz w:val="21"/>
          <w:szCs w:val="21"/>
          <w:highlight w:val="none"/>
        </w:rPr>
        <w:t>应为监理人的检查和检验提供方便，包括监理人到施工场地，或制造、加工地点，或合同约</w:t>
      </w:r>
      <w:r>
        <w:rPr>
          <w:rFonts w:hint="eastAsia" w:cs="宋体"/>
          <w:color w:val="auto"/>
          <w:spacing w:val="-9"/>
          <w:sz w:val="21"/>
          <w:szCs w:val="21"/>
          <w:highlight w:val="none"/>
        </w:rPr>
        <w:t>定的其他地方进行察看和查阅施工原始记录。承包人还应按监理人指示，进行施工场地取样</w:t>
      </w:r>
      <w:r>
        <w:rPr>
          <w:rFonts w:hint="eastAsia" w:cs="宋体"/>
          <w:color w:val="auto"/>
          <w:spacing w:val="-11"/>
          <w:sz w:val="21"/>
          <w:szCs w:val="21"/>
          <w:highlight w:val="none"/>
        </w:rPr>
        <w:t>试验、工程复核测量和设备性能检测，提供试验样品、提交试验报告和测量成果以及监理人要求进行的其他工作。监理人的检查和检验，不免除承包人按合同约定应负的责任。监理人</w:t>
      </w:r>
      <w:r>
        <w:rPr>
          <w:rFonts w:hint="eastAsia" w:cs="宋体"/>
          <w:color w:val="auto"/>
          <w:spacing w:val="-6"/>
          <w:sz w:val="21"/>
          <w:szCs w:val="21"/>
          <w:highlight w:val="none"/>
        </w:rPr>
        <w:t>可以进行察看和查阅施工原始记录的其他地方见合同条款专用部分。</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工程隐蔽部位覆盖前的检查 </w:t>
      </w:r>
    </w:p>
    <w:p>
      <w:pPr>
        <w:pStyle w:val="20"/>
        <w:widowControl w:val="0"/>
        <w:numPr>
          <w:ilvl w:val="2"/>
          <w:numId w:val="56"/>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通知监理人检查</w:t>
      </w:r>
    </w:p>
    <w:p>
      <w:pPr>
        <w:pStyle w:val="20"/>
        <w:widowControl w:val="0"/>
        <w:autoSpaceDE w:val="0"/>
        <w:autoSpaceDN w:val="0"/>
        <w:spacing w:before="0" w:beforeAutospacing="0" w:after="0" w:afterAutospacing="0" w:line="415" w:lineRule="auto"/>
        <w:ind w:left="138" w:right="219" w:firstLine="419"/>
        <w:rPr>
          <w:rFonts w:cs="宋体"/>
          <w:color w:val="auto"/>
          <w:sz w:val="21"/>
          <w:szCs w:val="21"/>
          <w:highlight w:val="none"/>
        </w:rPr>
      </w:pPr>
      <w:r>
        <w:rPr>
          <w:rFonts w:hint="eastAsia" w:cs="宋体"/>
          <w:color w:val="auto"/>
          <w:spacing w:val="-7"/>
          <w:sz w:val="21"/>
          <w:szCs w:val="21"/>
          <w:highlight w:val="none"/>
        </w:rPr>
        <w:t>经承包人自检确认的工程隐蔽部位具备覆盖条件后，承包人应通知监理人在合同约定的</w:t>
      </w:r>
      <w:r>
        <w:rPr>
          <w:rFonts w:hint="eastAsia" w:cs="宋体"/>
          <w:color w:val="auto"/>
          <w:spacing w:val="-10"/>
          <w:sz w:val="21"/>
          <w:szCs w:val="21"/>
          <w:highlight w:val="none"/>
        </w:rPr>
        <w:t>期限内检查。承包人的通知应附有自检记录和必要的检查资料。监理人应按时到场检查。经</w:t>
      </w:r>
      <w:r>
        <w:rPr>
          <w:rFonts w:hint="eastAsia" w:cs="宋体"/>
          <w:color w:val="auto"/>
          <w:spacing w:val="-9"/>
          <w:sz w:val="21"/>
          <w:szCs w:val="21"/>
          <w:highlight w:val="none"/>
        </w:rPr>
        <w:t>监理人检查确认质量符合隐蔽要求，并在检查记录上签字后，承包人才能进行覆盖。监理人</w:t>
      </w:r>
      <w:r>
        <w:rPr>
          <w:rFonts w:hint="eastAsia" w:cs="宋体"/>
          <w:color w:val="auto"/>
          <w:spacing w:val="-5"/>
          <w:sz w:val="21"/>
          <w:szCs w:val="21"/>
          <w:highlight w:val="none"/>
        </w:rPr>
        <w:t>检查确认质量不合格的，承包人应在监理人指示的时间内修整返工后，由监理人重新检查。</w:t>
      </w:r>
      <w:r>
        <w:rPr>
          <w:rFonts w:hint="eastAsia" w:cs="宋体"/>
          <w:color w:val="auto"/>
          <w:spacing w:val="-4"/>
          <w:sz w:val="21"/>
          <w:szCs w:val="21"/>
          <w:highlight w:val="none"/>
        </w:rPr>
        <w:t>监理人对工程隐蔽部位进行检查的期限见合同条款专用部分。</w:t>
      </w:r>
    </w:p>
    <w:p>
      <w:pPr>
        <w:pStyle w:val="20"/>
        <w:widowControl w:val="0"/>
        <w:numPr>
          <w:ilvl w:val="2"/>
          <w:numId w:val="56"/>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 xml:space="preserve">监理人未到场检查 </w:t>
      </w:r>
    </w:p>
    <w:p>
      <w:pPr>
        <w:pStyle w:val="20"/>
        <w:widowControl w:val="0"/>
        <w:autoSpaceDE w:val="0"/>
        <w:autoSpaceDN w:val="0"/>
        <w:spacing w:before="1"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6"/>
          <w:sz w:val="21"/>
          <w:szCs w:val="21"/>
          <w:highlight w:val="none"/>
        </w:rPr>
        <w:t xml:space="preserve">监理人未按第 </w:t>
      </w:r>
      <w:r>
        <w:rPr>
          <w:rFonts w:hint="eastAsia" w:cs="宋体"/>
          <w:color w:val="auto"/>
          <w:sz w:val="21"/>
          <w:szCs w:val="21"/>
          <w:highlight w:val="none"/>
        </w:rPr>
        <w:t>13.5.1</w:t>
      </w:r>
      <w:r>
        <w:rPr>
          <w:rFonts w:hint="eastAsia" w:cs="宋体"/>
          <w:color w:val="auto"/>
          <w:spacing w:val="-7"/>
          <w:sz w:val="21"/>
          <w:szCs w:val="21"/>
          <w:highlight w:val="none"/>
        </w:rPr>
        <w:t xml:space="preserve"> 项约定的时间进行检查的，除监理人另有指示外，承包人可自行</w:t>
      </w:r>
      <w:r>
        <w:rPr>
          <w:rFonts w:hint="eastAsia" w:cs="宋体"/>
          <w:color w:val="auto"/>
          <w:spacing w:val="-11"/>
          <w:sz w:val="21"/>
          <w:szCs w:val="21"/>
          <w:highlight w:val="none"/>
        </w:rPr>
        <w:t>完成覆盖工作，并作相应记录报送监理人，监理人应签字确认。监理人事后对检查记录有疑</w:t>
      </w:r>
      <w:r>
        <w:rPr>
          <w:rFonts w:hint="eastAsia" w:cs="宋体"/>
          <w:color w:val="auto"/>
          <w:spacing w:val="-13"/>
          <w:sz w:val="21"/>
          <w:szCs w:val="21"/>
          <w:highlight w:val="none"/>
        </w:rPr>
        <w:t xml:space="preserve">问的，可按第 </w:t>
      </w:r>
      <w:r>
        <w:rPr>
          <w:rFonts w:hint="eastAsia" w:cs="宋体"/>
          <w:color w:val="auto"/>
          <w:sz w:val="21"/>
          <w:szCs w:val="21"/>
          <w:highlight w:val="none"/>
        </w:rPr>
        <w:t>13.5.3</w:t>
      </w:r>
      <w:r>
        <w:rPr>
          <w:rFonts w:hint="eastAsia" w:cs="宋体"/>
          <w:color w:val="auto"/>
          <w:spacing w:val="-9"/>
          <w:sz w:val="21"/>
          <w:szCs w:val="21"/>
          <w:highlight w:val="none"/>
        </w:rPr>
        <w:t xml:space="preserve"> 项的约定重新检查。</w:t>
      </w:r>
    </w:p>
    <w:p>
      <w:pPr>
        <w:pStyle w:val="20"/>
        <w:widowControl w:val="0"/>
        <w:numPr>
          <w:ilvl w:val="2"/>
          <w:numId w:val="56"/>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监理人重新检查</w:t>
      </w:r>
    </w:p>
    <w:p>
      <w:pPr>
        <w:pStyle w:val="20"/>
        <w:widowControl w:val="0"/>
        <w:autoSpaceDE w:val="0"/>
        <w:autoSpaceDN w:val="0"/>
        <w:spacing w:before="0"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10"/>
          <w:sz w:val="21"/>
          <w:szCs w:val="21"/>
          <w:highlight w:val="none"/>
        </w:rPr>
        <w:t xml:space="preserve">承包人按第 </w:t>
      </w:r>
      <w:r>
        <w:rPr>
          <w:rFonts w:hint="eastAsia" w:cs="宋体"/>
          <w:color w:val="auto"/>
          <w:sz w:val="21"/>
          <w:szCs w:val="21"/>
          <w:highlight w:val="none"/>
        </w:rPr>
        <w:t>13.5.1</w:t>
      </w:r>
      <w:r>
        <w:rPr>
          <w:rFonts w:hint="eastAsia" w:cs="宋体"/>
          <w:color w:val="auto"/>
          <w:spacing w:val="-20"/>
          <w:sz w:val="21"/>
          <w:szCs w:val="21"/>
          <w:highlight w:val="none"/>
        </w:rPr>
        <w:t xml:space="preserve"> 项或第 </w:t>
      </w:r>
      <w:r>
        <w:rPr>
          <w:rFonts w:hint="eastAsia" w:cs="宋体"/>
          <w:color w:val="auto"/>
          <w:sz w:val="21"/>
          <w:szCs w:val="21"/>
          <w:highlight w:val="none"/>
        </w:rPr>
        <w:t>13.5.2</w:t>
      </w:r>
      <w:r>
        <w:rPr>
          <w:rFonts w:hint="eastAsia" w:cs="宋体"/>
          <w:color w:val="auto"/>
          <w:spacing w:val="-14"/>
          <w:sz w:val="21"/>
          <w:szCs w:val="21"/>
          <w:highlight w:val="none"/>
        </w:rPr>
        <w:t xml:space="preserve"> 项覆盖工程隐蔽部位后，监理人对质量有疑问的，可</w:t>
      </w:r>
      <w:r>
        <w:rPr>
          <w:rFonts w:hint="eastAsia" w:cs="宋体"/>
          <w:color w:val="auto"/>
          <w:spacing w:val="-11"/>
          <w:sz w:val="21"/>
          <w:szCs w:val="21"/>
          <w:highlight w:val="none"/>
        </w:rPr>
        <w:t>要求承包人对已覆盖的部位进行钻孔探测或揭开重新检验，承包人应遵照执行，并在检验后</w:t>
      </w:r>
      <w:r>
        <w:rPr>
          <w:rFonts w:hint="eastAsia" w:cs="宋体"/>
          <w:color w:val="auto"/>
          <w:spacing w:val="-13"/>
          <w:sz w:val="21"/>
          <w:szCs w:val="21"/>
          <w:highlight w:val="none"/>
        </w:rPr>
        <w:t>重新覆盖恢复原状。经检验证明工程质量符合合同要求的，由发包人承担由此增加的费用和</w:t>
      </w:r>
    </w:p>
    <w:p>
      <w:pPr>
        <w:pStyle w:val="20"/>
        <w:widowControl w:val="0"/>
        <w:autoSpaceDE w:val="0"/>
        <w:autoSpaceDN w:val="0"/>
        <w:spacing w:before="1" w:beforeAutospacing="0" w:after="0" w:afterAutospacing="0" w:line="415" w:lineRule="auto"/>
        <w:ind w:left="138" w:right="311"/>
        <w:rPr>
          <w:rFonts w:cs="宋体"/>
          <w:color w:val="auto"/>
          <w:sz w:val="21"/>
          <w:szCs w:val="21"/>
          <w:highlight w:val="none"/>
        </w:rPr>
      </w:pP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pacing w:val="-22"/>
          <w:sz w:val="21"/>
          <w:szCs w:val="21"/>
          <w:highlight w:val="none"/>
        </w:rPr>
        <w:t>）</w:t>
      </w:r>
      <w:r>
        <w:rPr>
          <w:rFonts w:hint="eastAsia" w:cs="宋体"/>
          <w:color w:val="auto"/>
          <w:spacing w:val="-10"/>
          <w:sz w:val="21"/>
          <w:szCs w:val="21"/>
          <w:highlight w:val="none"/>
        </w:rPr>
        <w:t>工期延误，并支付承包人合理利润；经检验证明工程质量不符合合同要求的，由此增</w:t>
      </w:r>
      <w:r>
        <w:rPr>
          <w:rFonts w:hint="eastAsia" w:cs="宋体"/>
          <w:color w:val="auto"/>
          <w:spacing w:val="-6"/>
          <w:sz w:val="21"/>
          <w:szCs w:val="21"/>
          <w:highlight w:val="none"/>
        </w:rPr>
        <w:t>加的费用和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z w:val="21"/>
          <w:szCs w:val="21"/>
          <w:highlight w:val="none"/>
        </w:rPr>
        <w:t>）</w:t>
      </w:r>
      <w:r>
        <w:rPr>
          <w:rFonts w:hint="eastAsia" w:cs="宋体"/>
          <w:color w:val="auto"/>
          <w:spacing w:val="-3"/>
          <w:sz w:val="21"/>
          <w:szCs w:val="21"/>
          <w:highlight w:val="none"/>
        </w:rPr>
        <w:t>工期延误由承包人承担。</w:t>
      </w:r>
    </w:p>
    <w:p>
      <w:pPr>
        <w:pStyle w:val="20"/>
        <w:widowControl w:val="0"/>
        <w:numPr>
          <w:ilvl w:val="2"/>
          <w:numId w:val="56"/>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承包人私自覆盖</w:t>
      </w:r>
    </w:p>
    <w:p>
      <w:pPr>
        <w:pStyle w:val="20"/>
        <w:widowControl w:val="0"/>
        <w:autoSpaceDE w:val="0"/>
        <w:autoSpaceDN w:val="0"/>
        <w:spacing w:before="0" w:beforeAutospacing="0" w:after="0" w:afterAutospacing="0" w:line="415" w:lineRule="auto"/>
        <w:ind w:left="138" w:right="309" w:firstLine="419"/>
        <w:rPr>
          <w:rFonts w:cs="宋体"/>
          <w:color w:val="auto"/>
          <w:sz w:val="22"/>
          <w:szCs w:val="22"/>
          <w:highlight w:val="none"/>
        </w:rPr>
      </w:pPr>
      <w:r>
        <w:rPr>
          <w:rFonts w:hint="eastAsia" w:cs="宋体"/>
          <w:color w:val="auto"/>
          <w:spacing w:val="-8"/>
          <w:sz w:val="21"/>
          <w:szCs w:val="21"/>
          <w:highlight w:val="none"/>
        </w:rPr>
        <w:t>承包人未通知监理人到场检查，私自将工程隐蔽部位覆盖的，监理人有权指示承包人钻</w:t>
      </w:r>
      <w:r>
        <w:rPr>
          <w:rFonts w:hint="eastAsia" w:cs="宋体"/>
          <w:color w:val="auto"/>
          <w:spacing w:val="-5"/>
          <w:sz w:val="21"/>
          <w:szCs w:val="21"/>
          <w:highlight w:val="none"/>
        </w:rPr>
        <w:t>孔探测或揭开检查，由此增加的费用和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3"/>
          <w:sz w:val="21"/>
          <w:szCs w:val="21"/>
          <w:highlight w:val="none"/>
        </w:rPr>
        <w:t>）工期延误由承包人承担。</w:t>
      </w:r>
    </w:p>
    <w:p>
      <w:pPr>
        <w:pStyle w:val="7"/>
        <w:widowControl/>
        <w:numPr>
          <w:ilvl w:val="1"/>
          <w:numId w:val="14"/>
        </w:numPr>
        <w:spacing w:before="66"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清除不合格工程 </w:t>
      </w:r>
    </w:p>
    <w:p>
      <w:pPr>
        <w:pStyle w:val="20"/>
        <w:widowControl w:val="0"/>
        <w:numPr>
          <w:ilvl w:val="2"/>
          <w:numId w:val="57"/>
        </w:numPr>
        <w:autoSpaceDE w:val="0"/>
        <w:autoSpaceDN w:val="0"/>
        <w:spacing w:before="0" w:beforeAutospacing="0" w:after="0" w:afterAutospacing="0" w:line="415" w:lineRule="auto"/>
        <w:ind w:right="220" w:firstLine="419"/>
        <w:rPr>
          <w:rFonts w:cs="宋体"/>
          <w:color w:val="auto"/>
          <w:sz w:val="21"/>
          <w:szCs w:val="21"/>
          <w:highlight w:val="none"/>
        </w:rPr>
      </w:pPr>
      <w:r>
        <w:rPr>
          <w:rFonts w:hint="eastAsia" w:cs="宋体"/>
          <w:color w:val="auto"/>
          <w:spacing w:val="-3"/>
          <w:sz w:val="21"/>
          <w:szCs w:val="21"/>
          <w:highlight w:val="none"/>
        </w:rPr>
        <w:t>承包人使用不合格材料、工程设备，或采用不适当的施工工艺，或施工不当，造</w:t>
      </w:r>
      <w:r>
        <w:rPr>
          <w:rFonts w:hint="eastAsia" w:cs="宋体"/>
          <w:color w:val="auto"/>
          <w:spacing w:val="-10"/>
          <w:sz w:val="21"/>
          <w:szCs w:val="21"/>
          <w:highlight w:val="none"/>
        </w:rPr>
        <w:t>成工程不合格的，监理人可以随时发出指示，要求承包人立即采取措施进行补救，直至达到</w:t>
      </w:r>
      <w:r>
        <w:rPr>
          <w:rFonts w:hint="eastAsia" w:cs="宋体"/>
          <w:color w:val="auto"/>
          <w:spacing w:val="-4"/>
          <w:sz w:val="21"/>
          <w:szCs w:val="21"/>
          <w:highlight w:val="none"/>
        </w:rPr>
        <w:t>合同要求的质量标准，由此增加的费用和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3"/>
          <w:sz w:val="21"/>
          <w:szCs w:val="21"/>
          <w:highlight w:val="none"/>
        </w:rPr>
        <w:t xml:space="preserve">）工期延误由承包人承担。 </w:t>
      </w:r>
    </w:p>
    <w:p>
      <w:pPr>
        <w:pStyle w:val="20"/>
        <w:widowControl w:val="0"/>
        <w:numPr>
          <w:ilvl w:val="2"/>
          <w:numId w:val="57"/>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7"/>
          <w:sz w:val="21"/>
          <w:szCs w:val="21"/>
          <w:highlight w:val="none"/>
        </w:rPr>
        <w:t>由于发包人提供的材料或工程设备不合格造成的工程不合格，需要承包人采取措</w:t>
      </w:r>
      <w:r>
        <w:rPr>
          <w:rFonts w:hint="eastAsia" w:cs="宋体"/>
          <w:color w:val="auto"/>
          <w:spacing w:val="-4"/>
          <w:sz w:val="21"/>
          <w:szCs w:val="21"/>
          <w:highlight w:val="none"/>
        </w:rPr>
        <w:t>施补救的，发包人应承担由此增加的费用和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z w:val="21"/>
          <w:szCs w:val="21"/>
          <w:highlight w:val="none"/>
        </w:rPr>
        <w:t>）</w:t>
      </w:r>
      <w:r>
        <w:rPr>
          <w:rFonts w:hint="eastAsia" w:cs="宋体"/>
          <w:color w:val="auto"/>
          <w:spacing w:val="-3"/>
          <w:sz w:val="21"/>
          <w:szCs w:val="21"/>
          <w:highlight w:val="none"/>
        </w:rPr>
        <w:t>工期延误，并支付承包人合理利润。</w:t>
      </w:r>
    </w:p>
    <w:p>
      <w:pPr>
        <w:pStyle w:val="7"/>
        <w:widowControl/>
        <w:numPr>
          <w:ilvl w:val="1"/>
          <w:numId w:val="14"/>
        </w:numPr>
        <w:spacing w:before="136"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质量争议 </w:t>
      </w:r>
    </w:p>
    <w:p>
      <w:pPr>
        <w:pStyle w:val="20"/>
        <w:widowControl w:val="0"/>
        <w:autoSpaceDE w:val="0"/>
        <w:autoSpaceDN w:val="0"/>
        <w:spacing w:before="0" w:beforeAutospacing="0" w:after="0" w:afterAutospacing="0" w:line="415" w:lineRule="auto"/>
        <w:ind w:left="138" w:right="203" w:firstLine="419"/>
        <w:rPr>
          <w:rFonts w:cs="宋体"/>
          <w:color w:val="auto"/>
          <w:sz w:val="21"/>
          <w:szCs w:val="21"/>
          <w:highlight w:val="none"/>
        </w:rPr>
      </w:pPr>
      <w:r>
        <w:rPr>
          <w:rFonts w:hint="eastAsia" w:cs="宋体"/>
          <w:color w:val="auto"/>
          <w:spacing w:val="-5"/>
          <w:sz w:val="21"/>
          <w:szCs w:val="21"/>
          <w:highlight w:val="none"/>
        </w:rPr>
        <w:t xml:space="preserve">发包人和承包人对工程质量有争议的，除可按第 </w:t>
      </w:r>
      <w:r>
        <w:rPr>
          <w:rFonts w:hint="eastAsia" w:cs="宋体"/>
          <w:color w:val="auto"/>
          <w:sz w:val="21"/>
          <w:szCs w:val="21"/>
          <w:highlight w:val="none"/>
        </w:rPr>
        <w:t>24</w:t>
      </w:r>
      <w:r>
        <w:rPr>
          <w:rFonts w:hint="eastAsia" w:cs="宋体"/>
          <w:color w:val="auto"/>
          <w:spacing w:val="-7"/>
          <w:sz w:val="21"/>
          <w:szCs w:val="21"/>
          <w:highlight w:val="none"/>
        </w:rPr>
        <w:t xml:space="preserve"> 条办理外，监理人可提请合同双方</w:t>
      </w:r>
      <w:r>
        <w:rPr>
          <w:rFonts w:hint="eastAsia" w:cs="宋体"/>
          <w:color w:val="auto"/>
          <w:spacing w:val="-13"/>
          <w:sz w:val="21"/>
          <w:szCs w:val="21"/>
          <w:highlight w:val="none"/>
        </w:rPr>
        <w:t xml:space="preserve">委托有相应资质的工程质量检测机构进行鉴定，所需费用及因此造成的损失，由责任人承担， </w:t>
      </w:r>
      <w:r>
        <w:rPr>
          <w:rFonts w:hint="eastAsia" w:cs="宋体"/>
          <w:color w:val="auto"/>
          <w:spacing w:val="-12"/>
          <w:sz w:val="21"/>
          <w:szCs w:val="21"/>
          <w:highlight w:val="none"/>
        </w:rPr>
        <w:t>双方均有责任，由双方根据其责任分别承担。经检测，质量确有缺陷的，已竣工验收或已竣</w:t>
      </w:r>
      <w:r>
        <w:rPr>
          <w:rFonts w:hint="eastAsia" w:cs="宋体"/>
          <w:color w:val="auto"/>
          <w:spacing w:val="-11"/>
          <w:sz w:val="21"/>
          <w:szCs w:val="21"/>
          <w:highlight w:val="none"/>
        </w:rPr>
        <w:t>工未验收但实际投入使用的工程，其处理按工程保修书的约定执行；已竣工未验收且未实际投入使用的工程以及停工、停建的工程，根据检测结果确定解决方案，或按工程质量监督机</w:t>
      </w:r>
      <w:r>
        <w:rPr>
          <w:rFonts w:hint="eastAsia" w:cs="宋体"/>
          <w:color w:val="auto"/>
          <w:spacing w:val="-6"/>
          <w:sz w:val="21"/>
          <w:szCs w:val="21"/>
          <w:highlight w:val="none"/>
        </w:rPr>
        <w:t>构的处理决定执行。</w:t>
      </w:r>
    </w:p>
    <w:p>
      <w:pPr>
        <w:pStyle w:val="6"/>
        <w:widowControl/>
        <w:numPr>
          <w:ilvl w:val="0"/>
          <w:numId w:val="14"/>
        </w:numPr>
        <w:spacing w:before="1" w:after="0"/>
        <w:ind w:left="560" w:hanging="423"/>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试验和检验</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材料、工程设备和工程的试验和检验 </w:t>
      </w:r>
    </w:p>
    <w:p>
      <w:pPr>
        <w:pStyle w:val="20"/>
        <w:widowControl w:val="0"/>
        <w:numPr>
          <w:ilvl w:val="2"/>
          <w:numId w:val="58"/>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8"/>
          <w:sz w:val="21"/>
          <w:szCs w:val="21"/>
          <w:highlight w:val="none"/>
        </w:rPr>
        <w:t>承包人应按合同约定进行材料、工程设备和工程的试验和检验，并为监理人对上</w:t>
      </w:r>
      <w:r>
        <w:rPr>
          <w:rFonts w:hint="eastAsia" w:cs="宋体"/>
          <w:color w:val="auto"/>
          <w:spacing w:val="-11"/>
          <w:sz w:val="21"/>
          <w:szCs w:val="21"/>
          <w:highlight w:val="none"/>
        </w:rPr>
        <w:t>述材料、工程设备和工程的质量检查提供必要的试验资料和原始记录。按合同约定应由监理</w:t>
      </w:r>
      <w:r>
        <w:rPr>
          <w:rFonts w:hint="eastAsia" w:cs="宋体"/>
          <w:color w:val="auto"/>
          <w:spacing w:val="-5"/>
          <w:sz w:val="21"/>
          <w:szCs w:val="21"/>
          <w:highlight w:val="none"/>
        </w:rPr>
        <w:t>人与承包人共同进行试验和检验的，由承包人负责提供必要的试验资料和原始记录。</w:t>
      </w:r>
    </w:p>
    <w:p>
      <w:pPr>
        <w:pStyle w:val="20"/>
        <w:widowControl w:val="0"/>
        <w:numPr>
          <w:ilvl w:val="2"/>
          <w:numId w:val="58"/>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8"/>
          <w:sz w:val="21"/>
          <w:szCs w:val="21"/>
          <w:highlight w:val="none"/>
        </w:rPr>
        <w:t>监理人未按合同约定派员参加试验和检验的，除监理人另有指示外，承包人可自</w:t>
      </w:r>
      <w:r>
        <w:rPr>
          <w:rFonts w:hint="eastAsia" w:cs="宋体"/>
          <w:color w:val="auto"/>
          <w:spacing w:val="-4"/>
          <w:sz w:val="21"/>
          <w:szCs w:val="21"/>
          <w:highlight w:val="none"/>
        </w:rPr>
        <w:t>行试验和检验，并应立即将试验和检验结果报送监理人，监理人应签字确认。</w:t>
      </w:r>
    </w:p>
    <w:p>
      <w:pPr>
        <w:pStyle w:val="20"/>
        <w:widowControl w:val="0"/>
        <w:numPr>
          <w:ilvl w:val="2"/>
          <w:numId w:val="58"/>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8"/>
          <w:sz w:val="21"/>
          <w:szCs w:val="21"/>
          <w:highlight w:val="none"/>
        </w:rPr>
        <w:t>监理人对承包人的试验和检验结果有疑问的，或为查清承包人试验和检验成果的</w:t>
      </w:r>
      <w:r>
        <w:rPr>
          <w:rFonts w:hint="eastAsia" w:cs="宋体"/>
          <w:color w:val="auto"/>
          <w:spacing w:val="-9"/>
          <w:sz w:val="21"/>
          <w:szCs w:val="21"/>
          <w:highlight w:val="none"/>
        </w:rPr>
        <w:t>可靠性要求承包人重新试验和检验的，可按合同约定由监理人与承包人共同进行。重新试验</w:t>
      </w:r>
      <w:r>
        <w:rPr>
          <w:rFonts w:hint="eastAsia" w:cs="宋体"/>
          <w:color w:val="auto"/>
          <w:spacing w:val="-11"/>
          <w:sz w:val="21"/>
          <w:szCs w:val="21"/>
          <w:highlight w:val="none"/>
        </w:rPr>
        <w:t>和检验的结果证明该项材料、工程设备或工程的质量不符合合同要求的，由此增加的费用和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25"/>
          <w:sz w:val="21"/>
          <w:szCs w:val="21"/>
          <w:highlight w:val="none"/>
        </w:rPr>
        <w:t>）</w:t>
      </w:r>
      <w:r>
        <w:rPr>
          <w:rFonts w:hint="eastAsia" w:cs="宋体"/>
          <w:color w:val="auto"/>
          <w:spacing w:val="-6"/>
          <w:sz w:val="21"/>
          <w:szCs w:val="21"/>
          <w:highlight w:val="none"/>
        </w:rPr>
        <w:t>工期延误由承包人承担；重新试验和检验结果证明该项材料、工程设备和工程符合合</w:t>
      </w:r>
      <w:r>
        <w:rPr>
          <w:rFonts w:hint="eastAsia" w:cs="宋体"/>
          <w:color w:val="auto"/>
          <w:spacing w:val="-4"/>
          <w:sz w:val="21"/>
          <w:szCs w:val="21"/>
          <w:highlight w:val="none"/>
        </w:rPr>
        <w:t>同要求，由发包人承担由此增加的费用和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3"/>
          <w:sz w:val="21"/>
          <w:szCs w:val="21"/>
          <w:highlight w:val="none"/>
        </w:rPr>
        <w:t xml:space="preserve">）工期延误，并支付承包人合理利润。 </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现场材料试验 </w:t>
      </w:r>
    </w:p>
    <w:p>
      <w:pPr>
        <w:pStyle w:val="20"/>
        <w:widowControl w:val="0"/>
        <w:numPr>
          <w:ilvl w:val="2"/>
          <w:numId w:val="59"/>
        </w:numPr>
        <w:autoSpaceDE w:val="0"/>
        <w:autoSpaceDN w:val="0"/>
        <w:spacing w:before="0" w:beforeAutospacing="0" w:after="0" w:afterAutospacing="0"/>
        <w:rPr>
          <w:rFonts w:cs="宋体"/>
          <w:color w:val="auto"/>
          <w:sz w:val="21"/>
          <w:szCs w:val="21"/>
          <w:highlight w:val="none"/>
        </w:rPr>
      </w:pPr>
      <w:r>
        <w:rPr>
          <w:rFonts w:hint="eastAsia" w:cs="宋体"/>
          <w:color w:val="auto"/>
          <w:spacing w:val="-7"/>
          <w:sz w:val="21"/>
          <w:szCs w:val="21"/>
          <w:highlight w:val="none"/>
        </w:rPr>
        <w:t>承包人根据合同约定或监理人指示进行的现场材料试验，应由承包人提供试验</w:t>
      </w:r>
    </w:p>
    <w:p>
      <w:pPr>
        <w:pStyle w:val="20"/>
        <w:widowControl w:val="0"/>
        <w:autoSpaceDE w:val="0"/>
        <w:autoSpaceDN w:val="0"/>
        <w:spacing w:before="72" w:beforeAutospacing="0" w:after="0" w:afterAutospacing="0"/>
        <w:ind w:left="138"/>
        <w:rPr>
          <w:rFonts w:cs="宋体"/>
          <w:color w:val="auto"/>
          <w:sz w:val="21"/>
          <w:szCs w:val="21"/>
          <w:highlight w:val="none"/>
        </w:rPr>
      </w:pPr>
      <w:r>
        <w:rPr>
          <w:rFonts w:hint="eastAsia" w:cs="宋体"/>
          <w:color w:val="auto"/>
          <w:sz w:val="21"/>
          <w:szCs w:val="21"/>
          <w:highlight w:val="none"/>
        </w:rPr>
        <w:t xml:space="preserve">场所、试验人员、试验设备器材以及其他必要的试验条件。 </w:t>
      </w:r>
    </w:p>
    <w:p>
      <w:pPr>
        <w:pStyle w:val="20"/>
        <w:widowControl w:val="0"/>
        <w:numPr>
          <w:ilvl w:val="2"/>
          <w:numId w:val="59"/>
        </w:numPr>
        <w:autoSpaceDE w:val="0"/>
        <w:autoSpaceDN w:val="0"/>
        <w:spacing w:before="0" w:beforeAutospacing="0" w:after="0" w:afterAutospacing="0" w:line="415" w:lineRule="auto"/>
        <w:ind w:left="138" w:right="321" w:firstLine="419"/>
        <w:rPr>
          <w:rFonts w:cs="宋体"/>
          <w:color w:val="auto"/>
          <w:sz w:val="21"/>
          <w:szCs w:val="21"/>
          <w:highlight w:val="none"/>
        </w:rPr>
      </w:pPr>
      <w:r>
        <w:rPr>
          <w:rFonts w:hint="eastAsia" w:cs="宋体"/>
          <w:color w:val="auto"/>
          <w:spacing w:val="-1"/>
          <w:sz w:val="21"/>
          <w:szCs w:val="21"/>
          <w:highlight w:val="none"/>
        </w:rPr>
        <w:t>监理人在必要时可以使用承包人的试验场所、试验设备器材以及其他试验条件</w:t>
      </w:r>
      <w:r>
        <w:rPr>
          <w:rFonts w:hint="eastAsia" w:cs="宋体"/>
          <w:color w:val="auto"/>
          <w:spacing w:val="-3"/>
          <w:sz w:val="21"/>
          <w:szCs w:val="21"/>
          <w:highlight w:val="none"/>
        </w:rPr>
        <w:t>，进行以工程质量检查为目的的复核性材料试验，承包人应予以协助。</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现场工艺试验 </w:t>
      </w:r>
    </w:p>
    <w:p>
      <w:pPr>
        <w:pStyle w:val="20"/>
        <w:widowControl w:val="0"/>
        <w:autoSpaceDE w:val="0"/>
        <w:autoSpaceDN w:val="0"/>
        <w:spacing w:before="0"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7"/>
          <w:sz w:val="21"/>
          <w:szCs w:val="21"/>
          <w:highlight w:val="none"/>
        </w:rPr>
        <w:t>承包人应按合同约定或监理人指示进行现场工艺试验。对大型的现场工艺试验，监理人</w:t>
      </w:r>
      <w:r>
        <w:rPr>
          <w:rFonts w:hint="eastAsia" w:cs="宋体"/>
          <w:color w:val="auto"/>
          <w:spacing w:val="-10"/>
          <w:sz w:val="21"/>
          <w:szCs w:val="21"/>
          <w:highlight w:val="none"/>
        </w:rPr>
        <w:t>认为必要时，应由承包人根据监理人提出的工艺试验要求，编制工艺试验措施计划，报送监</w:t>
      </w:r>
      <w:r>
        <w:rPr>
          <w:rFonts w:hint="eastAsia" w:cs="宋体"/>
          <w:color w:val="auto"/>
          <w:spacing w:val="-6"/>
          <w:sz w:val="21"/>
          <w:szCs w:val="21"/>
          <w:highlight w:val="none"/>
        </w:rPr>
        <w:t>理人审批。</w:t>
      </w:r>
    </w:p>
    <w:p>
      <w:pPr>
        <w:pStyle w:val="6"/>
        <w:widowControl/>
        <w:numPr>
          <w:ilvl w:val="0"/>
          <w:numId w:val="14"/>
        </w:numPr>
        <w:spacing w:before="0" w:after="0"/>
        <w:ind w:left="560" w:hanging="423"/>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变更</w:t>
      </w:r>
    </w:p>
    <w:p>
      <w:pPr>
        <w:pStyle w:val="7"/>
        <w:widowControl/>
        <w:numPr>
          <w:ilvl w:val="1"/>
          <w:numId w:val="14"/>
        </w:numPr>
        <w:spacing w:before="1"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变更的范围和内容 </w:t>
      </w:r>
    </w:p>
    <w:p>
      <w:pPr>
        <w:pStyle w:val="20"/>
        <w:widowControl w:val="0"/>
        <w:numPr>
          <w:ilvl w:val="2"/>
          <w:numId w:val="60"/>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 xml:space="preserve">在履行合同中发生以下情形之一，应按照本条规定进行变更。 </w:t>
      </w:r>
    </w:p>
    <w:p>
      <w:pPr>
        <w:pStyle w:val="20"/>
        <w:widowControl w:val="0"/>
        <w:numPr>
          <w:ilvl w:val="0"/>
          <w:numId w:val="61"/>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取消合同中任何一项工作，但被取消的工作不能转由发包人或其他人实施；</w:t>
      </w:r>
    </w:p>
    <w:p>
      <w:pPr>
        <w:pStyle w:val="20"/>
        <w:widowControl w:val="0"/>
        <w:numPr>
          <w:ilvl w:val="0"/>
          <w:numId w:val="61"/>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改变合同中任何一项工作的质量或其他特性；</w:t>
      </w:r>
    </w:p>
    <w:p>
      <w:pPr>
        <w:pStyle w:val="20"/>
        <w:widowControl w:val="0"/>
        <w:numPr>
          <w:ilvl w:val="0"/>
          <w:numId w:val="61"/>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改变合同工程的基线、标高、位置或尺寸；</w:t>
      </w:r>
    </w:p>
    <w:p>
      <w:pPr>
        <w:pStyle w:val="20"/>
        <w:widowControl w:val="0"/>
        <w:numPr>
          <w:ilvl w:val="0"/>
          <w:numId w:val="61"/>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 xml:space="preserve">改变合同中任何一项工作的施工时间或改变已批准的施工工艺或顺序； </w:t>
      </w:r>
    </w:p>
    <w:p>
      <w:pPr>
        <w:pStyle w:val="20"/>
        <w:widowControl w:val="0"/>
        <w:numPr>
          <w:ilvl w:val="0"/>
          <w:numId w:val="61"/>
        </w:numPr>
        <w:autoSpaceDE w:val="0"/>
        <w:autoSpaceDN w:val="0"/>
        <w:spacing w:before="1"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为完成工程需要追加的额外工作；</w:t>
      </w:r>
    </w:p>
    <w:p>
      <w:pPr>
        <w:pStyle w:val="20"/>
        <w:widowControl w:val="0"/>
        <w:numPr>
          <w:ilvl w:val="0"/>
          <w:numId w:val="61"/>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变更的其他情形见合同条款专用部分。</w:t>
      </w:r>
    </w:p>
    <w:p>
      <w:pPr>
        <w:pStyle w:val="20"/>
        <w:widowControl w:val="0"/>
        <w:numPr>
          <w:ilvl w:val="2"/>
          <w:numId w:val="60"/>
        </w:numPr>
        <w:autoSpaceDE w:val="0"/>
        <w:autoSpaceDN w:val="0"/>
        <w:spacing w:before="0"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6"/>
          <w:sz w:val="21"/>
          <w:szCs w:val="21"/>
          <w:highlight w:val="none"/>
        </w:rPr>
        <w:t xml:space="preserve">发包人违背第 </w:t>
      </w:r>
      <w:r>
        <w:rPr>
          <w:rFonts w:hint="eastAsia" w:cs="宋体"/>
          <w:color w:val="auto"/>
          <w:spacing w:val="-5"/>
          <w:sz w:val="21"/>
          <w:szCs w:val="21"/>
          <w:highlight w:val="none"/>
        </w:rPr>
        <w:t>15.1（1）目的约定，将被取消的合同中的工作转由发包人或其他</w:t>
      </w:r>
      <w:r>
        <w:rPr>
          <w:rFonts w:hint="eastAsia" w:cs="宋体"/>
          <w:color w:val="auto"/>
          <w:spacing w:val="-10"/>
          <w:sz w:val="21"/>
          <w:szCs w:val="21"/>
          <w:highlight w:val="none"/>
        </w:rPr>
        <w:t>人实施的，承包人可向监理人发出通知，要求发包人采取有效措施纠正违约行为，发包人在</w:t>
      </w:r>
      <w:r>
        <w:rPr>
          <w:rFonts w:hint="eastAsia" w:cs="宋体"/>
          <w:color w:val="auto"/>
          <w:spacing w:val="-6"/>
          <w:sz w:val="21"/>
          <w:szCs w:val="21"/>
          <w:highlight w:val="none"/>
        </w:rPr>
        <w:t xml:space="preserve">监理人收到承包人通知后 </w:t>
      </w:r>
      <w:r>
        <w:rPr>
          <w:rFonts w:hint="eastAsia" w:cs="宋体"/>
          <w:color w:val="auto"/>
          <w:sz w:val="21"/>
          <w:szCs w:val="21"/>
          <w:highlight w:val="none"/>
        </w:rPr>
        <w:t>28</w:t>
      </w:r>
      <w:r>
        <w:rPr>
          <w:rFonts w:hint="eastAsia" w:cs="宋体"/>
          <w:color w:val="auto"/>
          <w:spacing w:val="-6"/>
          <w:sz w:val="21"/>
          <w:szCs w:val="21"/>
          <w:highlight w:val="none"/>
        </w:rPr>
        <w:t xml:space="preserve"> 天内仍不纠正违约行为的，应当赔偿承包人损失</w:t>
      </w:r>
      <w:r>
        <w:rPr>
          <w:rFonts w:hint="eastAsia" w:cs="宋体"/>
          <w:color w:val="auto"/>
          <w:sz w:val="21"/>
          <w:szCs w:val="21"/>
          <w:highlight w:val="none"/>
        </w:rPr>
        <w:t>（</w:t>
      </w:r>
      <w:r>
        <w:rPr>
          <w:rFonts w:hint="eastAsia" w:cs="宋体"/>
          <w:color w:val="auto"/>
          <w:spacing w:val="-3"/>
          <w:sz w:val="21"/>
          <w:szCs w:val="21"/>
          <w:highlight w:val="none"/>
        </w:rPr>
        <w:t>包括合理的利润</w:t>
      </w:r>
      <w:r>
        <w:rPr>
          <w:rFonts w:hint="eastAsia" w:cs="宋体"/>
          <w:color w:val="auto"/>
          <w:sz w:val="21"/>
          <w:szCs w:val="21"/>
          <w:highlight w:val="none"/>
        </w:rPr>
        <w:t>）</w:t>
      </w:r>
      <w:r>
        <w:rPr>
          <w:rFonts w:hint="eastAsia" w:cs="宋体"/>
          <w:color w:val="auto"/>
          <w:spacing w:val="-4"/>
          <w:sz w:val="21"/>
          <w:szCs w:val="21"/>
          <w:highlight w:val="none"/>
        </w:rPr>
        <w:t xml:space="preserve">并承担由此引起的其他责任。承包人应当按第 </w:t>
      </w:r>
      <w:r>
        <w:rPr>
          <w:rFonts w:hint="eastAsia" w:cs="宋体"/>
          <w:color w:val="auto"/>
          <w:sz w:val="21"/>
          <w:szCs w:val="21"/>
          <w:highlight w:val="none"/>
        </w:rPr>
        <w:t>23.1（1）</w:t>
      </w:r>
      <w:r>
        <w:rPr>
          <w:rFonts w:hint="eastAsia" w:cs="宋体"/>
          <w:color w:val="auto"/>
          <w:spacing w:val="-5"/>
          <w:sz w:val="21"/>
          <w:szCs w:val="21"/>
          <w:highlight w:val="none"/>
        </w:rPr>
        <w:t xml:space="preserve">项的约定，在上述 </w:t>
      </w:r>
      <w:r>
        <w:rPr>
          <w:rFonts w:hint="eastAsia" w:cs="宋体"/>
          <w:color w:val="auto"/>
          <w:sz w:val="21"/>
          <w:szCs w:val="21"/>
          <w:highlight w:val="none"/>
        </w:rPr>
        <w:t>28</w:t>
      </w:r>
      <w:r>
        <w:rPr>
          <w:rFonts w:hint="eastAsia" w:cs="宋体"/>
          <w:color w:val="auto"/>
          <w:spacing w:val="-6"/>
          <w:sz w:val="21"/>
          <w:szCs w:val="21"/>
          <w:highlight w:val="none"/>
        </w:rPr>
        <w:t xml:space="preserve"> 天期</w:t>
      </w:r>
      <w:r>
        <w:rPr>
          <w:rFonts w:hint="eastAsia" w:cs="宋体"/>
          <w:color w:val="auto"/>
          <w:spacing w:val="-10"/>
          <w:sz w:val="21"/>
          <w:szCs w:val="21"/>
          <w:highlight w:val="none"/>
        </w:rPr>
        <w:t xml:space="preserve">限到期后的 </w:t>
      </w:r>
      <w:r>
        <w:rPr>
          <w:rFonts w:hint="eastAsia" w:cs="宋体"/>
          <w:color w:val="auto"/>
          <w:sz w:val="21"/>
          <w:szCs w:val="21"/>
          <w:highlight w:val="none"/>
        </w:rPr>
        <w:t>28</w:t>
      </w:r>
      <w:r>
        <w:rPr>
          <w:rFonts w:hint="eastAsia" w:cs="宋体"/>
          <w:color w:val="auto"/>
          <w:spacing w:val="-10"/>
          <w:sz w:val="21"/>
          <w:szCs w:val="21"/>
          <w:highlight w:val="none"/>
        </w:rPr>
        <w:t xml:space="preserve"> 天内，向监理人递交索赔意向通知书,并按第 </w:t>
      </w:r>
      <w:r>
        <w:rPr>
          <w:rFonts w:hint="eastAsia" w:cs="宋体"/>
          <w:color w:val="auto"/>
          <w:spacing w:val="-4"/>
          <w:sz w:val="21"/>
          <w:szCs w:val="21"/>
          <w:highlight w:val="none"/>
        </w:rPr>
        <w:t>23.1（2）</w:t>
      </w:r>
      <w:r>
        <w:rPr>
          <w:rFonts w:hint="eastAsia" w:cs="宋体"/>
          <w:color w:val="auto"/>
          <w:spacing w:val="-5"/>
          <w:sz w:val="21"/>
          <w:szCs w:val="21"/>
          <w:highlight w:val="none"/>
        </w:rPr>
        <w:t>项的约定，及时向监</w:t>
      </w:r>
      <w:r>
        <w:rPr>
          <w:rFonts w:hint="eastAsia" w:cs="宋体"/>
          <w:color w:val="auto"/>
          <w:spacing w:val="-9"/>
          <w:sz w:val="21"/>
          <w:szCs w:val="21"/>
          <w:highlight w:val="none"/>
        </w:rPr>
        <w:t>理人递交正式索赔通知书，说明有权得到的损失赔偿金额并附必要的记录和证明材料。发包人支付给承包人的损失赔偿金额应当包括被取消工作的合同价值中所包含的承包人管理费</w:t>
      </w:r>
      <w:r>
        <w:rPr>
          <w:rFonts w:hint="eastAsia" w:cs="宋体"/>
          <w:color w:val="auto"/>
          <w:spacing w:val="-4"/>
          <w:sz w:val="21"/>
          <w:szCs w:val="21"/>
          <w:highlight w:val="none"/>
        </w:rPr>
        <w:t>、利润以及相应的税金和规费。</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变更权 </w:t>
      </w:r>
    </w:p>
    <w:p>
      <w:pPr>
        <w:pStyle w:val="20"/>
        <w:widowControl w:val="0"/>
        <w:autoSpaceDE w:val="0"/>
        <w:autoSpaceDN w:val="0"/>
        <w:spacing w:before="0"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5"/>
          <w:sz w:val="21"/>
          <w:szCs w:val="21"/>
          <w:highlight w:val="none"/>
        </w:rPr>
        <w:t xml:space="preserve">在履行合同过程中，经发包人同意，监理人可按第 </w:t>
      </w:r>
      <w:r>
        <w:rPr>
          <w:rFonts w:hint="eastAsia" w:cs="宋体"/>
          <w:color w:val="auto"/>
          <w:sz w:val="21"/>
          <w:szCs w:val="21"/>
          <w:highlight w:val="none"/>
        </w:rPr>
        <w:t>15.3</w:t>
      </w:r>
      <w:r>
        <w:rPr>
          <w:rFonts w:hint="eastAsia" w:cs="宋体"/>
          <w:color w:val="auto"/>
          <w:spacing w:val="-7"/>
          <w:sz w:val="21"/>
          <w:szCs w:val="21"/>
          <w:highlight w:val="none"/>
        </w:rPr>
        <w:t xml:space="preserve"> 款约定的变更程序向承包人作</w:t>
      </w:r>
      <w:r>
        <w:rPr>
          <w:rFonts w:hint="eastAsia" w:cs="宋体"/>
          <w:color w:val="auto"/>
          <w:spacing w:val="-5"/>
          <w:sz w:val="21"/>
          <w:szCs w:val="21"/>
          <w:highlight w:val="none"/>
        </w:rPr>
        <w:t>出变更指示，承包人应遵照执行。没有监理人的变更指示，承包人不得擅自变更。</w:t>
      </w:r>
    </w:p>
    <w:p>
      <w:pPr>
        <w:pStyle w:val="7"/>
        <w:widowControl/>
        <w:numPr>
          <w:ilvl w:val="1"/>
          <w:numId w:val="14"/>
        </w:numPr>
        <w:spacing w:before="66"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变更程序 </w:t>
      </w:r>
    </w:p>
    <w:p>
      <w:pPr>
        <w:pStyle w:val="20"/>
        <w:widowControl w:val="0"/>
        <w:numPr>
          <w:ilvl w:val="2"/>
          <w:numId w:val="62"/>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 xml:space="preserve">变更的提出 </w:t>
      </w:r>
    </w:p>
    <w:p>
      <w:pPr>
        <w:pStyle w:val="20"/>
        <w:widowControl w:val="0"/>
        <w:numPr>
          <w:ilvl w:val="0"/>
          <w:numId w:val="63"/>
        </w:numPr>
        <w:autoSpaceDE w:val="0"/>
        <w:autoSpaceDN w:val="0"/>
        <w:spacing w:before="0" w:beforeAutospacing="0" w:after="0" w:afterAutospacing="0" w:line="415" w:lineRule="auto"/>
        <w:ind w:right="308" w:firstLine="314"/>
        <w:jc w:val="both"/>
        <w:rPr>
          <w:rFonts w:cs="宋体"/>
          <w:color w:val="auto"/>
          <w:sz w:val="21"/>
          <w:szCs w:val="21"/>
          <w:highlight w:val="none"/>
        </w:rPr>
      </w:pPr>
      <w:r>
        <w:rPr>
          <w:rFonts w:hint="eastAsia" w:cs="宋体"/>
          <w:color w:val="auto"/>
          <w:spacing w:val="-5"/>
          <w:sz w:val="21"/>
          <w:szCs w:val="21"/>
          <w:highlight w:val="none"/>
        </w:rPr>
        <w:t xml:space="preserve">在合同履行过程中，可能发生第 </w:t>
      </w:r>
      <w:r>
        <w:rPr>
          <w:rFonts w:hint="eastAsia" w:cs="宋体"/>
          <w:color w:val="auto"/>
          <w:sz w:val="21"/>
          <w:szCs w:val="21"/>
          <w:highlight w:val="none"/>
        </w:rPr>
        <w:t>15.1.1</w:t>
      </w:r>
      <w:r>
        <w:rPr>
          <w:rFonts w:hint="eastAsia" w:cs="宋体"/>
          <w:color w:val="auto"/>
          <w:spacing w:val="-7"/>
          <w:sz w:val="21"/>
          <w:szCs w:val="21"/>
          <w:highlight w:val="none"/>
        </w:rPr>
        <w:t xml:space="preserve"> 项约定情形的，监理人可向承包人发出变</w:t>
      </w:r>
      <w:r>
        <w:rPr>
          <w:rFonts w:hint="eastAsia" w:cs="宋体"/>
          <w:color w:val="auto"/>
          <w:spacing w:val="-12"/>
          <w:sz w:val="21"/>
          <w:szCs w:val="21"/>
          <w:highlight w:val="none"/>
        </w:rPr>
        <w:t>更意向书。变更意向书应说明变更的具体内容和发包人对变更的时间要求，并附必要的图纸和相关资料。变更意向书应要求承包人提交包括拟实施变更工作的计划、措施和竣工时间等</w:t>
      </w:r>
      <w:r>
        <w:rPr>
          <w:rFonts w:hint="eastAsia" w:cs="宋体"/>
          <w:color w:val="auto"/>
          <w:spacing w:val="-11"/>
          <w:sz w:val="21"/>
          <w:szCs w:val="21"/>
          <w:highlight w:val="none"/>
        </w:rPr>
        <w:t>内容的实施方案。发包人同意承包人根据变更意向书要求提交的变更实施方案的，由监理人</w:t>
      </w:r>
      <w:r>
        <w:rPr>
          <w:rFonts w:hint="eastAsia" w:cs="宋体"/>
          <w:color w:val="auto"/>
          <w:spacing w:val="-25"/>
          <w:sz w:val="21"/>
          <w:szCs w:val="21"/>
          <w:highlight w:val="none"/>
        </w:rPr>
        <w:t xml:space="preserve">按第 </w:t>
      </w:r>
      <w:r>
        <w:rPr>
          <w:rFonts w:hint="eastAsia" w:cs="宋体"/>
          <w:color w:val="auto"/>
          <w:sz w:val="21"/>
          <w:szCs w:val="21"/>
          <w:highlight w:val="none"/>
        </w:rPr>
        <w:t>15.3.3</w:t>
      </w:r>
      <w:r>
        <w:rPr>
          <w:rFonts w:hint="eastAsia" w:cs="宋体"/>
          <w:color w:val="auto"/>
          <w:spacing w:val="-8"/>
          <w:sz w:val="21"/>
          <w:szCs w:val="21"/>
          <w:highlight w:val="none"/>
        </w:rPr>
        <w:t xml:space="preserve"> 项约定发出变更指示。</w:t>
      </w:r>
    </w:p>
    <w:p>
      <w:pPr>
        <w:pStyle w:val="20"/>
        <w:widowControl w:val="0"/>
        <w:numPr>
          <w:ilvl w:val="0"/>
          <w:numId w:val="63"/>
        </w:numPr>
        <w:autoSpaceDE w:val="0"/>
        <w:autoSpaceDN w:val="0"/>
        <w:spacing w:before="0" w:beforeAutospacing="0" w:after="0" w:afterAutospacing="0" w:line="415" w:lineRule="auto"/>
        <w:ind w:right="311" w:firstLine="314"/>
        <w:jc w:val="both"/>
        <w:rPr>
          <w:rFonts w:cs="宋体"/>
          <w:color w:val="auto"/>
          <w:sz w:val="21"/>
          <w:szCs w:val="21"/>
          <w:highlight w:val="none"/>
        </w:rPr>
      </w:pPr>
      <w:r>
        <w:rPr>
          <w:rFonts w:hint="eastAsia" w:cs="宋体"/>
          <w:color w:val="auto"/>
          <w:spacing w:val="-11"/>
          <w:sz w:val="21"/>
          <w:szCs w:val="21"/>
          <w:highlight w:val="none"/>
        </w:rPr>
        <w:t xml:space="preserve">在合同履行过程中，发生第 </w:t>
      </w:r>
      <w:r>
        <w:rPr>
          <w:rFonts w:hint="eastAsia" w:cs="宋体"/>
          <w:color w:val="auto"/>
          <w:sz w:val="21"/>
          <w:szCs w:val="21"/>
          <w:highlight w:val="none"/>
        </w:rPr>
        <w:t>15.1.1</w:t>
      </w:r>
      <w:r>
        <w:rPr>
          <w:rFonts w:hint="eastAsia" w:cs="宋体"/>
          <w:color w:val="auto"/>
          <w:spacing w:val="-14"/>
          <w:sz w:val="21"/>
          <w:szCs w:val="21"/>
          <w:highlight w:val="none"/>
        </w:rPr>
        <w:t xml:space="preserve"> 项约定情形的，监理人应按照第 </w:t>
      </w:r>
      <w:r>
        <w:rPr>
          <w:rFonts w:hint="eastAsia" w:cs="宋体"/>
          <w:color w:val="auto"/>
          <w:sz w:val="21"/>
          <w:szCs w:val="21"/>
          <w:highlight w:val="none"/>
        </w:rPr>
        <w:t>15.3.3</w:t>
      </w:r>
      <w:r>
        <w:rPr>
          <w:rFonts w:hint="eastAsia" w:cs="宋体"/>
          <w:color w:val="auto"/>
          <w:spacing w:val="-17"/>
          <w:sz w:val="21"/>
          <w:szCs w:val="21"/>
          <w:highlight w:val="none"/>
        </w:rPr>
        <w:t xml:space="preserve"> 项约</w:t>
      </w:r>
      <w:r>
        <w:rPr>
          <w:rFonts w:hint="eastAsia" w:cs="宋体"/>
          <w:color w:val="auto"/>
          <w:spacing w:val="-3"/>
          <w:sz w:val="21"/>
          <w:szCs w:val="21"/>
          <w:highlight w:val="none"/>
        </w:rPr>
        <w:t>定向承包人发出变更指示。</w:t>
      </w:r>
    </w:p>
    <w:p>
      <w:pPr>
        <w:pStyle w:val="20"/>
        <w:widowControl w:val="0"/>
        <w:numPr>
          <w:ilvl w:val="0"/>
          <w:numId w:val="63"/>
        </w:numPr>
        <w:autoSpaceDE w:val="0"/>
        <w:autoSpaceDN w:val="0"/>
        <w:spacing w:before="0" w:beforeAutospacing="0" w:after="0" w:afterAutospacing="0" w:line="415" w:lineRule="auto"/>
        <w:ind w:right="308" w:firstLine="314"/>
        <w:jc w:val="both"/>
        <w:rPr>
          <w:rFonts w:cs="宋体"/>
          <w:color w:val="auto"/>
          <w:sz w:val="21"/>
          <w:szCs w:val="21"/>
          <w:highlight w:val="none"/>
        </w:rPr>
      </w:pPr>
      <w:r>
        <w:rPr>
          <w:rFonts w:hint="eastAsia" w:cs="宋体"/>
          <w:color w:val="auto"/>
          <w:spacing w:val="-2"/>
          <w:sz w:val="21"/>
          <w:szCs w:val="21"/>
          <w:highlight w:val="none"/>
        </w:rPr>
        <w:t xml:space="preserve">承包人收到监理人按合同约定发出的图纸和文件，经检查认为其中存在第 </w:t>
      </w:r>
      <w:r>
        <w:rPr>
          <w:rFonts w:hint="eastAsia" w:cs="宋体"/>
          <w:color w:val="auto"/>
          <w:sz w:val="21"/>
          <w:szCs w:val="21"/>
          <w:highlight w:val="none"/>
        </w:rPr>
        <w:t xml:space="preserve">15.1.1 </w:t>
      </w:r>
      <w:r>
        <w:rPr>
          <w:rFonts w:hint="eastAsia" w:cs="宋体"/>
          <w:color w:val="auto"/>
          <w:spacing w:val="-10"/>
          <w:sz w:val="21"/>
          <w:szCs w:val="21"/>
          <w:highlight w:val="none"/>
        </w:rPr>
        <w:t>项约定情形的，可向监理人提出书面变更建议。变更建议应阐明要求变更的依据，并附必要</w:t>
      </w:r>
      <w:r>
        <w:rPr>
          <w:rFonts w:hint="eastAsia" w:cs="宋体"/>
          <w:color w:val="auto"/>
          <w:spacing w:val="-11"/>
          <w:sz w:val="21"/>
          <w:szCs w:val="21"/>
          <w:highlight w:val="none"/>
        </w:rPr>
        <w:t>的图纸和说明。监理人收到承包人书面建议后，应与发包人共同研究，确认存在变更的，应</w:t>
      </w:r>
      <w:r>
        <w:rPr>
          <w:rFonts w:hint="eastAsia" w:cs="宋体"/>
          <w:color w:val="auto"/>
          <w:spacing w:val="-8"/>
          <w:sz w:val="21"/>
          <w:szCs w:val="21"/>
          <w:highlight w:val="none"/>
        </w:rPr>
        <w:t xml:space="preserve">在收到承包人书面建议后的 </w:t>
      </w:r>
      <w:r>
        <w:rPr>
          <w:rFonts w:hint="eastAsia" w:cs="宋体"/>
          <w:color w:val="auto"/>
          <w:sz w:val="21"/>
          <w:szCs w:val="21"/>
          <w:highlight w:val="none"/>
        </w:rPr>
        <w:t>14</w:t>
      </w:r>
      <w:r>
        <w:rPr>
          <w:rFonts w:hint="eastAsia" w:cs="宋体"/>
          <w:color w:val="auto"/>
          <w:spacing w:val="-6"/>
          <w:sz w:val="21"/>
          <w:szCs w:val="21"/>
          <w:highlight w:val="none"/>
        </w:rPr>
        <w:t xml:space="preserve"> 天内作出变更指示。经研究后不同意作为变更的，应由监理</w:t>
      </w:r>
      <w:r>
        <w:rPr>
          <w:rFonts w:hint="eastAsia" w:cs="宋体"/>
          <w:color w:val="auto"/>
          <w:spacing w:val="-4"/>
          <w:sz w:val="21"/>
          <w:szCs w:val="21"/>
          <w:highlight w:val="none"/>
        </w:rPr>
        <w:t>人书面答复承包人。</w:t>
      </w:r>
    </w:p>
    <w:p>
      <w:pPr>
        <w:pStyle w:val="20"/>
        <w:widowControl w:val="0"/>
        <w:numPr>
          <w:ilvl w:val="0"/>
          <w:numId w:val="63"/>
        </w:numPr>
        <w:autoSpaceDE w:val="0"/>
        <w:autoSpaceDN w:val="0"/>
        <w:spacing w:before="0" w:beforeAutospacing="0" w:after="0" w:afterAutospacing="0" w:line="415" w:lineRule="auto"/>
        <w:ind w:right="220" w:firstLine="314"/>
        <w:rPr>
          <w:rFonts w:cs="宋体"/>
          <w:color w:val="auto"/>
          <w:sz w:val="21"/>
          <w:szCs w:val="21"/>
          <w:highlight w:val="none"/>
        </w:rPr>
      </w:pPr>
      <w:r>
        <w:rPr>
          <w:rFonts w:hint="eastAsia" w:cs="宋体"/>
          <w:color w:val="auto"/>
          <w:spacing w:val="-3"/>
          <w:sz w:val="21"/>
          <w:szCs w:val="21"/>
          <w:highlight w:val="none"/>
        </w:rPr>
        <w:t xml:space="preserve">若承包人收到监理人的变更意向书后认为难以实施此项变更，应立即通知监理人， </w:t>
      </w:r>
      <w:r>
        <w:rPr>
          <w:rFonts w:hint="eastAsia" w:cs="宋体"/>
          <w:color w:val="auto"/>
          <w:spacing w:val="-9"/>
          <w:sz w:val="21"/>
          <w:szCs w:val="21"/>
          <w:highlight w:val="none"/>
        </w:rPr>
        <w:t>说明原因并附详细依据。监理人与承包人和发包人协商后确定撤销、改变或不改变原变更意</w:t>
      </w:r>
      <w:r>
        <w:rPr>
          <w:rFonts w:hint="eastAsia" w:cs="宋体"/>
          <w:color w:val="auto"/>
          <w:spacing w:val="-8"/>
          <w:sz w:val="21"/>
          <w:szCs w:val="21"/>
          <w:highlight w:val="none"/>
        </w:rPr>
        <w:t>向书。</w:t>
      </w:r>
    </w:p>
    <w:p>
      <w:pPr>
        <w:pStyle w:val="20"/>
        <w:widowControl w:val="0"/>
        <w:numPr>
          <w:ilvl w:val="2"/>
          <w:numId w:val="62"/>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 xml:space="preserve">变更估价 </w:t>
      </w:r>
    </w:p>
    <w:p>
      <w:pPr>
        <w:pStyle w:val="20"/>
        <w:widowControl w:val="0"/>
        <w:numPr>
          <w:ilvl w:val="0"/>
          <w:numId w:val="64"/>
        </w:numPr>
        <w:autoSpaceDE w:val="0"/>
        <w:autoSpaceDN w:val="0"/>
        <w:spacing w:before="1" w:beforeAutospacing="0" w:after="0" w:afterAutospacing="0" w:line="415" w:lineRule="auto"/>
        <w:ind w:right="308" w:firstLine="314"/>
        <w:jc w:val="both"/>
        <w:rPr>
          <w:rFonts w:cs="宋体"/>
          <w:color w:val="auto"/>
          <w:sz w:val="21"/>
          <w:szCs w:val="21"/>
          <w:highlight w:val="none"/>
        </w:rPr>
      </w:pPr>
      <w:r>
        <w:rPr>
          <w:rFonts w:hint="eastAsia" w:cs="宋体"/>
          <w:color w:val="auto"/>
          <w:spacing w:val="-6"/>
          <w:sz w:val="21"/>
          <w:szCs w:val="21"/>
          <w:highlight w:val="none"/>
        </w:rPr>
        <w:t xml:space="preserve">除合同条款专用部分对期限另有约定外，承包人应在收到变更指示或变更意向书 </w:t>
      </w:r>
      <w:r>
        <w:rPr>
          <w:rFonts w:hint="eastAsia" w:cs="宋体"/>
          <w:color w:val="auto"/>
          <w:spacing w:val="-19"/>
          <w:sz w:val="21"/>
          <w:szCs w:val="21"/>
          <w:highlight w:val="none"/>
        </w:rPr>
        <w:t xml:space="preserve">后的 </w:t>
      </w:r>
      <w:r>
        <w:rPr>
          <w:rFonts w:hint="eastAsia" w:cs="宋体"/>
          <w:color w:val="auto"/>
          <w:sz w:val="21"/>
          <w:szCs w:val="21"/>
          <w:highlight w:val="none"/>
        </w:rPr>
        <w:t>14</w:t>
      </w:r>
      <w:r>
        <w:rPr>
          <w:rFonts w:hint="eastAsia" w:cs="宋体"/>
          <w:color w:val="auto"/>
          <w:spacing w:val="-15"/>
          <w:sz w:val="21"/>
          <w:szCs w:val="21"/>
          <w:highlight w:val="none"/>
        </w:rPr>
        <w:t xml:space="preserve"> 天内，向监理人提交变更报价书，报价内容应根据第 </w:t>
      </w:r>
      <w:r>
        <w:rPr>
          <w:rFonts w:hint="eastAsia" w:cs="宋体"/>
          <w:color w:val="auto"/>
          <w:sz w:val="21"/>
          <w:szCs w:val="21"/>
          <w:highlight w:val="none"/>
        </w:rPr>
        <w:t>15.4</w:t>
      </w:r>
      <w:r>
        <w:rPr>
          <w:rFonts w:hint="eastAsia" w:cs="宋体"/>
          <w:color w:val="auto"/>
          <w:spacing w:val="-11"/>
          <w:sz w:val="21"/>
          <w:szCs w:val="21"/>
          <w:highlight w:val="none"/>
        </w:rPr>
        <w:t xml:space="preserve"> 款约定的估价原则，详细</w:t>
      </w:r>
      <w:r>
        <w:rPr>
          <w:rFonts w:hint="eastAsia" w:cs="宋体"/>
          <w:color w:val="auto"/>
          <w:spacing w:val="-12"/>
          <w:sz w:val="21"/>
          <w:szCs w:val="21"/>
          <w:highlight w:val="none"/>
        </w:rPr>
        <w:t>开列变更工作的价格组成及其依据，并附必要的施工方法说明和有关图纸。承包人提交变更</w:t>
      </w:r>
      <w:r>
        <w:rPr>
          <w:rFonts w:hint="eastAsia" w:cs="宋体"/>
          <w:color w:val="auto"/>
          <w:spacing w:val="-7"/>
          <w:sz w:val="21"/>
          <w:szCs w:val="21"/>
          <w:highlight w:val="none"/>
        </w:rPr>
        <w:t>报价书的期限见合同条款专用部分。</w:t>
      </w:r>
    </w:p>
    <w:p>
      <w:pPr>
        <w:pStyle w:val="20"/>
        <w:widowControl w:val="0"/>
        <w:numPr>
          <w:ilvl w:val="0"/>
          <w:numId w:val="64"/>
        </w:numPr>
        <w:autoSpaceDE w:val="0"/>
        <w:autoSpaceDN w:val="0"/>
        <w:spacing w:before="0" w:beforeAutospacing="0" w:after="0" w:afterAutospacing="0" w:line="415" w:lineRule="auto"/>
        <w:ind w:right="220" w:firstLine="314"/>
        <w:rPr>
          <w:rFonts w:cs="宋体"/>
          <w:color w:val="auto"/>
          <w:sz w:val="21"/>
          <w:szCs w:val="21"/>
          <w:highlight w:val="none"/>
        </w:rPr>
      </w:pPr>
      <w:r>
        <w:rPr>
          <w:rFonts w:hint="eastAsia" w:cs="宋体"/>
          <w:color w:val="auto"/>
          <w:spacing w:val="-3"/>
          <w:sz w:val="21"/>
          <w:szCs w:val="21"/>
          <w:highlight w:val="none"/>
        </w:rPr>
        <w:t>变更工作影响工期的，承包人应提出调整工期的具体细节。监理人认为有必要时， 可要求承包人提交要求提前或延长工期的施工进度计划，及相应施工措施等详细资料。</w:t>
      </w:r>
    </w:p>
    <w:p>
      <w:pPr>
        <w:pStyle w:val="20"/>
        <w:widowControl w:val="0"/>
        <w:numPr>
          <w:ilvl w:val="0"/>
          <w:numId w:val="64"/>
        </w:numPr>
        <w:autoSpaceDE w:val="0"/>
        <w:autoSpaceDN w:val="0"/>
        <w:spacing w:before="0" w:beforeAutospacing="0" w:after="0" w:afterAutospacing="0" w:line="269" w:lineRule="exact"/>
        <w:ind w:left="981" w:hanging="530"/>
        <w:rPr>
          <w:rFonts w:cs="宋体"/>
          <w:color w:val="auto"/>
          <w:sz w:val="21"/>
          <w:szCs w:val="21"/>
          <w:highlight w:val="none"/>
        </w:rPr>
      </w:pPr>
      <w:r>
        <w:rPr>
          <w:rFonts w:hint="eastAsia" w:cs="宋体"/>
          <w:color w:val="auto"/>
          <w:spacing w:val="-5"/>
          <w:sz w:val="21"/>
          <w:szCs w:val="21"/>
          <w:highlight w:val="none"/>
        </w:rPr>
        <w:t xml:space="preserve">除合同条款专用部分对期限另有约定外，监理人收到承包人变更报价书后的 </w:t>
      </w:r>
      <w:r>
        <w:rPr>
          <w:rFonts w:hint="eastAsia" w:cs="宋体"/>
          <w:color w:val="auto"/>
          <w:sz w:val="21"/>
          <w:szCs w:val="21"/>
          <w:highlight w:val="none"/>
        </w:rPr>
        <w:t>14</w:t>
      </w:r>
      <w:r>
        <w:rPr>
          <w:rFonts w:hint="eastAsia" w:cs="宋体"/>
          <w:color w:val="auto"/>
          <w:spacing w:val="-20"/>
          <w:sz w:val="21"/>
          <w:szCs w:val="21"/>
          <w:highlight w:val="none"/>
        </w:rPr>
        <w:t xml:space="preserve"> 天</w:t>
      </w:r>
    </w:p>
    <w:p>
      <w:pPr>
        <w:pStyle w:val="20"/>
        <w:widowControl w:val="0"/>
        <w:autoSpaceDE w:val="0"/>
        <w:autoSpaceDN w:val="0"/>
        <w:spacing w:before="6" w:beforeAutospacing="0" w:after="0" w:afterAutospacing="0"/>
        <w:rPr>
          <w:rFonts w:cs="宋体"/>
          <w:color w:val="auto"/>
          <w:sz w:val="15"/>
          <w:szCs w:val="15"/>
          <w:highlight w:val="none"/>
        </w:rPr>
      </w:pPr>
    </w:p>
    <w:p>
      <w:pPr>
        <w:pStyle w:val="20"/>
        <w:widowControl w:val="0"/>
        <w:autoSpaceDE w:val="0"/>
        <w:autoSpaceDN w:val="0"/>
        <w:spacing w:before="0" w:beforeAutospacing="0" w:after="0" w:afterAutospacing="0" w:line="415" w:lineRule="auto"/>
        <w:ind w:left="138" w:right="308"/>
        <w:rPr>
          <w:rFonts w:cs="宋体"/>
          <w:color w:val="auto"/>
          <w:sz w:val="21"/>
          <w:szCs w:val="21"/>
          <w:highlight w:val="none"/>
        </w:rPr>
      </w:pPr>
      <w:r>
        <w:rPr>
          <w:rFonts w:hint="eastAsia" w:cs="宋体"/>
          <w:color w:val="auto"/>
          <w:spacing w:val="-8"/>
          <w:sz w:val="21"/>
          <w:szCs w:val="21"/>
          <w:highlight w:val="none"/>
        </w:rPr>
        <w:t xml:space="preserve">内，根据第 </w:t>
      </w:r>
      <w:r>
        <w:rPr>
          <w:rFonts w:hint="eastAsia" w:cs="宋体"/>
          <w:color w:val="auto"/>
          <w:sz w:val="21"/>
          <w:szCs w:val="21"/>
          <w:highlight w:val="none"/>
        </w:rPr>
        <w:t>15.4</w:t>
      </w:r>
      <w:r>
        <w:rPr>
          <w:rFonts w:hint="eastAsia" w:cs="宋体"/>
          <w:color w:val="auto"/>
          <w:spacing w:val="-11"/>
          <w:sz w:val="21"/>
          <w:szCs w:val="21"/>
          <w:highlight w:val="none"/>
        </w:rPr>
        <w:t xml:space="preserve"> 款约定的估价原则，按照第 </w:t>
      </w:r>
      <w:r>
        <w:rPr>
          <w:rFonts w:hint="eastAsia" w:cs="宋体"/>
          <w:color w:val="auto"/>
          <w:sz w:val="21"/>
          <w:szCs w:val="21"/>
          <w:highlight w:val="none"/>
        </w:rPr>
        <w:t>3.5</w:t>
      </w:r>
      <w:r>
        <w:rPr>
          <w:rFonts w:hint="eastAsia" w:cs="宋体"/>
          <w:color w:val="auto"/>
          <w:spacing w:val="-8"/>
          <w:sz w:val="21"/>
          <w:szCs w:val="21"/>
          <w:highlight w:val="none"/>
        </w:rPr>
        <w:t xml:space="preserve"> 款商定或确定变更价格。监理人商定或确</w:t>
      </w:r>
      <w:r>
        <w:rPr>
          <w:rFonts w:hint="eastAsia" w:cs="宋体"/>
          <w:color w:val="auto"/>
          <w:spacing w:val="-5"/>
          <w:sz w:val="21"/>
          <w:szCs w:val="21"/>
          <w:highlight w:val="none"/>
        </w:rPr>
        <w:t>定变更价格的期限见合同条款专用部分。</w:t>
      </w:r>
    </w:p>
    <w:p>
      <w:pPr>
        <w:pStyle w:val="20"/>
        <w:widowControl w:val="0"/>
        <w:numPr>
          <w:ilvl w:val="0"/>
          <w:numId w:val="64"/>
        </w:numPr>
        <w:autoSpaceDE w:val="0"/>
        <w:autoSpaceDN w:val="0"/>
        <w:spacing w:before="0" w:beforeAutospacing="0" w:after="0" w:afterAutospacing="0" w:line="415" w:lineRule="auto"/>
        <w:ind w:right="310" w:firstLine="314"/>
        <w:rPr>
          <w:rFonts w:cs="宋体"/>
          <w:color w:val="auto"/>
          <w:sz w:val="21"/>
          <w:szCs w:val="21"/>
          <w:highlight w:val="none"/>
        </w:rPr>
      </w:pPr>
      <w:r>
        <w:rPr>
          <w:rFonts w:hint="eastAsia" w:cs="宋体"/>
          <w:color w:val="auto"/>
          <w:spacing w:val="-8"/>
          <w:sz w:val="21"/>
          <w:szCs w:val="21"/>
          <w:highlight w:val="none"/>
        </w:rPr>
        <w:t xml:space="preserve">收到变更指示后，如承包人未在规定的期限内提交变更报价书的，监理人可自行 </w:t>
      </w:r>
      <w:r>
        <w:rPr>
          <w:rFonts w:hint="eastAsia" w:cs="宋体"/>
          <w:color w:val="auto"/>
          <w:spacing w:val="-6"/>
          <w:sz w:val="21"/>
          <w:szCs w:val="21"/>
          <w:highlight w:val="none"/>
        </w:rPr>
        <w:t>决定是否调整合同价款以及如果监理人决定调整合同价款时，相应调整的具体金额。</w:t>
      </w:r>
    </w:p>
    <w:p>
      <w:pPr>
        <w:pStyle w:val="20"/>
        <w:widowControl w:val="0"/>
        <w:numPr>
          <w:ilvl w:val="2"/>
          <w:numId w:val="62"/>
        </w:numPr>
        <w:autoSpaceDE w:val="0"/>
        <w:autoSpaceDN w:val="0"/>
        <w:spacing w:before="72" w:beforeAutospacing="0" w:after="0" w:afterAutospacing="0"/>
        <w:rPr>
          <w:rFonts w:cs="宋体"/>
          <w:color w:val="auto"/>
          <w:sz w:val="21"/>
          <w:szCs w:val="21"/>
          <w:highlight w:val="none"/>
        </w:rPr>
      </w:pPr>
      <w:r>
        <w:rPr>
          <w:rFonts w:hint="eastAsia" w:cs="宋体"/>
          <w:color w:val="auto"/>
          <w:spacing w:val="-3"/>
          <w:sz w:val="21"/>
          <w:szCs w:val="21"/>
          <w:highlight w:val="none"/>
        </w:rPr>
        <w:t xml:space="preserve">变更指示 </w:t>
      </w:r>
    </w:p>
    <w:p>
      <w:pPr>
        <w:pStyle w:val="20"/>
        <w:widowControl w:val="0"/>
        <w:numPr>
          <w:ilvl w:val="0"/>
          <w:numId w:val="65"/>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变更指示只能由监理人发出。</w:t>
      </w:r>
    </w:p>
    <w:p>
      <w:pPr>
        <w:pStyle w:val="20"/>
        <w:widowControl w:val="0"/>
        <w:numPr>
          <w:ilvl w:val="0"/>
          <w:numId w:val="65"/>
        </w:numPr>
        <w:autoSpaceDE w:val="0"/>
        <w:autoSpaceDN w:val="0"/>
        <w:spacing w:before="1" w:beforeAutospacing="0" w:after="0" w:afterAutospacing="0" w:line="415" w:lineRule="auto"/>
        <w:ind w:left="138" w:right="309" w:firstLine="419"/>
        <w:rPr>
          <w:rFonts w:cs="宋体"/>
          <w:color w:val="auto"/>
          <w:sz w:val="21"/>
          <w:szCs w:val="21"/>
          <w:highlight w:val="none"/>
        </w:rPr>
      </w:pPr>
      <w:r>
        <w:rPr>
          <w:rFonts w:hint="eastAsia" w:cs="宋体"/>
          <w:color w:val="auto"/>
          <w:spacing w:val="-3"/>
          <w:sz w:val="21"/>
          <w:szCs w:val="21"/>
          <w:highlight w:val="none"/>
        </w:rPr>
        <w:t>变更指示应说明变更的目的、范围、变更内容以及变更的工程量及其进度和技术要求，并附有关图纸和文件。承包人收到变更指示后，应按变更指示进行变更工作。</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变更的估价原则 </w:t>
      </w:r>
    </w:p>
    <w:p>
      <w:pPr>
        <w:pStyle w:val="20"/>
        <w:widowControl w:val="0"/>
        <w:autoSpaceDE w:val="0"/>
        <w:autoSpaceDN w:val="0"/>
        <w:spacing w:before="1" w:beforeAutospacing="0" w:after="0" w:afterAutospacing="0" w:line="415" w:lineRule="auto"/>
        <w:ind w:left="138" w:right="230" w:firstLine="419"/>
        <w:rPr>
          <w:rFonts w:cs="宋体"/>
          <w:color w:val="auto"/>
          <w:sz w:val="21"/>
          <w:szCs w:val="21"/>
          <w:highlight w:val="none"/>
        </w:rPr>
      </w:pPr>
      <w:r>
        <w:rPr>
          <w:rFonts w:hint="eastAsia" w:cs="宋体"/>
          <w:color w:val="auto"/>
          <w:sz w:val="21"/>
          <w:szCs w:val="21"/>
          <w:highlight w:val="none"/>
        </w:rPr>
        <w:t xml:space="preserve">因工程量清单漏项（仅适用于合同协议书约定采用单价合同形式时）或变更引起的价格调整按照本款约定处理。 </w:t>
      </w:r>
    </w:p>
    <w:p>
      <w:pPr>
        <w:pStyle w:val="20"/>
        <w:widowControl w:val="0"/>
        <w:numPr>
          <w:ilvl w:val="2"/>
          <w:numId w:val="66"/>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 xml:space="preserve">已标价工程量清单中有适用于变更工作的子目的，采用该子目的单价。 </w:t>
      </w:r>
    </w:p>
    <w:p>
      <w:pPr>
        <w:pStyle w:val="20"/>
        <w:widowControl w:val="0"/>
        <w:numPr>
          <w:ilvl w:val="2"/>
          <w:numId w:val="66"/>
        </w:numPr>
        <w:autoSpaceDE w:val="0"/>
        <w:autoSpaceDN w:val="0"/>
        <w:spacing w:before="1" w:beforeAutospacing="0" w:after="0" w:afterAutospacing="0" w:line="415" w:lineRule="auto"/>
        <w:ind w:left="138" w:right="308" w:firstLine="419"/>
        <w:rPr>
          <w:rFonts w:cs="宋体"/>
          <w:color w:val="auto"/>
          <w:sz w:val="21"/>
          <w:szCs w:val="21"/>
          <w:highlight w:val="none"/>
        </w:rPr>
      </w:pPr>
      <w:r>
        <w:rPr>
          <w:rFonts w:hint="eastAsia" w:cs="宋体"/>
          <w:color w:val="auto"/>
          <w:spacing w:val="-7"/>
          <w:sz w:val="21"/>
          <w:szCs w:val="21"/>
          <w:highlight w:val="none"/>
        </w:rPr>
        <w:t xml:space="preserve">已标价工程量清单中无适用于变更工作的子目，但有类似子目的，可在合理范围内参照类似子目的单价，由监理人按第 </w:t>
      </w:r>
      <w:r>
        <w:rPr>
          <w:rFonts w:hint="eastAsia" w:cs="宋体"/>
          <w:color w:val="auto"/>
          <w:sz w:val="21"/>
          <w:szCs w:val="21"/>
          <w:highlight w:val="none"/>
        </w:rPr>
        <w:t>3.5</w:t>
      </w:r>
      <w:r>
        <w:rPr>
          <w:rFonts w:hint="eastAsia" w:cs="宋体"/>
          <w:color w:val="auto"/>
          <w:spacing w:val="-9"/>
          <w:sz w:val="21"/>
          <w:szCs w:val="21"/>
          <w:highlight w:val="none"/>
        </w:rPr>
        <w:t xml:space="preserve"> 款商定或确定变更工作的单价。 </w:t>
      </w:r>
    </w:p>
    <w:p>
      <w:pPr>
        <w:pStyle w:val="20"/>
        <w:widowControl w:val="0"/>
        <w:numPr>
          <w:ilvl w:val="2"/>
          <w:numId w:val="66"/>
        </w:numPr>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7"/>
          <w:sz w:val="21"/>
          <w:szCs w:val="21"/>
          <w:highlight w:val="none"/>
        </w:rPr>
        <w:t>已标价工程量清单中无适用或类似子目的单价，可按照成本加利润的原则，由监</w:t>
      </w:r>
      <w:r>
        <w:rPr>
          <w:rFonts w:hint="eastAsia" w:cs="宋体"/>
          <w:color w:val="auto"/>
          <w:spacing w:val="-14"/>
          <w:sz w:val="21"/>
          <w:szCs w:val="21"/>
          <w:highlight w:val="none"/>
        </w:rPr>
        <w:t xml:space="preserve">理人按第 </w:t>
      </w:r>
      <w:r>
        <w:rPr>
          <w:rFonts w:hint="eastAsia" w:cs="宋体"/>
          <w:color w:val="auto"/>
          <w:sz w:val="21"/>
          <w:szCs w:val="21"/>
          <w:highlight w:val="none"/>
        </w:rPr>
        <w:t>3.5</w:t>
      </w:r>
      <w:r>
        <w:rPr>
          <w:rFonts w:hint="eastAsia" w:cs="宋体"/>
          <w:color w:val="auto"/>
          <w:spacing w:val="-9"/>
          <w:sz w:val="21"/>
          <w:szCs w:val="21"/>
          <w:highlight w:val="none"/>
        </w:rPr>
        <w:t xml:space="preserve"> 款商定或确定变更工作的单价。 </w:t>
      </w:r>
    </w:p>
    <w:p>
      <w:pPr>
        <w:pStyle w:val="20"/>
        <w:widowControl w:val="0"/>
        <w:numPr>
          <w:ilvl w:val="2"/>
          <w:numId w:val="66"/>
        </w:numPr>
        <w:autoSpaceDE w:val="0"/>
        <w:autoSpaceDN w:val="0"/>
        <w:spacing w:before="0" w:beforeAutospacing="0" w:after="0" w:afterAutospacing="0" w:line="415" w:lineRule="auto"/>
        <w:ind w:left="138" w:right="203" w:firstLine="419"/>
        <w:rPr>
          <w:rFonts w:cs="宋体"/>
          <w:color w:val="auto"/>
          <w:sz w:val="21"/>
          <w:szCs w:val="21"/>
          <w:highlight w:val="none"/>
        </w:rPr>
      </w:pPr>
      <w:r>
        <w:rPr>
          <w:rFonts w:hint="eastAsia" w:cs="宋体"/>
          <w:color w:val="auto"/>
          <w:spacing w:val="-9"/>
          <w:sz w:val="21"/>
          <w:szCs w:val="21"/>
          <w:highlight w:val="none"/>
        </w:rPr>
        <w:t>因工程量清单漏项</w:t>
      </w:r>
      <w:r>
        <w:rPr>
          <w:rFonts w:hint="eastAsia" w:cs="宋体"/>
          <w:color w:val="auto"/>
          <w:spacing w:val="-3"/>
          <w:sz w:val="21"/>
          <w:szCs w:val="21"/>
          <w:highlight w:val="none"/>
        </w:rPr>
        <w:t>（仅适用于合同协议书约定采用单价合同形式时</w:t>
      </w:r>
      <w:r>
        <w:rPr>
          <w:rFonts w:hint="eastAsia" w:cs="宋体"/>
          <w:color w:val="auto"/>
          <w:spacing w:val="-44"/>
          <w:sz w:val="21"/>
          <w:szCs w:val="21"/>
          <w:highlight w:val="none"/>
        </w:rPr>
        <w:t>）</w:t>
      </w:r>
      <w:r>
        <w:rPr>
          <w:rFonts w:hint="eastAsia" w:cs="宋体"/>
          <w:color w:val="auto"/>
          <w:spacing w:val="-3"/>
          <w:sz w:val="21"/>
          <w:szCs w:val="21"/>
          <w:highlight w:val="none"/>
        </w:rPr>
        <w:t>或变更引起</w:t>
      </w:r>
      <w:r>
        <w:rPr>
          <w:rFonts w:hint="eastAsia" w:cs="宋体"/>
          <w:color w:val="auto"/>
          <w:spacing w:val="-16"/>
          <w:sz w:val="21"/>
          <w:szCs w:val="21"/>
          <w:highlight w:val="none"/>
        </w:rPr>
        <w:t>措施项目发生变化，原措施项目费中已有的措施项目，采用原措施项目费的组价方法变更；原</w:t>
      </w:r>
      <w:r>
        <w:rPr>
          <w:rFonts w:hint="eastAsia" w:cs="宋体"/>
          <w:color w:val="auto"/>
          <w:spacing w:val="-10"/>
          <w:sz w:val="21"/>
          <w:szCs w:val="21"/>
          <w:highlight w:val="none"/>
        </w:rPr>
        <w:t xml:space="preserve">措施项目费中没有的措施项目，由承包人根据措施项目变更情况，提出适当的措施项目费变更，由监理人按第 </w:t>
      </w:r>
      <w:r>
        <w:rPr>
          <w:rFonts w:hint="eastAsia" w:cs="宋体"/>
          <w:color w:val="auto"/>
          <w:sz w:val="21"/>
          <w:szCs w:val="21"/>
          <w:highlight w:val="none"/>
        </w:rPr>
        <w:t>3.5</w:t>
      </w:r>
      <w:r>
        <w:rPr>
          <w:rFonts w:hint="eastAsia" w:cs="宋体"/>
          <w:color w:val="auto"/>
          <w:spacing w:val="-9"/>
          <w:sz w:val="21"/>
          <w:szCs w:val="21"/>
          <w:highlight w:val="none"/>
        </w:rPr>
        <w:t xml:space="preserve"> 款商定或确定变更措施项目的费用。</w:t>
      </w:r>
    </w:p>
    <w:p>
      <w:pPr>
        <w:pStyle w:val="20"/>
        <w:widowControl w:val="0"/>
        <w:numPr>
          <w:ilvl w:val="2"/>
          <w:numId w:val="66"/>
        </w:numPr>
        <w:autoSpaceDE w:val="0"/>
        <w:autoSpaceDN w:val="0"/>
        <w:spacing w:before="0"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9"/>
          <w:sz w:val="21"/>
          <w:szCs w:val="21"/>
          <w:highlight w:val="none"/>
        </w:rPr>
        <w:t>合同协议书约定采用单价合同形式时，因非承包人原因引起已标价工程量清单中</w:t>
      </w:r>
      <w:r>
        <w:rPr>
          <w:rFonts w:hint="eastAsia" w:cs="宋体"/>
          <w:color w:val="auto"/>
          <w:spacing w:val="-11"/>
          <w:sz w:val="21"/>
          <w:szCs w:val="21"/>
          <w:highlight w:val="none"/>
        </w:rPr>
        <w:t>列明的工程量发生增减，超过合同约定范围且导致分部分项工程费总额变化超过一定幅度时，可以调整单价，否则不因已标价工程量清单中列明工程量的增减而调整单价。其调整的原</w:t>
      </w:r>
      <w:r>
        <w:rPr>
          <w:rFonts w:hint="eastAsia" w:cs="宋体"/>
          <w:color w:val="auto"/>
          <w:spacing w:val="-5"/>
          <w:sz w:val="21"/>
          <w:szCs w:val="21"/>
          <w:highlight w:val="none"/>
        </w:rPr>
        <w:t xml:space="preserve">则见合同条款专用部分。 </w:t>
      </w:r>
    </w:p>
    <w:p>
      <w:pPr>
        <w:pStyle w:val="20"/>
        <w:widowControl w:val="0"/>
        <w:numPr>
          <w:ilvl w:val="2"/>
          <w:numId w:val="66"/>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因变更引起价格调整的其他处理方式见合同条款专用部分。</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承包人的合理化建议 </w:t>
      </w:r>
    </w:p>
    <w:p>
      <w:pPr>
        <w:pStyle w:val="20"/>
        <w:widowControl w:val="0"/>
        <w:numPr>
          <w:ilvl w:val="2"/>
          <w:numId w:val="67"/>
        </w:numPr>
        <w:autoSpaceDE w:val="0"/>
        <w:autoSpaceDN w:val="0"/>
        <w:spacing w:before="0" w:beforeAutospacing="0" w:after="0" w:afterAutospacing="0" w:line="415" w:lineRule="auto"/>
        <w:ind w:right="208" w:firstLine="419"/>
        <w:jc w:val="both"/>
        <w:rPr>
          <w:rFonts w:cs="宋体"/>
          <w:color w:val="auto"/>
          <w:sz w:val="21"/>
          <w:szCs w:val="21"/>
          <w:highlight w:val="none"/>
        </w:rPr>
      </w:pPr>
      <w:r>
        <w:rPr>
          <w:rFonts w:hint="eastAsia" w:cs="宋体"/>
          <w:color w:val="auto"/>
          <w:spacing w:val="-10"/>
          <w:sz w:val="21"/>
          <w:szCs w:val="21"/>
          <w:highlight w:val="none"/>
        </w:rPr>
        <w:t>在履行合同过程中，承包人对发包人提供的图纸、技术要求以及其他方面提出的</w:t>
      </w:r>
      <w:r>
        <w:rPr>
          <w:rFonts w:hint="eastAsia" w:cs="宋体"/>
          <w:color w:val="auto"/>
          <w:spacing w:val="-12"/>
          <w:sz w:val="21"/>
          <w:szCs w:val="21"/>
          <w:highlight w:val="none"/>
        </w:rPr>
        <w:t>合理化建议，均应以书面形式提交监理人。合理化建议书的内容应包括建议工作的详细说明</w:t>
      </w:r>
      <w:r>
        <w:rPr>
          <w:rFonts w:hint="eastAsia" w:cs="宋体"/>
          <w:color w:val="auto"/>
          <w:spacing w:val="-10"/>
          <w:sz w:val="21"/>
          <w:szCs w:val="21"/>
          <w:highlight w:val="none"/>
        </w:rPr>
        <w:t>、进度计划和效益以及与其他工作的协调等，并附必要的设计文件。监理人应与发包人协商</w:t>
      </w:r>
      <w:r>
        <w:rPr>
          <w:rFonts w:hint="eastAsia" w:cs="宋体"/>
          <w:color w:val="auto"/>
          <w:spacing w:val="-13"/>
          <w:sz w:val="21"/>
          <w:szCs w:val="21"/>
          <w:highlight w:val="none"/>
        </w:rPr>
        <w:t xml:space="preserve">是否采纳建议。建议被采纳并构成变更的，应按第 </w:t>
      </w:r>
      <w:r>
        <w:rPr>
          <w:rFonts w:hint="eastAsia" w:cs="宋体"/>
          <w:color w:val="auto"/>
          <w:sz w:val="21"/>
          <w:szCs w:val="21"/>
          <w:highlight w:val="none"/>
        </w:rPr>
        <w:t>15.3.3</w:t>
      </w:r>
      <w:r>
        <w:rPr>
          <w:rFonts w:hint="eastAsia" w:cs="宋体"/>
          <w:color w:val="auto"/>
          <w:spacing w:val="-15"/>
          <w:sz w:val="21"/>
          <w:szCs w:val="21"/>
          <w:highlight w:val="none"/>
        </w:rPr>
        <w:t xml:space="preserve"> 项约定向承包人发出变更指示。</w:t>
      </w:r>
    </w:p>
    <w:p>
      <w:pPr>
        <w:pStyle w:val="20"/>
        <w:widowControl w:val="0"/>
        <w:numPr>
          <w:ilvl w:val="2"/>
          <w:numId w:val="67"/>
        </w:numPr>
        <w:autoSpaceDE w:val="0"/>
        <w:autoSpaceDN w:val="0"/>
        <w:spacing w:before="0" w:beforeAutospacing="0" w:after="0" w:afterAutospacing="0" w:line="415" w:lineRule="auto"/>
        <w:ind w:right="308" w:firstLine="419"/>
        <w:rPr>
          <w:rFonts w:cs="宋体"/>
          <w:color w:val="auto"/>
          <w:sz w:val="21"/>
          <w:szCs w:val="21"/>
          <w:highlight w:val="none"/>
        </w:rPr>
      </w:pPr>
      <w:r>
        <w:rPr>
          <w:rFonts w:hint="eastAsia" w:cs="宋体"/>
          <w:color w:val="auto"/>
          <w:spacing w:val="-8"/>
          <w:sz w:val="21"/>
          <w:szCs w:val="21"/>
          <w:highlight w:val="none"/>
        </w:rPr>
        <w:t>承包人提出的合理化建议降低了合同价格、缩短了工期或者提高了工程经济效益</w:t>
      </w:r>
      <w:r>
        <w:rPr>
          <w:rFonts w:hint="eastAsia" w:cs="宋体"/>
          <w:color w:val="auto"/>
          <w:spacing w:val="-11"/>
          <w:sz w:val="21"/>
          <w:szCs w:val="21"/>
          <w:highlight w:val="none"/>
        </w:rPr>
        <w:t>的，发包人可按国家有关规定给予奖励。对承包人提出合理化建议的奖励方法见合同条款</w:t>
      </w:r>
      <w:r>
        <w:rPr>
          <w:rFonts w:hint="eastAsia" w:cs="宋体"/>
          <w:color w:val="auto"/>
          <w:sz w:val="21"/>
          <w:szCs w:val="21"/>
          <w:highlight w:val="none"/>
        </w:rPr>
        <w:t xml:space="preserve">专用部分。 </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暂列金额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暂列金额只能按照监理人的指示使用，并对合同价格进行相应调整。 </w:t>
      </w:r>
    </w:p>
    <w:p>
      <w:pPr>
        <w:pStyle w:val="7"/>
        <w:widowControl/>
        <w:numPr>
          <w:ilvl w:val="1"/>
          <w:numId w:val="14"/>
        </w:numPr>
        <w:spacing w:before="1"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计日工 </w:t>
      </w:r>
    </w:p>
    <w:p>
      <w:pPr>
        <w:pStyle w:val="20"/>
        <w:widowControl w:val="0"/>
        <w:numPr>
          <w:ilvl w:val="2"/>
          <w:numId w:val="68"/>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z w:val="21"/>
          <w:szCs w:val="21"/>
          <w:highlight w:val="none"/>
        </w:rPr>
        <w:t>发包人认为有必要时，由监理人通知承包人以计日工方式实施变更的零星工作</w:t>
      </w:r>
      <w:r>
        <w:rPr>
          <w:rFonts w:hint="eastAsia" w:cs="宋体"/>
          <w:color w:val="auto"/>
          <w:spacing w:val="-3"/>
          <w:sz w:val="21"/>
          <w:szCs w:val="21"/>
          <w:highlight w:val="none"/>
        </w:rPr>
        <w:t xml:space="preserve">。其价款按列入已标价工程量清单中的计日工计价子目及其单价进行计算。 </w:t>
      </w:r>
    </w:p>
    <w:p>
      <w:pPr>
        <w:pStyle w:val="20"/>
        <w:widowControl w:val="0"/>
        <w:numPr>
          <w:ilvl w:val="2"/>
          <w:numId w:val="68"/>
        </w:numPr>
        <w:autoSpaceDE w:val="0"/>
        <w:autoSpaceDN w:val="0"/>
        <w:spacing w:before="1" w:beforeAutospacing="0" w:after="0" w:afterAutospacing="0" w:line="415" w:lineRule="auto"/>
        <w:ind w:right="309" w:firstLine="419"/>
        <w:rPr>
          <w:rFonts w:cs="宋体"/>
          <w:color w:val="auto"/>
          <w:sz w:val="21"/>
          <w:szCs w:val="21"/>
          <w:highlight w:val="none"/>
        </w:rPr>
      </w:pPr>
      <w:r>
        <w:rPr>
          <w:rFonts w:hint="eastAsia" w:cs="宋体"/>
          <w:color w:val="auto"/>
          <w:spacing w:val="-8"/>
          <w:sz w:val="21"/>
          <w:szCs w:val="21"/>
          <w:highlight w:val="none"/>
        </w:rPr>
        <w:t>采用计日工计价的任何一项变更工作，应从暂列金额中支付，承包人应在该项变</w:t>
      </w:r>
      <w:r>
        <w:rPr>
          <w:rFonts w:hint="eastAsia" w:cs="宋体"/>
          <w:color w:val="auto"/>
          <w:spacing w:val="-4"/>
          <w:sz w:val="21"/>
          <w:szCs w:val="21"/>
          <w:highlight w:val="none"/>
        </w:rPr>
        <w:t>更的实施过程中，每天提交以下报表和有关凭证报送监理人审批：</w:t>
      </w:r>
    </w:p>
    <w:p>
      <w:pPr>
        <w:pStyle w:val="20"/>
        <w:widowControl w:val="0"/>
        <w:numPr>
          <w:ilvl w:val="0"/>
          <w:numId w:val="69"/>
        </w:numPr>
        <w:autoSpaceDE w:val="0"/>
        <w:autoSpaceDN w:val="0"/>
        <w:spacing w:before="0" w:beforeAutospacing="0" w:after="0" w:afterAutospacing="0" w:line="269" w:lineRule="exact"/>
        <w:ind w:hanging="530"/>
        <w:rPr>
          <w:rFonts w:cs="宋体"/>
          <w:color w:val="auto"/>
          <w:sz w:val="21"/>
          <w:szCs w:val="21"/>
          <w:highlight w:val="none"/>
        </w:rPr>
      </w:pPr>
      <w:r>
        <w:rPr>
          <w:rFonts w:hint="eastAsia" w:cs="宋体"/>
          <w:color w:val="auto"/>
          <w:spacing w:val="-3"/>
          <w:sz w:val="21"/>
          <w:szCs w:val="21"/>
          <w:highlight w:val="none"/>
        </w:rPr>
        <w:t>工作名称、内容和数量；</w:t>
      </w:r>
    </w:p>
    <w:p>
      <w:pPr>
        <w:pStyle w:val="20"/>
        <w:widowControl w:val="0"/>
        <w:numPr>
          <w:ilvl w:val="0"/>
          <w:numId w:val="69"/>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投入该工作所有人员的姓名、工种、级别和耗用工时；</w:t>
      </w:r>
    </w:p>
    <w:p>
      <w:pPr>
        <w:pStyle w:val="20"/>
        <w:widowControl w:val="0"/>
        <w:numPr>
          <w:ilvl w:val="0"/>
          <w:numId w:val="69"/>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投入该工作的材料类别和数量；</w:t>
      </w:r>
    </w:p>
    <w:p>
      <w:pPr>
        <w:pStyle w:val="20"/>
        <w:widowControl w:val="0"/>
        <w:numPr>
          <w:ilvl w:val="0"/>
          <w:numId w:val="69"/>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 xml:space="preserve">投入该工作的施工设备型号、台数和耗用台时； </w:t>
      </w:r>
    </w:p>
    <w:p>
      <w:pPr>
        <w:pStyle w:val="20"/>
        <w:widowControl w:val="0"/>
        <w:numPr>
          <w:ilvl w:val="0"/>
          <w:numId w:val="69"/>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监理人要求提交的其他资料和凭证。</w:t>
      </w:r>
    </w:p>
    <w:p>
      <w:pPr>
        <w:pStyle w:val="20"/>
        <w:widowControl w:val="0"/>
        <w:numPr>
          <w:ilvl w:val="2"/>
          <w:numId w:val="68"/>
        </w:numPr>
        <w:autoSpaceDE w:val="0"/>
        <w:autoSpaceDN w:val="0"/>
        <w:spacing w:before="0" w:beforeAutospacing="0" w:after="0" w:afterAutospacing="0" w:line="415" w:lineRule="auto"/>
        <w:ind w:right="308" w:firstLine="419"/>
        <w:rPr>
          <w:rFonts w:cs="宋体"/>
          <w:color w:val="auto"/>
          <w:sz w:val="21"/>
          <w:szCs w:val="21"/>
          <w:highlight w:val="none"/>
        </w:rPr>
      </w:pPr>
      <w:r>
        <w:rPr>
          <w:rFonts w:hint="eastAsia" w:cs="宋体"/>
          <w:color w:val="auto"/>
          <w:spacing w:val="-5"/>
          <w:sz w:val="21"/>
          <w:szCs w:val="21"/>
          <w:highlight w:val="none"/>
        </w:rPr>
        <w:t xml:space="preserve">计日工由承包人汇总后，按第 </w:t>
      </w:r>
      <w:r>
        <w:rPr>
          <w:rFonts w:hint="eastAsia" w:cs="宋体"/>
          <w:color w:val="auto"/>
          <w:sz w:val="21"/>
          <w:szCs w:val="21"/>
          <w:highlight w:val="none"/>
        </w:rPr>
        <w:t>17.3.2</w:t>
      </w:r>
      <w:r>
        <w:rPr>
          <w:rFonts w:hint="eastAsia" w:cs="宋体"/>
          <w:color w:val="auto"/>
          <w:spacing w:val="-7"/>
          <w:sz w:val="21"/>
          <w:szCs w:val="21"/>
          <w:highlight w:val="none"/>
        </w:rPr>
        <w:t xml:space="preserve"> 项的约定列入进度付款申请单，由监理人</w:t>
      </w:r>
      <w:r>
        <w:rPr>
          <w:rFonts w:hint="eastAsia" w:cs="宋体"/>
          <w:color w:val="auto"/>
          <w:spacing w:val="-4"/>
          <w:sz w:val="21"/>
          <w:szCs w:val="21"/>
          <w:highlight w:val="none"/>
        </w:rPr>
        <w:t>复核并经发包人同意后列入进度付款。</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暂估价 </w:t>
      </w:r>
    </w:p>
    <w:p>
      <w:pPr>
        <w:pStyle w:val="20"/>
        <w:widowControl w:val="0"/>
        <w:numPr>
          <w:ilvl w:val="2"/>
          <w:numId w:val="70"/>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z w:val="21"/>
          <w:szCs w:val="21"/>
          <w:highlight w:val="none"/>
        </w:rPr>
        <w:t>发包人在工程量清单中给定暂估价的材料和工程设备及专业工程属于依法必须</w:t>
      </w:r>
      <w:r>
        <w:rPr>
          <w:rFonts w:hint="eastAsia" w:cs="宋体"/>
          <w:color w:val="auto"/>
          <w:spacing w:val="-9"/>
          <w:sz w:val="21"/>
          <w:szCs w:val="21"/>
          <w:highlight w:val="none"/>
        </w:rPr>
        <w:t>招标的范围并达到规定的规模标准的，由发包人和承包人采用招标方式选择专项供应商或专</w:t>
      </w:r>
      <w:r>
        <w:rPr>
          <w:rFonts w:hint="eastAsia" w:cs="宋体"/>
          <w:color w:val="auto"/>
          <w:spacing w:val="-4"/>
          <w:sz w:val="21"/>
          <w:szCs w:val="21"/>
          <w:highlight w:val="none"/>
        </w:rPr>
        <w:t xml:space="preserve">业分包人。发包人和承包人的权利义务关系约定如下： </w:t>
      </w:r>
    </w:p>
    <w:p>
      <w:pPr>
        <w:pStyle w:val="20"/>
        <w:widowControl w:val="0"/>
        <w:numPr>
          <w:ilvl w:val="0"/>
          <w:numId w:val="71"/>
        </w:numPr>
        <w:autoSpaceDE w:val="0"/>
        <w:autoSpaceDN w:val="0"/>
        <w:spacing w:before="0" w:beforeAutospacing="0" w:after="0" w:afterAutospacing="0" w:line="415" w:lineRule="auto"/>
        <w:ind w:right="309" w:firstLine="314"/>
        <w:rPr>
          <w:rFonts w:cs="宋体"/>
          <w:color w:val="auto"/>
          <w:sz w:val="21"/>
          <w:szCs w:val="21"/>
          <w:highlight w:val="none"/>
        </w:rPr>
      </w:pPr>
      <w:r>
        <w:rPr>
          <w:rFonts w:hint="eastAsia" w:cs="宋体"/>
          <w:color w:val="auto"/>
          <w:spacing w:val="-8"/>
          <w:sz w:val="21"/>
          <w:szCs w:val="21"/>
          <w:highlight w:val="none"/>
        </w:rPr>
        <w:t xml:space="preserve">由承包人作为招标人，依法组织招标工作并接受有管辖权的建设工程招标投标行 </w:t>
      </w:r>
      <w:r>
        <w:rPr>
          <w:rFonts w:hint="eastAsia" w:cs="宋体"/>
          <w:color w:val="auto"/>
          <w:spacing w:val="-6"/>
          <w:sz w:val="21"/>
          <w:szCs w:val="21"/>
          <w:highlight w:val="none"/>
        </w:rPr>
        <w:t>政监督部门的监督。</w:t>
      </w:r>
    </w:p>
    <w:p>
      <w:pPr>
        <w:pStyle w:val="20"/>
        <w:widowControl w:val="0"/>
        <w:numPr>
          <w:ilvl w:val="0"/>
          <w:numId w:val="71"/>
        </w:numPr>
        <w:autoSpaceDE w:val="0"/>
        <w:autoSpaceDN w:val="0"/>
        <w:spacing w:before="0" w:beforeAutospacing="0" w:after="0" w:afterAutospacing="0" w:line="415" w:lineRule="auto"/>
        <w:ind w:right="308" w:firstLine="314"/>
        <w:rPr>
          <w:rFonts w:cs="宋体"/>
          <w:color w:val="auto"/>
          <w:sz w:val="21"/>
          <w:szCs w:val="21"/>
          <w:highlight w:val="none"/>
        </w:rPr>
      </w:pPr>
      <w:r>
        <w:rPr>
          <w:rFonts w:hint="eastAsia" w:cs="宋体"/>
          <w:color w:val="auto"/>
          <w:spacing w:val="-5"/>
          <w:sz w:val="21"/>
          <w:szCs w:val="21"/>
          <w:highlight w:val="none"/>
        </w:rPr>
        <w:t>与组织招标工作有关的费用应当被认为已经包括在承包人的签约合同价</w:t>
      </w:r>
      <w:r>
        <w:rPr>
          <w:rFonts w:hint="eastAsia" w:cs="宋体"/>
          <w:color w:val="auto"/>
          <w:sz w:val="21"/>
          <w:szCs w:val="21"/>
          <w:highlight w:val="none"/>
        </w:rPr>
        <w:t>（</w:t>
      </w:r>
      <w:r>
        <w:rPr>
          <w:rFonts w:hint="eastAsia" w:cs="宋体"/>
          <w:color w:val="auto"/>
          <w:spacing w:val="-3"/>
          <w:sz w:val="21"/>
          <w:szCs w:val="21"/>
          <w:highlight w:val="none"/>
        </w:rPr>
        <w:t xml:space="preserve">投标总 </w:t>
      </w:r>
      <w:r>
        <w:rPr>
          <w:rFonts w:hint="eastAsia" w:cs="宋体"/>
          <w:color w:val="auto"/>
          <w:sz w:val="21"/>
          <w:szCs w:val="21"/>
          <w:highlight w:val="none"/>
        </w:rPr>
        <w:t>报价）</w:t>
      </w:r>
      <w:r>
        <w:rPr>
          <w:rFonts w:hint="eastAsia" w:cs="宋体"/>
          <w:color w:val="auto"/>
          <w:spacing w:val="-3"/>
          <w:sz w:val="21"/>
          <w:szCs w:val="21"/>
          <w:highlight w:val="none"/>
        </w:rPr>
        <w:t>中。</w:t>
      </w:r>
    </w:p>
    <w:p>
      <w:pPr>
        <w:pStyle w:val="20"/>
        <w:widowControl w:val="0"/>
        <w:numPr>
          <w:ilvl w:val="0"/>
          <w:numId w:val="71"/>
        </w:numPr>
        <w:autoSpaceDE w:val="0"/>
        <w:autoSpaceDN w:val="0"/>
        <w:spacing w:before="0" w:beforeAutospacing="0" w:after="0" w:afterAutospacing="0" w:line="415" w:lineRule="auto"/>
        <w:ind w:right="310" w:firstLine="314"/>
        <w:rPr>
          <w:rFonts w:cs="宋体"/>
          <w:color w:val="auto"/>
          <w:sz w:val="21"/>
          <w:szCs w:val="21"/>
          <w:highlight w:val="none"/>
        </w:rPr>
      </w:pPr>
      <w:r>
        <w:rPr>
          <w:rFonts w:hint="eastAsia" w:cs="宋体"/>
          <w:color w:val="auto"/>
          <w:spacing w:val="-3"/>
          <w:sz w:val="21"/>
          <w:szCs w:val="21"/>
          <w:highlight w:val="none"/>
        </w:rPr>
        <w:t>中标金额与工程量清单中所列的暂估价的金额差以及相应的税金等其他费用列入</w:t>
      </w:r>
      <w:r>
        <w:rPr>
          <w:rFonts w:hint="eastAsia" w:cs="宋体"/>
          <w:color w:val="auto"/>
          <w:spacing w:val="-2"/>
          <w:sz w:val="21"/>
          <w:szCs w:val="21"/>
          <w:highlight w:val="none"/>
        </w:rPr>
        <w:t>合同价格。</w:t>
      </w:r>
    </w:p>
    <w:p>
      <w:pPr>
        <w:pStyle w:val="20"/>
        <w:widowControl w:val="0"/>
        <w:numPr>
          <w:ilvl w:val="0"/>
          <w:numId w:val="71"/>
        </w:numPr>
        <w:autoSpaceDE w:val="0"/>
        <w:autoSpaceDN w:val="0"/>
        <w:spacing w:before="0" w:beforeAutospacing="0" w:after="0" w:afterAutospacing="0" w:line="415" w:lineRule="auto"/>
        <w:ind w:right="309" w:firstLine="314"/>
        <w:jc w:val="both"/>
        <w:rPr>
          <w:rFonts w:cs="宋体"/>
          <w:color w:val="auto"/>
          <w:sz w:val="21"/>
          <w:szCs w:val="21"/>
          <w:highlight w:val="none"/>
        </w:rPr>
      </w:pPr>
      <w:r>
        <w:rPr>
          <w:rFonts w:hint="eastAsia" w:cs="宋体"/>
          <w:color w:val="auto"/>
          <w:spacing w:val="-7"/>
          <w:sz w:val="21"/>
          <w:szCs w:val="21"/>
          <w:highlight w:val="none"/>
        </w:rPr>
        <w:t xml:space="preserve">在任何招标工作启动前，承包人应当按照合同条款专用部分约定期限编制招标工 </w:t>
      </w:r>
      <w:r>
        <w:rPr>
          <w:rFonts w:hint="eastAsia" w:cs="宋体"/>
          <w:color w:val="auto"/>
          <w:spacing w:val="-9"/>
          <w:sz w:val="21"/>
          <w:szCs w:val="21"/>
          <w:highlight w:val="none"/>
        </w:rPr>
        <w:t>作计划并通过监理人报请发包人审批，招标工作计划应当包括招标工作的时间安排、拟采用</w:t>
      </w:r>
      <w:r>
        <w:rPr>
          <w:rFonts w:hint="eastAsia" w:cs="宋体"/>
          <w:color w:val="auto"/>
          <w:spacing w:val="-10"/>
          <w:sz w:val="21"/>
          <w:szCs w:val="21"/>
          <w:highlight w:val="none"/>
        </w:rPr>
        <w:t>的招标方式、拟采用的资格审查方法、主要招标过程文件的编制内容、对投标人的资格条件要</w:t>
      </w:r>
      <w:r>
        <w:rPr>
          <w:rFonts w:hint="eastAsia" w:cs="宋体"/>
          <w:color w:val="auto"/>
          <w:spacing w:val="-9"/>
          <w:sz w:val="21"/>
          <w:szCs w:val="21"/>
          <w:highlight w:val="none"/>
        </w:rPr>
        <w:t>求、评标标准和方法、评标委员会组成、是否编制招标控制价和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pacing w:val="-20"/>
          <w:sz w:val="21"/>
          <w:szCs w:val="21"/>
          <w:highlight w:val="none"/>
        </w:rPr>
        <w:t>）</w:t>
      </w:r>
      <w:r>
        <w:rPr>
          <w:rFonts w:hint="eastAsia" w:cs="宋体"/>
          <w:color w:val="auto"/>
          <w:spacing w:val="-3"/>
          <w:sz w:val="21"/>
          <w:szCs w:val="21"/>
          <w:highlight w:val="none"/>
        </w:rPr>
        <w:t>标底以及招标控制价</w:t>
      </w:r>
      <w:r>
        <w:rPr>
          <w:rFonts w:hint="eastAsia" w:cs="宋体"/>
          <w:color w:val="auto"/>
          <w:spacing w:val="-29"/>
          <w:sz w:val="21"/>
          <w:szCs w:val="21"/>
          <w:highlight w:val="none"/>
        </w:rPr>
        <w:t>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32"/>
          <w:sz w:val="21"/>
          <w:szCs w:val="21"/>
          <w:highlight w:val="none"/>
        </w:rPr>
        <w:t>）</w:t>
      </w:r>
      <w:r>
        <w:rPr>
          <w:rFonts w:hint="eastAsia" w:cs="宋体"/>
          <w:color w:val="auto"/>
          <w:spacing w:val="-8"/>
          <w:sz w:val="21"/>
          <w:szCs w:val="21"/>
          <w:highlight w:val="none"/>
        </w:rPr>
        <w:t>标底编制原则。发包人应当在监理人收到承包人报送的招标工作计划后应当在合同</w:t>
      </w:r>
      <w:r>
        <w:rPr>
          <w:rFonts w:hint="eastAsia" w:cs="宋体"/>
          <w:color w:val="auto"/>
          <w:spacing w:val="-9"/>
          <w:sz w:val="21"/>
          <w:szCs w:val="21"/>
          <w:highlight w:val="none"/>
        </w:rPr>
        <w:t>条款专用部分约定期限内给予批准或者提出修改意见。承包人应当严格按照经过发包人批准</w:t>
      </w:r>
      <w:r>
        <w:rPr>
          <w:rFonts w:hint="eastAsia" w:cs="宋体"/>
          <w:color w:val="auto"/>
          <w:spacing w:val="-5"/>
          <w:sz w:val="21"/>
          <w:szCs w:val="21"/>
          <w:highlight w:val="none"/>
        </w:rPr>
        <w:t>的招标工作计划开展招标工作。</w:t>
      </w:r>
    </w:p>
    <w:p>
      <w:pPr>
        <w:pStyle w:val="20"/>
        <w:widowControl w:val="0"/>
        <w:numPr>
          <w:ilvl w:val="0"/>
          <w:numId w:val="71"/>
        </w:numPr>
        <w:autoSpaceDE w:val="0"/>
        <w:autoSpaceDN w:val="0"/>
        <w:spacing w:before="0" w:beforeAutospacing="0" w:after="0" w:afterAutospacing="0" w:line="415" w:lineRule="auto"/>
        <w:ind w:right="308" w:firstLine="314"/>
        <w:jc w:val="both"/>
        <w:rPr>
          <w:rFonts w:cs="宋体"/>
          <w:color w:val="auto"/>
          <w:sz w:val="21"/>
          <w:szCs w:val="21"/>
          <w:highlight w:val="none"/>
        </w:rPr>
      </w:pPr>
      <w:r>
        <w:rPr>
          <w:rFonts w:hint="eastAsia" w:cs="宋体"/>
          <w:color w:val="auto"/>
          <w:spacing w:val="-3"/>
          <w:sz w:val="21"/>
          <w:szCs w:val="21"/>
          <w:highlight w:val="none"/>
        </w:rPr>
        <w:t>承包人应当在发出招标公告（或者资格预审公告或者投标邀请书</w:t>
      </w:r>
      <w:r>
        <w:rPr>
          <w:rFonts w:hint="eastAsia" w:cs="宋体"/>
          <w:color w:val="auto"/>
          <w:spacing w:val="-106"/>
          <w:sz w:val="21"/>
          <w:szCs w:val="21"/>
          <w:highlight w:val="none"/>
        </w:rPr>
        <w:t>）</w:t>
      </w:r>
      <w:r>
        <w:rPr>
          <w:rFonts w:hint="eastAsia" w:cs="宋体"/>
          <w:color w:val="auto"/>
          <w:spacing w:val="-2"/>
          <w:sz w:val="21"/>
          <w:szCs w:val="21"/>
          <w:highlight w:val="none"/>
        </w:rPr>
        <w:t>、资格预审文件和招标文件前按照合同条款专用部分约定期限，分别将相关文件通过监理人报请发包人审</w:t>
      </w:r>
      <w:r>
        <w:rPr>
          <w:rFonts w:hint="eastAsia" w:cs="宋体"/>
          <w:color w:val="auto"/>
          <w:spacing w:val="-12"/>
          <w:sz w:val="21"/>
          <w:szCs w:val="21"/>
          <w:highlight w:val="none"/>
        </w:rPr>
        <w:t>批，发包人应当在监理人收到承包人报送的相关文件后应当在合同条款专用部分约定期限内给予批准或者提出修改意见，经发包人批准的相关文件，由承包人负责誊清整理并准备出开</w:t>
      </w:r>
      <w:r>
        <w:rPr>
          <w:rFonts w:hint="eastAsia" w:cs="宋体"/>
          <w:color w:val="auto"/>
          <w:spacing w:val="-11"/>
          <w:sz w:val="21"/>
          <w:szCs w:val="21"/>
          <w:highlight w:val="none"/>
        </w:rPr>
        <w:t>展实际招标工作所需要的份数，通过监理人报发包人核查并加盖发包人印章，发包人在相关</w:t>
      </w:r>
      <w:r>
        <w:rPr>
          <w:rFonts w:hint="eastAsia" w:cs="宋体"/>
          <w:color w:val="auto"/>
          <w:spacing w:val="-10"/>
          <w:sz w:val="21"/>
          <w:szCs w:val="21"/>
          <w:highlight w:val="none"/>
        </w:rPr>
        <w:t>文件上加盖印章只表明相关文件经过发包人审核批准。最终发出的文件应当分别报送一份给</w:t>
      </w:r>
      <w:r>
        <w:rPr>
          <w:rFonts w:hint="eastAsia" w:cs="宋体"/>
          <w:color w:val="auto"/>
          <w:spacing w:val="-5"/>
          <w:sz w:val="21"/>
          <w:szCs w:val="21"/>
          <w:highlight w:val="none"/>
        </w:rPr>
        <w:t>发包人和监理人备查。</w:t>
      </w:r>
    </w:p>
    <w:p>
      <w:pPr>
        <w:pStyle w:val="20"/>
        <w:widowControl w:val="0"/>
        <w:numPr>
          <w:ilvl w:val="0"/>
          <w:numId w:val="71"/>
        </w:numPr>
        <w:autoSpaceDE w:val="0"/>
        <w:autoSpaceDN w:val="0"/>
        <w:spacing w:before="0" w:beforeAutospacing="0" w:after="0" w:afterAutospacing="0" w:line="415" w:lineRule="auto"/>
        <w:ind w:right="309" w:firstLine="314"/>
        <w:jc w:val="both"/>
        <w:rPr>
          <w:rFonts w:cs="宋体"/>
          <w:color w:val="auto"/>
          <w:sz w:val="21"/>
          <w:szCs w:val="21"/>
          <w:highlight w:val="none"/>
        </w:rPr>
      </w:pPr>
      <w:r>
        <w:rPr>
          <w:rFonts w:hint="eastAsia" w:cs="宋体"/>
          <w:color w:val="auto"/>
          <w:spacing w:val="-9"/>
          <w:sz w:val="21"/>
          <w:szCs w:val="21"/>
          <w:highlight w:val="none"/>
        </w:rPr>
        <w:t xml:space="preserve">如果发、承包任何一方委派评标代表，评标委员会应当由七人以上单数构成。除 </w:t>
      </w:r>
      <w:r>
        <w:rPr>
          <w:rFonts w:hint="eastAsia" w:cs="宋体"/>
          <w:color w:val="auto"/>
          <w:spacing w:val="-7"/>
          <w:sz w:val="21"/>
          <w:szCs w:val="21"/>
          <w:highlight w:val="none"/>
        </w:rPr>
        <w:t>发包人或者承包人自愿放弃委派评标代表的权利外，招标人评标代表应当分别由发包人和承</w:t>
      </w:r>
      <w:r>
        <w:rPr>
          <w:rFonts w:hint="eastAsia" w:cs="宋体"/>
          <w:color w:val="auto"/>
          <w:spacing w:val="-3"/>
          <w:sz w:val="21"/>
          <w:szCs w:val="21"/>
          <w:highlight w:val="none"/>
        </w:rPr>
        <w:t>包人等额委派。</w:t>
      </w:r>
    </w:p>
    <w:p>
      <w:pPr>
        <w:pStyle w:val="20"/>
        <w:widowControl w:val="0"/>
        <w:numPr>
          <w:ilvl w:val="0"/>
          <w:numId w:val="71"/>
        </w:numPr>
        <w:autoSpaceDE w:val="0"/>
        <w:autoSpaceDN w:val="0"/>
        <w:spacing w:before="0" w:beforeAutospacing="0" w:after="0" w:afterAutospacing="0"/>
        <w:ind w:left="949" w:hanging="530"/>
        <w:jc w:val="both"/>
        <w:rPr>
          <w:rFonts w:cs="宋体"/>
          <w:color w:val="auto"/>
          <w:sz w:val="21"/>
          <w:szCs w:val="21"/>
          <w:highlight w:val="none"/>
        </w:rPr>
      </w:pPr>
      <w:r>
        <w:rPr>
          <w:rFonts w:hint="eastAsia" w:cs="宋体"/>
          <w:color w:val="auto"/>
          <w:spacing w:val="-6"/>
          <w:sz w:val="21"/>
          <w:szCs w:val="21"/>
          <w:highlight w:val="none"/>
        </w:rPr>
        <w:t xml:space="preserve">设有标底的，承包人应当在开标前提前 </w:t>
      </w:r>
      <w:r>
        <w:rPr>
          <w:rFonts w:hint="eastAsia" w:cs="宋体"/>
          <w:color w:val="auto"/>
          <w:sz w:val="21"/>
          <w:szCs w:val="21"/>
          <w:highlight w:val="none"/>
        </w:rPr>
        <w:t>48</w:t>
      </w:r>
      <w:r>
        <w:rPr>
          <w:rFonts w:hint="eastAsia" w:cs="宋体"/>
          <w:color w:val="auto"/>
          <w:spacing w:val="-8"/>
          <w:sz w:val="21"/>
          <w:szCs w:val="21"/>
          <w:highlight w:val="none"/>
        </w:rPr>
        <w:t xml:space="preserve"> 小时将标底报发包人审核认可，发包人</w:t>
      </w:r>
      <w:r>
        <w:rPr>
          <w:rFonts w:hint="eastAsia" w:cs="宋体"/>
          <w:color w:val="auto"/>
          <w:spacing w:val="-5"/>
          <w:sz w:val="21"/>
          <w:szCs w:val="21"/>
          <w:highlight w:val="none"/>
        </w:rPr>
        <w:t>应当</w:t>
      </w:r>
    </w:p>
    <w:p>
      <w:pPr>
        <w:pStyle w:val="20"/>
        <w:widowControl w:val="0"/>
        <w:numPr>
          <w:ilvl w:val="0"/>
          <w:numId w:val="71"/>
        </w:numPr>
        <w:autoSpaceDE w:val="0"/>
        <w:autoSpaceDN w:val="0"/>
        <w:spacing w:before="0" w:beforeAutospacing="0" w:after="0" w:afterAutospacing="0"/>
        <w:ind w:left="949" w:hanging="530"/>
        <w:jc w:val="both"/>
        <w:rPr>
          <w:rFonts w:cs="宋体"/>
          <w:color w:val="auto"/>
          <w:sz w:val="21"/>
          <w:szCs w:val="21"/>
          <w:highlight w:val="none"/>
        </w:rPr>
      </w:pPr>
      <w:r>
        <w:rPr>
          <w:rFonts w:hint="eastAsia" w:cs="宋体"/>
          <w:color w:val="auto"/>
          <w:spacing w:val="-5"/>
          <w:sz w:val="21"/>
          <w:szCs w:val="21"/>
          <w:highlight w:val="none"/>
        </w:rPr>
        <w:t xml:space="preserve">在收到承包人报送的标底后 </w:t>
      </w:r>
      <w:r>
        <w:rPr>
          <w:rFonts w:hint="eastAsia" w:cs="宋体"/>
          <w:color w:val="auto"/>
          <w:sz w:val="21"/>
          <w:szCs w:val="21"/>
          <w:highlight w:val="none"/>
        </w:rPr>
        <w:t>24</w:t>
      </w:r>
      <w:r>
        <w:rPr>
          <w:rFonts w:hint="eastAsia" w:cs="宋体"/>
          <w:color w:val="auto"/>
          <w:spacing w:val="-7"/>
          <w:sz w:val="21"/>
          <w:szCs w:val="21"/>
          <w:highlight w:val="none"/>
        </w:rPr>
        <w:t xml:space="preserve"> 小时内给予批准或者提出修改意见。承包人和发包人应</w:t>
      </w:r>
      <w:r>
        <w:rPr>
          <w:rFonts w:hint="eastAsia" w:cs="宋体"/>
          <w:color w:val="auto"/>
          <w:spacing w:val="-5"/>
          <w:sz w:val="21"/>
          <w:szCs w:val="21"/>
          <w:highlight w:val="none"/>
        </w:rPr>
        <w:t>当共同制定标底保密措施，不得提前泄露标底。标底的最终审核和决定权属于发包人。</w:t>
      </w:r>
    </w:p>
    <w:p>
      <w:pPr>
        <w:pStyle w:val="20"/>
        <w:widowControl w:val="0"/>
        <w:numPr>
          <w:ilvl w:val="0"/>
          <w:numId w:val="71"/>
        </w:numPr>
        <w:autoSpaceDE w:val="0"/>
        <w:autoSpaceDN w:val="0"/>
        <w:spacing w:before="0" w:beforeAutospacing="0" w:after="0" w:afterAutospacing="0"/>
        <w:ind w:left="947"/>
        <w:jc w:val="both"/>
        <w:rPr>
          <w:rFonts w:cs="宋体"/>
          <w:color w:val="auto"/>
          <w:sz w:val="21"/>
          <w:szCs w:val="21"/>
          <w:highlight w:val="none"/>
        </w:rPr>
      </w:pPr>
      <w:r>
        <w:rPr>
          <w:rFonts w:hint="eastAsia" w:cs="宋体"/>
          <w:color w:val="auto"/>
          <w:spacing w:val="-10"/>
          <w:sz w:val="21"/>
          <w:szCs w:val="21"/>
          <w:highlight w:val="none"/>
        </w:rPr>
        <w:t xml:space="preserve">设有招标控制价的，承包人应当在招标文件发出前提前 </w:t>
      </w:r>
      <w:r>
        <w:rPr>
          <w:rFonts w:hint="eastAsia" w:cs="宋体"/>
          <w:color w:val="auto"/>
          <w:sz w:val="21"/>
          <w:szCs w:val="21"/>
          <w:highlight w:val="none"/>
        </w:rPr>
        <w:t>7</w:t>
      </w:r>
      <w:r>
        <w:rPr>
          <w:rFonts w:hint="eastAsia" w:cs="宋体"/>
          <w:color w:val="auto"/>
          <w:spacing w:val="-8"/>
          <w:sz w:val="21"/>
          <w:szCs w:val="21"/>
          <w:highlight w:val="none"/>
        </w:rPr>
        <w:t xml:space="preserve"> 天将招标控制价报发包人</w:t>
      </w:r>
      <w:r>
        <w:rPr>
          <w:rFonts w:hint="eastAsia" w:cs="宋体"/>
          <w:color w:val="auto"/>
          <w:spacing w:val="-4"/>
          <w:sz w:val="21"/>
          <w:szCs w:val="21"/>
          <w:highlight w:val="none"/>
        </w:rPr>
        <w:t>审核</w:t>
      </w:r>
    </w:p>
    <w:p>
      <w:pPr>
        <w:pStyle w:val="20"/>
        <w:widowControl w:val="0"/>
        <w:numPr>
          <w:ilvl w:val="0"/>
          <w:numId w:val="0"/>
        </w:numPr>
        <w:autoSpaceDE w:val="0"/>
        <w:autoSpaceDN w:val="0"/>
        <w:spacing w:before="0" w:beforeAutospacing="0" w:after="0" w:afterAutospacing="0"/>
        <w:jc w:val="both"/>
        <w:rPr>
          <w:rFonts w:cs="宋体"/>
          <w:color w:val="auto"/>
          <w:sz w:val="21"/>
          <w:szCs w:val="21"/>
          <w:highlight w:val="none"/>
        </w:rPr>
      </w:pPr>
      <w:r>
        <w:rPr>
          <w:rFonts w:hint="eastAsia" w:cs="宋体"/>
          <w:color w:val="auto"/>
          <w:spacing w:val="-4"/>
          <w:sz w:val="21"/>
          <w:szCs w:val="21"/>
          <w:highlight w:val="none"/>
        </w:rPr>
        <w:t xml:space="preserve">认可，发包人应当在收到承包人报送的招标控制价后 </w:t>
      </w:r>
      <w:r>
        <w:rPr>
          <w:rFonts w:hint="eastAsia" w:cs="宋体"/>
          <w:color w:val="auto"/>
          <w:sz w:val="21"/>
          <w:szCs w:val="21"/>
          <w:highlight w:val="none"/>
        </w:rPr>
        <w:t>72</w:t>
      </w:r>
      <w:r>
        <w:rPr>
          <w:rFonts w:hint="eastAsia" w:cs="宋体"/>
          <w:color w:val="auto"/>
          <w:spacing w:val="-7"/>
          <w:sz w:val="21"/>
          <w:szCs w:val="21"/>
          <w:highlight w:val="none"/>
        </w:rPr>
        <w:t xml:space="preserve"> 小时内给予认可或者提出修改</w:t>
      </w:r>
      <w:r>
        <w:rPr>
          <w:rFonts w:hint="eastAsia" w:cs="宋体"/>
          <w:color w:val="auto"/>
          <w:spacing w:val="-9"/>
          <w:sz w:val="21"/>
          <w:szCs w:val="21"/>
          <w:highlight w:val="none"/>
        </w:rPr>
        <w:t>意见。招标控制价的最终审核和决定权属于发包人，未经发包人认可，承包人不得发出招标</w:t>
      </w:r>
      <w:r>
        <w:rPr>
          <w:rFonts w:hint="eastAsia" w:cs="宋体"/>
          <w:color w:val="auto"/>
          <w:spacing w:val="-8"/>
          <w:sz w:val="21"/>
          <w:szCs w:val="21"/>
          <w:highlight w:val="none"/>
        </w:rPr>
        <w:t>文件。</w:t>
      </w:r>
    </w:p>
    <w:p>
      <w:pPr>
        <w:pStyle w:val="20"/>
        <w:widowControl w:val="0"/>
        <w:numPr>
          <w:ilvl w:val="0"/>
          <w:numId w:val="71"/>
        </w:numPr>
        <w:autoSpaceDE w:val="0"/>
        <w:autoSpaceDN w:val="0"/>
        <w:spacing w:before="0" w:beforeAutospacing="0" w:after="0" w:afterAutospacing="0"/>
        <w:ind w:left="949" w:hanging="530"/>
        <w:jc w:val="both"/>
        <w:rPr>
          <w:rFonts w:cs="宋体"/>
          <w:color w:val="auto"/>
          <w:sz w:val="15"/>
          <w:szCs w:val="15"/>
          <w:highlight w:val="none"/>
        </w:rPr>
      </w:pPr>
      <w:r>
        <w:rPr>
          <w:rFonts w:hint="eastAsia" w:cs="宋体"/>
          <w:color w:val="auto"/>
          <w:spacing w:val="-5"/>
          <w:sz w:val="21"/>
          <w:szCs w:val="21"/>
          <w:highlight w:val="none"/>
        </w:rPr>
        <w:t xml:space="preserve">承包人在收到相关招标项目评标委员会提交的评标报告后，应当在 </w:t>
      </w:r>
      <w:r>
        <w:rPr>
          <w:rFonts w:hint="eastAsia" w:cs="宋体"/>
          <w:color w:val="auto"/>
          <w:sz w:val="21"/>
          <w:szCs w:val="21"/>
          <w:highlight w:val="none"/>
        </w:rPr>
        <w:t>24</w:t>
      </w:r>
      <w:r>
        <w:rPr>
          <w:rFonts w:hint="eastAsia" w:cs="宋体"/>
          <w:color w:val="auto"/>
          <w:spacing w:val="-10"/>
          <w:sz w:val="21"/>
          <w:szCs w:val="21"/>
          <w:highlight w:val="none"/>
        </w:rPr>
        <w:t xml:space="preserve"> 小时内通过</w:t>
      </w:r>
    </w:p>
    <w:p>
      <w:pPr>
        <w:pStyle w:val="20"/>
        <w:widowControl w:val="0"/>
        <w:autoSpaceDE w:val="0"/>
        <w:autoSpaceDN w:val="0"/>
        <w:spacing w:before="0" w:beforeAutospacing="0" w:after="0" w:afterAutospacing="0"/>
        <w:ind w:left="138" w:right="308"/>
        <w:jc w:val="both"/>
        <w:rPr>
          <w:rFonts w:cs="宋体"/>
          <w:color w:val="auto"/>
          <w:sz w:val="21"/>
          <w:szCs w:val="21"/>
          <w:highlight w:val="none"/>
        </w:rPr>
      </w:pPr>
      <w:r>
        <w:rPr>
          <w:rFonts w:hint="eastAsia" w:cs="宋体"/>
          <w:color w:val="auto"/>
          <w:spacing w:val="-4"/>
          <w:sz w:val="21"/>
          <w:szCs w:val="21"/>
          <w:highlight w:val="none"/>
        </w:rPr>
        <w:t xml:space="preserve">监理人转报发包人核查，发包人应当在监理人收到承包人报送的评标报告后 </w:t>
      </w:r>
      <w:r>
        <w:rPr>
          <w:rFonts w:hint="eastAsia" w:cs="宋体"/>
          <w:color w:val="auto"/>
          <w:sz w:val="21"/>
          <w:szCs w:val="21"/>
          <w:highlight w:val="none"/>
        </w:rPr>
        <w:t>48</w:t>
      </w:r>
      <w:r>
        <w:rPr>
          <w:rFonts w:hint="eastAsia" w:cs="宋体"/>
          <w:color w:val="auto"/>
          <w:spacing w:val="-6"/>
          <w:sz w:val="21"/>
          <w:szCs w:val="21"/>
          <w:highlight w:val="none"/>
        </w:rPr>
        <w:t xml:space="preserve"> 小时内核查</w:t>
      </w:r>
      <w:r>
        <w:rPr>
          <w:rFonts w:hint="eastAsia" w:cs="宋体"/>
          <w:color w:val="auto"/>
          <w:spacing w:val="-10"/>
          <w:sz w:val="21"/>
          <w:szCs w:val="21"/>
          <w:highlight w:val="none"/>
        </w:rPr>
        <w:t>完毕，评标报告经过发包人核查认可后，承包人才可以开始后续程序，依法确定中标人并发</w:t>
      </w:r>
      <w:r>
        <w:rPr>
          <w:rFonts w:hint="eastAsia" w:cs="宋体"/>
          <w:color w:val="auto"/>
          <w:spacing w:val="-5"/>
          <w:sz w:val="21"/>
          <w:szCs w:val="21"/>
          <w:highlight w:val="none"/>
        </w:rPr>
        <w:t>出中标通知书。</w:t>
      </w:r>
    </w:p>
    <w:p>
      <w:pPr>
        <w:pStyle w:val="20"/>
        <w:widowControl w:val="0"/>
        <w:numPr>
          <w:ilvl w:val="0"/>
          <w:numId w:val="71"/>
        </w:numPr>
        <w:autoSpaceDE w:val="0"/>
        <w:autoSpaceDN w:val="0"/>
        <w:spacing w:before="0" w:beforeAutospacing="0" w:after="0" w:afterAutospacing="0" w:line="415" w:lineRule="auto"/>
        <w:ind w:right="308" w:firstLine="314"/>
        <w:jc w:val="both"/>
        <w:rPr>
          <w:rFonts w:cs="宋体"/>
          <w:color w:val="auto"/>
          <w:sz w:val="21"/>
          <w:szCs w:val="21"/>
          <w:highlight w:val="none"/>
        </w:rPr>
      </w:pPr>
      <w:r>
        <w:rPr>
          <w:rFonts w:hint="eastAsia" w:cs="宋体"/>
          <w:color w:val="auto"/>
          <w:spacing w:val="-3"/>
          <w:sz w:val="21"/>
          <w:szCs w:val="21"/>
          <w:highlight w:val="none"/>
        </w:rPr>
        <w:t>承包人与专业分包人或者专项供应商订立合同前应当按照合同条款专用部分约定</w:t>
      </w:r>
      <w:r>
        <w:rPr>
          <w:rFonts w:hint="eastAsia" w:cs="宋体"/>
          <w:color w:val="auto"/>
          <w:spacing w:val="-11"/>
          <w:sz w:val="21"/>
          <w:szCs w:val="21"/>
          <w:highlight w:val="none"/>
        </w:rPr>
        <w:t>期限，将准备用于正式签订的合同文件通过监理人报发包人审核，发包人应当在监理人收到</w:t>
      </w:r>
      <w:r>
        <w:rPr>
          <w:rFonts w:hint="eastAsia" w:cs="宋体"/>
          <w:color w:val="auto"/>
          <w:spacing w:val="-9"/>
          <w:sz w:val="21"/>
          <w:szCs w:val="21"/>
          <w:highlight w:val="none"/>
        </w:rPr>
        <w:t>相关文件后在合同条款专用部分约定期限内给予批准或者提出修改意见，承包人应当按照发</w:t>
      </w:r>
      <w:r>
        <w:rPr>
          <w:rFonts w:hint="eastAsia" w:cs="宋体"/>
          <w:color w:val="auto"/>
          <w:spacing w:val="-10"/>
          <w:sz w:val="21"/>
          <w:szCs w:val="21"/>
          <w:highlight w:val="none"/>
        </w:rPr>
        <w:t>包人批准的合同文件签订相关合同，合同订立后，在合同条款专用部分约定期限内，承包人</w:t>
      </w:r>
      <w:r>
        <w:rPr>
          <w:rFonts w:hint="eastAsia" w:cs="宋体"/>
          <w:color w:val="auto"/>
          <w:spacing w:val="-5"/>
          <w:sz w:val="21"/>
          <w:szCs w:val="21"/>
          <w:highlight w:val="none"/>
        </w:rPr>
        <w:t>应当将其中的两份副本报送监理人，其中一份由监理人报发包人留存。</w:t>
      </w:r>
    </w:p>
    <w:p>
      <w:pPr>
        <w:pStyle w:val="20"/>
        <w:widowControl w:val="0"/>
        <w:numPr>
          <w:ilvl w:val="0"/>
          <w:numId w:val="71"/>
        </w:numPr>
        <w:autoSpaceDE w:val="0"/>
        <w:autoSpaceDN w:val="0"/>
        <w:spacing w:before="72" w:beforeAutospacing="0" w:after="0" w:afterAutospacing="0" w:line="415" w:lineRule="auto"/>
        <w:ind w:right="309" w:firstLine="314"/>
        <w:rPr>
          <w:rFonts w:cs="宋体"/>
          <w:color w:val="auto"/>
          <w:sz w:val="21"/>
          <w:szCs w:val="21"/>
          <w:highlight w:val="none"/>
        </w:rPr>
      </w:pPr>
      <w:r>
        <w:rPr>
          <w:rFonts w:hint="eastAsia" w:cs="宋体"/>
          <w:color w:val="auto"/>
          <w:spacing w:val="-4"/>
          <w:sz w:val="21"/>
          <w:szCs w:val="21"/>
          <w:highlight w:val="none"/>
        </w:rPr>
        <w:t>发包人对承包人报送文件进行审批或提出的修改意见应当合理，并符合现行有关</w:t>
      </w:r>
      <w:r>
        <w:rPr>
          <w:rFonts w:hint="eastAsia" w:cs="宋体"/>
          <w:color w:val="auto"/>
          <w:spacing w:val="-3"/>
          <w:sz w:val="21"/>
          <w:szCs w:val="21"/>
          <w:highlight w:val="none"/>
        </w:rPr>
        <w:t>法律法规的规定。</w:t>
      </w:r>
    </w:p>
    <w:p>
      <w:pPr>
        <w:pStyle w:val="20"/>
        <w:widowControl w:val="0"/>
        <w:numPr>
          <w:ilvl w:val="0"/>
          <w:numId w:val="71"/>
        </w:numPr>
        <w:autoSpaceDE w:val="0"/>
        <w:autoSpaceDN w:val="0"/>
        <w:spacing w:before="0" w:beforeAutospacing="0" w:after="0" w:afterAutospacing="0" w:line="415" w:lineRule="auto"/>
        <w:ind w:right="309" w:firstLine="314"/>
        <w:jc w:val="both"/>
        <w:rPr>
          <w:rFonts w:cs="宋体"/>
          <w:color w:val="auto"/>
          <w:sz w:val="21"/>
          <w:szCs w:val="21"/>
          <w:highlight w:val="none"/>
        </w:rPr>
      </w:pPr>
      <w:r>
        <w:rPr>
          <w:rFonts w:hint="eastAsia" w:cs="宋体"/>
          <w:color w:val="auto"/>
          <w:spacing w:val="-4"/>
          <w:sz w:val="21"/>
          <w:szCs w:val="21"/>
          <w:highlight w:val="none"/>
        </w:rPr>
        <w:t>承包人违背本项上述约定的程序或者未履行本项上述约定的报批手续的，发包人</w:t>
      </w:r>
      <w:r>
        <w:rPr>
          <w:rFonts w:hint="eastAsia" w:cs="宋体"/>
          <w:color w:val="auto"/>
          <w:sz w:val="21"/>
          <w:szCs w:val="21"/>
          <w:highlight w:val="none"/>
        </w:rPr>
        <w:t>有权拒绝对相关专业工程或者涉及相关专项供应的材料和工程设备的工程进行验收和拨付</w:t>
      </w:r>
      <w:r>
        <w:rPr>
          <w:rFonts w:hint="eastAsia" w:cs="宋体"/>
          <w:color w:val="auto"/>
          <w:spacing w:val="-8"/>
          <w:sz w:val="21"/>
          <w:szCs w:val="21"/>
          <w:highlight w:val="none"/>
        </w:rPr>
        <w:t>相应工程款项，所造成的费用增加和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25"/>
          <w:sz w:val="21"/>
          <w:szCs w:val="21"/>
          <w:highlight w:val="none"/>
        </w:rPr>
        <w:t>）</w:t>
      </w:r>
      <w:r>
        <w:rPr>
          <w:rFonts w:hint="eastAsia" w:cs="宋体"/>
          <w:color w:val="auto"/>
          <w:spacing w:val="-5"/>
          <w:sz w:val="21"/>
          <w:szCs w:val="21"/>
          <w:highlight w:val="none"/>
        </w:rPr>
        <w:t>工期延误由承包人承担。发包人未按本项上述约</w:t>
      </w:r>
      <w:r>
        <w:rPr>
          <w:rFonts w:hint="eastAsia" w:cs="宋体"/>
          <w:color w:val="auto"/>
          <w:spacing w:val="-4"/>
          <w:sz w:val="21"/>
          <w:szCs w:val="21"/>
          <w:highlight w:val="none"/>
        </w:rPr>
        <w:t>定履行审批手续的，所造成的费用增加和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z w:val="21"/>
          <w:szCs w:val="21"/>
          <w:highlight w:val="none"/>
        </w:rPr>
        <w:t>）</w:t>
      </w:r>
      <w:r>
        <w:rPr>
          <w:rFonts w:hint="eastAsia" w:cs="宋体"/>
          <w:color w:val="auto"/>
          <w:spacing w:val="-3"/>
          <w:sz w:val="21"/>
          <w:szCs w:val="21"/>
          <w:highlight w:val="none"/>
        </w:rPr>
        <w:t>工期延误由发包人承担。</w:t>
      </w:r>
    </w:p>
    <w:p>
      <w:pPr>
        <w:pStyle w:val="20"/>
        <w:widowControl w:val="0"/>
        <w:numPr>
          <w:ilvl w:val="2"/>
          <w:numId w:val="70"/>
        </w:numPr>
        <w:autoSpaceDE w:val="0"/>
        <w:autoSpaceDN w:val="0"/>
        <w:spacing w:before="0" w:beforeAutospacing="0" w:after="0" w:afterAutospacing="0" w:line="415" w:lineRule="auto"/>
        <w:ind w:right="203" w:firstLine="419"/>
        <w:rPr>
          <w:rFonts w:cs="宋体"/>
          <w:color w:val="auto"/>
          <w:sz w:val="21"/>
          <w:szCs w:val="21"/>
          <w:highlight w:val="none"/>
        </w:rPr>
      </w:pPr>
      <w:r>
        <w:rPr>
          <w:rFonts w:hint="eastAsia" w:cs="宋体"/>
          <w:color w:val="auto"/>
          <w:sz w:val="21"/>
          <w:szCs w:val="21"/>
          <w:highlight w:val="none"/>
        </w:rPr>
        <w:t xml:space="preserve">发包人在工程量清单中给定暂估价的材料和工程设备不属于依法必须招标的范 </w:t>
      </w:r>
      <w:r>
        <w:rPr>
          <w:rFonts w:hint="eastAsia" w:cs="宋体"/>
          <w:color w:val="auto"/>
          <w:spacing w:val="-11"/>
          <w:sz w:val="21"/>
          <w:szCs w:val="21"/>
          <w:highlight w:val="none"/>
        </w:rPr>
        <w:t xml:space="preserve">围或未达到规定的规模标准的，应由承包人按第 </w:t>
      </w:r>
      <w:r>
        <w:rPr>
          <w:rFonts w:hint="eastAsia" w:cs="宋体"/>
          <w:color w:val="auto"/>
          <w:sz w:val="21"/>
          <w:szCs w:val="21"/>
          <w:highlight w:val="none"/>
        </w:rPr>
        <w:t>5.1</w:t>
      </w:r>
      <w:r>
        <w:rPr>
          <w:rFonts w:hint="eastAsia" w:cs="宋体"/>
          <w:color w:val="auto"/>
          <w:spacing w:val="-13"/>
          <w:sz w:val="21"/>
          <w:szCs w:val="21"/>
          <w:highlight w:val="none"/>
        </w:rPr>
        <w:t xml:space="preserve"> 款的约定提供。经监理人确认的材料、工程设备的价格与工程量清单中所列的暂估价的金额差以及相应的税金等其他费用列入合同 </w:t>
      </w:r>
      <w:r>
        <w:rPr>
          <w:rFonts w:hint="eastAsia" w:cs="宋体"/>
          <w:color w:val="auto"/>
          <w:spacing w:val="-7"/>
          <w:sz w:val="21"/>
          <w:szCs w:val="21"/>
          <w:highlight w:val="none"/>
        </w:rPr>
        <w:t>价格。</w:t>
      </w:r>
    </w:p>
    <w:p>
      <w:pPr>
        <w:pStyle w:val="20"/>
        <w:widowControl w:val="0"/>
        <w:numPr>
          <w:ilvl w:val="2"/>
          <w:numId w:val="70"/>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z w:val="21"/>
          <w:szCs w:val="21"/>
          <w:highlight w:val="none"/>
        </w:rPr>
        <w:t>发包人在工程量清单中给定暂估价的专业工程不属于依法必须招标的范围或未</w:t>
      </w:r>
      <w:r>
        <w:rPr>
          <w:rFonts w:hint="eastAsia" w:cs="宋体"/>
          <w:color w:val="auto"/>
          <w:spacing w:val="-5"/>
          <w:sz w:val="21"/>
          <w:szCs w:val="21"/>
          <w:highlight w:val="none"/>
        </w:rPr>
        <w:t xml:space="preserve">达到规定的规模标准的，由监理人按照第 </w:t>
      </w:r>
      <w:r>
        <w:rPr>
          <w:rFonts w:hint="eastAsia" w:cs="宋体"/>
          <w:color w:val="auto"/>
          <w:sz w:val="21"/>
          <w:szCs w:val="21"/>
          <w:highlight w:val="none"/>
        </w:rPr>
        <w:t>15.4</w:t>
      </w:r>
      <w:r>
        <w:rPr>
          <w:rFonts w:hint="eastAsia" w:cs="宋体"/>
          <w:color w:val="auto"/>
          <w:spacing w:val="-6"/>
          <w:sz w:val="21"/>
          <w:szCs w:val="21"/>
          <w:highlight w:val="none"/>
        </w:rPr>
        <w:t xml:space="preserve"> 款进行估价，但合同条款专用部分另有约定</w:t>
      </w:r>
      <w:r>
        <w:rPr>
          <w:rFonts w:hint="eastAsia" w:cs="宋体"/>
          <w:color w:val="auto"/>
          <w:spacing w:val="-12"/>
          <w:sz w:val="21"/>
          <w:szCs w:val="21"/>
          <w:highlight w:val="none"/>
        </w:rPr>
        <w:t>的除外。经估价的专业工程与工程量清单中所列的暂估价的金额差以及相应的税金等其他费</w:t>
      </w:r>
      <w:r>
        <w:rPr>
          <w:rFonts w:hint="eastAsia" w:cs="宋体"/>
          <w:color w:val="auto"/>
          <w:spacing w:val="-5"/>
          <w:sz w:val="21"/>
          <w:szCs w:val="21"/>
          <w:highlight w:val="none"/>
        </w:rPr>
        <w:t>用列入合同价格。</w:t>
      </w:r>
    </w:p>
    <w:p>
      <w:pPr>
        <w:pStyle w:val="6"/>
        <w:widowControl/>
        <w:numPr>
          <w:ilvl w:val="0"/>
          <w:numId w:val="14"/>
        </w:numPr>
        <w:spacing w:before="0" w:after="0"/>
        <w:ind w:left="560" w:hanging="423"/>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价格调整</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物价波动引起的价格调整 </w:t>
      </w:r>
    </w:p>
    <w:p>
      <w:pPr>
        <w:pStyle w:val="20"/>
        <w:widowControl w:val="0"/>
        <w:autoSpaceDE w:val="0"/>
        <w:autoSpaceDN w:val="0"/>
        <w:spacing w:before="0" w:beforeAutospacing="0" w:after="0" w:afterAutospacing="0" w:line="415" w:lineRule="auto"/>
        <w:ind w:left="558" w:right="638"/>
        <w:rPr>
          <w:rFonts w:cs="宋体"/>
          <w:color w:val="auto"/>
          <w:sz w:val="21"/>
          <w:szCs w:val="21"/>
          <w:highlight w:val="none"/>
        </w:rPr>
      </w:pPr>
      <w:r>
        <w:rPr>
          <w:rFonts w:hint="eastAsia" w:cs="宋体"/>
          <w:color w:val="auto"/>
          <w:spacing w:val="-3"/>
          <w:sz w:val="21"/>
          <w:szCs w:val="21"/>
          <w:highlight w:val="none"/>
        </w:rPr>
        <w:t>除合同条款专用部分另有约定外，因物价波动引起的价格调整按照本款约定处理。16.1.1 采用价格指数调整价格差额</w:t>
      </w:r>
    </w:p>
    <w:p>
      <w:pPr>
        <w:pStyle w:val="20"/>
        <w:widowControl w:val="0"/>
        <w:numPr>
          <w:ilvl w:val="3"/>
          <w:numId w:val="72"/>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 xml:space="preserve">价格调整公式 </w:t>
      </w:r>
    </w:p>
    <w:p>
      <w:pPr>
        <w:pStyle w:val="20"/>
        <w:widowControl w:val="0"/>
        <w:autoSpaceDE w:val="0"/>
        <w:autoSpaceDN w:val="0"/>
        <w:spacing w:before="1" w:beforeAutospacing="0" w:after="0" w:afterAutospacing="0" w:line="415" w:lineRule="auto"/>
        <w:ind w:left="138" w:right="308" w:firstLine="631"/>
        <w:rPr>
          <w:rFonts w:cs="宋体"/>
          <w:color w:val="auto"/>
          <w:sz w:val="21"/>
          <w:szCs w:val="21"/>
          <w:highlight w:val="none"/>
        </w:rPr>
      </w:pPr>
      <w:r>
        <w:rPr>
          <w:rFonts w:hint="eastAsia" w:cs="宋体"/>
          <w:color w:val="auto"/>
          <w:spacing w:val="-10"/>
          <w:sz w:val="21"/>
          <w:szCs w:val="21"/>
          <w:highlight w:val="none"/>
        </w:rPr>
        <w:t>因人工、材料和设备等价格波动影响合同价格时，根据投标函附录中的价格指数和权</w:t>
      </w:r>
      <w:r>
        <w:rPr>
          <w:rFonts w:hint="eastAsia" w:cs="宋体"/>
          <w:color w:val="auto"/>
          <w:spacing w:val="-5"/>
          <w:sz w:val="21"/>
          <w:szCs w:val="21"/>
          <w:highlight w:val="none"/>
        </w:rPr>
        <w:t>重表约定的数据，按以下公式计算差额并调整合同价格。</w:t>
      </w:r>
    </w:p>
    <w:p>
      <w:pPr>
        <w:pStyle w:val="20"/>
        <w:widowControl w:val="0"/>
        <w:autoSpaceDE w:val="0"/>
        <w:autoSpaceDN w:val="0"/>
        <w:spacing w:before="4" w:beforeAutospacing="0" w:after="0" w:afterAutospacing="0"/>
        <w:jc w:val="center"/>
        <w:rPr>
          <w:rFonts w:cs="宋体"/>
          <w:color w:val="auto"/>
          <w:highlight w:val="none"/>
        </w:rPr>
      </w:pPr>
      <w:r>
        <w:rPr>
          <w:rFonts w:hint="eastAsia" w:cs="宋体"/>
          <w:color w:val="auto"/>
          <w:highlight w:val="none"/>
        </w:rPr>
        <w:drawing>
          <wp:inline distT="0" distB="0" distL="114300" distR="114300">
            <wp:extent cx="2584450" cy="330200"/>
            <wp:effectExtent l="0" t="0" r="6350" b="12700"/>
            <wp:docPr id="8" name="图片 1" descr="b8afdd1d0a7c94884c6e00aff87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b8afdd1d0a7c94884c6e00aff872186"/>
                    <pic:cNvPicPr>
                      <a:picLocks noChangeAspect="1"/>
                    </pic:cNvPicPr>
                  </pic:nvPicPr>
                  <pic:blipFill>
                    <a:blip r:embed="rId25"/>
                    <a:stretch>
                      <a:fillRect/>
                    </a:stretch>
                  </pic:blipFill>
                  <pic:spPr>
                    <a:xfrm>
                      <a:off x="0" y="0"/>
                      <a:ext cx="2584450" cy="330200"/>
                    </a:xfrm>
                    <a:prstGeom prst="rect">
                      <a:avLst/>
                    </a:prstGeom>
                    <a:noFill/>
                    <a:ln>
                      <a:noFill/>
                    </a:ln>
                  </pic:spPr>
                </pic:pic>
              </a:graphicData>
            </a:graphic>
          </wp:inline>
        </w:drawing>
      </w:r>
    </w:p>
    <w:p>
      <w:pPr>
        <w:pStyle w:val="20"/>
        <w:widowControl w:val="0"/>
        <w:autoSpaceDE w:val="0"/>
        <w:autoSpaceDN w:val="0"/>
        <w:spacing w:before="78" w:beforeAutospacing="0" w:after="0" w:afterAutospacing="0"/>
        <w:ind w:left="558"/>
        <w:jc w:val="both"/>
        <w:rPr>
          <w:rFonts w:cs="宋体"/>
          <w:color w:val="auto"/>
          <w:sz w:val="21"/>
          <w:szCs w:val="21"/>
          <w:highlight w:val="none"/>
        </w:rPr>
      </w:pPr>
      <w:r>
        <w:rPr>
          <w:rFonts w:hint="eastAsia" w:cs="宋体"/>
          <w:color w:val="auto"/>
          <w:sz w:val="21"/>
          <w:szCs w:val="21"/>
          <w:highlight w:val="none"/>
        </w:rPr>
        <w:t>式中： △</w:t>
      </w:r>
      <w:r>
        <w:rPr>
          <w:rFonts w:ascii="Times New Roman" w:hAnsi="Times New Roman" w:cs="宋体"/>
          <w:color w:val="auto"/>
          <w:sz w:val="21"/>
          <w:szCs w:val="21"/>
          <w:highlight w:val="none"/>
        </w:rPr>
        <w:t xml:space="preserve">P -- </w:t>
      </w:r>
      <w:r>
        <w:rPr>
          <w:rFonts w:hint="eastAsia" w:cs="宋体"/>
          <w:color w:val="auto"/>
          <w:sz w:val="21"/>
          <w:szCs w:val="21"/>
          <w:highlight w:val="none"/>
        </w:rPr>
        <w:t>需调整的价格差额；</w:t>
      </w:r>
    </w:p>
    <w:p>
      <w:pPr>
        <w:pStyle w:val="20"/>
        <w:widowControl w:val="0"/>
        <w:autoSpaceDE w:val="0"/>
        <w:autoSpaceDN w:val="0"/>
        <w:spacing w:before="0" w:beforeAutospacing="0" w:after="0" w:afterAutospacing="0" w:line="415" w:lineRule="auto"/>
        <w:ind w:left="138" w:right="308" w:firstLine="1259"/>
        <w:jc w:val="both"/>
        <w:rPr>
          <w:rFonts w:cs="宋体"/>
          <w:color w:val="auto"/>
          <w:sz w:val="21"/>
          <w:szCs w:val="21"/>
          <w:highlight w:val="none"/>
        </w:rPr>
      </w:pPr>
      <w:r>
        <w:rPr>
          <w:rFonts w:ascii="Times New Roman" w:cs="宋体"/>
          <w:color w:val="auto"/>
          <w:position w:val="2"/>
          <w:sz w:val="21"/>
          <w:szCs w:val="21"/>
          <w:highlight w:val="none"/>
        </w:rPr>
        <w:t>P</w:t>
      </w:r>
      <w:r>
        <w:rPr>
          <w:rFonts w:ascii="Times New Roman" w:cs="宋体"/>
          <w:color w:val="auto"/>
          <w:sz w:val="14"/>
          <w:szCs w:val="14"/>
          <w:highlight w:val="none"/>
        </w:rPr>
        <w:t xml:space="preserve">0 </w:t>
      </w:r>
      <w:r>
        <w:rPr>
          <w:rFonts w:ascii="Times New Roman" w:cs="宋体"/>
          <w:color w:val="auto"/>
          <w:position w:val="2"/>
          <w:sz w:val="21"/>
          <w:szCs w:val="21"/>
          <w:highlight w:val="none"/>
        </w:rPr>
        <w:t xml:space="preserve">-- </w:t>
      </w:r>
      <w:r>
        <w:rPr>
          <w:rFonts w:hint="eastAsia" w:cs="宋体"/>
          <w:color w:val="auto"/>
          <w:spacing w:val="-25"/>
          <w:position w:val="2"/>
          <w:sz w:val="21"/>
          <w:szCs w:val="21"/>
          <w:highlight w:val="none"/>
        </w:rPr>
        <w:t xml:space="preserve">第 </w:t>
      </w:r>
      <w:r>
        <w:rPr>
          <w:rFonts w:ascii="Times New Roman" w:cs="宋体"/>
          <w:color w:val="auto"/>
          <w:position w:val="2"/>
          <w:sz w:val="21"/>
          <w:szCs w:val="21"/>
          <w:highlight w:val="none"/>
        </w:rPr>
        <w:t xml:space="preserve">17.3.3 </w:t>
      </w:r>
      <w:r>
        <w:rPr>
          <w:rFonts w:hint="eastAsia" w:cs="宋体"/>
          <w:color w:val="auto"/>
          <w:spacing w:val="-14"/>
          <w:position w:val="2"/>
          <w:sz w:val="21"/>
          <w:szCs w:val="21"/>
          <w:highlight w:val="none"/>
        </w:rPr>
        <w:t xml:space="preserve">项、第 </w:t>
      </w:r>
      <w:r>
        <w:rPr>
          <w:rFonts w:ascii="Times New Roman" w:cs="宋体"/>
          <w:color w:val="auto"/>
          <w:position w:val="2"/>
          <w:sz w:val="21"/>
          <w:szCs w:val="21"/>
          <w:highlight w:val="none"/>
        </w:rPr>
        <w:t xml:space="preserve">17.5.2 </w:t>
      </w:r>
      <w:r>
        <w:rPr>
          <w:rFonts w:hint="eastAsia" w:cs="宋体"/>
          <w:color w:val="auto"/>
          <w:spacing w:val="-14"/>
          <w:position w:val="2"/>
          <w:sz w:val="21"/>
          <w:szCs w:val="21"/>
          <w:highlight w:val="none"/>
        </w:rPr>
        <w:t xml:space="preserve">项和第 </w:t>
      </w:r>
      <w:r>
        <w:rPr>
          <w:rFonts w:ascii="Times New Roman" w:cs="宋体"/>
          <w:color w:val="auto"/>
          <w:position w:val="2"/>
          <w:sz w:val="21"/>
          <w:szCs w:val="21"/>
          <w:highlight w:val="none"/>
        </w:rPr>
        <w:t xml:space="preserve">17.6.2 </w:t>
      </w:r>
      <w:r>
        <w:rPr>
          <w:rFonts w:hint="eastAsia" w:cs="宋体"/>
          <w:color w:val="auto"/>
          <w:spacing w:val="-3"/>
          <w:position w:val="2"/>
          <w:sz w:val="21"/>
          <w:szCs w:val="21"/>
          <w:highlight w:val="none"/>
        </w:rPr>
        <w:t>项约定的付款证书中承包人应得到</w:t>
      </w:r>
      <w:r>
        <w:rPr>
          <w:rFonts w:hint="eastAsia" w:cs="宋体"/>
          <w:color w:val="auto"/>
          <w:spacing w:val="-9"/>
          <w:sz w:val="21"/>
          <w:szCs w:val="21"/>
          <w:highlight w:val="none"/>
        </w:rPr>
        <w:t>的已完成工程量的金额。此项金额应不包括价格调整、不计质量保证金的扣留和支付、预付</w:t>
      </w:r>
      <w:r>
        <w:rPr>
          <w:rFonts w:hint="eastAsia" w:cs="宋体"/>
          <w:color w:val="auto"/>
          <w:spacing w:val="-10"/>
          <w:sz w:val="21"/>
          <w:szCs w:val="21"/>
          <w:highlight w:val="none"/>
        </w:rPr>
        <w:t xml:space="preserve">款的支付和扣回。第 </w:t>
      </w:r>
      <w:r>
        <w:rPr>
          <w:rFonts w:ascii="Times New Roman" w:cs="宋体"/>
          <w:color w:val="auto"/>
          <w:sz w:val="21"/>
          <w:szCs w:val="21"/>
          <w:highlight w:val="none"/>
        </w:rPr>
        <w:t xml:space="preserve">15 </w:t>
      </w:r>
      <w:r>
        <w:rPr>
          <w:rFonts w:hint="eastAsia" w:cs="宋体"/>
          <w:color w:val="auto"/>
          <w:spacing w:val="-3"/>
          <w:sz w:val="21"/>
          <w:szCs w:val="21"/>
          <w:highlight w:val="none"/>
        </w:rPr>
        <w:t>条约定的变更及其他金额已按现行价格计价的，也不计在内；</w:t>
      </w:r>
    </w:p>
    <w:p>
      <w:pPr>
        <w:pStyle w:val="20"/>
        <w:widowControl w:val="0"/>
        <w:autoSpaceDE w:val="0"/>
        <w:autoSpaceDN w:val="0"/>
        <w:spacing w:before="78" w:beforeAutospacing="0" w:after="0" w:afterAutospacing="0"/>
        <w:ind w:left="1398"/>
        <w:rPr>
          <w:rFonts w:cs="宋体"/>
          <w:color w:val="auto"/>
          <w:sz w:val="21"/>
          <w:szCs w:val="21"/>
          <w:highlight w:val="none"/>
        </w:rPr>
      </w:pPr>
      <w:r>
        <w:rPr>
          <w:rFonts w:ascii="Times New Roman" w:cs="宋体"/>
          <w:color w:val="auto"/>
          <w:sz w:val="21"/>
          <w:szCs w:val="21"/>
          <w:highlight w:val="none"/>
        </w:rPr>
        <w:t xml:space="preserve">A -- </w:t>
      </w:r>
      <w:r>
        <w:rPr>
          <w:rFonts w:hint="eastAsia" w:cs="宋体"/>
          <w:color w:val="auto"/>
          <w:sz w:val="21"/>
          <w:szCs w:val="21"/>
          <w:highlight w:val="none"/>
        </w:rPr>
        <w:t>定值权重</w:t>
      </w:r>
      <w:r>
        <w:rPr>
          <w:rFonts w:ascii="Times New Roman" w:cs="宋体"/>
          <w:color w:val="auto"/>
          <w:sz w:val="21"/>
          <w:szCs w:val="21"/>
          <w:highlight w:val="none"/>
        </w:rPr>
        <w:t>(</w:t>
      </w:r>
      <w:r>
        <w:rPr>
          <w:rFonts w:hint="eastAsia" w:cs="宋体"/>
          <w:color w:val="auto"/>
          <w:sz w:val="21"/>
          <w:szCs w:val="21"/>
          <w:highlight w:val="none"/>
        </w:rPr>
        <w:t>即不调部分的权重</w:t>
      </w:r>
      <w:r>
        <w:rPr>
          <w:rFonts w:ascii="Times New Roman" w:cs="宋体"/>
          <w:color w:val="auto"/>
          <w:sz w:val="21"/>
          <w:szCs w:val="21"/>
          <w:highlight w:val="none"/>
        </w:rPr>
        <w:t>)</w:t>
      </w:r>
      <w:r>
        <w:rPr>
          <w:rFonts w:hint="eastAsia" w:cs="宋体"/>
          <w:color w:val="auto"/>
          <w:sz w:val="21"/>
          <w:szCs w:val="21"/>
          <w:highlight w:val="none"/>
        </w:rPr>
        <w:t>；</w:t>
      </w:r>
    </w:p>
    <w:p>
      <w:pPr>
        <w:autoSpaceDE w:val="0"/>
        <w:autoSpaceDN w:val="0"/>
        <w:ind w:left="1398"/>
        <w:jc w:val="left"/>
        <w:rPr>
          <w:rFonts w:ascii="宋体" w:hAnsi="宋体" w:cs="宋体"/>
          <w:color w:val="auto"/>
          <w:szCs w:val="21"/>
          <w:highlight w:val="none"/>
        </w:rPr>
      </w:pPr>
      <w:r>
        <w:rPr>
          <w:rFonts w:hAnsi="宋体" w:cs="宋体"/>
          <w:color w:val="auto"/>
          <w:kern w:val="0"/>
          <w:position w:val="2"/>
          <w:szCs w:val="21"/>
          <w:highlight w:val="none"/>
        </w:rPr>
        <w:t>B</w:t>
      </w:r>
      <w:r>
        <w:rPr>
          <w:rFonts w:hAnsi="宋体" w:cs="宋体"/>
          <w:color w:val="auto"/>
          <w:kern w:val="0"/>
          <w:sz w:val="14"/>
          <w:szCs w:val="14"/>
          <w:highlight w:val="none"/>
        </w:rPr>
        <w:t>1</w:t>
      </w:r>
      <w:r>
        <w:rPr>
          <w:rFonts w:hAnsi="宋体" w:cs="宋体"/>
          <w:color w:val="auto"/>
          <w:kern w:val="0"/>
          <w:position w:val="2"/>
          <w:sz w:val="15"/>
          <w:szCs w:val="15"/>
          <w:highlight w:val="none"/>
        </w:rPr>
        <w:t xml:space="preserve">;  </w:t>
      </w:r>
      <w:r>
        <w:rPr>
          <w:rFonts w:hAnsi="宋体" w:cs="宋体"/>
          <w:color w:val="auto"/>
          <w:kern w:val="0"/>
          <w:position w:val="2"/>
          <w:szCs w:val="21"/>
          <w:highlight w:val="none"/>
        </w:rPr>
        <w:t>B</w:t>
      </w:r>
      <w:r>
        <w:rPr>
          <w:rFonts w:hAnsi="宋体" w:cs="宋体"/>
          <w:color w:val="auto"/>
          <w:kern w:val="0"/>
          <w:sz w:val="14"/>
          <w:szCs w:val="14"/>
          <w:highlight w:val="none"/>
        </w:rPr>
        <w:t>2</w:t>
      </w:r>
      <w:r>
        <w:rPr>
          <w:rFonts w:hAnsi="宋体" w:cs="宋体"/>
          <w:color w:val="auto"/>
          <w:kern w:val="0"/>
          <w:position w:val="2"/>
          <w:szCs w:val="21"/>
          <w:highlight w:val="none"/>
        </w:rPr>
        <w:t>;B</w:t>
      </w:r>
      <w:r>
        <w:rPr>
          <w:rFonts w:hAnsi="宋体" w:cs="宋体"/>
          <w:color w:val="auto"/>
          <w:kern w:val="0"/>
          <w:sz w:val="14"/>
          <w:szCs w:val="14"/>
          <w:highlight w:val="none"/>
        </w:rPr>
        <w:t>3</w:t>
      </w:r>
      <w:r>
        <w:rPr>
          <w:rFonts w:hAnsi="宋体" w:cs="宋体"/>
          <w:color w:val="auto"/>
          <w:kern w:val="0"/>
          <w:sz w:val="14"/>
          <w:szCs w:val="14"/>
          <w:highlight w:val="none"/>
        </w:rPr>
        <w:tab/>
      </w:r>
      <w:r>
        <w:rPr>
          <w:rFonts w:hAnsi="宋体" w:cs="宋体"/>
          <w:color w:val="auto"/>
          <w:kern w:val="0"/>
          <w:position w:val="2"/>
          <w:szCs w:val="21"/>
          <w:highlight w:val="none"/>
        </w:rPr>
        <w:t>B</w:t>
      </w:r>
      <w:r>
        <w:rPr>
          <w:rFonts w:hAnsi="宋体" w:cs="宋体"/>
          <w:color w:val="auto"/>
          <w:kern w:val="0"/>
          <w:sz w:val="14"/>
          <w:szCs w:val="14"/>
          <w:highlight w:val="none"/>
        </w:rPr>
        <w:t>n</w:t>
      </w:r>
      <w:r>
        <w:rPr>
          <w:rFonts w:hAnsi="宋体" w:cs="宋体"/>
          <w:color w:val="auto"/>
          <w:spacing w:val="1"/>
          <w:kern w:val="0"/>
          <w:position w:val="2"/>
          <w:szCs w:val="21"/>
          <w:highlight w:val="none"/>
        </w:rPr>
        <w:t xml:space="preserve">-- </w:t>
      </w:r>
      <w:r>
        <w:rPr>
          <w:rFonts w:hint="eastAsia" w:ascii="宋体" w:hAnsi="宋体" w:cs="宋体"/>
          <w:color w:val="auto"/>
          <w:spacing w:val="-3"/>
          <w:kern w:val="0"/>
          <w:position w:val="2"/>
          <w:szCs w:val="21"/>
          <w:highlight w:val="none"/>
        </w:rPr>
        <w:t>各可调因子的变值权重</w:t>
      </w:r>
      <w:r>
        <w:rPr>
          <w:rFonts w:hAnsi="宋体" w:cs="宋体"/>
          <w:color w:val="auto"/>
          <w:kern w:val="0"/>
          <w:position w:val="2"/>
          <w:szCs w:val="21"/>
          <w:highlight w:val="none"/>
        </w:rPr>
        <w:t>(</w:t>
      </w:r>
      <w:r>
        <w:rPr>
          <w:rFonts w:hint="eastAsia" w:ascii="宋体" w:hAnsi="宋体" w:cs="宋体"/>
          <w:color w:val="auto"/>
          <w:spacing w:val="-3"/>
          <w:kern w:val="0"/>
          <w:position w:val="2"/>
          <w:szCs w:val="21"/>
          <w:highlight w:val="none"/>
        </w:rPr>
        <w:t>即可调部分的权重</w:t>
      </w:r>
      <w:r>
        <w:rPr>
          <w:rFonts w:hAnsi="宋体" w:cs="宋体"/>
          <w:color w:val="auto"/>
          <w:spacing w:val="-4"/>
          <w:kern w:val="0"/>
          <w:position w:val="2"/>
          <w:szCs w:val="21"/>
          <w:highlight w:val="none"/>
        </w:rPr>
        <w:t>)</w:t>
      </w:r>
      <w:r>
        <w:rPr>
          <w:rFonts w:hint="eastAsia" w:ascii="宋体" w:hAnsi="宋体" w:cs="宋体"/>
          <w:color w:val="auto"/>
          <w:spacing w:val="-3"/>
          <w:kern w:val="0"/>
          <w:position w:val="2"/>
          <w:szCs w:val="21"/>
          <w:highlight w:val="none"/>
        </w:rPr>
        <w:t>为各可调因子</w:t>
      </w:r>
    </w:p>
    <w:p>
      <w:pPr>
        <w:pStyle w:val="20"/>
        <w:widowControl w:val="0"/>
        <w:autoSpaceDE w:val="0"/>
        <w:autoSpaceDN w:val="0"/>
        <w:spacing w:before="200" w:beforeAutospacing="0" w:after="0" w:afterAutospacing="0"/>
        <w:ind w:left="138"/>
        <w:rPr>
          <w:rFonts w:cs="宋体"/>
          <w:color w:val="auto"/>
          <w:sz w:val="21"/>
          <w:szCs w:val="21"/>
          <w:highlight w:val="none"/>
        </w:rPr>
      </w:pPr>
      <w:r>
        <w:rPr>
          <w:rFonts w:hint="eastAsia" w:cs="宋体"/>
          <w:color w:val="auto"/>
          <w:sz w:val="21"/>
          <w:szCs w:val="21"/>
          <w:highlight w:val="none"/>
        </w:rPr>
        <w:t>在投标函投标总报价中所占的比例；</w:t>
      </w:r>
    </w:p>
    <w:p>
      <w:pPr>
        <w:pStyle w:val="20"/>
        <w:widowControl w:val="0"/>
        <w:autoSpaceDE w:val="0"/>
        <w:autoSpaceDN w:val="0"/>
        <w:spacing w:before="1" w:beforeAutospacing="0" w:after="0" w:afterAutospacing="0" w:line="415" w:lineRule="auto"/>
        <w:ind w:left="138" w:right="257" w:firstLine="1259"/>
        <w:rPr>
          <w:rFonts w:cs="宋体"/>
          <w:color w:val="auto"/>
          <w:sz w:val="21"/>
          <w:szCs w:val="21"/>
          <w:highlight w:val="none"/>
        </w:rPr>
      </w:pPr>
      <w:r>
        <w:rPr>
          <w:rFonts w:ascii="Times New Roman" w:hAnsi="Times New Roman" w:cs="宋体"/>
          <w:color w:val="auto"/>
          <w:spacing w:val="-3"/>
          <w:position w:val="2"/>
          <w:sz w:val="21"/>
          <w:szCs w:val="21"/>
          <w:highlight w:val="none"/>
        </w:rPr>
        <w:t>F</w:t>
      </w:r>
      <w:r>
        <w:rPr>
          <w:rFonts w:ascii="Times New Roman" w:hAnsi="Times New Roman" w:cs="宋体"/>
          <w:color w:val="auto"/>
          <w:spacing w:val="-1"/>
          <w:sz w:val="14"/>
          <w:szCs w:val="14"/>
          <w:highlight w:val="none"/>
        </w:rPr>
        <w:t>t</w:t>
      </w:r>
      <w:r>
        <w:rPr>
          <w:rFonts w:ascii="Times New Roman" w:hAnsi="Times New Roman" w:cs="宋体"/>
          <w:color w:val="auto"/>
          <w:sz w:val="14"/>
          <w:szCs w:val="14"/>
          <w:highlight w:val="none"/>
        </w:rPr>
        <w:t>1</w:t>
      </w:r>
      <w:r>
        <w:rPr>
          <w:rFonts w:ascii="Times New Roman" w:hAnsi="Times New Roman" w:cs="宋体"/>
          <w:color w:val="auto"/>
          <w:spacing w:val="1"/>
          <w:position w:val="2"/>
          <w:sz w:val="21"/>
          <w:szCs w:val="21"/>
          <w:highlight w:val="none"/>
        </w:rPr>
        <w:t>;</w:t>
      </w:r>
      <w:r>
        <w:rPr>
          <w:rFonts w:ascii="Times New Roman" w:hAnsi="Times New Roman" w:cs="宋体"/>
          <w:color w:val="auto"/>
          <w:spacing w:val="-3"/>
          <w:position w:val="2"/>
          <w:sz w:val="21"/>
          <w:szCs w:val="21"/>
          <w:highlight w:val="none"/>
        </w:rPr>
        <w:t>F</w:t>
      </w:r>
      <w:r>
        <w:rPr>
          <w:rFonts w:ascii="Times New Roman" w:hAnsi="Times New Roman" w:cs="宋体"/>
          <w:color w:val="auto"/>
          <w:spacing w:val="-1"/>
          <w:sz w:val="14"/>
          <w:szCs w:val="14"/>
          <w:highlight w:val="none"/>
        </w:rPr>
        <w:t>t</w:t>
      </w:r>
      <w:r>
        <w:rPr>
          <w:rFonts w:ascii="Times New Roman" w:hAnsi="Times New Roman" w:cs="宋体"/>
          <w:color w:val="auto"/>
          <w:sz w:val="14"/>
          <w:szCs w:val="14"/>
          <w:highlight w:val="none"/>
        </w:rPr>
        <w:t>2</w:t>
      </w:r>
      <w:r>
        <w:rPr>
          <w:rFonts w:ascii="Times New Roman" w:hAnsi="Times New Roman" w:cs="宋体"/>
          <w:color w:val="auto"/>
          <w:spacing w:val="1"/>
          <w:position w:val="2"/>
          <w:sz w:val="21"/>
          <w:szCs w:val="21"/>
          <w:highlight w:val="none"/>
        </w:rPr>
        <w:t>;</w:t>
      </w:r>
      <w:r>
        <w:rPr>
          <w:rFonts w:ascii="Times New Roman" w:hAnsi="Times New Roman" w:cs="宋体"/>
          <w:color w:val="auto"/>
          <w:spacing w:val="-3"/>
          <w:position w:val="2"/>
          <w:sz w:val="21"/>
          <w:szCs w:val="21"/>
          <w:highlight w:val="none"/>
        </w:rPr>
        <w:t>F</w:t>
      </w:r>
      <w:r>
        <w:rPr>
          <w:rFonts w:ascii="Times New Roman" w:hAnsi="Times New Roman" w:cs="宋体"/>
          <w:color w:val="auto"/>
          <w:spacing w:val="2"/>
          <w:sz w:val="14"/>
          <w:szCs w:val="14"/>
          <w:highlight w:val="none"/>
        </w:rPr>
        <w:t>t</w:t>
      </w:r>
      <w:r>
        <w:rPr>
          <w:rFonts w:ascii="Times New Roman" w:hAnsi="Times New Roman" w:cs="宋体"/>
          <w:color w:val="auto"/>
          <w:sz w:val="14"/>
          <w:szCs w:val="14"/>
          <w:highlight w:val="none"/>
        </w:rPr>
        <w:t>3</w:t>
      </w:r>
      <w:r>
        <w:rPr>
          <w:rFonts w:hint="eastAsia" w:cs="宋体"/>
          <w:color w:val="auto"/>
          <w:spacing w:val="-75"/>
          <w:position w:val="2"/>
          <w:sz w:val="15"/>
          <w:szCs w:val="15"/>
          <w:highlight w:val="none"/>
        </w:rPr>
        <w:t>·</w:t>
      </w:r>
      <w:r>
        <w:rPr>
          <w:rFonts w:hint="eastAsia" w:cs="宋体"/>
          <w:color w:val="auto"/>
          <w:spacing w:val="-77"/>
          <w:position w:val="2"/>
          <w:sz w:val="15"/>
          <w:szCs w:val="15"/>
          <w:highlight w:val="none"/>
        </w:rPr>
        <w:t>·</w:t>
      </w:r>
      <w:r>
        <w:rPr>
          <w:rFonts w:hint="eastAsia" w:cs="宋体"/>
          <w:color w:val="auto"/>
          <w:spacing w:val="-75"/>
          <w:position w:val="2"/>
          <w:sz w:val="15"/>
          <w:szCs w:val="15"/>
          <w:highlight w:val="none"/>
        </w:rPr>
        <w:t>·</w:t>
      </w:r>
      <w:r>
        <w:rPr>
          <w:rFonts w:hint="eastAsia" w:cs="宋体"/>
          <w:color w:val="auto"/>
          <w:spacing w:val="-77"/>
          <w:position w:val="2"/>
          <w:sz w:val="15"/>
          <w:szCs w:val="15"/>
          <w:highlight w:val="none"/>
        </w:rPr>
        <w:t>·</w:t>
      </w:r>
      <w:r>
        <w:rPr>
          <w:rFonts w:hint="eastAsia" w:cs="宋体"/>
          <w:color w:val="auto"/>
          <w:spacing w:val="-3"/>
          <w:position w:val="2"/>
          <w:sz w:val="15"/>
          <w:szCs w:val="15"/>
          <w:highlight w:val="none"/>
        </w:rPr>
        <w:t>·</w:t>
      </w:r>
      <w:r>
        <w:rPr>
          <w:rFonts w:ascii="Times New Roman" w:hAnsi="Times New Roman" w:cs="宋体"/>
          <w:color w:val="auto"/>
          <w:spacing w:val="-5"/>
          <w:position w:val="2"/>
          <w:sz w:val="21"/>
          <w:szCs w:val="21"/>
          <w:highlight w:val="none"/>
        </w:rPr>
        <w:t>F</w:t>
      </w:r>
      <w:r>
        <w:rPr>
          <w:rFonts w:ascii="Times New Roman" w:hAnsi="Times New Roman" w:cs="宋体"/>
          <w:color w:val="auto"/>
          <w:spacing w:val="2"/>
          <w:sz w:val="14"/>
          <w:szCs w:val="14"/>
          <w:highlight w:val="none"/>
        </w:rPr>
        <w:t>t</w:t>
      </w:r>
      <w:r>
        <w:rPr>
          <w:rFonts w:ascii="Times New Roman" w:hAnsi="Times New Roman" w:cs="宋体"/>
          <w:color w:val="auto"/>
          <w:sz w:val="14"/>
          <w:szCs w:val="14"/>
          <w:highlight w:val="none"/>
        </w:rPr>
        <w:t>n</w:t>
      </w:r>
      <w:r>
        <w:rPr>
          <w:rFonts w:ascii="Times New Roman" w:hAnsi="Times New Roman" w:cs="宋体"/>
          <w:color w:val="auto"/>
          <w:spacing w:val="-1"/>
          <w:position w:val="2"/>
          <w:sz w:val="21"/>
          <w:szCs w:val="21"/>
          <w:highlight w:val="none"/>
        </w:rPr>
        <w:t>--</w:t>
      </w:r>
      <w:r>
        <w:rPr>
          <w:rFonts w:hint="eastAsia" w:cs="宋体"/>
          <w:color w:val="auto"/>
          <w:spacing w:val="-6"/>
          <w:position w:val="2"/>
          <w:sz w:val="21"/>
          <w:szCs w:val="21"/>
          <w:highlight w:val="none"/>
        </w:rPr>
        <w:t xml:space="preserve">各可调因子的现行价格指数，指第 </w:t>
      </w:r>
      <w:r>
        <w:rPr>
          <w:rFonts w:ascii="Times New Roman" w:hAnsi="Times New Roman" w:cs="宋体"/>
          <w:color w:val="auto"/>
          <w:spacing w:val="-3"/>
          <w:position w:val="2"/>
          <w:sz w:val="21"/>
          <w:szCs w:val="21"/>
          <w:highlight w:val="none"/>
        </w:rPr>
        <w:t>1</w:t>
      </w:r>
      <w:r>
        <w:rPr>
          <w:rFonts w:ascii="Times New Roman" w:hAnsi="Times New Roman" w:cs="宋体"/>
          <w:color w:val="auto"/>
          <w:position w:val="2"/>
          <w:sz w:val="21"/>
          <w:szCs w:val="21"/>
          <w:highlight w:val="none"/>
        </w:rPr>
        <w:t xml:space="preserve">7.3.3 </w:t>
      </w:r>
      <w:r>
        <w:rPr>
          <w:rFonts w:hint="eastAsia" w:cs="宋体"/>
          <w:color w:val="auto"/>
          <w:spacing w:val="-12"/>
          <w:position w:val="2"/>
          <w:sz w:val="21"/>
          <w:szCs w:val="21"/>
          <w:highlight w:val="none"/>
        </w:rPr>
        <w:t xml:space="preserve">项、第 </w:t>
      </w:r>
      <w:r>
        <w:rPr>
          <w:rFonts w:ascii="Times New Roman" w:hAnsi="Times New Roman" w:cs="宋体"/>
          <w:color w:val="auto"/>
          <w:position w:val="2"/>
          <w:sz w:val="21"/>
          <w:szCs w:val="21"/>
          <w:highlight w:val="none"/>
        </w:rPr>
        <w:t>1</w:t>
      </w:r>
      <w:r>
        <w:rPr>
          <w:rFonts w:ascii="Times New Roman" w:hAnsi="Times New Roman" w:cs="宋体"/>
          <w:color w:val="auto"/>
          <w:spacing w:val="-3"/>
          <w:position w:val="2"/>
          <w:sz w:val="21"/>
          <w:szCs w:val="21"/>
          <w:highlight w:val="none"/>
        </w:rPr>
        <w:t>7</w:t>
      </w:r>
      <w:r>
        <w:rPr>
          <w:rFonts w:ascii="Times New Roman" w:hAnsi="Times New Roman" w:cs="宋体"/>
          <w:color w:val="auto"/>
          <w:position w:val="2"/>
          <w:sz w:val="21"/>
          <w:szCs w:val="21"/>
          <w:highlight w:val="none"/>
        </w:rPr>
        <w:t xml:space="preserve">.5.2 </w:t>
      </w:r>
      <w:r>
        <w:rPr>
          <w:rFonts w:hint="eastAsia" w:cs="宋体"/>
          <w:color w:val="auto"/>
          <w:position w:val="2"/>
          <w:sz w:val="21"/>
          <w:szCs w:val="21"/>
          <w:highlight w:val="none"/>
        </w:rPr>
        <w:t>项</w:t>
      </w:r>
      <w:r>
        <w:rPr>
          <w:rFonts w:hint="eastAsia" w:cs="宋体"/>
          <w:color w:val="auto"/>
          <w:spacing w:val="-17"/>
          <w:sz w:val="21"/>
          <w:szCs w:val="21"/>
          <w:highlight w:val="none"/>
        </w:rPr>
        <w:t xml:space="preserve">和第 </w:t>
      </w:r>
      <w:r>
        <w:rPr>
          <w:rFonts w:ascii="Times New Roman" w:hAnsi="Times New Roman" w:cs="宋体"/>
          <w:color w:val="auto"/>
          <w:sz w:val="21"/>
          <w:szCs w:val="21"/>
          <w:highlight w:val="none"/>
        </w:rPr>
        <w:t xml:space="preserve">17.6.2 </w:t>
      </w:r>
      <w:r>
        <w:rPr>
          <w:rFonts w:hint="eastAsia" w:cs="宋体"/>
          <w:color w:val="auto"/>
          <w:spacing w:val="-6"/>
          <w:sz w:val="21"/>
          <w:szCs w:val="21"/>
          <w:highlight w:val="none"/>
        </w:rPr>
        <w:t xml:space="preserve">项约定的付款证书相关周期最后一天的前 </w:t>
      </w:r>
      <w:r>
        <w:rPr>
          <w:rFonts w:ascii="Times New Roman" w:hAnsi="Times New Roman" w:cs="宋体"/>
          <w:color w:val="auto"/>
          <w:sz w:val="21"/>
          <w:szCs w:val="21"/>
          <w:highlight w:val="none"/>
        </w:rPr>
        <w:t xml:space="preserve">42 </w:t>
      </w:r>
      <w:r>
        <w:rPr>
          <w:rFonts w:hint="eastAsia" w:cs="宋体"/>
          <w:color w:val="auto"/>
          <w:spacing w:val="-3"/>
          <w:sz w:val="21"/>
          <w:szCs w:val="21"/>
          <w:highlight w:val="none"/>
        </w:rPr>
        <w:t>天的各可调因子的价格指数；</w:t>
      </w:r>
    </w:p>
    <w:p>
      <w:pPr>
        <w:autoSpaceDE w:val="0"/>
        <w:autoSpaceDN w:val="0"/>
        <w:spacing w:line="415" w:lineRule="auto"/>
        <w:ind w:left="138" w:right="309" w:firstLine="1259"/>
        <w:jc w:val="left"/>
        <w:rPr>
          <w:rFonts w:ascii="宋体" w:hAnsi="宋体" w:cs="宋体"/>
          <w:color w:val="auto"/>
          <w:szCs w:val="21"/>
          <w:highlight w:val="none"/>
        </w:rPr>
      </w:pPr>
      <w:r>
        <w:rPr>
          <w:rFonts w:cs="宋体"/>
          <w:color w:val="auto"/>
          <w:spacing w:val="-3"/>
          <w:kern w:val="0"/>
          <w:position w:val="2"/>
          <w:szCs w:val="21"/>
          <w:highlight w:val="none"/>
        </w:rPr>
        <w:t>F</w:t>
      </w:r>
      <w:r>
        <w:rPr>
          <w:rFonts w:cs="宋体"/>
          <w:color w:val="auto"/>
          <w:kern w:val="0"/>
          <w:sz w:val="14"/>
          <w:szCs w:val="14"/>
          <w:highlight w:val="none"/>
        </w:rPr>
        <w:t>o1</w:t>
      </w:r>
      <w:r>
        <w:rPr>
          <w:rFonts w:cs="宋体"/>
          <w:color w:val="auto"/>
          <w:kern w:val="0"/>
          <w:position w:val="2"/>
          <w:szCs w:val="21"/>
          <w:highlight w:val="none"/>
        </w:rPr>
        <w:t xml:space="preserve">; </w:t>
      </w:r>
      <w:r>
        <w:rPr>
          <w:rFonts w:cs="宋体"/>
          <w:color w:val="auto"/>
          <w:spacing w:val="-3"/>
          <w:kern w:val="0"/>
          <w:position w:val="2"/>
          <w:szCs w:val="21"/>
          <w:highlight w:val="none"/>
        </w:rPr>
        <w:t>F</w:t>
      </w:r>
      <w:r>
        <w:rPr>
          <w:rFonts w:cs="宋体"/>
          <w:color w:val="auto"/>
          <w:kern w:val="0"/>
          <w:sz w:val="14"/>
          <w:szCs w:val="14"/>
          <w:highlight w:val="none"/>
        </w:rPr>
        <w:t>o2</w:t>
      </w:r>
      <w:r>
        <w:rPr>
          <w:rFonts w:cs="宋体"/>
          <w:color w:val="auto"/>
          <w:kern w:val="0"/>
          <w:position w:val="2"/>
          <w:sz w:val="15"/>
          <w:szCs w:val="15"/>
          <w:highlight w:val="none"/>
        </w:rPr>
        <w:t>;</w:t>
      </w:r>
      <w:r>
        <w:rPr>
          <w:rFonts w:cs="宋体"/>
          <w:color w:val="auto"/>
          <w:spacing w:val="-5"/>
          <w:kern w:val="0"/>
          <w:position w:val="2"/>
          <w:szCs w:val="21"/>
          <w:highlight w:val="none"/>
        </w:rPr>
        <w:t>F</w:t>
      </w:r>
      <w:r>
        <w:rPr>
          <w:rFonts w:cs="宋体"/>
          <w:color w:val="auto"/>
          <w:kern w:val="0"/>
          <w:sz w:val="14"/>
          <w:szCs w:val="14"/>
          <w:highlight w:val="none"/>
        </w:rPr>
        <w:t>o3</w:t>
      </w:r>
      <w:r>
        <w:rPr>
          <w:rFonts w:hint="eastAsia" w:ascii="宋体" w:hAnsi="宋体" w:cs="宋体"/>
          <w:color w:val="auto"/>
          <w:spacing w:val="-75"/>
          <w:kern w:val="0"/>
          <w:position w:val="2"/>
          <w:sz w:val="15"/>
          <w:szCs w:val="15"/>
          <w:highlight w:val="none"/>
        </w:rPr>
        <w:t>··</w:t>
      </w:r>
      <w:r>
        <w:rPr>
          <w:rFonts w:hint="eastAsia" w:ascii="宋体" w:hAnsi="宋体" w:cs="宋体"/>
          <w:color w:val="auto"/>
          <w:spacing w:val="-77"/>
          <w:kern w:val="0"/>
          <w:position w:val="2"/>
          <w:sz w:val="15"/>
          <w:szCs w:val="15"/>
          <w:highlight w:val="none"/>
        </w:rPr>
        <w:t>·</w:t>
      </w:r>
      <w:r>
        <w:rPr>
          <w:rFonts w:hint="eastAsia" w:ascii="宋体" w:hAnsi="宋体" w:cs="宋体"/>
          <w:color w:val="auto"/>
          <w:spacing w:val="-75"/>
          <w:kern w:val="0"/>
          <w:position w:val="2"/>
          <w:sz w:val="15"/>
          <w:szCs w:val="15"/>
          <w:highlight w:val="none"/>
        </w:rPr>
        <w:t>·</w:t>
      </w:r>
      <w:r>
        <w:rPr>
          <w:rFonts w:hint="eastAsia" w:ascii="宋体" w:hAnsi="宋体" w:cs="宋体"/>
          <w:color w:val="auto"/>
          <w:spacing w:val="-1"/>
          <w:kern w:val="0"/>
          <w:position w:val="2"/>
          <w:sz w:val="15"/>
          <w:szCs w:val="15"/>
          <w:highlight w:val="none"/>
        </w:rPr>
        <w:t>·</w:t>
      </w:r>
      <w:r>
        <w:rPr>
          <w:rFonts w:cs="宋体"/>
          <w:color w:val="auto"/>
          <w:spacing w:val="-5"/>
          <w:kern w:val="0"/>
          <w:position w:val="2"/>
          <w:szCs w:val="21"/>
          <w:highlight w:val="none"/>
        </w:rPr>
        <w:t>F</w:t>
      </w:r>
      <w:r>
        <w:rPr>
          <w:rFonts w:cs="宋体"/>
          <w:color w:val="auto"/>
          <w:spacing w:val="2"/>
          <w:kern w:val="0"/>
          <w:sz w:val="14"/>
          <w:szCs w:val="14"/>
          <w:highlight w:val="none"/>
        </w:rPr>
        <w:t>o</w:t>
      </w:r>
      <w:r>
        <w:rPr>
          <w:rFonts w:cs="宋体"/>
          <w:color w:val="auto"/>
          <w:kern w:val="0"/>
          <w:sz w:val="14"/>
          <w:szCs w:val="14"/>
          <w:highlight w:val="none"/>
        </w:rPr>
        <w:t>n</w:t>
      </w:r>
      <w:r>
        <w:rPr>
          <w:rFonts w:cs="宋体"/>
          <w:color w:val="auto"/>
          <w:spacing w:val="-1"/>
          <w:kern w:val="0"/>
          <w:position w:val="2"/>
          <w:szCs w:val="21"/>
          <w:highlight w:val="none"/>
        </w:rPr>
        <w:t>--</w:t>
      </w:r>
      <w:r>
        <w:rPr>
          <w:rFonts w:hint="eastAsia" w:ascii="宋体" w:hAnsi="宋体" w:cs="宋体"/>
          <w:color w:val="auto"/>
          <w:spacing w:val="-3"/>
          <w:kern w:val="0"/>
          <w:position w:val="2"/>
          <w:szCs w:val="21"/>
          <w:highlight w:val="none"/>
        </w:rPr>
        <w:t>各可调因子的基本价格指数，指基准日期的各可调因子</w:t>
      </w:r>
      <w:r>
        <w:rPr>
          <w:rFonts w:hint="eastAsia" w:ascii="宋体" w:hAnsi="宋体" w:cs="宋体"/>
          <w:color w:val="auto"/>
          <w:spacing w:val="-3"/>
          <w:kern w:val="0"/>
          <w:szCs w:val="21"/>
          <w:highlight w:val="none"/>
        </w:rPr>
        <w:t>的价格指数。</w:t>
      </w:r>
    </w:p>
    <w:p>
      <w:pPr>
        <w:pStyle w:val="20"/>
        <w:widowControl w:val="0"/>
        <w:autoSpaceDE w:val="0"/>
        <w:autoSpaceDN w:val="0"/>
        <w:spacing w:before="0" w:beforeAutospacing="0" w:after="0" w:afterAutospacing="0" w:line="415" w:lineRule="auto"/>
        <w:ind w:left="138" w:right="308" w:firstLine="631"/>
        <w:jc w:val="both"/>
        <w:rPr>
          <w:rFonts w:cs="宋体"/>
          <w:color w:val="auto"/>
          <w:sz w:val="21"/>
          <w:szCs w:val="21"/>
          <w:highlight w:val="none"/>
        </w:rPr>
      </w:pPr>
      <w:r>
        <w:rPr>
          <w:rFonts w:hint="eastAsia" w:cs="宋体"/>
          <w:color w:val="auto"/>
          <w:spacing w:val="-8"/>
          <w:sz w:val="21"/>
          <w:szCs w:val="21"/>
          <w:highlight w:val="none"/>
        </w:rPr>
        <w:t>以上价格调整公式中的各可调因子、定值和变值权重，以及基本价格指数及其来源在</w:t>
      </w:r>
      <w:r>
        <w:rPr>
          <w:rFonts w:hint="eastAsia" w:cs="宋体"/>
          <w:color w:val="auto"/>
          <w:spacing w:val="-9"/>
          <w:sz w:val="21"/>
          <w:szCs w:val="21"/>
          <w:highlight w:val="none"/>
        </w:rPr>
        <w:t>投标函附录价格指数和权重表中约定。价格指数应首先采用有关部门提供的价格指数，缺乏</w:t>
      </w:r>
      <w:r>
        <w:rPr>
          <w:rFonts w:hint="eastAsia" w:cs="宋体"/>
          <w:color w:val="auto"/>
          <w:spacing w:val="-5"/>
          <w:sz w:val="21"/>
          <w:szCs w:val="21"/>
          <w:highlight w:val="none"/>
        </w:rPr>
        <w:t>上述价格指数时，可采用有关部门提供的价格代替。</w:t>
      </w:r>
    </w:p>
    <w:p>
      <w:pPr>
        <w:pStyle w:val="20"/>
        <w:widowControl w:val="0"/>
        <w:numPr>
          <w:ilvl w:val="3"/>
          <w:numId w:val="72"/>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 xml:space="preserve">暂时确定调整差额 </w:t>
      </w:r>
    </w:p>
    <w:p>
      <w:pPr>
        <w:pStyle w:val="20"/>
        <w:widowControl w:val="0"/>
        <w:autoSpaceDE w:val="0"/>
        <w:autoSpaceDN w:val="0"/>
        <w:spacing w:before="0" w:beforeAutospacing="0" w:after="0" w:afterAutospacing="0" w:line="415" w:lineRule="auto"/>
        <w:ind w:left="138" w:right="309" w:firstLine="631"/>
        <w:rPr>
          <w:rFonts w:cs="宋体"/>
          <w:color w:val="auto"/>
          <w:sz w:val="21"/>
          <w:szCs w:val="21"/>
          <w:highlight w:val="none"/>
        </w:rPr>
      </w:pPr>
      <w:r>
        <w:rPr>
          <w:rFonts w:hint="eastAsia" w:cs="宋体"/>
          <w:color w:val="auto"/>
          <w:spacing w:val="-8"/>
          <w:sz w:val="21"/>
          <w:szCs w:val="21"/>
          <w:highlight w:val="none"/>
        </w:rPr>
        <w:t>在计算调整差额时得不到现行价格指数的，可暂用上一次价格指数计算，并在以后的</w:t>
      </w:r>
      <w:r>
        <w:rPr>
          <w:rFonts w:hint="eastAsia" w:cs="宋体"/>
          <w:color w:val="auto"/>
          <w:spacing w:val="-5"/>
          <w:sz w:val="21"/>
          <w:szCs w:val="21"/>
          <w:highlight w:val="none"/>
        </w:rPr>
        <w:t>付款中再按实际价格指数进行调整。</w:t>
      </w:r>
    </w:p>
    <w:p>
      <w:pPr>
        <w:pStyle w:val="20"/>
        <w:widowControl w:val="0"/>
        <w:numPr>
          <w:ilvl w:val="3"/>
          <w:numId w:val="72"/>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 xml:space="preserve">权重的调整 </w:t>
      </w:r>
    </w:p>
    <w:p>
      <w:pPr>
        <w:pStyle w:val="20"/>
        <w:widowControl w:val="0"/>
        <w:autoSpaceDE w:val="0"/>
        <w:autoSpaceDN w:val="0"/>
        <w:spacing w:before="0" w:beforeAutospacing="0" w:after="0" w:afterAutospacing="0" w:line="415" w:lineRule="auto"/>
        <w:ind w:left="138" w:right="309" w:firstLine="631"/>
        <w:rPr>
          <w:rFonts w:cs="宋体"/>
          <w:color w:val="auto"/>
          <w:sz w:val="21"/>
          <w:szCs w:val="21"/>
          <w:highlight w:val="none"/>
        </w:rPr>
      </w:pPr>
      <w:r>
        <w:rPr>
          <w:rFonts w:hint="eastAsia" w:cs="宋体"/>
          <w:color w:val="auto"/>
          <w:sz w:val="21"/>
          <w:szCs w:val="21"/>
          <w:highlight w:val="none"/>
        </w:rPr>
        <w:t xml:space="preserve">按第 </w:t>
      </w:r>
      <w:r>
        <w:rPr>
          <w:rFonts w:ascii="Times New Roman" w:cs="宋体"/>
          <w:color w:val="auto"/>
          <w:sz w:val="21"/>
          <w:szCs w:val="21"/>
          <w:highlight w:val="none"/>
        </w:rPr>
        <w:t>15.1</w:t>
      </w:r>
      <w:r>
        <w:rPr>
          <w:rFonts w:hint="eastAsia" w:cs="宋体"/>
          <w:color w:val="auto"/>
          <w:spacing w:val="-3"/>
          <w:sz w:val="21"/>
          <w:szCs w:val="21"/>
          <w:highlight w:val="none"/>
        </w:rPr>
        <w:t>款约定的变更导致原定合同中的权重不合理时，由监理人与承包人和发包人协商后进行调整。</w:t>
      </w:r>
    </w:p>
    <w:p>
      <w:pPr>
        <w:pStyle w:val="20"/>
        <w:widowControl w:val="0"/>
        <w:numPr>
          <w:ilvl w:val="3"/>
          <w:numId w:val="72"/>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承包人工期延误后的价格调整</w:t>
      </w:r>
    </w:p>
    <w:p>
      <w:pPr>
        <w:pStyle w:val="20"/>
        <w:widowControl w:val="0"/>
        <w:autoSpaceDE w:val="0"/>
        <w:autoSpaceDN w:val="0"/>
        <w:spacing w:before="0" w:beforeAutospacing="0" w:after="0" w:afterAutospacing="0" w:line="415" w:lineRule="auto"/>
        <w:ind w:left="138" w:right="220" w:firstLine="631"/>
        <w:rPr>
          <w:rFonts w:cs="宋体"/>
          <w:color w:val="auto"/>
          <w:sz w:val="21"/>
          <w:szCs w:val="21"/>
          <w:highlight w:val="none"/>
        </w:rPr>
      </w:pPr>
      <w:r>
        <w:rPr>
          <w:rFonts w:hint="eastAsia" w:cs="宋体"/>
          <w:color w:val="auto"/>
          <w:spacing w:val="-4"/>
          <w:sz w:val="21"/>
          <w:szCs w:val="21"/>
          <w:highlight w:val="none"/>
        </w:rPr>
        <w:t xml:space="preserve">由于承包人原因未在约定的工期内竣工的，则对原约定竣工日期后继续施工的工程， </w:t>
      </w:r>
      <w:r>
        <w:rPr>
          <w:rFonts w:hint="eastAsia" w:cs="宋体"/>
          <w:color w:val="auto"/>
          <w:spacing w:val="-11"/>
          <w:sz w:val="21"/>
          <w:szCs w:val="21"/>
          <w:highlight w:val="none"/>
        </w:rPr>
        <w:t xml:space="preserve">在使用第 </w:t>
      </w:r>
      <w:r>
        <w:rPr>
          <w:rFonts w:ascii="Times New Roman" w:cs="宋体"/>
          <w:color w:val="auto"/>
          <w:sz w:val="21"/>
          <w:szCs w:val="21"/>
          <w:highlight w:val="none"/>
        </w:rPr>
        <w:t xml:space="preserve">16.1.1.1 </w:t>
      </w:r>
      <w:r>
        <w:rPr>
          <w:rFonts w:hint="eastAsia" w:cs="宋体"/>
          <w:color w:val="auto"/>
          <w:spacing w:val="-7"/>
          <w:sz w:val="21"/>
          <w:szCs w:val="21"/>
          <w:highlight w:val="none"/>
        </w:rPr>
        <w:t>目价格调整公式时，应采用原约定竣工日期与实际竣工日期的两个价格指</w:t>
      </w:r>
      <w:r>
        <w:rPr>
          <w:rFonts w:hint="eastAsia" w:cs="宋体"/>
          <w:color w:val="auto"/>
          <w:spacing w:val="-5"/>
          <w:sz w:val="21"/>
          <w:szCs w:val="21"/>
          <w:highlight w:val="none"/>
        </w:rPr>
        <w:t>数中较低的一个作为现行价格指数。</w:t>
      </w:r>
    </w:p>
    <w:p>
      <w:pPr>
        <w:pStyle w:val="20"/>
        <w:widowControl w:val="0"/>
        <w:numPr>
          <w:ilvl w:val="2"/>
          <w:numId w:val="73"/>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采用造价信息调整价格差额</w:t>
      </w:r>
    </w:p>
    <w:p>
      <w:pPr>
        <w:pStyle w:val="20"/>
        <w:widowControl w:val="0"/>
        <w:autoSpaceDE w:val="0"/>
        <w:autoSpaceDN w:val="0"/>
        <w:spacing w:before="0"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11"/>
          <w:sz w:val="21"/>
          <w:szCs w:val="21"/>
          <w:highlight w:val="none"/>
        </w:rPr>
        <w:t>施工期内，因人工、材料、设备和机械台班价格波动影响合同价格时，需要进行价格调整的，其价格和数量应由监理人审核，监理人确认需调整的内容、范围、价格和数量作为调</w:t>
      </w:r>
      <w:r>
        <w:rPr>
          <w:rFonts w:hint="eastAsia" w:cs="宋体"/>
          <w:color w:val="auto"/>
          <w:spacing w:val="-6"/>
          <w:sz w:val="21"/>
          <w:szCs w:val="21"/>
          <w:highlight w:val="none"/>
        </w:rPr>
        <w:t>整工程合同价格差额的依据。</w:t>
      </w:r>
    </w:p>
    <w:p>
      <w:pPr>
        <w:pStyle w:val="20"/>
        <w:widowControl w:val="0"/>
        <w:numPr>
          <w:ilvl w:val="3"/>
          <w:numId w:val="73"/>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 xml:space="preserve">引起价格调整的物价波动风险范围及幅度 </w:t>
      </w:r>
    </w:p>
    <w:p>
      <w:pPr>
        <w:pStyle w:val="20"/>
        <w:widowControl w:val="0"/>
        <w:autoSpaceDE w:val="0"/>
        <w:autoSpaceDN w:val="0"/>
        <w:spacing w:before="0" w:beforeAutospacing="0" w:after="0" w:afterAutospacing="0" w:line="415" w:lineRule="auto"/>
        <w:ind w:left="138" w:right="310" w:firstLine="631"/>
        <w:jc w:val="both"/>
        <w:rPr>
          <w:rFonts w:cs="宋体"/>
          <w:color w:val="auto"/>
          <w:sz w:val="21"/>
          <w:szCs w:val="21"/>
          <w:highlight w:val="none"/>
        </w:rPr>
      </w:pPr>
      <w:r>
        <w:rPr>
          <w:rFonts w:hint="eastAsia" w:cs="宋体"/>
          <w:color w:val="auto"/>
          <w:spacing w:val="-12"/>
          <w:sz w:val="21"/>
          <w:szCs w:val="21"/>
          <w:highlight w:val="none"/>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w:t>
      </w:r>
      <w:r>
        <w:rPr>
          <w:rFonts w:hint="eastAsia" w:cs="宋体"/>
          <w:color w:val="auto"/>
          <w:spacing w:val="-6"/>
          <w:sz w:val="21"/>
          <w:szCs w:val="21"/>
          <w:highlight w:val="none"/>
        </w:rPr>
        <w:t>的风险幅度见合同条款专用部分。</w:t>
      </w:r>
    </w:p>
    <w:p>
      <w:pPr>
        <w:pStyle w:val="20"/>
        <w:widowControl w:val="0"/>
        <w:numPr>
          <w:ilvl w:val="3"/>
          <w:numId w:val="73"/>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 xml:space="preserve">物价波动变化幅度的计算方法 </w:t>
      </w:r>
    </w:p>
    <w:p>
      <w:pPr>
        <w:pStyle w:val="20"/>
        <w:widowControl w:val="0"/>
        <w:numPr>
          <w:ilvl w:val="0"/>
          <w:numId w:val="74"/>
        </w:numPr>
        <w:autoSpaceDE w:val="0"/>
        <w:autoSpaceDN w:val="0"/>
        <w:spacing w:before="72" w:beforeAutospacing="0" w:after="0" w:afterAutospacing="0" w:line="415" w:lineRule="auto"/>
        <w:ind w:right="309" w:firstLine="525"/>
        <w:rPr>
          <w:rFonts w:cs="宋体"/>
          <w:color w:val="auto"/>
          <w:sz w:val="21"/>
          <w:szCs w:val="21"/>
          <w:highlight w:val="none"/>
        </w:rPr>
      </w:pPr>
      <w:r>
        <w:rPr>
          <w:rFonts w:hint="eastAsia" w:cs="宋体"/>
          <w:color w:val="auto"/>
          <w:spacing w:val="-8"/>
          <w:sz w:val="21"/>
          <w:szCs w:val="21"/>
          <w:highlight w:val="none"/>
        </w:rPr>
        <w:t xml:space="preserve">投标报价基准期确定的人工、材料、设备和机械台班的市场价格即为基准价。 </w:t>
      </w:r>
      <w:r>
        <w:rPr>
          <w:rFonts w:hint="eastAsia" w:cs="宋体"/>
          <w:color w:val="auto"/>
          <w:spacing w:val="-3"/>
          <w:sz w:val="21"/>
          <w:szCs w:val="21"/>
          <w:highlight w:val="none"/>
        </w:rPr>
        <w:t>投标报价基准期见合同条款专用部分。</w:t>
      </w:r>
    </w:p>
    <w:p>
      <w:pPr>
        <w:pStyle w:val="20"/>
        <w:widowControl w:val="0"/>
        <w:numPr>
          <w:ilvl w:val="0"/>
          <w:numId w:val="74"/>
        </w:numPr>
        <w:autoSpaceDE w:val="0"/>
        <w:autoSpaceDN w:val="0"/>
        <w:spacing w:before="0" w:beforeAutospacing="0" w:after="0" w:afterAutospacing="0" w:line="415" w:lineRule="auto"/>
        <w:ind w:right="308" w:firstLine="525"/>
        <w:jc w:val="both"/>
        <w:rPr>
          <w:rFonts w:cs="宋体"/>
          <w:color w:val="auto"/>
          <w:sz w:val="21"/>
          <w:szCs w:val="21"/>
          <w:highlight w:val="none"/>
        </w:rPr>
      </w:pPr>
      <w:r>
        <w:rPr>
          <w:rFonts w:hint="eastAsia" w:cs="宋体"/>
          <w:color w:val="auto"/>
          <w:spacing w:val="-3"/>
          <w:sz w:val="21"/>
          <w:szCs w:val="21"/>
          <w:highlight w:val="none"/>
        </w:rPr>
        <w:t>《北京工程造价信息》中市场价格信息有的，以北京市建设工程造价管理机构</w:t>
      </w:r>
      <w:r>
        <w:rPr>
          <w:rFonts w:hint="eastAsia" w:cs="宋体"/>
          <w:color w:val="auto"/>
          <w:spacing w:val="-7"/>
          <w:sz w:val="21"/>
          <w:szCs w:val="21"/>
          <w:highlight w:val="none"/>
        </w:rPr>
        <w:t>发布的《北京工程造价信息》中的市场价格</w:t>
      </w:r>
      <w:r>
        <w:rPr>
          <w:rFonts w:hint="eastAsia" w:cs="宋体"/>
          <w:color w:val="auto"/>
          <w:sz w:val="21"/>
          <w:szCs w:val="21"/>
          <w:highlight w:val="none"/>
        </w:rPr>
        <w:t>（</w:t>
      </w:r>
      <w:r>
        <w:rPr>
          <w:rFonts w:hint="eastAsia" w:cs="宋体"/>
          <w:color w:val="auto"/>
          <w:spacing w:val="-3"/>
          <w:sz w:val="21"/>
          <w:szCs w:val="21"/>
          <w:highlight w:val="none"/>
        </w:rPr>
        <w:t>以下简称造价信息价格</w:t>
      </w:r>
      <w:r>
        <w:rPr>
          <w:rFonts w:hint="eastAsia" w:cs="宋体"/>
          <w:color w:val="auto"/>
          <w:spacing w:val="-20"/>
          <w:sz w:val="21"/>
          <w:szCs w:val="21"/>
          <w:highlight w:val="none"/>
        </w:rPr>
        <w:t>）</w:t>
      </w:r>
      <w:r>
        <w:rPr>
          <w:rFonts w:hint="eastAsia" w:cs="宋体"/>
          <w:color w:val="auto"/>
          <w:spacing w:val="-5"/>
          <w:sz w:val="21"/>
          <w:szCs w:val="21"/>
          <w:highlight w:val="none"/>
        </w:rPr>
        <w:t xml:space="preserve">为依据确定基准价， </w:t>
      </w:r>
      <w:r>
        <w:rPr>
          <w:rFonts w:hint="eastAsia" w:cs="宋体"/>
          <w:color w:val="auto"/>
          <w:spacing w:val="-9"/>
          <w:sz w:val="21"/>
          <w:szCs w:val="21"/>
          <w:highlight w:val="none"/>
        </w:rPr>
        <w:t>造价信息价格中有上、下限的，以下限为准；《北京工程造价信息》市场价格信息中没有的</w:t>
      </w:r>
      <w:r>
        <w:rPr>
          <w:rFonts w:hint="eastAsia" w:cs="宋体"/>
          <w:color w:val="auto"/>
          <w:spacing w:val="-4"/>
          <w:sz w:val="21"/>
          <w:szCs w:val="21"/>
          <w:highlight w:val="none"/>
        </w:rPr>
        <w:t>，确定基准价的方法见合同条款专用部分。</w:t>
      </w:r>
    </w:p>
    <w:p>
      <w:pPr>
        <w:pStyle w:val="20"/>
        <w:widowControl w:val="0"/>
        <w:numPr>
          <w:ilvl w:val="0"/>
          <w:numId w:val="74"/>
        </w:numPr>
        <w:autoSpaceDE w:val="0"/>
        <w:autoSpaceDN w:val="0"/>
        <w:spacing w:before="0" w:beforeAutospacing="0" w:after="0" w:afterAutospacing="0" w:line="268" w:lineRule="exact"/>
        <w:ind w:left="1192" w:hanging="530"/>
        <w:rPr>
          <w:rFonts w:cs="宋体"/>
          <w:color w:val="auto"/>
          <w:sz w:val="21"/>
          <w:szCs w:val="21"/>
          <w:highlight w:val="none"/>
        </w:rPr>
      </w:pPr>
      <w:r>
        <w:rPr>
          <w:rFonts w:hint="eastAsia" w:cs="宋体"/>
          <w:color w:val="auto"/>
          <w:spacing w:val="-3"/>
          <w:sz w:val="21"/>
          <w:szCs w:val="21"/>
          <w:highlight w:val="none"/>
        </w:rPr>
        <w:t>合同施工期市场价格的确定方法见合同条款专用部分。</w:t>
      </w:r>
    </w:p>
    <w:p>
      <w:pPr>
        <w:pStyle w:val="20"/>
        <w:widowControl w:val="0"/>
        <w:numPr>
          <w:ilvl w:val="0"/>
          <w:numId w:val="74"/>
        </w:numPr>
        <w:autoSpaceDE w:val="0"/>
        <w:autoSpaceDN w:val="0"/>
        <w:spacing w:before="0" w:beforeAutospacing="0" w:after="0" w:afterAutospacing="0"/>
        <w:ind w:left="1192" w:hanging="530"/>
        <w:rPr>
          <w:rFonts w:cs="宋体"/>
          <w:color w:val="auto"/>
          <w:sz w:val="21"/>
          <w:szCs w:val="21"/>
          <w:highlight w:val="none"/>
        </w:rPr>
      </w:pPr>
      <w:r>
        <w:rPr>
          <w:rFonts w:hint="eastAsia" w:cs="宋体"/>
          <w:color w:val="auto"/>
          <w:spacing w:val="-3"/>
          <w:sz w:val="21"/>
          <w:szCs w:val="21"/>
          <w:highlight w:val="none"/>
        </w:rPr>
        <w:t>物价波动变化幅度的计算方法：</w:t>
      </w:r>
    </w:p>
    <w:p>
      <w:pPr>
        <w:pStyle w:val="20"/>
        <w:widowControl w:val="0"/>
        <w:autoSpaceDE w:val="0"/>
        <w:autoSpaceDN w:val="0"/>
        <w:spacing w:before="0" w:beforeAutospacing="0" w:after="0" w:afterAutospacing="0"/>
        <w:ind w:left="1131"/>
        <w:rPr>
          <w:rFonts w:cs="宋体"/>
          <w:color w:val="auto"/>
          <w:sz w:val="21"/>
          <w:szCs w:val="21"/>
          <w:highlight w:val="none"/>
        </w:rPr>
      </w:pPr>
      <w:r>
        <w:rPr>
          <w:rFonts w:hint="eastAsia" w:cs="宋体"/>
          <w:color w:val="auto"/>
          <w:sz w:val="21"/>
          <w:szCs w:val="21"/>
          <w:highlight w:val="none"/>
        </w:rPr>
        <w:t xml:space="preserve">1）当承包人投标报价中的单价低于基准价时： </w:t>
      </w:r>
    </w:p>
    <w:p>
      <w:pPr>
        <w:pStyle w:val="20"/>
        <w:widowControl w:val="0"/>
        <w:autoSpaceDE w:val="0"/>
        <w:autoSpaceDN w:val="0"/>
        <w:spacing w:before="1" w:beforeAutospacing="0" w:after="0" w:afterAutospacing="0"/>
        <w:ind w:left="1556"/>
        <w:rPr>
          <w:rFonts w:cs="宋体"/>
          <w:color w:val="auto"/>
          <w:sz w:val="21"/>
          <w:szCs w:val="21"/>
          <w:highlight w:val="none"/>
        </w:rPr>
      </w:pPr>
      <w:r>
        <w:rPr>
          <w:rFonts w:hint="eastAsia" w:cs="宋体"/>
          <w:color w:val="auto"/>
          <w:sz w:val="21"/>
          <w:szCs w:val="21"/>
          <w:highlight w:val="none"/>
        </w:rPr>
        <w:t xml:space="preserve">物价波动变化幅度（涨幅）=（施工期市场价-基准价）/基准价×100% </w:t>
      </w:r>
    </w:p>
    <w:p>
      <w:pPr>
        <w:pStyle w:val="20"/>
        <w:widowControl w:val="0"/>
        <w:autoSpaceDE w:val="0"/>
        <w:autoSpaceDN w:val="0"/>
        <w:spacing w:before="0" w:beforeAutospacing="0" w:after="0" w:afterAutospacing="0" w:line="415" w:lineRule="auto"/>
        <w:ind w:left="1131" w:right="220" w:firstLine="424"/>
        <w:rPr>
          <w:rFonts w:cs="宋体"/>
          <w:color w:val="auto"/>
          <w:sz w:val="21"/>
          <w:szCs w:val="21"/>
          <w:highlight w:val="none"/>
        </w:rPr>
      </w:pPr>
      <w:r>
        <w:rPr>
          <w:rFonts w:hint="eastAsia" w:cs="宋体"/>
          <w:color w:val="auto"/>
          <w:sz w:val="21"/>
          <w:szCs w:val="21"/>
          <w:highlight w:val="none"/>
        </w:rPr>
        <w:t xml:space="preserve">物价波动变化幅度（跌幅）=（施工期市场价-投标单价）/投标单价×100% 2）当承包人投标报价中的单价高于基准价时： </w:t>
      </w:r>
    </w:p>
    <w:p>
      <w:pPr>
        <w:pStyle w:val="20"/>
        <w:widowControl w:val="0"/>
        <w:autoSpaceDE w:val="0"/>
        <w:autoSpaceDN w:val="0"/>
        <w:spacing w:before="0" w:beforeAutospacing="0" w:after="0" w:afterAutospacing="0" w:line="415" w:lineRule="auto"/>
        <w:ind w:left="1556" w:right="272"/>
        <w:rPr>
          <w:rFonts w:cs="宋体"/>
          <w:color w:val="auto"/>
          <w:sz w:val="21"/>
          <w:szCs w:val="21"/>
          <w:highlight w:val="none"/>
        </w:rPr>
      </w:pPr>
      <w:r>
        <w:rPr>
          <w:rFonts w:hint="eastAsia" w:cs="宋体"/>
          <w:color w:val="auto"/>
          <w:sz w:val="21"/>
          <w:szCs w:val="21"/>
          <w:highlight w:val="none"/>
        </w:rPr>
        <w:t xml:space="preserve">物价波动变化幅度（涨幅）=（施工期市场价-投标单价）/投标单价×100% 物价波动变化幅度（跌幅）=（施工期市场价-基准价）/基准价×100% </w:t>
      </w:r>
    </w:p>
    <w:p>
      <w:pPr>
        <w:pStyle w:val="20"/>
        <w:widowControl w:val="0"/>
        <w:numPr>
          <w:ilvl w:val="0"/>
          <w:numId w:val="75"/>
        </w:numPr>
        <w:autoSpaceDE w:val="0"/>
        <w:autoSpaceDN w:val="0"/>
        <w:spacing w:before="0" w:beforeAutospacing="0" w:after="0" w:afterAutospacing="0"/>
        <w:ind w:hanging="319"/>
        <w:rPr>
          <w:rFonts w:cs="宋体"/>
          <w:color w:val="auto"/>
          <w:sz w:val="21"/>
          <w:szCs w:val="21"/>
          <w:highlight w:val="none"/>
        </w:rPr>
      </w:pPr>
      <w:r>
        <w:rPr>
          <w:rFonts w:hint="eastAsia" w:cs="宋体"/>
          <w:color w:val="auto"/>
          <w:spacing w:val="-3"/>
          <w:sz w:val="21"/>
          <w:szCs w:val="21"/>
          <w:highlight w:val="none"/>
        </w:rPr>
        <w:t>当承包人投标报价中的单价等于基准价时：</w:t>
      </w:r>
    </w:p>
    <w:p>
      <w:pPr>
        <w:pStyle w:val="20"/>
        <w:widowControl w:val="0"/>
        <w:autoSpaceDE w:val="0"/>
        <w:autoSpaceDN w:val="0"/>
        <w:spacing w:before="0" w:beforeAutospacing="0" w:after="0" w:afterAutospacing="0" w:line="415" w:lineRule="auto"/>
        <w:ind w:left="769" w:right="1535" w:firstLine="787"/>
        <w:rPr>
          <w:rFonts w:cs="宋体"/>
          <w:color w:val="auto"/>
          <w:sz w:val="21"/>
          <w:szCs w:val="21"/>
          <w:highlight w:val="none"/>
        </w:rPr>
      </w:pPr>
      <w:r>
        <w:rPr>
          <w:rFonts w:hint="eastAsia" w:cs="宋体"/>
          <w:color w:val="auto"/>
          <w:sz w:val="21"/>
          <w:szCs w:val="21"/>
          <w:highlight w:val="none"/>
        </w:rPr>
        <w:t xml:space="preserve">物价波动变化幅度=（施工期市场价-基准价）/基准价×100% 16.1.2.3 物价波动引起价格调整的方法 </w:t>
      </w:r>
    </w:p>
    <w:p>
      <w:pPr>
        <w:pStyle w:val="20"/>
        <w:widowControl w:val="0"/>
        <w:numPr>
          <w:ilvl w:val="0"/>
          <w:numId w:val="76"/>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21"/>
          <w:sz w:val="21"/>
          <w:szCs w:val="21"/>
          <w:highlight w:val="none"/>
        </w:rPr>
        <w:t xml:space="preserve">第 </w:t>
      </w:r>
      <w:r>
        <w:rPr>
          <w:rFonts w:hint="eastAsia" w:cs="宋体"/>
          <w:color w:val="auto"/>
          <w:sz w:val="21"/>
          <w:szCs w:val="21"/>
          <w:highlight w:val="none"/>
        </w:rPr>
        <w:t>16.1.2.1</w:t>
      </w:r>
      <w:r>
        <w:rPr>
          <w:rFonts w:hint="eastAsia" w:cs="宋体"/>
          <w:color w:val="auto"/>
          <w:spacing w:val="-12"/>
          <w:sz w:val="21"/>
          <w:szCs w:val="21"/>
          <w:highlight w:val="none"/>
        </w:rPr>
        <w:t xml:space="preserve"> 目中约定的人工、材料、设备和机械台班的物价波动变化幅度超过</w:t>
      </w:r>
      <w:r>
        <w:rPr>
          <w:rFonts w:hint="eastAsia" w:cs="宋体"/>
          <w:color w:val="auto"/>
          <w:spacing w:val="-7"/>
          <w:sz w:val="21"/>
          <w:szCs w:val="21"/>
          <w:highlight w:val="none"/>
        </w:rPr>
        <w:t>风险幅度时，其计算价格调整差额的方法见合同条款专用部分。</w:t>
      </w:r>
    </w:p>
    <w:p>
      <w:pPr>
        <w:pStyle w:val="20"/>
        <w:widowControl w:val="0"/>
        <w:numPr>
          <w:ilvl w:val="0"/>
          <w:numId w:val="76"/>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24"/>
          <w:sz w:val="21"/>
          <w:szCs w:val="21"/>
          <w:highlight w:val="none"/>
        </w:rPr>
        <w:t xml:space="preserve">第 </w:t>
      </w:r>
      <w:r>
        <w:rPr>
          <w:rFonts w:hint="eastAsia" w:cs="宋体"/>
          <w:color w:val="auto"/>
          <w:sz w:val="21"/>
          <w:szCs w:val="21"/>
          <w:highlight w:val="none"/>
        </w:rPr>
        <w:t>16.1.2.1</w:t>
      </w:r>
      <w:r>
        <w:rPr>
          <w:rFonts w:hint="eastAsia" w:cs="宋体"/>
          <w:color w:val="auto"/>
          <w:spacing w:val="-10"/>
          <w:sz w:val="21"/>
          <w:szCs w:val="21"/>
          <w:highlight w:val="none"/>
        </w:rPr>
        <w:t xml:space="preserve"> 目中约定的人工的物价波动变化幅度超过风险幅度时，应当计算全</w:t>
      </w:r>
      <w:r>
        <w:rPr>
          <w:rFonts w:hint="eastAsia" w:cs="宋体"/>
          <w:color w:val="auto"/>
          <w:spacing w:val="-7"/>
          <w:sz w:val="21"/>
          <w:szCs w:val="21"/>
          <w:highlight w:val="none"/>
        </w:rPr>
        <w:t>部价格差额，其价格差额由发包人承担或受益，其价格差额不计取规费，只计取税金。</w:t>
      </w:r>
    </w:p>
    <w:p>
      <w:pPr>
        <w:pStyle w:val="20"/>
        <w:widowControl w:val="0"/>
        <w:numPr>
          <w:ilvl w:val="0"/>
          <w:numId w:val="76"/>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24"/>
          <w:sz w:val="21"/>
          <w:szCs w:val="21"/>
          <w:highlight w:val="none"/>
        </w:rPr>
        <w:t xml:space="preserve">第 </w:t>
      </w:r>
      <w:r>
        <w:rPr>
          <w:rFonts w:hint="eastAsia" w:cs="宋体"/>
          <w:color w:val="auto"/>
          <w:sz w:val="21"/>
          <w:szCs w:val="21"/>
          <w:highlight w:val="none"/>
        </w:rPr>
        <w:t>16.1.2.1</w:t>
      </w:r>
      <w:r>
        <w:rPr>
          <w:rFonts w:hint="eastAsia" w:cs="宋体"/>
          <w:color w:val="auto"/>
          <w:spacing w:val="-11"/>
          <w:sz w:val="21"/>
          <w:szCs w:val="21"/>
          <w:highlight w:val="none"/>
        </w:rPr>
        <w:t xml:space="preserve"> 目中约定的材料、设备和机械台班的物价波动变化幅度超过风险幅 度时，应当计算超过部分的价格差额，其价格差额由发包人承担或受益，其价格差额不计取</w:t>
      </w:r>
      <w:r>
        <w:rPr>
          <w:rFonts w:hint="eastAsia" w:cs="宋体"/>
          <w:color w:val="auto"/>
          <w:spacing w:val="-7"/>
          <w:sz w:val="21"/>
          <w:szCs w:val="21"/>
          <w:highlight w:val="none"/>
        </w:rPr>
        <w:t>规费，只计取税金。</w:t>
      </w:r>
    </w:p>
    <w:p>
      <w:pPr>
        <w:pStyle w:val="20"/>
        <w:widowControl w:val="0"/>
        <w:autoSpaceDE w:val="0"/>
        <w:autoSpaceDN w:val="0"/>
        <w:spacing w:before="0" w:beforeAutospacing="0" w:after="0" w:afterAutospacing="0" w:line="269" w:lineRule="exact"/>
        <w:ind w:left="769"/>
        <w:rPr>
          <w:rFonts w:cs="宋体"/>
          <w:color w:val="auto"/>
          <w:sz w:val="21"/>
          <w:szCs w:val="21"/>
          <w:highlight w:val="none"/>
        </w:rPr>
      </w:pPr>
      <w:r>
        <w:rPr>
          <w:rFonts w:hint="eastAsia" w:cs="宋体"/>
          <w:color w:val="auto"/>
          <w:sz w:val="21"/>
          <w:szCs w:val="21"/>
          <w:highlight w:val="none"/>
        </w:rPr>
        <w:t xml:space="preserve">16.1.2.4 物价波动引起价格调整的其他约定见合同条款专用部分。 </w:t>
      </w:r>
    </w:p>
    <w:p>
      <w:pPr>
        <w:pStyle w:val="20"/>
        <w:widowControl w:val="0"/>
        <w:numPr>
          <w:ilvl w:val="2"/>
          <w:numId w:val="73"/>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物价波动引起价格调整的其他方法见合同条款专用部分。</w:t>
      </w:r>
    </w:p>
    <w:p>
      <w:pPr>
        <w:pStyle w:val="7"/>
        <w:widowControl/>
        <w:numPr>
          <w:ilvl w:val="1"/>
          <w:numId w:val="73"/>
        </w:numPr>
        <w:spacing w:before="1" w:after="0"/>
        <w:ind w:left="619" w:hanging="482"/>
        <w:jc w:val="left"/>
        <w:rPr>
          <w:rFonts w:ascii="宋体" w:hAnsi="宋体" w:cs="宋体"/>
          <w:color w:val="auto"/>
          <w:sz w:val="22"/>
          <w:szCs w:val="22"/>
          <w:highlight w:val="none"/>
        </w:rPr>
      </w:pPr>
      <w:r>
        <w:rPr>
          <w:rFonts w:hint="eastAsia" w:ascii="宋体" w:hAnsi="宋体" w:cs="宋体"/>
          <w:color w:val="auto"/>
          <w:sz w:val="24"/>
          <w:szCs w:val="24"/>
          <w:highlight w:val="none"/>
        </w:rPr>
        <w:t xml:space="preserve">法律变化引起的价格调整 </w:t>
      </w:r>
    </w:p>
    <w:p>
      <w:pPr>
        <w:pStyle w:val="20"/>
        <w:widowControl w:val="0"/>
        <w:autoSpaceDE w:val="0"/>
        <w:autoSpaceDN w:val="0"/>
        <w:spacing w:before="1"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4"/>
          <w:sz w:val="21"/>
          <w:szCs w:val="21"/>
          <w:highlight w:val="none"/>
        </w:rPr>
        <w:t xml:space="preserve">在基准日后，因法律变化导致承包人在合同履行中所需要的工程费用发生除第 </w:t>
      </w:r>
      <w:r>
        <w:rPr>
          <w:rFonts w:hint="eastAsia" w:cs="宋体"/>
          <w:color w:val="auto"/>
          <w:sz w:val="21"/>
          <w:szCs w:val="21"/>
          <w:highlight w:val="none"/>
        </w:rPr>
        <w:t>16.1</w:t>
      </w:r>
      <w:r>
        <w:rPr>
          <w:rFonts w:hint="eastAsia" w:cs="宋体"/>
          <w:color w:val="auto"/>
          <w:spacing w:val="-15"/>
          <w:sz w:val="21"/>
          <w:szCs w:val="21"/>
          <w:highlight w:val="none"/>
        </w:rPr>
        <w:t xml:space="preserve"> 款</w:t>
      </w:r>
      <w:r>
        <w:rPr>
          <w:rFonts w:hint="eastAsia" w:cs="宋体"/>
          <w:color w:val="auto"/>
          <w:spacing w:val="-13"/>
          <w:sz w:val="21"/>
          <w:szCs w:val="21"/>
          <w:highlight w:val="none"/>
        </w:rPr>
        <w:t>约定以外的增减时，监理人应根据法律、国家或省、自治区、直辖市有关部门的规定，按第</w:t>
      </w:r>
    </w:p>
    <w:p>
      <w:pPr>
        <w:pStyle w:val="20"/>
        <w:widowControl w:val="0"/>
        <w:autoSpaceDE w:val="0"/>
        <w:autoSpaceDN w:val="0"/>
        <w:spacing w:before="72" w:beforeAutospacing="0" w:after="0" w:afterAutospacing="0"/>
        <w:ind w:left="138"/>
        <w:rPr>
          <w:rFonts w:cs="宋体"/>
          <w:color w:val="auto"/>
          <w:sz w:val="21"/>
          <w:szCs w:val="21"/>
          <w:highlight w:val="none"/>
        </w:rPr>
      </w:pPr>
      <w:r>
        <w:rPr>
          <w:rFonts w:hint="eastAsia" w:cs="宋体"/>
          <w:color w:val="auto"/>
          <w:sz w:val="21"/>
          <w:szCs w:val="21"/>
          <w:highlight w:val="none"/>
        </w:rPr>
        <w:t xml:space="preserve">3.5 款商定或确定需调整的合同价款。 </w:t>
      </w:r>
    </w:p>
    <w:p>
      <w:pPr>
        <w:pStyle w:val="6"/>
        <w:widowControl/>
        <w:numPr>
          <w:ilvl w:val="0"/>
          <w:numId w:val="14"/>
        </w:numPr>
        <w:spacing w:before="132" w:after="0"/>
        <w:ind w:left="560" w:hanging="423"/>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计量与支付</w:t>
      </w:r>
    </w:p>
    <w:p>
      <w:pPr>
        <w:pStyle w:val="7"/>
        <w:widowControl/>
        <w:ind w:left="138"/>
        <w:rPr>
          <w:rFonts w:ascii="宋体" w:hAnsi="宋体" w:cs="宋体"/>
          <w:color w:val="auto"/>
          <w:sz w:val="24"/>
          <w:szCs w:val="24"/>
          <w:highlight w:val="none"/>
        </w:rPr>
      </w:pPr>
      <w:r>
        <w:rPr>
          <w:rFonts w:hint="eastAsia" w:ascii="宋体" w:hAnsi="宋体" w:cs="宋体"/>
          <w:color w:val="auto"/>
          <w:sz w:val="24"/>
          <w:szCs w:val="24"/>
          <w:highlight w:val="none"/>
        </w:rPr>
        <w:t xml:space="preserve">17.1 计 量 </w:t>
      </w:r>
    </w:p>
    <w:p>
      <w:pPr>
        <w:pStyle w:val="20"/>
        <w:widowControl w:val="0"/>
        <w:autoSpaceDE w:val="0"/>
        <w:autoSpaceDN w:val="0"/>
        <w:spacing w:before="1" w:beforeAutospacing="0" w:after="0" w:afterAutospacing="0"/>
        <w:ind w:left="558"/>
        <w:rPr>
          <w:rFonts w:cs="宋体"/>
          <w:color w:val="auto"/>
          <w:sz w:val="21"/>
          <w:szCs w:val="21"/>
          <w:highlight w:val="none"/>
        </w:rPr>
      </w:pPr>
      <w:r>
        <w:rPr>
          <w:rFonts w:hint="eastAsia" w:cs="宋体"/>
          <w:color w:val="auto"/>
          <w:sz w:val="21"/>
          <w:szCs w:val="21"/>
          <w:highlight w:val="none"/>
        </w:rPr>
        <w:t>17.1.1</w:t>
      </w:r>
      <w:r>
        <w:rPr>
          <w:rFonts w:hint="eastAsia" w:cs="宋体"/>
          <w:color w:val="auto"/>
          <w:spacing w:val="-2"/>
          <w:sz w:val="21"/>
          <w:szCs w:val="21"/>
          <w:highlight w:val="none"/>
        </w:rPr>
        <w:t xml:space="preserve">  计量单位 </w:t>
      </w:r>
    </w:p>
    <w:p>
      <w:pPr>
        <w:pStyle w:val="20"/>
        <w:widowControl w:val="0"/>
        <w:autoSpaceDE w:val="0"/>
        <w:autoSpaceDN w:val="0"/>
        <w:spacing w:before="0" w:beforeAutospacing="0" w:after="0" w:afterAutospacing="0" w:line="415" w:lineRule="auto"/>
        <w:ind w:left="558" w:right="5157"/>
        <w:rPr>
          <w:rFonts w:cs="宋体"/>
          <w:color w:val="auto"/>
          <w:sz w:val="21"/>
          <w:szCs w:val="21"/>
          <w:highlight w:val="none"/>
        </w:rPr>
      </w:pPr>
      <w:r>
        <w:rPr>
          <w:rFonts w:hint="eastAsia" w:cs="宋体"/>
          <w:color w:val="auto"/>
          <w:spacing w:val="-3"/>
          <w:sz w:val="21"/>
          <w:szCs w:val="21"/>
          <w:highlight w:val="none"/>
        </w:rPr>
        <w:t>计量采用国家法定的计量单位。</w:t>
      </w:r>
      <w:r>
        <w:rPr>
          <w:rFonts w:hint="eastAsia" w:cs="宋体"/>
          <w:color w:val="auto"/>
          <w:sz w:val="21"/>
          <w:szCs w:val="21"/>
          <w:highlight w:val="none"/>
        </w:rPr>
        <w:t>17.1.2</w:t>
      </w:r>
      <w:r>
        <w:rPr>
          <w:rFonts w:hint="eastAsia" w:cs="宋体"/>
          <w:color w:val="auto"/>
          <w:spacing w:val="-3"/>
          <w:sz w:val="21"/>
          <w:szCs w:val="21"/>
          <w:highlight w:val="none"/>
        </w:rPr>
        <w:t xml:space="preserve"> 计量方法 </w:t>
      </w:r>
    </w:p>
    <w:p>
      <w:pPr>
        <w:pStyle w:val="20"/>
        <w:widowControl w:val="0"/>
        <w:autoSpaceDE w:val="0"/>
        <w:autoSpaceDN w:val="0"/>
        <w:spacing w:before="1" w:beforeAutospacing="0" w:after="0" w:afterAutospacing="0" w:line="415" w:lineRule="auto"/>
        <w:ind w:left="138" w:right="309" w:firstLine="419"/>
        <w:rPr>
          <w:rFonts w:cs="宋体"/>
          <w:color w:val="auto"/>
          <w:sz w:val="21"/>
          <w:szCs w:val="21"/>
          <w:highlight w:val="none"/>
        </w:rPr>
      </w:pPr>
      <w:r>
        <w:rPr>
          <w:rFonts w:hint="eastAsia" w:cs="宋体"/>
          <w:color w:val="auto"/>
          <w:spacing w:val="-7"/>
          <w:sz w:val="21"/>
          <w:szCs w:val="21"/>
          <w:highlight w:val="none"/>
        </w:rPr>
        <w:t>工程量计算规则执行工程量清单中约定的计量计价规范版本。除合同另有约定外，承包</w:t>
      </w:r>
      <w:r>
        <w:rPr>
          <w:rFonts w:hint="eastAsia" w:cs="宋体"/>
          <w:color w:val="auto"/>
          <w:spacing w:val="-5"/>
          <w:sz w:val="21"/>
          <w:szCs w:val="21"/>
          <w:highlight w:val="none"/>
        </w:rPr>
        <w:t>人实际完成的工程量按约定的工程量计算规则和有合同约束力的图纸进行计量。</w:t>
      </w:r>
    </w:p>
    <w:p>
      <w:pPr>
        <w:pStyle w:val="20"/>
        <w:widowControl w:val="0"/>
        <w:autoSpaceDE w:val="0"/>
        <w:autoSpaceDN w:val="0"/>
        <w:spacing w:before="0" w:beforeAutospacing="0" w:after="0" w:afterAutospacing="0" w:line="269" w:lineRule="exact"/>
        <w:ind w:left="558"/>
        <w:rPr>
          <w:rFonts w:cs="宋体"/>
          <w:color w:val="auto"/>
          <w:sz w:val="21"/>
          <w:szCs w:val="21"/>
          <w:highlight w:val="none"/>
        </w:rPr>
      </w:pPr>
      <w:r>
        <w:rPr>
          <w:rFonts w:hint="eastAsia" w:cs="宋体"/>
          <w:color w:val="auto"/>
          <w:sz w:val="21"/>
          <w:szCs w:val="21"/>
          <w:highlight w:val="none"/>
        </w:rPr>
        <w:t xml:space="preserve">17.1.3 计量周期 </w:t>
      </w:r>
    </w:p>
    <w:p>
      <w:pPr>
        <w:pStyle w:val="20"/>
        <w:widowControl w:val="0"/>
        <w:numPr>
          <w:ilvl w:val="0"/>
          <w:numId w:val="77"/>
        </w:numPr>
        <w:autoSpaceDE w:val="0"/>
        <w:autoSpaceDN w:val="0"/>
        <w:spacing w:before="0" w:beforeAutospacing="0" w:after="0" w:afterAutospacing="0" w:line="415" w:lineRule="auto"/>
        <w:ind w:right="311" w:firstLine="419"/>
        <w:rPr>
          <w:rFonts w:cs="宋体"/>
          <w:color w:val="auto"/>
          <w:sz w:val="21"/>
          <w:szCs w:val="21"/>
          <w:highlight w:val="none"/>
        </w:rPr>
      </w:pPr>
      <w:r>
        <w:rPr>
          <w:rFonts w:hint="eastAsia" w:cs="宋体"/>
          <w:color w:val="auto"/>
          <w:spacing w:val="-9"/>
          <w:sz w:val="21"/>
          <w:szCs w:val="21"/>
          <w:highlight w:val="none"/>
        </w:rPr>
        <w:t>本合同的计量周期为月，当月计量截止日期</w:t>
      </w:r>
      <w:r>
        <w:rPr>
          <w:rFonts w:hint="eastAsia" w:cs="宋体"/>
          <w:color w:val="auto"/>
          <w:sz w:val="21"/>
          <w:szCs w:val="21"/>
          <w:highlight w:val="none"/>
        </w:rPr>
        <w:t>（</w:t>
      </w:r>
      <w:r>
        <w:rPr>
          <w:rFonts w:hint="eastAsia" w:cs="宋体"/>
          <w:color w:val="auto"/>
          <w:spacing w:val="-3"/>
          <w:sz w:val="21"/>
          <w:szCs w:val="21"/>
          <w:highlight w:val="none"/>
        </w:rPr>
        <w:t>不含当日</w:t>
      </w:r>
      <w:r>
        <w:rPr>
          <w:rFonts w:hint="eastAsia" w:cs="宋体"/>
          <w:color w:val="auto"/>
          <w:spacing w:val="-41"/>
          <w:sz w:val="21"/>
          <w:szCs w:val="21"/>
          <w:highlight w:val="none"/>
        </w:rPr>
        <w:t>）</w:t>
      </w:r>
      <w:r>
        <w:rPr>
          <w:rFonts w:hint="eastAsia" w:cs="宋体"/>
          <w:color w:val="auto"/>
          <w:spacing w:val="-8"/>
          <w:sz w:val="21"/>
          <w:szCs w:val="21"/>
          <w:highlight w:val="none"/>
        </w:rPr>
        <w:t>和下月计量起始日期</w:t>
      </w:r>
      <w:r>
        <w:rPr>
          <w:rFonts w:hint="eastAsia" w:cs="宋体"/>
          <w:color w:val="auto"/>
          <w:sz w:val="21"/>
          <w:szCs w:val="21"/>
          <w:highlight w:val="none"/>
        </w:rPr>
        <w:t>（ 含当日</w:t>
      </w:r>
      <w:r>
        <w:rPr>
          <w:rFonts w:hint="eastAsia" w:cs="宋体"/>
          <w:color w:val="auto"/>
          <w:spacing w:val="-3"/>
          <w:sz w:val="21"/>
          <w:szCs w:val="21"/>
          <w:highlight w:val="none"/>
        </w:rPr>
        <w:t>）见合同条款专用部分。</w:t>
      </w:r>
    </w:p>
    <w:p>
      <w:pPr>
        <w:pStyle w:val="20"/>
        <w:widowControl w:val="0"/>
        <w:numPr>
          <w:ilvl w:val="0"/>
          <w:numId w:val="77"/>
        </w:numPr>
        <w:autoSpaceDE w:val="0"/>
        <w:autoSpaceDN w:val="0"/>
        <w:spacing w:before="0" w:beforeAutospacing="0" w:after="0" w:afterAutospacing="0" w:line="269" w:lineRule="exact"/>
        <w:ind w:left="1087"/>
        <w:rPr>
          <w:rFonts w:cs="宋体"/>
          <w:color w:val="auto"/>
          <w:sz w:val="21"/>
          <w:szCs w:val="21"/>
          <w:highlight w:val="none"/>
        </w:rPr>
      </w:pPr>
      <w:r>
        <w:rPr>
          <w:rFonts w:hint="eastAsia" w:cs="宋体"/>
          <w:color w:val="auto"/>
          <w:spacing w:val="-3"/>
          <w:sz w:val="21"/>
          <w:szCs w:val="21"/>
          <w:highlight w:val="none"/>
        </w:rPr>
        <w:t>单价子目已完成工程量是否按月计量见合同条款专用部分。</w:t>
      </w:r>
    </w:p>
    <w:p>
      <w:pPr>
        <w:pStyle w:val="20"/>
        <w:widowControl w:val="0"/>
        <w:numPr>
          <w:ilvl w:val="0"/>
          <w:numId w:val="77"/>
        </w:numPr>
        <w:autoSpaceDE w:val="0"/>
        <w:autoSpaceDN w:val="0"/>
        <w:spacing w:before="0" w:beforeAutospacing="0" w:after="0" w:afterAutospacing="0" w:line="415" w:lineRule="auto"/>
        <w:ind w:left="558" w:right="3897" w:firstLine="0"/>
        <w:rPr>
          <w:rFonts w:cs="宋体"/>
          <w:color w:val="auto"/>
          <w:sz w:val="21"/>
          <w:szCs w:val="21"/>
          <w:highlight w:val="none"/>
        </w:rPr>
      </w:pPr>
      <w:r>
        <w:rPr>
          <w:rFonts w:hint="eastAsia" w:cs="宋体"/>
          <w:color w:val="auto"/>
          <w:spacing w:val="-4"/>
          <w:sz w:val="21"/>
          <w:szCs w:val="21"/>
          <w:highlight w:val="none"/>
        </w:rPr>
        <w:t>总价子目计量方法见合同条款专用部分。</w:t>
      </w:r>
      <w:r>
        <w:rPr>
          <w:rFonts w:hint="eastAsia" w:cs="宋体"/>
          <w:color w:val="auto"/>
          <w:sz w:val="21"/>
          <w:szCs w:val="21"/>
          <w:highlight w:val="none"/>
        </w:rPr>
        <w:t>17.1.4</w:t>
      </w:r>
      <w:r>
        <w:rPr>
          <w:rFonts w:hint="eastAsia" w:cs="宋体"/>
          <w:color w:val="auto"/>
          <w:spacing w:val="-3"/>
          <w:sz w:val="21"/>
          <w:szCs w:val="21"/>
          <w:highlight w:val="none"/>
        </w:rPr>
        <w:t xml:space="preserve"> 单价子目的计量</w:t>
      </w:r>
    </w:p>
    <w:p>
      <w:pPr>
        <w:pStyle w:val="20"/>
        <w:widowControl w:val="0"/>
        <w:numPr>
          <w:ilvl w:val="0"/>
          <w:numId w:val="78"/>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已标价工程量清单中的单价子目工程量为估算工程量。结算工程量是承包人实际完成的，并按合同约定的计量方法进行计量的工程量。</w:t>
      </w:r>
    </w:p>
    <w:p>
      <w:pPr>
        <w:pStyle w:val="20"/>
        <w:widowControl w:val="0"/>
        <w:numPr>
          <w:ilvl w:val="0"/>
          <w:numId w:val="78"/>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承包人对已完成的工程进行计量，向监理人提交进度付款申请单、已完成工程量报表和有关计量资料。</w:t>
      </w:r>
    </w:p>
    <w:p>
      <w:pPr>
        <w:pStyle w:val="20"/>
        <w:widowControl w:val="0"/>
        <w:numPr>
          <w:ilvl w:val="0"/>
          <w:numId w:val="78"/>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3"/>
          <w:sz w:val="21"/>
          <w:szCs w:val="21"/>
          <w:highlight w:val="none"/>
        </w:rPr>
        <w:t>监理人对承包人提交的工程量报表进行复核，以确定实际完成的工程量。对数量</w:t>
      </w:r>
      <w:r>
        <w:rPr>
          <w:rFonts w:hint="eastAsia" w:cs="宋体"/>
          <w:color w:val="auto"/>
          <w:spacing w:val="-11"/>
          <w:sz w:val="21"/>
          <w:szCs w:val="21"/>
          <w:highlight w:val="none"/>
        </w:rPr>
        <w:t xml:space="preserve">有异议的，可要求承包人按第 </w:t>
      </w:r>
      <w:r>
        <w:rPr>
          <w:rFonts w:hint="eastAsia" w:cs="宋体"/>
          <w:color w:val="auto"/>
          <w:sz w:val="21"/>
          <w:szCs w:val="21"/>
          <w:highlight w:val="none"/>
        </w:rPr>
        <w:t>8.2</w:t>
      </w:r>
      <w:r>
        <w:rPr>
          <w:rFonts w:hint="eastAsia" w:cs="宋体"/>
          <w:color w:val="auto"/>
          <w:spacing w:val="-10"/>
          <w:sz w:val="21"/>
          <w:szCs w:val="21"/>
          <w:highlight w:val="none"/>
        </w:rPr>
        <w:t xml:space="preserve"> 款约定进行共同复核和抽样复测。承包人应协助监理人进行复核并按监理人要求提供补充计量资料。承包人未按监理人要求参加复核，监理人复核或</w:t>
      </w:r>
      <w:r>
        <w:rPr>
          <w:rFonts w:hint="eastAsia" w:cs="宋体"/>
          <w:color w:val="auto"/>
          <w:spacing w:val="-5"/>
          <w:sz w:val="21"/>
          <w:szCs w:val="21"/>
          <w:highlight w:val="none"/>
        </w:rPr>
        <w:t>修正的工程量视为承包人实际完成的工程量。</w:t>
      </w:r>
    </w:p>
    <w:p>
      <w:pPr>
        <w:pStyle w:val="20"/>
        <w:widowControl w:val="0"/>
        <w:numPr>
          <w:ilvl w:val="0"/>
          <w:numId w:val="78"/>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监理人认为有必要时，可通知承包人共同进行联合测量、计量，承包人应遵照执行。</w:t>
      </w:r>
    </w:p>
    <w:p>
      <w:pPr>
        <w:pStyle w:val="20"/>
        <w:widowControl w:val="0"/>
        <w:numPr>
          <w:ilvl w:val="0"/>
          <w:numId w:val="78"/>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3"/>
          <w:sz w:val="21"/>
          <w:szCs w:val="21"/>
          <w:highlight w:val="none"/>
        </w:rPr>
        <w:t>承包人完成工程量清单中每个子目的工程量后，监理人应要求承包人派员共同对</w:t>
      </w:r>
      <w:r>
        <w:rPr>
          <w:rFonts w:hint="eastAsia" w:cs="宋体"/>
          <w:color w:val="auto"/>
          <w:spacing w:val="-8"/>
          <w:sz w:val="21"/>
          <w:szCs w:val="21"/>
          <w:highlight w:val="none"/>
        </w:rPr>
        <w:t>每个子目的历次计量报表进行汇总，以核实最终结算工程量。监理人可要求承包人提供补充</w:t>
      </w:r>
      <w:r>
        <w:rPr>
          <w:rFonts w:hint="eastAsia" w:cs="宋体"/>
          <w:color w:val="auto"/>
          <w:spacing w:val="-10"/>
          <w:sz w:val="21"/>
          <w:szCs w:val="21"/>
          <w:highlight w:val="none"/>
        </w:rPr>
        <w:t>计量资料，以确定最后一次进度付款的准确工程量。承包人未按监理人要求派员参加的，监</w:t>
      </w:r>
      <w:r>
        <w:rPr>
          <w:rFonts w:hint="eastAsia" w:cs="宋体"/>
          <w:color w:val="auto"/>
          <w:spacing w:val="-5"/>
          <w:sz w:val="21"/>
          <w:szCs w:val="21"/>
          <w:highlight w:val="none"/>
        </w:rPr>
        <w:t>理人最终核实的工程量视为承包人完成该子目的准确工程量。</w:t>
      </w:r>
    </w:p>
    <w:p>
      <w:pPr>
        <w:pStyle w:val="20"/>
        <w:widowControl w:val="0"/>
        <w:numPr>
          <w:ilvl w:val="0"/>
          <w:numId w:val="78"/>
        </w:numPr>
        <w:autoSpaceDE w:val="0"/>
        <w:autoSpaceDN w:val="0"/>
        <w:spacing w:before="72" w:beforeAutospacing="0" w:after="0" w:afterAutospacing="0" w:line="415" w:lineRule="auto"/>
        <w:ind w:right="308" w:firstLine="419"/>
        <w:jc w:val="both"/>
        <w:rPr>
          <w:rFonts w:cs="宋体"/>
          <w:color w:val="auto"/>
          <w:sz w:val="21"/>
          <w:szCs w:val="21"/>
          <w:highlight w:val="none"/>
        </w:rPr>
      </w:pPr>
      <w:r>
        <w:rPr>
          <w:rFonts w:hint="eastAsia" w:cs="宋体"/>
          <w:color w:val="auto"/>
          <w:spacing w:val="-5"/>
          <w:sz w:val="21"/>
          <w:szCs w:val="21"/>
          <w:highlight w:val="none"/>
        </w:rPr>
        <w:t xml:space="preserve">监理人应在收到承包人提交的工程量报表后的 </w:t>
      </w:r>
      <w:r>
        <w:rPr>
          <w:rFonts w:hint="eastAsia" w:cs="宋体"/>
          <w:color w:val="auto"/>
          <w:sz w:val="21"/>
          <w:szCs w:val="21"/>
          <w:highlight w:val="none"/>
        </w:rPr>
        <w:t>7</w:t>
      </w:r>
      <w:r>
        <w:rPr>
          <w:rFonts w:hint="eastAsia" w:cs="宋体"/>
          <w:color w:val="auto"/>
          <w:spacing w:val="-6"/>
          <w:sz w:val="21"/>
          <w:szCs w:val="21"/>
          <w:highlight w:val="none"/>
        </w:rPr>
        <w:t xml:space="preserve"> 天内进行复核，监理人未在约定</w:t>
      </w:r>
      <w:r>
        <w:rPr>
          <w:rFonts w:hint="eastAsia" w:cs="宋体"/>
          <w:color w:val="auto"/>
          <w:spacing w:val="-10"/>
          <w:sz w:val="21"/>
          <w:szCs w:val="21"/>
          <w:highlight w:val="none"/>
        </w:rPr>
        <w:t>时间内复核的，承包人提交的工程量报表中的工程量视为承包人实际完成的工程量，据此计</w:t>
      </w:r>
      <w:r>
        <w:rPr>
          <w:rFonts w:hint="eastAsia" w:cs="宋体"/>
          <w:color w:val="auto"/>
          <w:spacing w:val="-6"/>
          <w:sz w:val="21"/>
          <w:szCs w:val="21"/>
          <w:highlight w:val="none"/>
        </w:rPr>
        <w:t>算工程价款。</w:t>
      </w:r>
    </w:p>
    <w:p>
      <w:pPr>
        <w:pStyle w:val="20"/>
        <w:widowControl w:val="0"/>
        <w:autoSpaceDE w:val="0"/>
        <w:autoSpaceDN w:val="0"/>
        <w:spacing w:before="0" w:beforeAutospacing="0" w:after="0" w:afterAutospacing="0" w:line="269" w:lineRule="exact"/>
        <w:ind w:left="558"/>
        <w:rPr>
          <w:rFonts w:cs="宋体"/>
          <w:color w:val="auto"/>
          <w:sz w:val="21"/>
          <w:szCs w:val="21"/>
          <w:highlight w:val="none"/>
        </w:rPr>
      </w:pPr>
      <w:r>
        <w:rPr>
          <w:rFonts w:hint="eastAsia" w:cs="宋体"/>
          <w:color w:val="auto"/>
          <w:sz w:val="21"/>
          <w:szCs w:val="21"/>
          <w:highlight w:val="none"/>
        </w:rPr>
        <w:t xml:space="preserve">17.1.5 总价子目的计量（适用于采用支付分解报告） </w:t>
      </w:r>
    </w:p>
    <w:p>
      <w:pPr>
        <w:pStyle w:val="20"/>
        <w:widowControl w:val="0"/>
        <w:autoSpaceDE w:val="0"/>
        <w:autoSpaceDN w:val="0"/>
        <w:spacing w:before="1" w:beforeAutospacing="0" w:after="0" w:afterAutospacing="0" w:line="355" w:lineRule="auto"/>
        <w:ind w:left="138" w:right="308" w:firstLine="419"/>
        <w:jc w:val="both"/>
        <w:rPr>
          <w:rFonts w:cs="宋体"/>
          <w:color w:val="auto"/>
          <w:sz w:val="21"/>
          <w:szCs w:val="21"/>
          <w:highlight w:val="none"/>
        </w:rPr>
      </w:pPr>
      <w:r>
        <w:rPr>
          <w:rFonts w:hint="eastAsia" w:cs="宋体"/>
          <w:color w:val="auto"/>
          <w:spacing w:val="-4"/>
          <w:sz w:val="21"/>
          <w:szCs w:val="21"/>
          <w:highlight w:val="none"/>
        </w:rPr>
        <w:t xml:space="preserve">总价子目按照有合同约束力的支付分解表支付。承包人应根据合同条款第 </w:t>
      </w:r>
      <w:r>
        <w:rPr>
          <w:rFonts w:hint="eastAsia" w:cs="宋体"/>
          <w:color w:val="auto"/>
          <w:sz w:val="21"/>
          <w:szCs w:val="21"/>
          <w:highlight w:val="none"/>
        </w:rPr>
        <w:t>10</w:t>
      </w:r>
      <w:r>
        <w:rPr>
          <w:rFonts w:hint="eastAsia" w:cs="宋体"/>
          <w:color w:val="auto"/>
          <w:spacing w:val="-8"/>
          <w:sz w:val="21"/>
          <w:szCs w:val="21"/>
          <w:highlight w:val="none"/>
        </w:rPr>
        <w:t xml:space="preserve"> 条约定的</w:t>
      </w:r>
      <w:r>
        <w:rPr>
          <w:rFonts w:hint="eastAsia" w:cs="宋体"/>
          <w:color w:val="auto"/>
          <w:spacing w:val="-10"/>
          <w:sz w:val="21"/>
          <w:szCs w:val="21"/>
          <w:highlight w:val="none"/>
        </w:rPr>
        <w:t>合同进度计划和总价子目的总价构成、费用性质、计划发生时间和相应工作量等因素对各个总价子目的总价按月进行分解，形成支付分解报告。承包人应当在收到经过监理人批复的合</w:t>
      </w:r>
      <w:r>
        <w:rPr>
          <w:rFonts w:hint="eastAsia" w:cs="宋体"/>
          <w:color w:val="auto"/>
          <w:spacing w:val="-9"/>
          <w:sz w:val="21"/>
          <w:szCs w:val="21"/>
          <w:highlight w:val="none"/>
        </w:rPr>
        <w:t xml:space="preserve">同进度计划后 </w:t>
      </w:r>
      <w:r>
        <w:rPr>
          <w:rFonts w:hint="eastAsia" w:cs="宋体"/>
          <w:color w:val="auto"/>
          <w:sz w:val="21"/>
          <w:szCs w:val="21"/>
          <w:highlight w:val="none"/>
        </w:rPr>
        <w:t>7</w:t>
      </w:r>
      <w:r>
        <w:rPr>
          <w:rFonts w:hint="eastAsia" w:cs="宋体"/>
          <w:color w:val="auto"/>
          <w:spacing w:val="-13"/>
          <w:sz w:val="21"/>
          <w:szCs w:val="21"/>
          <w:highlight w:val="none"/>
        </w:rPr>
        <w:t xml:space="preserve"> 天内，将支付分解报告以及形成支付分解报告的分项计量和总价分解等支持</w:t>
      </w:r>
    </w:p>
    <w:p>
      <w:pPr>
        <w:pStyle w:val="20"/>
        <w:widowControl w:val="0"/>
        <w:autoSpaceDE w:val="0"/>
        <w:autoSpaceDN w:val="0"/>
        <w:spacing w:before="0" w:beforeAutospacing="0" w:after="0" w:afterAutospacing="0" w:line="355" w:lineRule="auto"/>
        <w:ind w:left="138" w:right="309"/>
        <w:jc w:val="both"/>
        <w:rPr>
          <w:rFonts w:cs="宋体"/>
          <w:color w:val="auto"/>
          <w:sz w:val="21"/>
          <w:szCs w:val="21"/>
          <w:highlight w:val="none"/>
        </w:rPr>
      </w:pPr>
      <w:r>
        <w:rPr>
          <w:rFonts w:hint="eastAsia" w:cs="宋体"/>
          <w:color w:val="auto"/>
          <w:spacing w:val="-13"/>
          <w:sz w:val="21"/>
          <w:szCs w:val="21"/>
          <w:highlight w:val="none"/>
        </w:rPr>
        <w:t xml:space="preserve">性资料报监理人审批，监理人应当在收到承包人报送的支付分解报告后 </w:t>
      </w:r>
      <w:r>
        <w:rPr>
          <w:rFonts w:hint="eastAsia" w:cs="宋体"/>
          <w:color w:val="auto"/>
          <w:sz w:val="21"/>
          <w:szCs w:val="21"/>
          <w:highlight w:val="none"/>
        </w:rPr>
        <w:t>7</w:t>
      </w:r>
      <w:r>
        <w:rPr>
          <w:rFonts w:hint="eastAsia" w:cs="宋体"/>
          <w:color w:val="auto"/>
          <w:spacing w:val="-7"/>
          <w:sz w:val="21"/>
          <w:szCs w:val="21"/>
          <w:highlight w:val="none"/>
        </w:rPr>
        <w:t xml:space="preserve"> 天内给予批复或提</w:t>
      </w:r>
      <w:r>
        <w:rPr>
          <w:rFonts w:hint="eastAsia" w:cs="宋体"/>
          <w:color w:val="auto"/>
          <w:spacing w:val="-11"/>
          <w:sz w:val="21"/>
          <w:szCs w:val="21"/>
          <w:highlight w:val="none"/>
        </w:rPr>
        <w:t>出修改意见，经监理人批准的支付分解报告为有合同约束力的支付分解表。支付分解表应根</w:t>
      </w:r>
      <w:r>
        <w:rPr>
          <w:rFonts w:hint="eastAsia" w:cs="宋体"/>
          <w:color w:val="auto"/>
          <w:spacing w:val="-9"/>
          <w:sz w:val="21"/>
          <w:szCs w:val="21"/>
          <w:highlight w:val="none"/>
        </w:rPr>
        <w:t xml:space="preserve">据合同条款第 </w:t>
      </w:r>
      <w:r>
        <w:rPr>
          <w:rFonts w:hint="eastAsia" w:cs="宋体"/>
          <w:color w:val="auto"/>
          <w:sz w:val="21"/>
          <w:szCs w:val="21"/>
          <w:highlight w:val="none"/>
        </w:rPr>
        <w:t>10.2</w:t>
      </w:r>
      <w:r>
        <w:rPr>
          <w:rFonts w:hint="eastAsia" w:cs="宋体"/>
          <w:color w:val="auto"/>
          <w:spacing w:val="-7"/>
          <w:sz w:val="21"/>
          <w:szCs w:val="21"/>
          <w:highlight w:val="none"/>
        </w:rPr>
        <w:t xml:space="preserve"> 款约定的修订合同进度计划进行修正，修正的程序和期限应当依照本项</w:t>
      </w:r>
      <w:r>
        <w:rPr>
          <w:rFonts w:hint="eastAsia" w:cs="宋体"/>
          <w:color w:val="auto"/>
          <w:spacing w:val="-5"/>
          <w:sz w:val="21"/>
          <w:szCs w:val="21"/>
          <w:highlight w:val="none"/>
        </w:rPr>
        <w:t>上述约定，经修正的支付分解表为有合同约束力的支付分解表。</w:t>
      </w:r>
    </w:p>
    <w:p>
      <w:pPr>
        <w:pStyle w:val="20"/>
        <w:widowControl w:val="0"/>
        <w:numPr>
          <w:ilvl w:val="0"/>
          <w:numId w:val="79"/>
        </w:numPr>
        <w:autoSpaceDE w:val="0"/>
        <w:autoSpaceDN w:val="0"/>
        <w:spacing w:before="0" w:beforeAutospacing="0" w:after="0" w:afterAutospacing="0" w:line="264" w:lineRule="exact"/>
        <w:rPr>
          <w:rFonts w:cs="宋体"/>
          <w:color w:val="auto"/>
          <w:sz w:val="21"/>
          <w:szCs w:val="21"/>
          <w:highlight w:val="none"/>
        </w:rPr>
      </w:pPr>
      <w:r>
        <w:rPr>
          <w:rFonts w:hint="eastAsia" w:cs="宋体"/>
          <w:color w:val="auto"/>
          <w:spacing w:val="-3"/>
          <w:sz w:val="21"/>
          <w:szCs w:val="21"/>
          <w:highlight w:val="none"/>
        </w:rPr>
        <w:t xml:space="preserve">总价子目的价格调整方法见合同条款专用部分。 </w:t>
      </w:r>
    </w:p>
    <w:p>
      <w:pPr>
        <w:pStyle w:val="20"/>
        <w:widowControl w:val="0"/>
        <w:numPr>
          <w:ilvl w:val="0"/>
          <w:numId w:val="79"/>
        </w:numPr>
        <w:autoSpaceDE w:val="0"/>
        <w:autoSpaceDN w:val="0"/>
        <w:spacing w:before="129" w:beforeAutospacing="0" w:after="0" w:afterAutospacing="0" w:line="355" w:lineRule="auto"/>
        <w:ind w:left="138" w:right="309" w:firstLine="419"/>
        <w:rPr>
          <w:rFonts w:cs="宋体"/>
          <w:color w:val="auto"/>
          <w:sz w:val="21"/>
          <w:szCs w:val="21"/>
          <w:highlight w:val="none"/>
        </w:rPr>
      </w:pPr>
      <w:r>
        <w:rPr>
          <w:rFonts w:hint="eastAsia" w:cs="宋体"/>
          <w:color w:val="auto"/>
          <w:spacing w:val="-4"/>
          <w:sz w:val="21"/>
          <w:szCs w:val="21"/>
          <w:highlight w:val="none"/>
        </w:rPr>
        <w:t>列入每月进度付款申请单中各总价子目的价值为有合同约束力的支付分解表中对</w:t>
      </w:r>
      <w:r>
        <w:rPr>
          <w:rFonts w:hint="eastAsia" w:cs="宋体"/>
          <w:color w:val="auto"/>
          <w:spacing w:val="-3"/>
          <w:sz w:val="21"/>
          <w:szCs w:val="21"/>
          <w:highlight w:val="none"/>
        </w:rPr>
        <w:t xml:space="preserve">应月份的总价子目总价值。 </w:t>
      </w:r>
    </w:p>
    <w:p>
      <w:pPr>
        <w:pStyle w:val="20"/>
        <w:widowControl w:val="0"/>
        <w:numPr>
          <w:ilvl w:val="0"/>
          <w:numId w:val="79"/>
        </w:numPr>
        <w:autoSpaceDE w:val="0"/>
        <w:autoSpaceDN w:val="0"/>
        <w:spacing w:before="0" w:beforeAutospacing="0" w:after="0" w:afterAutospacing="0" w:line="355" w:lineRule="auto"/>
        <w:ind w:left="138" w:right="308" w:firstLine="419"/>
        <w:rPr>
          <w:rFonts w:cs="宋体"/>
          <w:color w:val="auto"/>
          <w:sz w:val="21"/>
          <w:szCs w:val="21"/>
          <w:highlight w:val="none"/>
        </w:rPr>
      </w:pPr>
      <w:r>
        <w:rPr>
          <w:rFonts w:hint="eastAsia" w:cs="宋体"/>
          <w:color w:val="auto"/>
          <w:spacing w:val="-3"/>
          <w:sz w:val="21"/>
          <w:szCs w:val="21"/>
          <w:highlight w:val="none"/>
        </w:rPr>
        <w:t>监理人根据有合同约束力的支付分解表复核列入每月进度付款申请单中的总价子目的总价值。</w:t>
      </w:r>
    </w:p>
    <w:p>
      <w:pPr>
        <w:pStyle w:val="20"/>
        <w:widowControl w:val="0"/>
        <w:numPr>
          <w:ilvl w:val="0"/>
          <w:numId w:val="79"/>
        </w:numPr>
        <w:autoSpaceDE w:val="0"/>
        <w:autoSpaceDN w:val="0"/>
        <w:spacing w:before="0" w:beforeAutospacing="0" w:after="0" w:afterAutospacing="0" w:line="415" w:lineRule="auto"/>
        <w:ind w:left="138" w:right="220" w:firstLine="419"/>
        <w:rPr>
          <w:rFonts w:cs="宋体"/>
          <w:color w:val="auto"/>
          <w:sz w:val="21"/>
          <w:szCs w:val="21"/>
          <w:highlight w:val="none"/>
        </w:rPr>
      </w:pPr>
      <w:r>
        <w:rPr>
          <w:rFonts w:hint="eastAsia" w:cs="宋体"/>
          <w:color w:val="auto"/>
          <w:spacing w:val="-10"/>
          <w:sz w:val="21"/>
          <w:szCs w:val="21"/>
          <w:highlight w:val="none"/>
        </w:rPr>
        <w:t xml:space="preserve">除按照第 </w:t>
      </w:r>
      <w:r>
        <w:rPr>
          <w:rFonts w:hint="eastAsia" w:cs="宋体"/>
          <w:color w:val="auto"/>
          <w:sz w:val="21"/>
          <w:szCs w:val="21"/>
          <w:highlight w:val="none"/>
        </w:rPr>
        <w:t>15</w:t>
      </w:r>
      <w:r>
        <w:rPr>
          <w:rFonts w:hint="eastAsia" w:cs="宋体"/>
          <w:color w:val="auto"/>
          <w:spacing w:val="-7"/>
          <w:sz w:val="21"/>
          <w:szCs w:val="21"/>
          <w:highlight w:val="none"/>
        </w:rPr>
        <w:t xml:space="preserve"> 条约定的变更外，在竣工结算时总价子目的工程量不应当重新计量， </w:t>
      </w:r>
      <w:r>
        <w:rPr>
          <w:rFonts w:hint="eastAsia" w:cs="宋体"/>
          <w:color w:val="auto"/>
          <w:spacing w:val="-5"/>
          <w:sz w:val="21"/>
          <w:szCs w:val="21"/>
          <w:highlight w:val="none"/>
        </w:rPr>
        <w:t>签约合同价所基于的工程量即是用于竣工结算的最终工程量。</w:t>
      </w:r>
    </w:p>
    <w:p>
      <w:pPr>
        <w:pStyle w:val="20"/>
        <w:widowControl w:val="0"/>
        <w:autoSpaceDE w:val="0"/>
        <w:autoSpaceDN w:val="0"/>
        <w:spacing w:before="0" w:beforeAutospacing="0" w:after="0" w:afterAutospacing="0" w:line="269" w:lineRule="exact"/>
        <w:ind w:left="558"/>
        <w:rPr>
          <w:rFonts w:cs="宋体"/>
          <w:color w:val="auto"/>
          <w:sz w:val="21"/>
          <w:szCs w:val="21"/>
          <w:highlight w:val="none"/>
        </w:rPr>
      </w:pPr>
      <w:r>
        <w:rPr>
          <w:rFonts w:hint="eastAsia" w:cs="宋体"/>
          <w:color w:val="auto"/>
          <w:sz w:val="21"/>
          <w:szCs w:val="21"/>
          <w:highlight w:val="none"/>
        </w:rPr>
        <w:t xml:space="preserve">17.1.5 总价子目的计量（适用于采用按实际完成工程量计量） </w:t>
      </w:r>
    </w:p>
    <w:p>
      <w:pPr>
        <w:pStyle w:val="20"/>
        <w:widowControl w:val="0"/>
        <w:autoSpaceDE w:val="0"/>
        <w:autoSpaceDN w:val="0"/>
        <w:spacing w:before="0" w:beforeAutospacing="0" w:after="0" w:afterAutospacing="0" w:line="269" w:lineRule="exact"/>
        <w:ind w:left="558"/>
        <w:rPr>
          <w:rFonts w:cs="宋体"/>
          <w:color w:val="auto"/>
          <w:sz w:val="21"/>
          <w:szCs w:val="21"/>
          <w:highlight w:val="none"/>
        </w:rPr>
      </w:pPr>
    </w:p>
    <w:p>
      <w:pPr>
        <w:pStyle w:val="20"/>
        <w:widowControl w:val="0"/>
        <w:autoSpaceDE w:val="0"/>
        <w:autoSpaceDN w:val="0"/>
        <w:spacing w:before="1" w:beforeAutospacing="0" w:after="0" w:afterAutospacing="0" w:line="415" w:lineRule="auto"/>
        <w:ind w:left="138" w:right="309" w:firstLine="408" w:firstLineChars="200"/>
        <w:jc w:val="both"/>
        <w:rPr>
          <w:rFonts w:cs="宋体"/>
          <w:color w:val="auto"/>
          <w:sz w:val="21"/>
          <w:szCs w:val="21"/>
          <w:highlight w:val="none"/>
        </w:rPr>
      </w:pPr>
      <w:r>
        <w:rPr>
          <w:rFonts w:hint="eastAsia" w:cs="宋体"/>
          <w:color w:val="auto"/>
          <w:spacing w:val="-3"/>
          <w:sz w:val="21"/>
          <w:szCs w:val="21"/>
          <w:highlight w:val="none"/>
        </w:rPr>
        <w:t xml:space="preserve">（1）总价子目的计量和支付应以总价为基础，对承包人实际完成的工程量进行计量， </w:t>
      </w:r>
      <w:r>
        <w:rPr>
          <w:rFonts w:hint="eastAsia" w:cs="宋体"/>
          <w:color w:val="auto"/>
          <w:spacing w:val="-8"/>
          <w:sz w:val="21"/>
          <w:szCs w:val="21"/>
          <w:highlight w:val="none"/>
        </w:rPr>
        <w:t>是进行工程目标管理和控制进度款支付的依据。总价子目的价格调整方法见合同条款专用部</w:t>
      </w:r>
      <w:r>
        <w:rPr>
          <w:rFonts w:hint="eastAsia" w:cs="宋体"/>
          <w:color w:val="auto"/>
          <w:spacing w:val="-6"/>
          <w:sz w:val="21"/>
          <w:szCs w:val="21"/>
          <w:highlight w:val="none"/>
        </w:rPr>
        <w:t>分。</w:t>
      </w:r>
    </w:p>
    <w:p>
      <w:pPr>
        <w:pStyle w:val="20"/>
        <w:widowControl w:val="0"/>
        <w:autoSpaceDE w:val="0"/>
        <w:autoSpaceDN w:val="0"/>
        <w:spacing w:before="0" w:beforeAutospacing="0" w:after="0" w:afterAutospacing="0" w:line="415" w:lineRule="auto"/>
        <w:ind w:left="138" w:right="309" w:firstLine="416" w:firstLineChars="200"/>
        <w:jc w:val="both"/>
        <w:rPr>
          <w:rFonts w:cs="宋体"/>
          <w:color w:val="auto"/>
          <w:sz w:val="21"/>
          <w:szCs w:val="21"/>
          <w:highlight w:val="none"/>
        </w:rPr>
      </w:pPr>
      <w:r>
        <w:rPr>
          <w:rFonts w:hint="eastAsia" w:cs="宋体"/>
          <w:color w:val="auto"/>
          <w:spacing w:val="-1"/>
          <w:sz w:val="21"/>
          <w:szCs w:val="21"/>
          <w:highlight w:val="none"/>
        </w:rPr>
        <w:t xml:space="preserve">（2）承包人在合同条款专用部分第 </w:t>
      </w:r>
      <w:r>
        <w:rPr>
          <w:rFonts w:hint="eastAsia" w:cs="宋体"/>
          <w:color w:val="auto"/>
          <w:sz w:val="21"/>
          <w:szCs w:val="21"/>
          <w:highlight w:val="none"/>
        </w:rPr>
        <w:t>17.1.3（1）</w:t>
      </w:r>
      <w:r>
        <w:rPr>
          <w:rFonts w:hint="eastAsia" w:cs="宋体"/>
          <w:color w:val="auto"/>
          <w:spacing w:val="-3"/>
          <w:sz w:val="21"/>
          <w:szCs w:val="21"/>
          <w:highlight w:val="none"/>
        </w:rPr>
        <w:t>目约定的每月计量截止日期后，对已</w:t>
      </w:r>
      <w:r>
        <w:rPr>
          <w:rFonts w:hint="eastAsia" w:cs="宋体"/>
          <w:color w:val="auto"/>
          <w:spacing w:val="-4"/>
          <w:sz w:val="21"/>
          <w:szCs w:val="21"/>
          <w:highlight w:val="none"/>
        </w:rPr>
        <w:t xml:space="preserve">完成的分部分项工程和单价措施项目的子目，按照合同条款第 </w:t>
      </w:r>
      <w:r>
        <w:rPr>
          <w:rFonts w:hint="eastAsia" w:cs="宋体"/>
          <w:color w:val="auto"/>
          <w:sz w:val="21"/>
          <w:szCs w:val="21"/>
          <w:highlight w:val="none"/>
        </w:rPr>
        <w:t>17.1.2</w:t>
      </w:r>
      <w:r>
        <w:rPr>
          <w:rFonts w:hint="eastAsia" w:cs="宋体"/>
          <w:color w:val="auto"/>
          <w:spacing w:val="-7"/>
          <w:sz w:val="21"/>
          <w:szCs w:val="21"/>
          <w:highlight w:val="none"/>
        </w:rPr>
        <w:t xml:space="preserve"> 项约定的计量方法进</w:t>
      </w:r>
      <w:r>
        <w:rPr>
          <w:rFonts w:hint="eastAsia" w:cs="宋体"/>
          <w:color w:val="auto"/>
          <w:spacing w:val="-11"/>
          <w:sz w:val="21"/>
          <w:szCs w:val="21"/>
          <w:highlight w:val="none"/>
        </w:rPr>
        <w:t>行计量，对已完成的总价措施项目的相关子目，按其总价构成、费用性质和实际发生比例进</w:t>
      </w:r>
      <w:r>
        <w:rPr>
          <w:rFonts w:hint="eastAsia" w:cs="宋体"/>
          <w:color w:val="auto"/>
          <w:spacing w:val="-6"/>
          <w:sz w:val="21"/>
          <w:szCs w:val="21"/>
          <w:highlight w:val="none"/>
        </w:rPr>
        <w:t xml:space="preserve">行计量，向监理人提交进度付款申请单、已完成工程量报表和有关计量资料。 </w:t>
      </w:r>
    </w:p>
    <w:p>
      <w:pPr>
        <w:pStyle w:val="20"/>
        <w:widowControl w:val="0"/>
        <w:autoSpaceDE w:val="0"/>
        <w:autoSpaceDN w:val="0"/>
        <w:spacing w:before="0" w:beforeAutospacing="0" w:after="0" w:afterAutospacing="0" w:line="415" w:lineRule="auto"/>
        <w:ind w:left="138" w:right="309" w:firstLine="408" w:firstLineChars="200"/>
        <w:jc w:val="both"/>
        <w:rPr>
          <w:rFonts w:cs="宋体"/>
          <w:color w:val="auto"/>
          <w:sz w:val="21"/>
          <w:szCs w:val="21"/>
          <w:highlight w:val="none"/>
        </w:rPr>
      </w:pPr>
      <w:r>
        <w:rPr>
          <w:rFonts w:hint="eastAsia" w:cs="宋体"/>
          <w:color w:val="auto"/>
          <w:spacing w:val="-3"/>
          <w:sz w:val="21"/>
          <w:szCs w:val="21"/>
          <w:highlight w:val="none"/>
        </w:rPr>
        <w:t>（3）监理人对承包人提交的工程量报表进行复核，以确定实际完成的工程量。对数量</w:t>
      </w:r>
      <w:r>
        <w:rPr>
          <w:rFonts w:hint="eastAsia" w:cs="宋体"/>
          <w:color w:val="auto"/>
          <w:spacing w:val="-11"/>
          <w:sz w:val="21"/>
          <w:szCs w:val="21"/>
          <w:highlight w:val="none"/>
        </w:rPr>
        <w:t>有异议的，可要求承包人进行共同复核。承包人应协助监理人进行复核并按监理人要求提供</w:t>
      </w:r>
      <w:r>
        <w:rPr>
          <w:rFonts w:hint="eastAsia" w:cs="宋体"/>
          <w:color w:val="auto"/>
          <w:spacing w:val="-13"/>
          <w:sz w:val="21"/>
          <w:szCs w:val="21"/>
          <w:highlight w:val="none"/>
        </w:rPr>
        <w:t>补充计量资料。承包人未按监理人要求参加复核，监理人复核或修正的工程量视为承包人实</w:t>
      </w:r>
      <w:r>
        <w:rPr>
          <w:rFonts w:hint="eastAsia" w:cs="宋体"/>
          <w:color w:val="auto"/>
          <w:spacing w:val="-6"/>
          <w:sz w:val="21"/>
          <w:szCs w:val="21"/>
          <w:highlight w:val="none"/>
        </w:rPr>
        <w:t>际完成的工程量。</w:t>
      </w:r>
    </w:p>
    <w:p>
      <w:pPr>
        <w:pStyle w:val="20"/>
        <w:widowControl w:val="0"/>
        <w:autoSpaceDE w:val="0"/>
        <w:autoSpaceDN w:val="0"/>
        <w:spacing w:before="72" w:beforeAutospacing="0" w:after="0" w:afterAutospacing="0" w:line="415" w:lineRule="auto"/>
        <w:ind w:right="309" w:firstLine="400" w:firstLineChars="200"/>
        <w:jc w:val="both"/>
        <w:rPr>
          <w:rFonts w:cs="宋体"/>
          <w:color w:val="auto"/>
          <w:sz w:val="21"/>
          <w:szCs w:val="21"/>
          <w:highlight w:val="none"/>
        </w:rPr>
      </w:pPr>
      <w:r>
        <w:rPr>
          <w:rFonts w:hint="eastAsia" w:cs="宋体"/>
          <w:color w:val="auto"/>
          <w:spacing w:val="-5"/>
          <w:sz w:val="21"/>
          <w:szCs w:val="21"/>
          <w:highlight w:val="none"/>
        </w:rPr>
        <w:t xml:space="preserve">（4）监理人应在收到承包人提交的工程量报表后的 </w:t>
      </w:r>
      <w:r>
        <w:rPr>
          <w:rFonts w:hint="eastAsia" w:cs="宋体"/>
          <w:color w:val="auto"/>
          <w:sz w:val="21"/>
          <w:szCs w:val="21"/>
          <w:highlight w:val="none"/>
        </w:rPr>
        <w:t>7</w:t>
      </w:r>
      <w:r>
        <w:rPr>
          <w:rFonts w:hint="eastAsia" w:cs="宋体"/>
          <w:color w:val="auto"/>
          <w:spacing w:val="-6"/>
          <w:sz w:val="21"/>
          <w:szCs w:val="21"/>
          <w:highlight w:val="none"/>
        </w:rPr>
        <w:t xml:space="preserve"> 天内进行复核，监理人未在约定</w:t>
      </w:r>
      <w:r>
        <w:rPr>
          <w:rFonts w:hint="eastAsia" w:cs="宋体"/>
          <w:color w:val="auto"/>
          <w:spacing w:val="-10"/>
          <w:sz w:val="21"/>
          <w:szCs w:val="21"/>
          <w:highlight w:val="none"/>
        </w:rPr>
        <w:t>时间内复核的，承包人提交的工程量报表中的工程量视为承包人实际完成的工程量，据此计</w:t>
      </w:r>
      <w:r>
        <w:rPr>
          <w:rFonts w:hint="eastAsia" w:cs="宋体"/>
          <w:color w:val="auto"/>
          <w:spacing w:val="-6"/>
          <w:sz w:val="21"/>
          <w:szCs w:val="21"/>
          <w:highlight w:val="none"/>
        </w:rPr>
        <w:t>算工程价款。</w:t>
      </w:r>
    </w:p>
    <w:p>
      <w:pPr>
        <w:pStyle w:val="20"/>
        <w:widowControl w:val="0"/>
        <w:autoSpaceDE w:val="0"/>
        <w:autoSpaceDN w:val="0"/>
        <w:spacing w:before="0" w:beforeAutospacing="0" w:after="0" w:afterAutospacing="0" w:line="415" w:lineRule="auto"/>
        <w:ind w:right="220" w:firstLine="570" w:firstLineChars="300"/>
        <w:jc w:val="both"/>
        <w:rPr>
          <w:rFonts w:cs="宋体"/>
          <w:color w:val="auto"/>
          <w:sz w:val="21"/>
          <w:szCs w:val="21"/>
          <w:highlight w:val="none"/>
        </w:rPr>
      </w:pPr>
      <w:r>
        <w:rPr>
          <w:rFonts w:hint="eastAsia" w:cs="宋体"/>
          <w:color w:val="auto"/>
          <w:spacing w:val="-10"/>
          <w:sz w:val="21"/>
          <w:szCs w:val="21"/>
          <w:highlight w:val="none"/>
        </w:rPr>
        <w:t xml:space="preserve">（5）除按照第 </w:t>
      </w:r>
      <w:r>
        <w:rPr>
          <w:rFonts w:hint="eastAsia" w:cs="宋体"/>
          <w:color w:val="auto"/>
          <w:sz w:val="21"/>
          <w:szCs w:val="21"/>
          <w:highlight w:val="none"/>
        </w:rPr>
        <w:t>15</w:t>
      </w:r>
      <w:r>
        <w:rPr>
          <w:rFonts w:hint="eastAsia" w:cs="宋体"/>
          <w:color w:val="auto"/>
          <w:spacing w:val="-7"/>
          <w:sz w:val="21"/>
          <w:szCs w:val="21"/>
          <w:highlight w:val="none"/>
        </w:rPr>
        <w:t xml:space="preserve"> 条约定的变更外，在竣工结算时总价子目的工程量不应当重新计量， </w:t>
      </w:r>
      <w:r>
        <w:rPr>
          <w:rFonts w:hint="eastAsia" w:cs="宋体"/>
          <w:color w:val="auto"/>
          <w:spacing w:val="-5"/>
          <w:sz w:val="21"/>
          <w:szCs w:val="21"/>
          <w:highlight w:val="none"/>
        </w:rPr>
        <w:t>签约合同价所基于的工程量即是用于竣工结算的最终工程量。</w:t>
      </w:r>
    </w:p>
    <w:p>
      <w:pPr>
        <w:pStyle w:val="7"/>
        <w:widowControl/>
        <w:numPr>
          <w:ilvl w:val="1"/>
          <w:numId w:val="80"/>
        </w:numPr>
        <w:spacing w:before="135"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预付款 </w:t>
      </w:r>
    </w:p>
    <w:p>
      <w:pPr>
        <w:pStyle w:val="20"/>
        <w:widowControl w:val="0"/>
        <w:numPr>
          <w:ilvl w:val="2"/>
          <w:numId w:val="80"/>
        </w:numPr>
        <w:autoSpaceDE w:val="0"/>
        <w:autoSpaceDN w:val="0"/>
        <w:spacing w:before="0" w:beforeAutospacing="0" w:after="0" w:afterAutospacing="0"/>
        <w:rPr>
          <w:rFonts w:cs="宋体"/>
          <w:color w:val="auto"/>
          <w:sz w:val="21"/>
          <w:szCs w:val="21"/>
          <w:highlight w:val="none"/>
        </w:rPr>
      </w:pPr>
      <w:r>
        <w:rPr>
          <w:rFonts w:hint="eastAsia" w:cs="宋体"/>
          <w:color w:val="auto"/>
          <w:spacing w:val="-2"/>
          <w:sz w:val="21"/>
          <w:szCs w:val="21"/>
          <w:highlight w:val="none"/>
        </w:rPr>
        <w:t xml:space="preserve">预付款 </w:t>
      </w:r>
    </w:p>
    <w:p>
      <w:pPr>
        <w:pStyle w:val="20"/>
        <w:widowControl w:val="0"/>
        <w:autoSpaceDE w:val="0"/>
        <w:autoSpaceDN w:val="0"/>
        <w:spacing w:before="0" w:beforeAutospacing="0" w:after="0" w:afterAutospacing="0" w:line="415" w:lineRule="auto"/>
        <w:ind w:left="138" w:right="310" w:firstLine="419"/>
        <w:jc w:val="both"/>
        <w:rPr>
          <w:rFonts w:cs="宋体"/>
          <w:color w:val="auto"/>
          <w:sz w:val="21"/>
          <w:szCs w:val="21"/>
          <w:highlight w:val="none"/>
        </w:rPr>
      </w:pPr>
      <w:r>
        <w:rPr>
          <w:rFonts w:hint="eastAsia" w:cs="宋体"/>
          <w:color w:val="auto"/>
          <w:spacing w:val="-7"/>
          <w:sz w:val="21"/>
          <w:szCs w:val="21"/>
          <w:highlight w:val="none"/>
        </w:rPr>
        <w:t>预付款用于承包人为合同工程施工购置材料、工程设备、施工设备、修建临时设施以及</w:t>
      </w:r>
      <w:r>
        <w:rPr>
          <w:rFonts w:hint="eastAsia" w:cs="宋体"/>
          <w:color w:val="auto"/>
          <w:spacing w:val="-12"/>
          <w:sz w:val="21"/>
          <w:szCs w:val="21"/>
          <w:highlight w:val="none"/>
        </w:rPr>
        <w:t>组织施工队伍进场等。预付款必须专用于合同工程。预付款的额度和预付办法以及支付时间</w:t>
      </w:r>
      <w:r>
        <w:rPr>
          <w:rFonts w:hint="eastAsia" w:cs="宋体"/>
          <w:color w:val="auto"/>
          <w:spacing w:val="-6"/>
          <w:sz w:val="21"/>
          <w:szCs w:val="21"/>
          <w:highlight w:val="none"/>
        </w:rPr>
        <w:t>见合同条款专用部分。</w:t>
      </w:r>
    </w:p>
    <w:p>
      <w:pPr>
        <w:pStyle w:val="20"/>
        <w:widowControl w:val="0"/>
        <w:autoSpaceDE w:val="0"/>
        <w:autoSpaceDN w:val="0"/>
        <w:spacing w:before="0" w:beforeAutospacing="0" w:after="0" w:afterAutospacing="0" w:line="269" w:lineRule="exact"/>
        <w:ind w:left="558"/>
        <w:rPr>
          <w:rFonts w:cs="宋体"/>
          <w:color w:val="auto"/>
          <w:sz w:val="21"/>
          <w:szCs w:val="21"/>
          <w:highlight w:val="none"/>
        </w:rPr>
      </w:pPr>
      <w:r>
        <w:rPr>
          <w:rFonts w:hint="eastAsia" w:cs="宋体"/>
          <w:color w:val="auto"/>
          <w:sz w:val="21"/>
          <w:szCs w:val="21"/>
          <w:highlight w:val="none"/>
        </w:rPr>
        <w:t xml:space="preserve">安全文明施工费用预付款额度及方式见合同条款专用部分。 </w:t>
      </w:r>
    </w:p>
    <w:p>
      <w:pPr>
        <w:pStyle w:val="20"/>
        <w:widowControl w:val="0"/>
        <w:autoSpaceDE w:val="0"/>
        <w:autoSpaceDN w:val="0"/>
        <w:spacing w:before="1" w:beforeAutospacing="0" w:after="0" w:afterAutospacing="0" w:line="415" w:lineRule="auto"/>
        <w:ind w:left="138" w:right="308" w:firstLine="419"/>
        <w:rPr>
          <w:rFonts w:cs="宋体"/>
          <w:color w:val="auto"/>
          <w:sz w:val="21"/>
          <w:szCs w:val="21"/>
          <w:highlight w:val="none"/>
        </w:rPr>
      </w:pPr>
      <w:r>
        <w:rPr>
          <w:rFonts w:hint="eastAsia" w:cs="宋体"/>
          <w:color w:val="auto"/>
          <w:spacing w:val="-5"/>
          <w:sz w:val="21"/>
          <w:szCs w:val="21"/>
          <w:highlight w:val="none"/>
        </w:rPr>
        <w:t xml:space="preserve">发包人逾期支付合同约定的预付款，除承担第 </w:t>
      </w:r>
      <w:r>
        <w:rPr>
          <w:rFonts w:hint="eastAsia" w:cs="宋体"/>
          <w:color w:val="auto"/>
          <w:sz w:val="21"/>
          <w:szCs w:val="21"/>
          <w:highlight w:val="none"/>
        </w:rPr>
        <w:t>22.2</w:t>
      </w:r>
      <w:r>
        <w:rPr>
          <w:rFonts w:hint="eastAsia" w:cs="宋体"/>
          <w:color w:val="auto"/>
          <w:spacing w:val="-7"/>
          <w:sz w:val="21"/>
          <w:szCs w:val="21"/>
          <w:highlight w:val="none"/>
        </w:rPr>
        <w:t xml:space="preserve"> 款约定的违约责任外，还应向承包</w:t>
      </w:r>
      <w:r>
        <w:rPr>
          <w:rFonts w:hint="eastAsia" w:cs="宋体"/>
          <w:color w:val="auto"/>
          <w:spacing w:val="-13"/>
          <w:sz w:val="21"/>
          <w:szCs w:val="21"/>
          <w:highlight w:val="none"/>
        </w:rPr>
        <w:t xml:space="preserve">人支付按第 </w:t>
      </w:r>
      <w:r>
        <w:rPr>
          <w:rFonts w:hint="eastAsia" w:cs="宋体"/>
          <w:color w:val="auto"/>
          <w:sz w:val="21"/>
          <w:szCs w:val="21"/>
          <w:highlight w:val="none"/>
        </w:rPr>
        <w:t>17.3.3(2)</w:t>
      </w:r>
      <w:r>
        <w:rPr>
          <w:rFonts w:hint="eastAsia" w:cs="宋体"/>
          <w:color w:val="auto"/>
          <w:spacing w:val="-3"/>
          <w:sz w:val="21"/>
          <w:szCs w:val="21"/>
          <w:highlight w:val="none"/>
        </w:rPr>
        <w:t>目约定的标准和方法计算的逾期付款违约金。</w:t>
      </w:r>
    </w:p>
    <w:p>
      <w:pPr>
        <w:pStyle w:val="20"/>
        <w:widowControl w:val="0"/>
        <w:numPr>
          <w:ilvl w:val="2"/>
          <w:numId w:val="80"/>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预付款的扣回与还清</w:t>
      </w:r>
    </w:p>
    <w:p>
      <w:pPr>
        <w:pStyle w:val="20"/>
        <w:widowControl w:val="0"/>
        <w:autoSpaceDE w:val="0"/>
        <w:autoSpaceDN w:val="0"/>
        <w:spacing w:before="0" w:beforeAutospacing="0" w:after="0" w:afterAutospacing="0" w:line="415" w:lineRule="auto"/>
        <w:ind w:left="138" w:right="220" w:firstLine="419"/>
        <w:rPr>
          <w:rFonts w:cs="宋体"/>
          <w:color w:val="auto"/>
          <w:sz w:val="21"/>
          <w:szCs w:val="21"/>
          <w:highlight w:val="none"/>
        </w:rPr>
      </w:pPr>
      <w:r>
        <w:rPr>
          <w:rFonts w:hint="eastAsia" w:cs="宋体"/>
          <w:color w:val="auto"/>
          <w:spacing w:val="-8"/>
          <w:sz w:val="21"/>
          <w:szCs w:val="21"/>
          <w:highlight w:val="none"/>
        </w:rPr>
        <w:t>预付款在进度付款中按照合同约定扣回。在颁发工程接收证书前，由于不可抗力或其他</w:t>
      </w:r>
      <w:r>
        <w:rPr>
          <w:rFonts w:hint="eastAsia" w:cs="宋体"/>
          <w:color w:val="auto"/>
          <w:spacing w:val="-5"/>
          <w:sz w:val="21"/>
          <w:szCs w:val="21"/>
          <w:highlight w:val="none"/>
        </w:rPr>
        <w:t>原因解除合同时，预付款尚未扣清的，尚未扣清的预付款余额应作为承包人的到期应付款。</w:t>
      </w:r>
      <w:r>
        <w:rPr>
          <w:rFonts w:hint="eastAsia" w:cs="宋体"/>
          <w:color w:val="auto"/>
          <w:spacing w:val="-4"/>
          <w:sz w:val="21"/>
          <w:szCs w:val="21"/>
          <w:highlight w:val="none"/>
        </w:rPr>
        <w:t>预付款扣回办法见合同条款专用部分。</w:t>
      </w:r>
    </w:p>
    <w:p>
      <w:pPr>
        <w:pStyle w:val="7"/>
        <w:widowControl/>
        <w:numPr>
          <w:ilvl w:val="1"/>
          <w:numId w:val="80"/>
        </w:numPr>
        <w:spacing w:before="136"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工程进度付款 </w:t>
      </w:r>
    </w:p>
    <w:p>
      <w:pPr>
        <w:pStyle w:val="20"/>
        <w:widowControl w:val="0"/>
        <w:numPr>
          <w:ilvl w:val="2"/>
          <w:numId w:val="80"/>
        </w:numPr>
        <w:autoSpaceDE w:val="0"/>
        <w:autoSpaceDN w:val="0"/>
        <w:spacing w:before="0" w:beforeAutospacing="0" w:after="0" w:afterAutospacing="0"/>
        <w:rPr>
          <w:rFonts w:hint="eastAsia" w:cs="宋体"/>
          <w:color w:val="auto"/>
          <w:sz w:val="21"/>
          <w:szCs w:val="21"/>
          <w:highlight w:val="none"/>
        </w:rPr>
      </w:pPr>
      <w:r>
        <w:rPr>
          <w:rFonts w:hint="eastAsia" w:cs="宋体"/>
          <w:color w:val="auto"/>
          <w:spacing w:val="-3"/>
          <w:sz w:val="21"/>
          <w:szCs w:val="21"/>
          <w:highlight w:val="none"/>
        </w:rPr>
        <w:t xml:space="preserve">付款周期 </w:t>
      </w:r>
      <w:r>
        <w:rPr>
          <w:rFonts w:hint="eastAsia" w:cs="宋体"/>
          <w:color w:val="auto"/>
          <w:spacing w:val="-3"/>
          <w:sz w:val="21"/>
          <w:szCs w:val="21"/>
          <w:highlight w:val="none"/>
          <w:lang w:eastAsia="zh-CN"/>
        </w:rPr>
        <w:t>：</w:t>
      </w:r>
      <w:r>
        <w:rPr>
          <w:rFonts w:hint="eastAsia" w:cs="宋体"/>
          <w:color w:val="auto"/>
          <w:sz w:val="21"/>
          <w:szCs w:val="21"/>
          <w:highlight w:val="none"/>
        </w:rPr>
        <w:t>同计量</w:t>
      </w:r>
      <w:r>
        <w:rPr>
          <w:rFonts w:hint="eastAsia" w:cs="宋体"/>
          <w:color w:val="auto"/>
          <w:sz w:val="21"/>
          <w:szCs w:val="21"/>
          <w:highlight w:val="none"/>
          <w:lang w:val="en-US" w:eastAsia="zh-CN"/>
        </w:rPr>
        <w:t>周期</w:t>
      </w:r>
    </w:p>
    <w:p>
      <w:pPr>
        <w:pStyle w:val="20"/>
        <w:widowControl w:val="0"/>
        <w:autoSpaceDE w:val="0"/>
        <w:autoSpaceDN w:val="0"/>
        <w:spacing w:before="1" w:beforeAutospacing="0" w:after="0" w:afterAutospacing="0" w:line="415" w:lineRule="auto"/>
        <w:ind w:left="2893" w:leftChars="265" w:right="5789" w:hanging="2310" w:hangingChars="1100"/>
        <w:rPr>
          <w:rFonts w:hint="default" w:eastAsia="宋体" w:cs="宋体"/>
          <w:color w:val="auto"/>
          <w:sz w:val="21"/>
          <w:szCs w:val="21"/>
          <w:highlight w:val="none"/>
          <w:lang w:val="en-US" w:eastAsia="zh-CN"/>
        </w:rPr>
      </w:pPr>
      <w:r>
        <w:rPr>
          <w:rFonts w:hint="eastAsia" w:cs="宋体"/>
          <w:color w:val="auto"/>
          <w:sz w:val="21"/>
          <w:szCs w:val="21"/>
          <w:highlight w:val="none"/>
        </w:rPr>
        <w:t>17.3.2 进度付</w:t>
      </w:r>
      <w:r>
        <w:rPr>
          <w:rFonts w:hint="eastAsia" w:cs="宋体"/>
          <w:color w:val="auto"/>
          <w:sz w:val="21"/>
          <w:szCs w:val="21"/>
          <w:highlight w:val="none"/>
          <w:lang w:val="en-US" w:eastAsia="zh-CN"/>
        </w:rPr>
        <w:t xml:space="preserve">款    </w:t>
      </w:r>
    </w:p>
    <w:p>
      <w:pPr>
        <w:pStyle w:val="20"/>
        <w:widowControl w:val="0"/>
        <w:autoSpaceDE w:val="0"/>
        <w:autoSpaceDN w:val="0"/>
        <w:spacing w:before="0"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9"/>
          <w:sz w:val="21"/>
          <w:szCs w:val="21"/>
          <w:highlight w:val="none"/>
        </w:rPr>
        <w:t>承包人应在每个付款周期末，按监理人批准的格式和合同约定的份数，向监理人提交进</w:t>
      </w:r>
      <w:r>
        <w:rPr>
          <w:rFonts w:hint="eastAsia" w:cs="宋体"/>
          <w:color w:val="auto"/>
          <w:spacing w:val="-12"/>
          <w:sz w:val="21"/>
          <w:szCs w:val="21"/>
          <w:highlight w:val="none"/>
        </w:rPr>
        <w:t>度付款申请单，并附相应的支持性证明文件。承包人提交进度付款申请单份数见合同条款专</w:t>
      </w:r>
      <w:r>
        <w:rPr>
          <w:rFonts w:hint="eastAsia" w:cs="宋体"/>
          <w:color w:val="auto"/>
          <w:spacing w:val="-8"/>
          <w:sz w:val="21"/>
          <w:szCs w:val="21"/>
          <w:highlight w:val="none"/>
        </w:rPr>
        <w:t>用部分。</w:t>
      </w:r>
    </w:p>
    <w:p>
      <w:pPr>
        <w:pStyle w:val="20"/>
        <w:widowControl w:val="0"/>
        <w:autoSpaceDE w:val="0"/>
        <w:autoSpaceDN w:val="0"/>
        <w:spacing w:before="0" w:beforeAutospacing="0" w:after="0" w:afterAutospacing="0" w:line="269" w:lineRule="exact"/>
        <w:ind w:left="558"/>
        <w:rPr>
          <w:rFonts w:cs="宋体"/>
          <w:color w:val="auto"/>
          <w:sz w:val="21"/>
          <w:szCs w:val="21"/>
          <w:highlight w:val="none"/>
        </w:rPr>
      </w:pPr>
      <w:r>
        <w:rPr>
          <w:rFonts w:hint="eastAsia" w:cs="宋体"/>
          <w:color w:val="auto"/>
          <w:sz w:val="21"/>
          <w:szCs w:val="21"/>
          <w:highlight w:val="none"/>
        </w:rPr>
        <w:t xml:space="preserve">承包人报送监理人的进度付款申请单应包括下列内容： </w:t>
      </w:r>
    </w:p>
    <w:p>
      <w:pPr>
        <w:pStyle w:val="20"/>
        <w:widowControl w:val="0"/>
        <w:numPr>
          <w:ilvl w:val="0"/>
          <w:numId w:val="81"/>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3"/>
          <w:sz w:val="21"/>
          <w:szCs w:val="21"/>
          <w:highlight w:val="none"/>
        </w:rPr>
        <w:t>截至本次付款周期末已实施工程的价款；</w:t>
      </w:r>
    </w:p>
    <w:p>
      <w:pPr>
        <w:pStyle w:val="20"/>
        <w:widowControl w:val="0"/>
        <w:numPr>
          <w:ilvl w:val="0"/>
          <w:numId w:val="81"/>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13"/>
          <w:sz w:val="21"/>
          <w:szCs w:val="21"/>
          <w:highlight w:val="none"/>
        </w:rPr>
        <w:t xml:space="preserve">根据第 </w:t>
      </w:r>
      <w:r>
        <w:rPr>
          <w:rFonts w:hint="eastAsia" w:cs="宋体"/>
          <w:color w:val="auto"/>
          <w:sz w:val="21"/>
          <w:szCs w:val="21"/>
          <w:highlight w:val="none"/>
        </w:rPr>
        <w:t>15</w:t>
      </w:r>
      <w:r>
        <w:rPr>
          <w:rFonts w:hint="eastAsia" w:cs="宋体"/>
          <w:color w:val="auto"/>
          <w:spacing w:val="-8"/>
          <w:sz w:val="21"/>
          <w:szCs w:val="21"/>
          <w:highlight w:val="none"/>
        </w:rPr>
        <w:t xml:space="preserve"> 条应增加和扣减的变更金额； </w:t>
      </w:r>
    </w:p>
    <w:p>
      <w:pPr>
        <w:pStyle w:val="20"/>
        <w:widowControl w:val="0"/>
        <w:numPr>
          <w:ilvl w:val="0"/>
          <w:numId w:val="81"/>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13"/>
          <w:sz w:val="21"/>
          <w:szCs w:val="21"/>
          <w:highlight w:val="none"/>
        </w:rPr>
        <w:t xml:space="preserve">根据第 </w:t>
      </w:r>
      <w:r>
        <w:rPr>
          <w:rFonts w:hint="eastAsia" w:cs="宋体"/>
          <w:color w:val="auto"/>
          <w:sz w:val="21"/>
          <w:szCs w:val="21"/>
          <w:highlight w:val="none"/>
        </w:rPr>
        <w:t>23</w:t>
      </w:r>
      <w:r>
        <w:rPr>
          <w:rFonts w:hint="eastAsia" w:cs="宋体"/>
          <w:color w:val="auto"/>
          <w:spacing w:val="-8"/>
          <w:sz w:val="21"/>
          <w:szCs w:val="21"/>
          <w:highlight w:val="none"/>
        </w:rPr>
        <w:t xml:space="preserve"> 条应增加和扣减的索赔金额； </w:t>
      </w:r>
    </w:p>
    <w:p>
      <w:pPr>
        <w:pStyle w:val="20"/>
        <w:widowControl w:val="0"/>
        <w:numPr>
          <w:ilvl w:val="0"/>
          <w:numId w:val="81"/>
        </w:numPr>
        <w:autoSpaceDE w:val="0"/>
        <w:autoSpaceDN w:val="0"/>
        <w:spacing w:before="72" w:beforeAutospacing="0" w:after="0" w:afterAutospacing="0"/>
        <w:ind w:hanging="530"/>
        <w:rPr>
          <w:rFonts w:cs="宋体"/>
          <w:color w:val="auto"/>
          <w:sz w:val="21"/>
          <w:szCs w:val="21"/>
          <w:highlight w:val="none"/>
        </w:rPr>
      </w:pPr>
      <w:r>
        <w:rPr>
          <w:rFonts w:hint="eastAsia" w:cs="宋体"/>
          <w:color w:val="auto"/>
          <w:spacing w:val="-15"/>
          <w:sz w:val="21"/>
          <w:szCs w:val="21"/>
          <w:highlight w:val="none"/>
        </w:rPr>
        <w:t xml:space="preserve">根据第 </w:t>
      </w:r>
      <w:r>
        <w:rPr>
          <w:rFonts w:hint="eastAsia" w:cs="宋体"/>
          <w:color w:val="auto"/>
          <w:sz w:val="21"/>
          <w:szCs w:val="21"/>
          <w:highlight w:val="none"/>
        </w:rPr>
        <w:t>17.2</w:t>
      </w:r>
      <w:r>
        <w:rPr>
          <w:rFonts w:hint="eastAsia" w:cs="宋体"/>
          <w:color w:val="auto"/>
          <w:spacing w:val="-8"/>
          <w:sz w:val="21"/>
          <w:szCs w:val="21"/>
          <w:highlight w:val="none"/>
        </w:rPr>
        <w:t xml:space="preserve"> 款约定应支付的预付款和扣减的返还预付款；</w:t>
      </w:r>
    </w:p>
    <w:p>
      <w:pPr>
        <w:pStyle w:val="20"/>
        <w:widowControl w:val="0"/>
        <w:numPr>
          <w:ilvl w:val="0"/>
          <w:numId w:val="81"/>
        </w:numPr>
        <w:autoSpaceDE w:val="0"/>
        <w:autoSpaceDN w:val="0"/>
        <w:spacing w:before="0" w:beforeAutospacing="0" w:after="0" w:afterAutospacing="0"/>
        <w:ind w:hanging="530"/>
        <w:rPr>
          <w:rFonts w:cs="宋体"/>
          <w:color w:val="auto"/>
          <w:sz w:val="21"/>
          <w:szCs w:val="21"/>
          <w:highlight w:val="none"/>
        </w:rPr>
      </w:pPr>
      <w:r>
        <w:rPr>
          <w:rFonts w:hint="eastAsia" w:cs="宋体"/>
          <w:color w:val="auto"/>
          <w:spacing w:val="-15"/>
          <w:sz w:val="21"/>
          <w:szCs w:val="21"/>
          <w:highlight w:val="none"/>
        </w:rPr>
        <w:t xml:space="preserve">根据第 </w:t>
      </w:r>
      <w:r>
        <w:rPr>
          <w:rFonts w:hint="eastAsia" w:cs="宋体"/>
          <w:color w:val="auto"/>
          <w:sz w:val="21"/>
          <w:szCs w:val="21"/>
          <w:highlight w:val="none"/>
        </w:rPr>
        <w:t>17.4.1</w:t>
      </w:r>
      <w:r>
        <w:rPr>
          <w:rFonts w:hint="eastAsia" w:cs="宋体"/>
          <w:color w:val="auto"/>
          <w:spacing w:val="-9"/>
          <w:sz w:val="21"/>
          <w:szCs w:val="21"/>
          <w:highlight w:val="none"/>
        </w:rPr>
        <w:t xml:space="preserve"> 项约定应扣减的质量保证金；</w:t>
      </w:r>
    </w:p>
    <w:p>
      <w:pPr>
        <w:pStyle w:val="20"/>
        <w:widowControl w:val="0"/>
        <w:numPr>
          <w:ilvl w:val="0"/>
          <w:numId w:val="81"/>
        </w:numPr>
        <w:autoSpaceDE w:val="0"/>
        <w:autoSpaceDN w:val="0"/>
        <w:spacing w:before="1" w:beforeAutospacing="0" w:after="0" w:afterAutospacing="0" w:line="415" w:lineRule="auto"/>
        <w:ind w:left="558" w:right="1379" w:hanging="106"/>
        <w:rPr>
          <w:rFonts w:cs="宋体"/>
          <w:color w:val="auto"/>
          <w:sz w:val="21"/>
          <w:szCs w:val="21"/>
          <w:highlight w:val="none"/>
        </w:rPr>
      </w:pPr>
      <w:r>
        <w:rPr>
          <w:rFonts w:hint="eastAsia" w:cs="宋体"/>
          <w:color w:val="auto"/>
          <w:spacing w:val="-3"/>
          <w:sz w:val="21"/>
          <w:szCs w:val="21"/>
          <w:highlight w:val="none"/>
        </w:rPr>
        <w:t>根据合同应增加和（</w:t>
      </w:r>
      <w:r>
        <w:rPr>
          <w:rFonts w:hint="eastAsia" w:cs="宋体"/>
          <w:color w:val="auto"/>
          <w:sz w:val="21"/>
          <w:szCs w:val="21"/>
          <w:highlight w:val="none"/>
        </w:rPr>
        <w:t>或）</w:t>
      </w:r>
      <w:r>
        <w:rPr>
          <w:rFonts w:hint="eastAsia" w:cs="宋体"/>
          <w:color w:val="auto"/>
          <w:spacing w:val="-3"/>
          <w:sz w:val="21"/>
          <w:szCs w:val="21"/>
          <w:highlight w:val="none"/>
        </w:rPr>
        <w:t>扣减的其他内容金额见合同条款专用分。</w:t>
      </w:r>
    </w:p>
    <w:p>
      <w:pPr>
        <w:pStyle w:val="20"/>
        <w:widowControl w:val="0"/>
        <w:numPr>
          <w:ilvl w:val="0"/>
          <w:numId w:val="0"/>
        </w:numPr>
        <w:autoSpaceDE w:val="0"/>
        <w:autoSpaceDN w:val="0"/>
        <w:spacing w:before="1" w:beforeAutospacing="0" w:after="0" w:afterAutospacing="0" w:line="415" w:lineRule="auto"/>
        <w:ind w:left="452" w:leftChars="0" w:right="1379" w:rightChars="0"/>
        <w:rPr>
          <w:rFonts w:cs="宋体"/>
          <w:color w:val="auto"/>
          <w:sz w:val="21"/>
          <w:szCs w:val="21"/>
          <w:highlight w:val="none"/>
        </w:rPr>
      </w:pPr>
      <w:r>
        <w:rPr>
          <w:rFonts w:hint="eastAsia" w:cs="宋体"/>
          <w:color w:val="auto"/>
          <w:sz w:val="21"/>
          <w:szCs w:val="21"/>
          <w:highlight w:val="none"/>
        </w:rPr>
        <w:t>17.3.3</w:t>
      </w:r>
      <w:r>
        <w:rPr>
          <w:rFonts w:hint="eastAsia" w:cs="宋体"/>
          <w:color w:val="auto"/>
          <w:spacing w:val="-3"/>
          <w:sz w:val="21"/>
          <w:szCs w:val="21"/>
          <w:highlight w:val="none"/>
        </w:rPr>
        <w:t xml:space="preserve"> 进度付款证书和支付时间</w:t>
      </w:r>
    </w:p>
    <w:p>
      <w:pPr>
        <w:pStyle w:val="20"/>
        <w:widowControl w:val="0"/>
        <w:autoSpaceDE w:val="0"/>
        <w:autoSpaceDN w:val="0"/>
        <w:spacing w:before="0" w:beforeAutospacing="0" w:after="0" w:afterAutospacing="0" w:line="415" w:lineRule="auto"/>
        <w:ind w:left="557" w:right="203" w:firstLine="419"/>
        <w:rPr>
          <w:rFonts w:cs="宋体"/>
          <w:color w:val="auto"/>
          <w:sz w:val="21"/>
          <w:szCs w:val="21"/>
          <w:highlight w:val="none"/>
        </w:rPr>
      </w:pPr>
      <w:r>
        <w:rPr>
          <w:rFonts w:hint="eastAsia" w:cs="宋体"/>
          <w:color w:val="auto"/>
          <w:spacing w:val="-5"/>
          <w:sz w:val="21"/>
          <w:szCs w:val="21"/>
          <w:highlight w:val="none"/>
        </w:rPr>
        <w:t xml:space="preserve">（1）监理人在收到承包人进度付款申请单以及相应的支持性证明文件后的 </w:t>
      </w:r>
      <w:r>
        <w:rPr>
          <w:rFonts w:hint="eastAsia" w:cs="宋体"/>
          <w:color w:val="auto"/>
          <w:sz w:val="21"/>
          <w:szCs w:val="21"/>
          <w:highlight w:val="none"/>
        </w:rPr>
        <w:t>14</w:t>
      </w:r>
      <w:r>
        <w:rPr>
          <w:rFonts w:hint="eastAsia" w:cs="宋体"/>
          <w:color w:val="auto"/>
          <w:spacing w:val="-10"/>
          <w:sz w:val="21"/>
          <w:szCs w:val="21"/>
          <w:highlight w:val="none"/>
        </w:rPr>
        <w:t xml:space="preserve"> 天内完成</w:t>
      </w:r>
      <w:r>
        <w:rPr>
          <w:rFonts w:hint="eastAsia" w:cs="宋体"/>
          <w:color w:val="auto"/>
          <w:spacing w:val="-16"/>
          <w:sz w:val="21"/>
          <w:szCs w:val="21"/>
          <w:highlight w:val="none"/>
        </w:rPr>
        <w:t xml:space="preserve">核查，提出发包人到期应支付给承包人的金额以及相应的支持性材料，经发包人审查同意后， </w:t>
      </w:r>
      <w:r>
        <w:rPr>
          <w:rFonts w:hint="eastAsia" w:cs="宋体"/>
          <w:color w:val="auto"/>
          <w:spacing w:val="-11"/>
          <w:sz w:val="21"/>
          <w:szCs w:val="21"/>
          <w:highlight w:val="none"/>
        </w:rPr>
        <w:t>由监理人向承包人出具经发包人签认的进度付款证书。监理人有权扣发承包人未能按照合同</w:t>
      </w:r>
      <w:r>
        <w:rPr>
          <w:rFonts w:hint="eastAsia" w:cs="宋体"/>
          <w:color w:val="auto"/>
          <w:spacing w:val="-6"/>
          <w:sz w:val="21"/>
          <w:szCs w:val="21"/>
          <w:highlight w:val="none"/>
        </w:rPr>
        <w:t>要求履行任何工作或义务的相应金额。</w:t>
      </w:r>
    </w:p>
    <w:p>
      <w:pPr>
        <w:pStyle w:val="20"/>
        <w:widowControl w:val="0"/>
        <w:autoSpaceDE w:val="0"/>
        <w:autoSpaceDN w:val="0"/>
        <w:spacing w:before="0" w:beforeAutospacing="0" w:after="0" w:afterAutospacing="0" w:line="415" w:lineRule="auto"/>
        <w:ind w:left="557" w:right="205" w:firstLine="419"/>
        <w:rPr>
          <w:rFonts w:cs="宋体"/>
          <w:color w:val="auto"/>
          <w:sz w:val="22"/>
          <w:szCs w:val="22"/>
          <w:highlight w:val="none"/>
        </w:rPr>
      </w:pPr>
      <w:r>
        <w:rPr>
          <w:rFonts w:hint="eastAsia" w:cs="宋体"/>
          <w:color w:val="auto"/>
          <w:spacing w:val="-6"/>
          <w:sz w:val="21"/>
          <w:szCs w:val="21"/>
          <w:highlight w:val="none"/>
        </w:rPr>
        <w:t xml:space="preserve">（2）发包人应在监理人收到进度付款申请单后的 </w:t>
      </w:r>
      <w:r>
        <w:rPr>
          <w:rFonts w:hint="eastAsia" w:cs="宋体"/>
          <w:color w:val="auto"/>
          <w:sz w:val="21"/>
          <w:szCs w:val="21"/>
          <w:highlight w:val="none"/>
        </w:rPr>
        <w:t>28</w:t>
      </w:r>
      <w:r>
        <w:rPr>
          <w:rFonts w:hint="eastAsia" w:cs="宋体"/>
          <w:color w:val="auto"/>
          <w:spacing w:val="-14"/>
          <w:sz w:val="21"/>
          <w:szCs w:val="21"/>
          <w:highlight w:val="none"/>
        </w:rPr>
        <w:t xml:space="preserve"> 天内，将进度应付款支付给承包人</w:t>
      </w:r>
      <w:r>
        <w:rPr>
          <w:rFonts w:hint="eastAsia" w:cs="宋体"/>
          <w:color w:val="auto"/>
          <w:spacing w:val="-9"/>
          <w:sz w:val="21"/>
          <w:szCs w:val="21"/>
          <w:highlight w:val="none"/>
        </w:rPr>
        <w:t xml:space="preserve">。发包人未按第 </w:t>
      </w:r>
      <w:r>
        <w:rPr>
          <w:rFonts w:hint="eastAsia" w:cs="宋体"/>
          <w:color w:val="auto"/>
          <w:sz w:val="21"/>
          <w:szCs w:val="21"/>
          <w:highlight w:val="none"/>
        </w:rPr>
        <w:t>17.2.1(2</w:t>
      </w:r>
      <w:r>
        <w:rPr>
          <w:rFonts w:hint="eastAsia" w:cs="宋体"/>
          <w:color w:val="auto"/>
          <w:spacing w:val="-20"/>
          <w:sz w:val="21"/>
          <w:szCs w:val="21"/>
          <w:highlight w:val="none"/>
        </w:rPr>
        <w:t xml:space="preserve">)目、第 </w:t>
      </w:r>
      <w:r>
        <w:rPr>
          <w:rFonts w:hint="eastAsia" w:cs="宋体"/>
          <w:color w:val="auto"/>
          <w:sz w:val="21"/>
          <w:szCs w:val="21"/>
          <w:highlight w:val="none"/>
        </w:rPr>
        <w:t>17.3.3(2</w:t>
      </w:r>
      <w:r>
        <w:rPr>
          <w:rFonts w:hint="eastAsia" w:cs="宋体"/>
          <w:color w:val="auto"/>
          <w:spacing w:val="-20"/>
          <w:sz w:val="21"/>
          <w:szCs w:val="21"/>
          <w:highlight w:val="none"/>
        </w:rPr>
        <w:t xml:space="preserve">)目、第 </w:t>
      </w:r>
      <w:r>
        <w:rPr>
          <w:rFonts w:hint="eastAsia" w:cs="宋体"/>
          <w:color w:val="auto"/>
          <w:sz w:val="21"/>
          <w:szCs w:val="21"/>
          <w:highlight w:val="none"/>
        </w:rPr>
        <w:t>17.5.2(2</w:t>
      </w:r>
      <w:r>
        <w:rPr>
          <w:rFonts w:hint="eastAsia" w:cs="宋体"/>
          <w:color w:val="auto"/>
          <w:spacing w:val="-13"/>
          <w:sz w:val="21"/>
          <w:szCs w:val="21"/>
          <w:highlight w:val="none"/>
        </w:rPr>
        <w:t xml:space="preserve">)目和第 </w:t>
      </w:r>
      <w:r>
        <w:rPr>
          <w:rFonts w:hint="eastAsia" w:cs="宋体"/>
          <w:color w:val="auto"/>
          <w:sz w:val="21"/>
          <w:szCs w:val="21"/>
          <w:highlight w:val="none"/>
        </w:rPr>
        <w:t>17.6.2(2</w:t>
      </w:r>
      <w:r>
        <w:rPr>
          <w:rFonts w:hint="eastAsia" w:cs="宋体"/>
          <w:color w:val="auto"/>
          <w:spacing w:val="-2"/>
          <w:sz w:val="21"/>
          <w:szCs w:val="21"/>
          <w:highlight w:val="none"/>
        </w:rPr>
        <w:t>)目约定的期</w:t>
      </w:r>
      <w:r>
        <w:rPr>
          <w:rFonts w:hint="eastAsia" w:cs="宋体"/>
          <w:color w:val="auto"/>
          <w:spacing w:val="-8"/>
          <w:sz w:val="21"/>
          <w:szCs w:val="21"/>
          <w:highlight w:val="none"/>
        </w:rPr>
        <w:t>限支付承包人依合同约定应当得到的款项，应当从应付之日起按照合同约定的计算标准和计</w:t>
      </w:r>
      <w:r>
        <w:rPr>
          <w:rFonts w:hint="eastAsia" w:cs="宋体"/>
          <w:color w:val="auto"/>
          <w:spacing w:val="-6"/>
          <w:sz w:val="21"/>
          <w:szCs w:val="21"/>
          <w:highlight w:val="none"/>
        </w:rPr>
        <w:t xml:space="preserve">算方法向承包人支付逾期付款违约金。承包人应当按第 </w:t>
      </w:r>
      <w:r>
        <w:rPr>
          <w:rFonts w:hint="eastAsia" w:cs="宋体"/>
          <w:color w:val="auto"/>
          <w:spacing w:val="-4"/>
          <w:sz w:val="21"/>
          <w:szCs w:val="21"/>
          <w:highlight w:val="none"/>
        </w:rPr>
        <w:t>23.1（1）</w:t>
      </w:r>
      <w:r>
        <w:rPr>
          <w:rFonts w:hint="eastAsia" w:cs="宋体"/>
          <w:color w:val="auto"/>
          <w:spacing w:val="-5"/>
          <w:sz w:val="21"/>
          <w:szCs w:val="21"/>
          <w:highlight w:val="none"/>
        </w:rPr>
        <w:t>目的约定，在最终付款期</w:t>
      </w:r>
      <w:r>
        <w:rPr>
          <w:rFonts w:hint="eastAsia" w:cs="宋体"/>
          <w:color w:val="auto"/>
          <w:spacing w:val="-10"/>
          <w:sz w:val="21"/>
          <w:szCs w:val="21"/>
          <w:highlight w:val="none"/>
        </w:rPr>
        <w:t xml:space="preserve">限到期后 </w:t>
      </w:r>
      <w:r>
        <w:rPr>
          <w:rFonts w:hint="eastAsia" w:cs="宋体"/>
          <w:color w:val="auto"/>
          <w:sz w:val="21"/>
          <w:szCs w:val="21"/>
          <w:highlight w:val="none"/>
        </w:rPr>
        <w:t>28</w:t>
      </w:r>
      <w:r>
        <w:rPr>
          <w:rFonts w:hint="eastAsia" w:cs="宋体"/>
          <w:color w:val="auto"/>
          <w:spacing w:val="-13"/>
          <w:sz w:val="21"/>
          <w:szCs w:val="21"/>
          <w:highlight w:val="none"/>
        </w:rPr>
        <w:t xml:space="preserve"> 天内，向监理人递交索赔意向通知书,说明有权得到按本款约定的标准和方法计</w:t>
      </w:r>
      <w:r>
        <w:rPr>
          <w:rFonts w:hint="eastAsia" w:cs="宋体"/>
          <w:color w:val="auto"/>
          <w:spacing w:val="-11"/>
          <w:sz w:val="21"/>
          <w:szCs w:val="21"/>
          <w:highlight w:val="none"/>
        </w:rPr>
        <w:t>算的逾期付款违约金。承包人要求发包人支付逾期付款违约金不影响承包人要求发包人承担</w:t>
      </w:r>
      <w:r>
        <w:rPr>
          <w:rFonts w:hint="eastAsia" w:cs="宋体"/>
          <w:color w:val="auto"/>
          <w:sz w:val="21"/>
          <w:szCs w:val="21"/>
          <w:highlight w:val="none"/>
        </w:rPr>
        <w:t>第</w:t>
      </w:r>
      <w:r>
        <w:rPr>
          <w:rFonts w:hint="eastAsia" w:cs="宋体"/>
          <w:color w:val="auto"/>
          <w:sz w:val="22"/>
          <w:szCs w:val="22"/>
          <w:highlight w:val="none"/>
        </w:rPr>
        <w:t xml:space="preserve">22.2 款约定的其他违约责任的权利。逾期付款违约金计算标准和计算方法见合同条款专用部分。 </w:t>
      </w:r>
    </w:p>
    <w:p>
      <w:pPr>
        <w:pStyle w:val="20"/>
        <w:widowControl w:val="0"/>
        <w:autoSpaceDE w:val="0"/>
        <w:autoSpaceDN w:val="0"/>
        <w:spacing w:before="0" w:beforeAutospacing="0" w:after="0" w:afterAutospacing="0" w:line="415" w:lineRule="auto"/>
        <w:ind w:left="557" w:right="309" w:firstLine="419"/>
        <w:rPr>
          <w:rFonts w:cs="宋体"/>
          <w:color w:val="auto"/>
          <w:sz w:val="21"/>
          <w:szCs w:val="21"/>
          <w:highlight w:val="none"/>
        </w:rPr>
      </w:pPr>
      <w:r>
        <w:rPr>
          <w:rFonts w:hint="eastAsia" w:cs="宋体"/>
          <w:color w:val="auto"/>
          <w:spacing w:val="-3"/>
          <w:sz w:val="21"/>
          <w:szCs w:val="21"/>
          <w:highlight w:val="none"/>
        </w:rPr>
        <w:t>（3）监理人出具进度付款证书，不应视为监理人已同意、批准或接受了承包人完成的该部分工作。</w:t>
      </w:r>
    </w:p>
    <w:p>
      <w:pPr>
        <w:pStyle w:val="20"/>
        <w:widowControl w:val="0"/>
        <w:autoSpaceDE w:val="0"/>
        <w:autoSpaceDN w:val="0"/>
        <w:spacing w:before="0" w:beforeAutospacing="0" w:after="0" w:afterAutospacing="0" w:line="415" w:lineRule="auto"/>
        <w:ind w:left="557" w:right="309" w:firstLine="419"/>
        <w:rPr>
          <w:rFonts w:cs="宋体"/>
          <w:color w:val="auto"/>
          <w:sz w:val="21"/>
          <w:szCs w:val="21"/>
          <w:highlight w:val="none"/>
        </w:rPr>
      </w:pPr>
      <w:r>
        <w:rPr>
          <w:rFonts w:hint="eastAsia" w:cs="宋体"/>
          <w:color w:val="auto"/>
          <w:spacing w:val="-3"/>
          <w:sz w:val="21"/>
          <w:szCs w:val="21"/>
          <w:highlight w:val="none"/>
        </w:rPr>
        <w:t>（4）进度付款涉及政府投资资金的，按照国库集中支付等国家相关规定和合同约定办理。进度付款涉及政府性资金的支付方法见合同条款专用部分。</w:t>
      </w:r>
    </w:p>
    <w:p>
      <w:pPr>
        <w:pStyle w:val="20"/>
        <w:widowControl w:val="0"/>
        <w:numPr>
          <w:ilvl w:val="2"/>
          <w:numId w:val="82"/>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工程进度付款的修正</w:t>
      </w:r>
    </w:p>
    <w:p>
      <w:pPr>
        <w:pStyle w:val="20"/>
        <w:widowControl w:val="0"/>
        <w:autoSpaceDE w:val="0"/>
        <w:autoSpaceDN w:val="0"/>
        <w:spacing w:before="0"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7"/>
          <w:sz w:val="21"/>
          <w:szCs w:val="21"/>
          <w:highlight w:val="none"/>
        </w:rPr>
        <w:t>在对以往历次已签发的进度付款证书进行汇总和复核中发现错、漏或重复的，监理人有</w:t>
      </w:r>
      <w:r>
        <w:rPr>
          <w:rFonts w:hint="eastAsia" w:cs="宋体"/>
          <w:color w:val="auto"/>
          <w:spacing w:val="-11"/>
          <w:sz w:val="21"/>
          <w:szCs w:val="21"/>
          <w:highlight w:val="none"/>
        </w:rPr>
        <w:t>权予以修正，承包人也有权提出修正申请。经双方复核同意的修正，应在本次进度付款中支</w:t>
      </w:r>
      <w:r>
        <w:rPr>
          <w:rFonts w:hint="eastAsia" w:cs="宋体"/>
          <w:color w:val="auto"/>
          <w:spacing w:val="-7"/>
          <w:sz w:val="21"/>
          <w:szCs w:val="21"/>
          <w:highlight w:val="none"/>
        </w:rPr>
        <w:t>付或扣除。</w:t>
      </w:r>
    </w:p>
    <w:p>
      <w:pPr>
        <w:pStyle w:val="20"/>
        <w:widowControl w:val="0"/>
        <w:numPr>
          <w:ilvl w:val="2"/>
          <w:numId w:val="82"/>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临时付款证书</w:t>
      </w:r>
    </w:p>
    <w:p>
      <w:pPr>
        <w:pStyle w:val="20"/>
        <w:widowControl w:val="0"/>
        <w:autoSpaceDE w:val="0"/>
        <w:autoSpaceDN w:val="0"/>
        <w:spacing w:before="0"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12"/>
          <w:sz w:val="21"/>
          <w:szCs w:val="21"/>
          <w:highlight w:val="none"/>
        </w:rPr>
        <w:t>在合同约定的期限内，承包人和监理人无法对当期已完工程量和按合同约定应当支付的</w:t>
      </w:r>
      <w:r>
        <w:rPr>
          <w:rFonts w:hint="eastAsia" w:cs="宋体"/>
          <w:color w:val="auto"/>
          <w:spacing w:val="-7"/>
          <w:sz w:val="21"/>
          <w:szCs w:val="21"/>
          <w:highlight w:val="none"/>
        </w:rPr>
        <w:t xml:space="preserve">其他款项达成一致的，监理人应当在收到承包人报送的进度付款申请单等文件后 </w:t>
      </w:r>
      <w:r>
        <w:rPr>
          <w:rFonts w:hint="eastAsia" w:cs="宋体"/>
          <w:color w:val="auto"/>
          <w:sz w:val="21"/>
          <w:szCs w:val="21"/>
          <w:highlight w:val="none"/>
        </w:rPr>
        <w:t>14</w:t>
      </w:r>
      <w:r>
        <w:rPr>
          <w:rFonts w:hint="eastAsia" w:cs="宋体"/>
          <w:color w:val="auto"/>
          <w:spacing w:val="-9"/>
          <w:sz w:val="21"/>
          <w:szCs w:val="21"/>
          <w:highlight w:val="none"/>
        </w:rPr>
        <w:t xml:space="preserve"> 天内， </w:t>
      </w:r>
      <w:r>
        <w:rPr>
          <w:rFonts w:hint="eastAsia" w:cs="宋体"/>
          <w:color w:val="auto"/>
          <w:spacing w:val="-7"/>
          <w:sz w:val="21"/>
          <w:szCs w:val="21"/>
          <w:highlight w:val="none"/>
        </w:rPr>
        <w:t>就与承包人达成一致意见的金额编制临时付款证书，报送发包人审查。临时付款证书中应当</w:t>
      </w:r>
      <w:r>
        <w:rPr>
          <w:rFonts w:hint="eastAsia" w:cs="宋体"/>
          <w:color w:val="auto"/>
          <w:spacing w:val="-10"/>
          <w:sz w:val="21"/>
          <w:szCs w:val="21"/>
          <w:highlight w:val="none"/>
        </w:rPr>
        <w:t>说明承包人有异议部分的金额及其原因，经发包人签字确认后，由监理人向承包人出具临时</w:t>
      </w:r>
      <w:r>
        <w:rPr>
          <w:rFonts w:hint="eastAsia" w:cs="宋体"/>
          <w:color w:val="auto"/>
          <w:spacing w:val="-6"/>
          <w:sz w:val="21"/>
          <w:szCs w:val="21"/>
          <w:highlight w:val="none"/>
        </w:rPr>
        <w:t xml:space="preserve">付款证书。发包人应当在监理人收到进度付款申请单后 </w:t>
      </w:r>
      <w:r>
        <w:rPr>
          <w:rFonts w:hint="eastAsia" w:cs="宋体"/>
          <w:color w:val="auto"/>
          <w:sz w:val="21"/>
          <w:szCs w:val="21"/>
          <w:highlight w:val="none"/>
        </w:rPr>
        <w:t>28</w:t>
      </w:r>
      <w:r>
        <w:rPr>
          <w:rFonts w:hint="eastAsia" w:cs="宋体"/>
          <w:color w:val="auto"/>
          <w:spacing w:val="-7"/>
          <w:sz w:val="21"/>
          <w:szCs w:val="21"/>
          <w:highlight w:val="none"/>
        </w:rPr>
        <w:t xml:space="preserve"> 天内，将临时付款证书中确定的</w:t>
      </w:r>
      <w:r>
        <w:rPr>
          <w:rFonts w:hint="eastAsia" w:cs="宋体"/>
          <w:color w:val="auto"/>
          <w:sz w:val="21"/>
          <w:szCs w:val="21"/>
          <w:highlight w:val="none"/>
        </w:rPr>
        <w:t xml:space="preserve">应付金额支付给承包人。发包人和监理人均不得以任何理由延期支付工程进度付款。 </w:t>
      </w:r>
    </w:p>
    <w:p>
      <w:pPr>
        <w:pStyle w:val="20"/>
        <w:widowControl w:val="0"/>
        <w:autoSpaceDE w:val="0"/>
        <w:autoSpaceDN w:val="0"/>
        <w:spacing w:before="0"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8"/>
          <w:sz w:val="21"/>
          <w:szCs w:val="21"/>
          <w:highlight w:val="none"/>
        </w:rPr>
        <w:t>对临时付款证书中承包人有异议部分的金额，承包人应当按照监理人要求，提交进一步</w:t>
      </w:r>
      <w:r>
        <w:rPr>
          <w:rFonts w:hint="eastAsia" w:cs="宋体"/>
          <w:color w:val="auto"/>
          <w:spacing w:val="-6"/>
          <w:sz w:val="21"/>
          <w:szCs w:val="21"/>
          <w:highlight w:val="none"/>
        </w:rPr>
        <w:t xml:space="preserve">的支持性文件，经监理人进一步审核并认可的应付金额，应当按第 </w:t>
      </w:r>
      <w:r>
        <w:rPr>
          <w:rFonts w:hint="eastAsia" w:cs="宋体"/>
          <w:color w:val="auto"/>
          <w:sz w:val="21"/>
          <w:szCs w:val="21"/>
          <w:highlight w:val="none"/>
        </w:rPr>
        <w:t>17.3.4</w:t>
      </w:r>
      <w:r>
        <w:rPr>
          <w:rFonts w:hint="eastAsia" w:cs="宋体"/>
          <w:color w:val="auto"/>
          <w:spacing w:val="-7"/>
          <w:sz w:val="21"/>
          <w:szCs w:val="21"/>
          <w:highlight w:val="none"/>
        </w:rPr>
        <w:t xml:space="preserve"> 项的约定纳入到</w:t>
      </w:r>
    </w:p>
    <w:p>
      <w:pPr>
        <w:pStyle w:val="20"/>
        <w:widowControl w:val="0"/>
        <w:autoSpaceDE w:val="0"/>
        <w:autoSpaceDN w:val="0"/>
        <w:spacing w:before="0" w:beforeAutospacing="0" w:after="0" w:afterAutospacing="0" w:line="415" w:lineRule="auto"/>
        <w:ind w:left="138" w:right="308"/>
        <w:jc w:val="both"/>
        <w:rPr>
          <w:rFonts w:cs="宋体"/>
          <w:color w:val="auto"/>
          <w:sz w:val="21"/>
          <w:szCs w:val="21"/>
          <w:highlight w:val="none"/>
        </w:rPr>
      </w:pPr>
      <w:r>
        <w:rPr>
          <w:rFonts w:hint="eastAsia" w:cs="宋体"/>
          <w:color w:val="auto"/>
          <w:spacing w:val="-4"/>
          <w:sz w:val="21"/>
          <w:szCs w:val="21"/>
          <w:highlight w:val="none"/>
        </w:rPr>
        <w:t xml:space="preserve">下一期进度付款证书中。经过进一步努力，承包人仍有异议的，按合同条款第 </w:t>
      </w:r>
      <w:r>
        <w:rPr>
          <w:rFonts w:hint="eastAsia" w:cs="宋体"/>
          <w:color w:val="auto"/>
          <w:sz w:val="21"/>
          <w:szCs w:val="21"/>
          <w:highlight w:val="none"/>
        </w:rPr>
        <w:t>24</w:t>
      </w:r>
      <w:r>
        <w:rPr>
          <w:rFonts w:hint="eastAsia" w:cs="宋体"/>
          <w:color w:val="auto"/>
          <w:spacing w:val="-8"/>
          <w:sz w:val="21"/>
          <w:szCs w:val="21"/>
          <w:highlight w:val="none"/>
        </w:rPr>
        <w:t xml:space="preserve"> 条的约定</w:t>
      </w:r>
      <w:r>
        <w:rPr>
          <w:rFonts w:hint="eastAsia" w:cs="宋体"/>
          <w:color w:val="auto"/>
          <w:spacing w:val="-7"/>
          <w:sz w:val="21"/>
          <w:szCs w:val="21"/>
          <w:highlight w:val="none"/>
        </w:rPr>
        <w:t>办理。</w:t>
      </w:r>
    </w:p>
    <w:p>
      <w:pPr>
        <w:pStyle w:val="20"/>
        <w:widowControl w:val="0"/>
        <w:autoSpaceDE w:val="0"/>
        <w:autoSpaceDN w:val="0"/>
        <w:spacing w:before="0"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4"/>
          <w:sz w:val="21"/>
          <w:szCs w:val="21"/>
          <w:highlight w:val="none"/>
        </w:rPr>
        <w:t xml:space="preserve">有异议款项中经监理人进一步审核后认可的，或者经过合同条款第 </w:t>
      </w:r>
      <w:r>
        <w:rPr>
          <w:rFonts w:hint="eastAsia" w:cs="宋体"/>
          <w:color w:val="auto"/>
          <w:sz w:val="21"/>
          <w:szCs w:val="21"/>
          <w:highlight w:val="none"/>
        </w:rPr>
        <w:t>24</w:t>
      </w:r>
      <w:r>
        <w:rPr>
          <w:rFonts w:hint="eastAsia" w:cs="宋体"/>
          <w:color w:val="auto"/>
          <w:spacing w:val="-7"/>
          <w:sz w:val="21"/>
          <w:szCs w:val="21"/>
          <w:highlight w:val="none"/>
        </w:rPr>
        <w:t xml:space="preserve"> 条约定的争议解</w:t>
      </w:r>
      <w:r>
        <w:rPr>
          <w:rFonts w:hint="eastAsia" w:cs="宋体"/>
          <w:color w:val="auto"/>
          <w:spacing w:val="-11"/>
          <w:sz w:val="21"/>
          <w:szCs w:val="21"/>
          <w:highlight w:val="none"/>
        </w:rPr>
        <w:t>决方式确定的应付金额，其应付之日为引发异议的进度付款证书的应付之日，承包人有权得</w:t>
      </w:r>
      <w:r>
        <w:rPr>
          <w:rFonts w:hint="eastAsia" w:cs="宋体"/>
          <w:color w:val="auto"/>
          <w:spacing w:val="-18"/>
          <w:sz w:val="21"/>
          <w:szCs w:val="21"/>
          <w:highlight w:val="none"/>
        </w:rPr>
        <w:t xml:space="preserve">到按第 </w:t>
      </w:r>
      <w:r>
        <w:rPr>
          <w:rFonts w:hint="eastAsia" w:cs="宋体"/>
          <w:color w:val="auto"/>
          <w:sz w:val="21"/>
          <w:szCs w:val="21"/>
          <w:highlight w:val="none"/>
        </w:rPr>
        <w:t>17.3.3（2）</w:t>
      </w:r>
      <w:r>
        <w:rPr>
          <w:rFonts w:hint="eastAsia" w:cs="宋体"/>
          <w:color w:val="auto"/>
          <w:spacing w:val="-3"/>
          <w:sz w:val="21"/>
          <w:szCs w:val="21"/>
          <w:highlight w:val="none"/>
        </w:rPr>
        <w:t xml:space="preserve">目约定计算的逾期付款违约金。 </w:t>
      </w:r>
    </w:p>
    <w:p>
      <w:pPr>
        <w:pStyle w:val="7"/>
        <w:widowControl/>
        <w:numPr>
          <w:ilvl w:val="1"/>
          <w:numId w:val="83"/>
        </w:numPr>
        <w:spacing w:before="135" w:after="0"/>
        <w:ind w:hanging="482"/>
        <w:jc w:val="left"/>
        <w:rPr>
          <w:rFonts w:ascii="宋体" w:hAnsi="宋体" w:cs="宋体"/>
          <w:color w:val="auto"/>
          <w:sz w:val="22"/>
          <w:szCs w:val="22"/>
          <w:highlight w:val="none"/>
        </w:rPr>
      </w:pPr>
      <w:r>
        <w:rPr>
          <w:rFonts w:hint="eastAsia" w:ascii="宋体" w:hAnsi="宋体" w:cs="宋体"/>
          <w:color w:val="auto"/>
          <w:sz w:val="24"/>
          <w:szCs w:val="24"/>
          <w:highlight w:val="none"/>
        </w:rPr>
        <w:t xml:space="preserve">质量保证金 </w:t>
      </w:r>
    </w:p>
    <w:p>
      <w:pPr>
        <w:pStyle w:val="20"/>
        <w:widowControl w:val="0"/>
        <w:numPr>
          <w:ilvl w:val="2"/>
          <w:numId w:val="83"/>
        </w:numPr>
        <w:autoSpaceDE w:val="0"/>
        <w:autoSpaceDN w:val="0"/>
        <w:spacing w:before="1" w:beforeAutospacing="0" w:after="0" w:afterAutospacing="0"/>
        <w:rPr>
          <w:rFonts w:cs="宋体"/>
          <w:color w:val="auto"/>
          <w:sz w:val="21"/>
          <w:szCs w:val="21"/>
          <w:highlight w:val="none"/>
        </w:rPr>
      </w:pPr>
      <w:r>
        <w:rPr>
          <w:rFonts w:hint="eastAsia" w:cs="宋体"/>
          <w:color w:val="auto"/>
          <w:spacing w:val="-3"/>
          <w:sz w:val="21"/>
          <w:szCs w:val="21"/>
          <w:highlight w:val="none"/>
        </w:rPr>
        <w:t>质量保证金处理</w:t>
      </w:r>
    </w:p>
    <w:p>
      <w:pPr>
        <w:pStyle w:val="20"/>
        <w:widowControl w:val="0"/>
        <w:numPr>
          <w:ilvl w:val="0"/>
          <w:numId w:val="84"/>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6"/>
          <w:sz w:val="21"/>
          <w:szCs w:val="21"/>
          <w:highlight w:val="none"/>
        </w:rPr>
        <w:t xml:space="preserve">合同条款专用部分第 </w:t>
      </w:r>
      <w:r>
        <w:rPr>
          <w:rFonts w:hint="eastAsia" w:cs="宋体"/>
          <w:color w:val="auto"/>
          <w:sz w:val="21"/>
          <w:szCs w:val="21"/>
          <w:highlight w:val="none"/>
        </w:rPr>
        <w:t>4.2.1</w:t>
      </w:r>
      <w:r>
        <w:rPr>
          <w:rFonts w:hint="eastAsia" w:cs="宋体"/>
          <w:color w:val="auto"/>
          <w:spacing w:val="-7"/>
          <w:sz w:val="21"/>
          <w:szCs w:val="21"/>
          <w:highlight w:val="none"/>
        </w:rPr>
        <w:t xml:space="preserve"> 项约定不提交履约担保，采用扣留质量保证金的，质</w:t>
      </w:r>
      <w:r>
        <w:rPr>
          <w:rFonts w:hint="eastAsia" w:cs="宋体"/>
          <w:color w:val="auto"/>
          <w:spacing w:val="-8"/>
          <w:sz w:val="21"/>
          <w:szCs w:val="21"/>
          <w:highlight w:val="none"/>
        </w:rPr>
        <w:t>量保证金由监理人从第一个付款周期开始按进度付款证书确认的已实施工程的价款、根据合</w:t>
      </w:r>
      <w:r>
        <w:rPr>
          <w:rFonts w:hint="eastAsia" w:cs="宋体"/>
          <w:color w:val="auto"/>
          <w:spacing w:val="-14"/>
          <w:sz w:val="21"/>
          <w:szCs w:val="21"/>
          <w:highlight w:val="none"/>
        </w:rPr>
        <w:t xml:space="preserve">同条款第 </w:t>
      </w:r>
      <w:r>
        <w:rPr>
          <w:rFonts w:hint="eastAsia" w:cs="宋体"/>
          <w:color w:val="auto"/>
          <w:sz w:val="21"/>
          <w:szCs w:val="21"/>
          <w:highlight w:val="none"/>
        </w:rPr>
        <w:t>15</w:t>
      </w:r>
      <w:r>
        <w:rPr>
          <w:rFonts w:hint="eastAsia" w:cs="宋体"/>
          <w:color w:val="auto"/>
          <w:spacing w:val="-16"/>
          <w:sz w:val="21"/>
          <w:szCs w:val="21"/>
          <w:highlight w:val="none"/>
        </w:rPr>
        <w:t xml:space="preserve"> 条增加和扣减的变更金额、根据合同条款第 </w:t>
      </w:r>
      <w:r>
        <w:rPr>
          <w:rFonts w:hint="eastAsia" w:cs="宋体"/>
          <w:color w:val="auto"/>
          <w:sz w:val="21"/>
          <w:szCs w:val="21"/>
          <w:highlight w:val="none"/>
        </w:rPr>
        <w:t>23</w:t>
      </w:r>
      <w:r>
        <w:rPr>
          <w:rFonts w:hint="eastAsia" w:cs="宋体"/>
          <w:color w:val="auto"/>
          <w:spacing w:val="-8"/>
          <w:sz w:val="21"/>
          <w:szCs w:val="21"/>
          <w:highlight w:val="none"/>
        </w:rPr>
        <w:t xml:space="preserve"> 条增加和扣减的索赔金额以及根</w:t>
      </w:r>
      <w:r>
        <w:rPr>
          <w:rFonts w:hint="eastAsia" w:cs="宋体"/>
          <w:color w:val="auto"/>
          <w:spacing w:val="-7"/>
          <w:sz w:val="21"/>
          <w:szCs w:val="21"/>
          <w:highlight w:val="none"/>
        </w:rPr>
        <w:t>据合同应增加和扣减的其他金额</w:t>
      </w:r>
      <w:r>
        <w:rPr>
          <w:rFonts w:hint="eastAsia" w:cs="宋体"/>
          <w:color w:val="auto"/>
          <w:spacing w:val="-3"/>
          <w:sz w:val="21"/>
          <w:szCs w:val="21"/>
          <w:highlight w:val="none"/>
        </w:rPr>
        <w:t>（</w:t>
      </w:r>
      <w:r>
        <w:rPr>
          <w:rFonts w:hint="eastAsia" w:cs="宋体"/>
          <w:color w:val="auto"/>
          <w:spacing w:val="-8"/>
          <w:sz w:val="21"/>
          <w:szCs w:val="21"/>
          <w:highlight w:val="none"/>
        </w:rPr>
        <w:t>不包括预付款的支付、返还、此前已经按合同约定支付给</w:t>
      </w:r>
      <w:r>
        <w:rPr>
          <w:rFonts w:hint="eastAsia" w:cs="宋体"/>
          <w:color w:val="auto"/>
          <w:spacing w:val="-5"/>
          <w:sz w:val="21"/>
          <w:szCs w:val="21"/>
          <w:highlight w:val="none"/>
        </w:rPr>
        <w:t>承包人的进度款以及已经扣留的质量保证金</w:t>
      </w:r>
      <w:r>
        <w:rPr>
          <w:rFonts w:hint="eastAsia" w:cs="宋体"/>
          <w:color w:val="auto"/>
          <w:spacing w:val="-44"/>
          <w:sz w:val="21"/>
          <w:szCs w:val="21"/>
          <w:highlight w:val="none"/>
        </w:rPr>
        <w:t>）</w:t>
      </w:r>
      <w:r>
        <w:rPr>
          <w:rFonts w:hint="eastAsia" w:cs="宋体"/>
          <w:color w:val="auto"/>
          <w:spacing w:val="-7"/>
          <w:sz w:val="21"/>
          <w:szCs w:val="21"/>
          <w:highlight w:val="none"/>
        </w:rPr>
        <w:t>的总额的约定比例扣留，直至质量保证金累计</w:t>
      </w:r>
      <w:r>
        <w:rPr>
          <w:rFonts w:hint="eastAsia" w:cs="宋体"/>
          <w:color w:val="auto"/>
          <w:spacing w:val="-5"/>
          <w:sz w:val="21"/>
          <w:szCs w:val="21"/>
          <w:highlight w:val="none"/>
        </w:rPr>
        <w:t>扣留金额达到竣工结算合同总价的约定比例为止；</w:t>
      </w:r>
    </w:p>
    <w:p>
      <w:pPr>
        <w:pStyle w:val="20"/>
        <w:widowControl w:val="0"/>
        <w:autoSpaceDE w:val="0"/>
        <w:autoSpaceDN w:val="0"/>
        <w:spacing w:before="0" w:beforeAutospacing="0" w:after="0" w:afterAutospacing="0" w:line="268" w:lineRule="exact"/>
        <w:ind w:left="558"/>
        <w:rPr>
          <w:rFonts w:cs="宋体"/>
          <w:color w:val="auto"/>
          <w:sz w:val="21"/>
          <w:szCs w:val="21"/>
          <w:highlight w:val="none"/>
        </w:rPr>
      </w:pPr>
      <w:r>
        <w:rPr>
          <w:rFonts w:hint="eastAsia" w:cs="宋体"/>
          <w:color w:val="auto"/>
          <w:sz w:val="21"/>
          <w:szCs w:val="21"/>
          <w:highlight w:val="none"/>
        </w:rPr>
        <w:t xml:space="preserve">采用质量保证金保函担保形式的，工程竣工前，不得扣留质量保证金。 </w:t>
      </w:r>
    </w:p>
    <w:p>
      <w:pPr>
        <w:pStyle w:val="20"/>
        <w:widowControl w:val="0"/>
        <w:numPr>
          <w:ilvl w:val="0"/>
          <w:numId w:val="84"/>
        </w:numPr>
        <w:autoSpaceDE w:val="0"/>
        <w:autoSpaceDN w:val="0"/>
        <w:spacing w:before="0" w:beforeAutospacing="0" w:after="0" w:afterAutospacing="0"/>
        <w:ind w:left="1087"/>
        <w:jc w:val="both"/>
        <w:rPr>
          <w:rFonts w:cs="宋体"/>
          <w:color w:val="auto"/>
          <w:sz w:val="21"/>
          <w:szCs w:val="21"/>
          <w:highlight w:val="none"/>
        </w:rPr>
      </w:pPr>
      <w:r>
        <w:rPr>
          <w:rFonts w:hint="eastAsia" w:cs="宋体"/>
          <w:color w:val="auto"/>
          <w:spacing w:val="-7"/>
          <w:sz w:val="21"/>
          <w:szCs w:val="21"/>
          <w:highlight w:val="none"/>
        </w:rPr>
        <w:t xml:space="preserve">合同条款专用部分第 </w:t>
      </w:r>
      <w:r>
        <w:rPr>
          <w:rFonts w:hint="eastAsia" w:cs="宋体"/>
          <w:color w:val="auto"/>
          <w:sz w:val="21"/>
          <w:szCs w:val="21"/>
          <w:highlight w:val="none"/>
        </w:rPr>
        <w:t>4.2.1</w:t>
      </w:r>
      <w:r>
        <w:rPr>
          <w:rFonts w:hint="eastAsia" w:cs="宋体"/>
          <w:color w:val="auto"/>
          <w:spacing w:val="-8"/>
          <w:sz w:val="21"/>
          <w:szCs w:val="21"/>
          <w:highlight w:val="none"/>
        </w:rPr>
        <w:t xml:space="preserve"> 项约定提交履约担保，采用扣留质量保证金的，在第</w:t>
      </w:r>
    </w:p>
    <w:p>
      <w:pPr>
        <w:pStyle w:val="20"/>
        <w:widowControl w:val="0"/>
        <w:numPr>
          <w:ilvl w:val="1"/>
          <w:numId w:val="83"/>
        </w:numPr>
        <w:autoSpaceDE w:val="0"/>
        <w:autoSpaceDN w:val="0"/>
        <w:spacing w:before="0" w:beforeAutospacing="0" w:after="0" w:afterAutospacing="0" w:line="415" w:lineRule="auto"/>
        <w:ind w:left="138" w:right="308" w:firstLine="0"/>
        <w:jc w:val="both"/>
        <w:rPr>
          <w:rFonts w:cs="宋体"/>
          <w:color w:val="auto"/>
          <w:sz w:val="21"/>
          <w:szCs w:val="21"/>
          <w:highlight w:val="none"/>
        </w:rPr>
      </w:pPr>
      <w:r>
        <w:rPr>
          <w:rFonts w:hint="eastAsia" w:cs="宋体"/>
          <w:color w:val="auto"/>
          <w:spacing w:val="-3"/>
          <w:sz w:val="21"/>
          <w:szCs w:val="21"/>
          <w:highlight w:val="none"/>
        </w:rPr>
        <w:t>款竣工结算中，应当按照竣工结算合同总价约定的比例扣留质量保证金，当应支付的</w:t>
      </w:r>
      <w:r>
        <w:rPr>
          <w:rFonts w:hint="eastAsia" w:cs="宋体"/>
          <w:color w:val="auto"/>
          <w:spacing w:val="-8"/>
          <w:sz w:val="21"/>
          <w:szCs w:val="21"/>
          <w:highlight w:val="none"/>
        </w:rPr>
        <w:t>竣工付款金额不足应扣留的质量保证金金额时，承包人应返款差额部分；采用质量保证金保</w:t>
      </w:r>
      <w:r>
        <w:rPr>
          <w:rFonts w:hint="eastAsia" w:cs="宋体"/>
          <w:color w:val="auto"/>
          <w:spacing w:val="-5"/>
          <w:sz w:val="21"/>
          <w:szCs w:val="21"/>
          <w:highlight w:val="none"/>
        </w:rPr>
        <w:t xml:space="preserve">函担保形式的，工程竣工前，不得扣留质量保证金； </w:t>
      </w:r>
    </w:p>
    <w:p>
      <w:pPr>
        <w:pStyle w:val="20"/>
        <w:widowControl w:val="0"/>
        <w:numPr>
          <w:ilvl w:val="0"/>
          <w:numId w:val="84"/>
        </w:numPr>
        <w:autoSpaceDE w:val="0"/>
        <w:autoSpaceDN w:val="0"/>
        <w:spacing w:before="0" w:beforeAutospacing="0" w:after="0" w:afterAutospacing="0"/>
        <w:ind w:left="1087"/>
        <w:rPr>
          <w:rFonts w:cs="宋体"/>
          <w:color w:val="auto"/>
          <w:sz w:val="21"/>
          <w:szCs w:val="21"/>
          <w:highlight w:val="none"/>
        </w:rPr>
      </w:pPr>
      <w:r>
        <w:rPr>
          <w:rFonts w:hint="eastAsia" w:cs="宋体"/>
          <w:color w:val="auto"/>
          <w:spacing w:val="-3"/>
          <w:sz w:val="21"/>
          <w:szCs w:val="21"/>
          <w:highlight w:val="none"/>
        </w:rPr>
        <w:t>质量保证金的形式与约定比例见合同条款专用部分。</w:t>
      </w:r>
    </w:p>
    <w:p>
      <w:pPr>
        <w:pStyle w:val="20"/>
        <w:widowControl w:val="0"/>
        <w:numPr>
          <w:ilvl w:val="2"/>
          <w:numId w:val="85"/>
        </w:numPr>
        <w:autoSpaceDE w:val="0"/>
        <w:autoSpaceDN w:val="0"/>
        <w:spacing w:before="1" w:beforeAutospacing="0" w:after="0" w:afterAutospacing="0"/>
        <w:jc w:val="both"/>
        <w:rPr>
          <w:rFonts w:cs="宋体"/>
          <w:color w:val="auto"/>
          <w:sz w:val="21"/>
          <w:szCs w:val="21"/>
          <w:highlight w:val="none"/>
        </w:rPr>
      </w:pPr>
      <w:r>
        <w:rPr>
          <w:rFonts w:hint="eastAsia" w:cs="宋体"/>
          <w:color w:val="auto"/>
          <w:spacing w:val="-19"/>
          <w:sz w:val="21"/>
          <w:szCs w:val="21"/>
          <w:highlight w:val="none"/>
        </w:rPr>
        <w:t xml:space="preserve">在第 </w:t>
      </w:r>
      <w:r>
        <w:rPr>
          <w:rFonts w:hint="eastAsia" w:cs="宋体"/>
          <w:color w:val="auto"/>
          <w:sz w:val="21"/>
          <w:szCs w:val="21"/>
          <w:highlight w:val="none"/>
        </w:rPr>
        <w:t>1.1.4.5</w:t>
      </w:r>
      <w:r>
        <w:rPr>
          <w:rFonts w:hint="eastAsia" w:cs="宋体"/>
          <w:color w:val="auto"/>
          <w:spacing w:val="-14"/>
          <w:sz w:val="21"/>
          <w:szCs w:val="21"/>
          <w:highlight w:val="none"/>
        </w:rPr>
        <w:t xml:space="preserve"> 目约定的缺陷责任期满时，承包人向发包人申请到期应返还承包</w:t>
      </w:r>
    </w:p>
    <w:p>
      <w:pPr>
        <w:pStyle w:val="20"/>
        <w:widowControl w:val="0"/>
        <w:autoSpaceDE w:val="0"/>
        <w:autoSpaceDN w:val="0"/>
        <w:spacing w:before="0" w:beforeAutospacing="0" w:after="0" w:afterAutospacing="0" w:line="415" w:lineRule="auto"/>
        <w:ind w:left="138" w:right="308"/>
        <w:jc w:val="both"/>
        <w:rPr>
          <w:rFonts w:cs="宋体"/>
          <w:color w:val="auto"/>
          <w:sz w:val="21"/>
          <w:szCs w:val="21"/>
          <w:highlight w:val="none"/>
        </w:rPr>
      </w:pPr>
      <w:r>
        <w:rPr>
          <w:rFonts w:hint="eastAsia" w:cs="宋体"/>
          <w:color w:val="auto"/>
          <w:spacing w:val="-4"/>
          <w:sz w:val="21"/>
          <w:szCs w:val="21"/>
          <w:highlight w:val="none"/>
        </w:rPr>
        <w:t xml:space="preserve">人剩余的质量保证金金额或退还保函担保，发包人应在 </w:t>
      </w:r>
      <w:r>
        <w:rPr>
          <w:rFonts w:hint="eastAsia" w:cs="宋体"/>
          <w:color w:val="auto"/>
          <w:sz w:val="21"/>
          <w:szCs w:val="21"/>
          <w:highlight w:val="none"/>
        </w:rPr>
        <w:t>14</w:t>
      </w:r>
      <w:r>
        <w:rPr>
          <w:rFonts w:hint="eastAsia" w:cs="宋体"/>
          <w:color w:val="auto"/>
          <w:spacing w:val="-7"/>
          <w:sz w:val="21"/>
          <w:szCs w:val="21"/>
          <w:highlight w:val="none"/>
        </w:rPr>
        <w:t xml:space="preserve"> 天内会同承包人按照合同约定的</w:t>
      </w:r>
      <w:r>
        <w:rPr>
          <w:rFonts w:hint="eastAsia" w:cs="宋体"/>
          <w:color w:val="auto"/>
          <w:spacing w:val="-10"/>
          <w:sz w:val="21"/>
          <w:szCs w:val="21"/>
          <w:highlight w:val="none"/>
        </w:rPr>
        <w:t>内容核实承包人是否完成缺陷责任。如无异议，发包人应当在核实后将剩余保证金返还承包</w:t>
      </w:r>
      <w:r>
        <w:rPr>
          <w:rFonts w:hint="eastAsia" w:cs="宋体"/>
          <w:color w:val="auto"/>
          <w:spacing w:val="-5"/>
          <w:sz w:val="21"/>
          <w:szCs w:val="21"/>
          <w:highlight w:val="none"/>
        </w:rPr>
        <w:t xml:space="preserve">人或将其保函退还承包人。 </w:t>
      </w:r>
    </w:p>
    <w:p>
      <w:pPr>
        <w:pStyle w:val="20"/>
        <w:widowControl w:val="0"/>
        <w:numPr>
          <w:ilvl w:val="2"/>
          <w:numId w:val="85"/>
        </w:numPr>
        <w:autoSpaceDE w:val="0"/>
        <w:autoSpaceDN w:val="0"/>
        <w:spacing w:before="0"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14"/>
          <w:sz w:val="21"/>
          <w:szCs w:val="21"/>
          <w:highlight w:val="none"/>
        </w:rPr>
        <w:t xml:space="preserve">在第 </w:t>
      </w:r>
      <w:r>
        <w:rPr>
          <w:rFonts w:hint="eastAsia" w:cs="宋体"/>
          <w:color w:val="auto"/>
          <w:sz w:val="21"/>
          <w:szCs w:val="21"/>
          <w:highlight w:val="none"/>
        </w:rPr>
        <w:t>1.1.4.5</w:t>
      </w:r>
      <w:r>
        <w:rPr>
          <w:rFonts w:hint="eastAsia" w:cs="宋体"/>
          <w:color w:val="auto"/>
          <w:spacing w:val="-12"/>
          <w:sz w:val="21"/>
          <w:szCs w:val="21"/>
          <w:highlight w:val="none"/>
        </w:rPr>
        <w:t xml:space="preserve"> 目约定的缺陷责任期满时，承包人没有完成缺陷责任的，发包人有权扣留与未履行责任剩余工作所需金额相应的质量保证金余额或依据其保函担保约定追究</w:t>
      </w:r>
      <w:r>
        <w:rPr>
          <w:rFonts w:hint="eastAsia" w:cs="宋体"/>
          <w:color w:val="auto"/>
          <w:spacing w:val="-10"/>
          <w:sz w:val="21"/>
          <w:szCs w:val="21"/>
          <w:highlight w:val="none"/>
        </w:rPr>
        <w:t xml:space="preserve">责任，并有权根据第 </w:t>
      </w:r>
      <w:r>
        <w:rPr>
          <w:rFonts w:hint="eastAsia" w:cs="宋体"/>
          <w:color w:val="auto"/>
          <w:sz w:val="21"/>
          <w:szCs w:val="21"/>
          <w:highlight w:val="none"/>
        </w:rPr>
        <w:t>19.3</w:t>
      </w:r>
      <w:r>
        <w:rPr>
          <w:rFonts w:hint="eastAsia" w:cs="宋体"/>
          <w:color w:val="auto"/>
          <w:spacing w:val="-9"/>
          <w:sz w:val="21"/>
          <w:szCs w:val="21"/>
          <w:highlight w:val="none"/>
        </w:rPr>
        <w:t xml:space="preserve"> 款约定要求延长缺陷责任期，直至完成剩余工作为止。</w:t>
      </w:r>
    </w:p>
    <w:p>
      <w:pPr>
        <w:pStyle w:val="7"/>
        <w:widowControl/>
        <w:numPr>
          <w:ilvl w:val="1"/>
          <w:numId w:val="86"/>
        </w:numPr>
        <w:spacing w:before="66"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竣工结算 </w:t>
      </w:r>
    </w:p>
    <w:p>
      <w:pPr>
        <w:pStyle w:val="20"/>
        <w:widowControl w:val="0"/>
        <w:numPr>
          <w:ilvl w:val="2"/>
          <w:numId w:val="86"/>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竣工付款申请单</w:t>
      </w:r>
    </w:p>
    <w:p>
      <w:pPr>
        <w:pStyle w:val="20"/>
        <w:widowControl w:val="0"/>
        <w:autoSpaceDE w:val="0"/>
        <w:autoSpaceDN w:val="0"/>
        <w:spacing w:before="0" w:beforeAutospacing="0" w:after="0" w:afterAutospacing="0" w:line="415" w:lineRule="auto"/>
        <w:ind w:left="557" w:right="208" w:firstLine="419"/>
        <w:rPr>
          <w:rFonts w:cs="宋体"/>
          <w:color w:val="auto"/>
          <w:sz w:val="21"/>
          <w:szCs w:val="21"/>
          <w:highlight w:val="none"/>
        </w:rPr>
      </w:pPr>
      <w:r>
        <w:rPr>
          <w:rFonts w:hint="eastAsia" w:cs="宋体"/>
          <w:color w:val="auto"/>
          <w:spacing w:val="-3"/>
          <w:sz w:val="21"/>
          <w:szCs w:val="21"/>
          <w:highlight w:val="none"/>
        </w:rPr>
        <w:t>（1）工程接收证书颁发后，承包人应按合同约定的份数和期限向监理人提交竣工付款</w:t>
      </w:r>
      <w:r>
        <w:rPr>
          <w:rFonts w:hint="eastAsia" w:cs="宋体"/>
          <w:color w:val="auto"/>
          <w:spacing w:val="-20"/>
          <w:sz w:val="21"/>
          <w:szCs w:val="21"/>
          <w:highlight w:val="none"/>
        </w:rPr>
        <w:t>申请单，并提供相关证明材料。承包人提交竣工付款申请单份数和期限见合同条款专用部分。</w:t>
      </w:r>
    </w:p>
    <w:p>
      <w:pPr>
        <w:pStyle w:val="20"/>
        <w:widowControl w:val="0"/>
        <w:autoSpaceDE w:val="0"/>
        <w:autoSpaceDN w:val="0"/>
        <w:spacing w:before="0" w:beforeAutospacing="0" w:after="0" w:afterAutospacing="0" w:line="415" w:lineRule="auto"/>
        <w:ind w:left="557" w:right="309" w:firstLine="419"/>
        <w:jc w:val="both"/>
        <w:rPr>
          <w:rFonts w:cs="宋体"/>
          <w:color w:val="auto"/>
          <w:sz w:val="21"/>
          <w:szCs w:val="21"/>
          <w:highlight w:val="none"/>
        </w:rPr>
      </w:pPr>
      <w:r>
        <w:rPr>
          <w:rFonts w:hint="eastAsia" w:cs="宋体"/>
          <w:color w:val="auto"/>
          <w:spacing w:val="-3"/>
          <w:sz w:val="21"/>
          <w:szCs w:val="21"/>
          <w:highlight w:val="none"/>
        </w:rPr>
        <w:t>（2）竣工付款申请单应包括下列内容：竣工结算合同总价、发包人已支付承包人的工</w:t>
      </w:r>
      <w:r>
        <w:rPr>
          <w:rFonts w:hint="eastAsia" w:cs="宋体"/>
          <w:color w:val="auto"/>
          <w:spacing w:val="-10"/>
          <w:sz w:val="21"/>
          <w:szCs w:val="21"/>
          <w:highlight w:val="none"/>
        </w:rPr>
        <w:t>程价款、应扣留的质量保证金、应支付的竣工付款金额和应支付或扣减的其他内容金额。竣</w:t>
      </w:r>
      <w:r>
        <w:rPr>
          <w:rFonts w:hint="eastAsia" w:cs="宋体"/>
          <w:color w:val="auto"/>
          <w:spacing w:val="-5"/>
          <w:sz w:val="21"/>
          <w:szCs w:val="21"/>
          <w:highlight w:val="none"/>
        </w:rPr>
        <w:t xml:space="preserve">工付款申请单的其他内容见合同条款专用部分。 </w:t>
      </w:r>
    </w:p>
    <w:p>
      <w:pPr>
        <w:pStyle w:val="20"/>
        <w:widowControl w:val="0"/>
        <w:autoSpaceDE w:val="0"/>
        <w:autoSpaceDN w:val="0"/>
        <w:spacing w:before="0" w:beforeAutospacing="0" w:after="0" w:afterAutospacing="0" w:line="415" w:lineRule="auto"/>
        <w:ind w:left="557" w:right="309" w:firstLine="419"/>
        <w:rPr>
          <w:rFonts w:cs="宋体"/>
          <w:color w:val="auto"/>
          <w:sz w:val="21"/>
          <w:szCs w:val="21"/>
          <w:highlight w:val="none"/>
        </w:rPr>
      </w:pPr>
      <w:r>
        <w:rPr>
          <w:rFonts w:hint="eastAsia" w:cs="宋体"/>
          <w:color w:val="auto"/>
          <w:spacing w:val="-3"/>
          <w:sz w:val="21"/>
          <w:szCs w:val="21"/>
          <w:highlight w:val="none"/>
        </w:rPr>
        <w:t xml:space="preserve">(3）监理人对竣工付款申请单有异议的，有权要求承包人进行修正和提供补充资料。经监理人和承包人协商后，由承包人向监理人提交修正后的竣工付款申请单。 </w:t>
      </w:r>
    </w:p>
    <w:p>
      <w:pPr>
        <w:pStyle w:val="20"/>
        <w:widowControl w:val="0"/>
        <w:autoSpaceDE w:val="0"/>
        <w:autoSpaceDN w:val="0"/>
        <w:spacing w:before="0" w:beforeAutospacing="0" w:after="0" w:afterAutospacing="0" w:line="415" w:lineRule="auto"/>
        <w:ind w:left="557" w:right="203" w:firstLine="419"/>
        <w:rPr>
          <w:rFonts w:cs="宋体"/>
          <w:color w:val="auto"/>
          <w:sz w:val="21"/>
          <w:szCs w:val="21"/>
          <w:highlight w:val="none"/>
        </w:rPr>
      </w:pPr>
      <w:r>
        <w:rPr>
          <w:rFonts w:hint="eastAsia" w:cs="宋体"/>
          <w:color w:val="auto"/>
          <w:spacing w:val="-5"/>
          <w:sz w:val="21"/>
          <w:szCs w:val="21"/>
          <w:highlight w:val="none"/>
        </w:rPr>
        <w:t xml:space="preserve">（4）承包人未按本项约定的期限和内容提交竣工付款申请单或者未按第 </w:t>
      </w:r>
      <w:r>
        <w:rPr>
          <w:rFonts w:hint="eastAsia" w:cs="宋体"/>
          <w:color w:val="auto"/>
          <w:spacing w:val="-3"/>
          <w:sz w:val="21"/>
          <w:szCs w:val="21"/>
          <w:highlight w:val="none"/>
        </w:rPr>
        <w:t>17.5.1（3)</w:t>
      </w:r>
      <w:r>
        <w:rPr>
          <w:rFonts w:hint="eastAsia" w:cs="宋体"/>
          <w:color w:val="auto"/>
          <w:sz w:val="21"/>
          <w:szCs w:val="21"/>
          <w:highlight w:val="none"/>
        </w:rPr>
        <w:t>目</w:t>
      </w:r>
      <w:r>
        <w:rPr>
          <w:rFonts w:hint="eastAsia" w:cs="宋体"/>
          <w:color w:val="auto"/>
          <w:spacing w:val="-10"/>
          <w:sz w:val="21"/>
          <w:szCs w:val="21"/>
          <w:highlight w:val="none"/>
        </w:rPr>
        <w:t xml:space="preserve">约定提交修正后的竣工付款申请单，经监理人催促后 </w:t>
      </w:r>
      <w:r>
        <w:rPr>
          <w:rFonts w:hint="eastAsia" w:cs="宋体"/>
          <w:color w:val="auto"/>
          <w:sz w:val="21"/>
          <w:szCs w:val="21"/>
          <w:highlight w:val="none"/>
        </w:rPr>
        <w:t>14</w:t>
      </w:r>
      <w:r>
        <w:rPr>
          <w:rFonts w:hint="eastAsia" w:cs="宋体"/>
          <w:color w:val="auto"/>
          <w:spacing w:val="-7"/>
          <w:sz w:val="21"/>
          <w:szCs w:val="21"/>
          <w:highlight w:val="none"/>
        </w:rPr>
        <w:t xml:space="preserve"> 天内仍未提交或者没有明确答复的， </w:t>
      </w:r>
      <w:r>
        <w:rPr>
          <w:rFonts w:hint="eastAsia" w:cs="宋体"/>
          <w:color w:val="auto"/>
          <w:spacing w:val="-10"/>
          <w:sz w:val="21"/>
          <w:szCs w:val="21"/>
          <w:highlight w:val="none"/>
        </w:rPr>
        <w:t>监理人和发包人有权根据已有资料进行审查，审查确定的竣工结算合同总价和竣工付款金额</w:t>
      </w:r>
      <w:r>
        <w:rPr>
          <w:rFonts w:hint="eastAsia" w:cs="宋体"/>
          <w:color w:val="auto"/>
          <w:spacing w:val="-5"/>
          <w:sz w:val="21"/>
          <w:szCs w:val="21"/>
          <w:highlight w:val="none"/>
        </w:rPr>
        <w:t>视同是经承包人认可的工程竣工结算合同总价和竣工付款金额。</w:t>
      </w:r>
    </w:p>
    <w:p>
      <w:pPr>
        <w:pStyle w:val="20"/>
        <w:widowControl w:val="0"/>
        <w:numPr>
          <w:ilvl w:val="2"/>
          <w:numId w:val="86"/>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竣工付款证书及支付时间</w:t>
      </w:r>
    </w:p>
    <w:p>
      <w:pPr>
        <w:pStyle w:val="20"/>
        <w:widowControl w:val="0"/>
        <w:numPr>
          <w:ilvl w:val="0"/>
          <w:numId w:val="87"/>
        </w:numPr>
        <w:autoSpaceDE w:val="0"/>
        <w:autoSpaceDN w:val="0"/>
        <w:spacing w:before="0" w:beforeAutospacing="0" w:after="0" w:afterAutospacing="0"/>
        <w:jc w:val="both"/>
        <w:rPr>
          <w:rFonts w:cs="宋体"/>
          <w:color w:val="auto"/>
          <w:sz w:val="21"/>
          <w:szCs w:val="21"/>
          <w:highlight w:val="none"/>
        </w:rPr>
      </w:pPr>
      <w:r>
        <w:rPr>
          <w:rFonts w:hint="eastAsia" w:cs="宋体"/>
          <w:color w:val="auto"/>
          <w:spacing w:val="-5"/>
          <w:sz w:val="21"/>
          <w:szCs w:val="21"/>
          <w:highlight w:val="none"/>
        </w:rPr>
        <w:t xml:space="preserve">监理人在收到承包人提交的竣工付款申请单后的 </w:t>
      </w:r>
      <w:r>
        <w:rPr>
          <w:rFonts w:hint="eastAsia" w:cs="宋体"/>
          <w:color w:val="auto"/>
          <w:sz w:val="21"/>
          <w:szCs w:val="21"/>
          <w:highlight w:val="none"/>
        </w:rPr>
        <w:t>14</w:t>
      </w:r>
      <w:r>
        <w:rPr>
          <w:rFonts w:hint="eastAsia" w:cs="宋体"/>
          <w:color w:val="auto"/>
          <w:spacing w:val="-11"/>
          <w:sz w:val="21"/>
          <w:szCs w:val="21"/>
          <w:highlight w:val="none"/>
        </w:rPr>
        <w:t xml:space="preserve"> 天内完成审核，并提出发包人</w:t>
      </w:r>
    </w:p>
    <w:p>
      <w:pPr>
        <w:pStyle w:val="20"/>
        <w:widowControl w:val="0"/>
        <w:autoSpaceDE w:val="0"/>
        <w:autoSpaceDN w:val="0"/>
        <w:spacing w:before="0" w:beforeAutospacing="0" w:after="0" w:afterAutospacing="0" w:line="415" w:lineRule="auto"/>
        <w:ind w:left="138" w:right="208"/>
        <w:jc w:val="both"/>
        <w:rPr>
          <w:rFonts w:cs="宋体"/>
          <w:color w:val="auto"/>
          <w:sz w:val="21"/>
          <w:szCs w:val="21"/>
          <w:highlight w:val="none"/>
        </w:rPr>
      </w:pPr>
      <w:r>
        <w:rPr>
          <w:rFonts w:hint="eastAsia" w:cs="宋体"/>
          <w:color w:val="auto"/>
          <w:spacing w:val="-4"/>
          <w:sz w:val="21"/>
          <w:szCs w:val="21"/>
          <w:highlight w:val="none"/>
        </w:rPr>
        <w:t xml:space="preserve">到期应支付给承包人的价款等审核意见，报送发包人审核。发包人应在收到后 </w:t>
      </w:r>
      <w:r>
        <w:rPr>
          <w:rFonts w:hint="eastAsia" w:cs="宋体"/>
          <w:color w:val="auto"/>
          <w:sz w:val="21"/>
          <w:szCs w:val="21"/>
          <w:highlight w:val="none"/>
        </w:rPr>
        <w:t>14</w:t>
      </w:r>
      <w:r>
        <w:rPr>
          <w:rFonts w:hint="eastAsia" w:cs="宋体"/>
          <w:color w:val="auto"/>
          <w:spacing w:val="-9"/>
          <w:sz w:val="21"/>
          <w:szCs w:val="21"/>
          <w:highlight w:val="none"/>
        </w:rPr>
        <w:t xml:space="preserve"> 天内审核</w:t>
      </w:r>
      <w:r>
        <w:rPr>
          <w:rFonts w:hint="eastAsia" w:cs="宋体"/>
          <w:color w:val="auto"/>
          <w:spacing w:val="-11"/>
          <w:sz w:val="21"/>
          <w:szCs w:val="21"/>
          <w:highlight w:val="none"/>
        </w:rPr>
        <w:t>完毕，由监理人向承包人出具经发包人签字确认的竣工付款证书。监理人未在约定时间内提</w:t>
      </w:r>
      <w:r>
        <w:rPr>
          <w:rFonts w:hint="eastAsia" w:cs="宋体"/>
          <w:color w:val="auto"/>
          <w:spacing w:val="-13"/>
          <w:sz w:val="21"/>
          <w:szCs w:val="21"/>
          <w:highlight w:val="none"/>
        </w:rPr>
        <w:t>出具体意见的，视为承包人提交的竣工付款申请单已经监理人核查同意；发包人未在约定时</w:t>
      </w:r>
      <w:r>
        <w:rPr>
          <w:rFonts w:hint="eastAsia" w:cs="宋体"/>
          <w:color w:val="auto"/>
          <w:spacing w:val="-9"/>
          <w:sz w:val="21"/>
          <w:szCs w:val="21"/>
          <w:highlight w:val="none"/>
        </w:rPr>
        <w:t>间内提出具体意见的，监理人提出发包人到期应支付给承包人的价款视为已经发包人同意。</w:t>
      </w:r>
    </w:p>
    <w:p>
      <w:pPr>
        <w:pStyle w:val="20"/>
        <w:widowControl w:val="0"/>
        <w:numPr>
          <w:ilvl w:val="0"/>
          <w:numId w:val="87"/>
        </w:numPr>
        <w:autoSpaceDE w:val="0"/>
        <w:autoSpaceDN w:val="0"/>
        <w:spacing w:before="0" w:beforeAutospacing="0" w:after="0" w:afterAutospacing="0" w:line="415" w:lineRule="auto"/>
        <w:ind w:left="138" w:right="311" w:firstLine="419"/>
        <w:jc w:val="both"/>
        <w:rPr>
          <w:rFonts w:cs="宋体"/>
          <w:color w:val="auto"/>
          <w:sz w:val="21"/>
          <w:szCs w:val="21"/>
          <w:highlight w:val="none"/>
        </w:rPr>
      </w:pPr>
      <w:r>
        <w:rPr>
          <w:rFonts w:hint="eastAsia" w:cs="宋体"/>
          <w:color w:val="auto"/>
          <w:spacing w:val="-5"/>
          <w:sz w:val="21"/>
          <w:szCs w:val="21"/>
          <w:highlight w:val="none"/>
        </w:rPr>
        <w:t xml:space="preserve">发包人应在监理人出具竣工付款证书后的 </w:t>
      </w:r>
      <w:r>
        <w:rPr>
          <w:rFonts w:hint="eastAsia" w:cs="宋体"/>
          <w:color w:val="auto"/>
          <w:sz w:val="21"/>
          <w:szCs w:val="21"/>
          <w:highlight w:val="none"/>
        </w:rPr>
        <w:t>14</w:t>
      </w:r>
      <w:r>
        <w:rPr>
          <w:rFonts w:hint="eastAsia" w:cs="宋体"/>
          <w:color w:val="auto"/>
          <w:spacing w:val="-12"/>
          <w:sz w:val="21"/>
          <w:szCs w:val="21"/>
          <w:highlight w:val="none"/>
        </w:rPr>
        <w:t xml:space="preserve"> 天内，将应支付款支付给承包人。</w:t>
      </w:r>
      <w:r>
        <w:rPr>
          <w:rFonts w:hint="eastAsia" w:cs="宋体"/>
          <w:color w:val="auto"/>
          <w:spacing w:val="-7"/>
          <w:sz w:val="21"/>
          <w:szCs w:val="21"/>
          <w:highlight w:val="none"/>
        </w:rPr>
        <w:t xml:space="preserve">发包人不按期支付的，按第 </w:t>
      </w:r>
      <w:r>
        <w:rPr>
          <w:rFonts w:hint="eastAsia" w:cs="宋体"/>
          <w:color w:val="auto"/>
          <w:sz w:val="21"/>
          <w:szCs w:val="21"/>
          <w:highlight w:val="none"/>
        </w:rPr>
        <w:t>17.3.3（2）</w:t>
      </w:r>
      <w:r>
        <w:rPr>
          <w:rFonts w:hint="eastAsia" w:cs="宋体"/>
          <w:color w:val="auto"/>
          <w:spacing w:val="-3"/>
          <w:sz w:val="21"/>
          <w:szCs w:val="21"/>
          <w:highlight w:val="none"/>
        </w:rPr>
        <w:t>目的约定，将逾期付款违约金支付给承包人。</w:t>
      </w:r>
    </w:p>
    <w:p>
      <w:pPr>
        <w:pStyle w:val="20"/>
        <w:widowControl w:val="0"/>
        <w:numPr>
          <w:ilvl w:val="0"/>
          <w:numId w:val="87"/>
        </w:numPr>
        <w:autoSpaceDE w:val="0"/>
        <w:autoSpaceDN w:val="0"/>
        <w:spacing w:before="0"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3"/>
          <w:sz w:val="21"/>
          <w:szCs w:val="21"/>
          <w:highlight w:val="none"/>
        </w:rPr>
        <w:t>承包人对发包人签认的竣工付款证书有异议的，发包人可出具竣工付款申请单中</w:t>
      </w:r>
      <w:r>
        <w:rPr>
          <w:rFonts w:hint="eastAsia" w:cs="宋体"/>
          <w:color w:val="auto"/>
          <w:spacing w:val="-4"/>
          <w:sz w:val="21"/>
          <w:szCs w:val="21"/>
          <w:highlight w:val="none"/>
        </w:rPr>
        <w:t xml:space="preserve">与承包人达成一致意见部分的临时付款证书。存在争议的部分，按第 </w:t>
      </w:r>
      <w:r>
        <w:rPr>
          <w:rFonts w:hint="eastAsia" w:cs="宋体"/>
          <w:color w:val="auto"/>
          <w:sz w:val="21"/>
          <w:szCs w:val="21"/>
          <w:highlight w:val="none"/>
        </w:rPr>
        <w:t>24</w:t>
      </w:r>
      <w:r>
        <w:rPr>
          <w:rFonts w:hint="eastAsia" w:cs="宋体"/>
          <w:color w:val="auto"/>
          <w:spacing w:val="-7"/>
          <w:sz w:val="21"/>
          <w:szCs w:val="21"/>
          <w:highlight w:val="none"/>
        </w:rPr>
        <w:t xml:space="preserve"> 条“争议的解决” </w:t>
      </w:r>
      <w:r>
        <w:rPr>
          <w:rFonts w:hint="eastAsia" w:cs="宋体"/>
          <w:color w:val="auto"/>
          <w:spacing w:val="-5"/>
          <w:sz w:val="21"/>
          <w:szCs w:val="21"/>
          <w:highlight w:val="none"/>
        </w:rPr>
        <w:t>的约定办理。</w:t>
      </w:r>
    </w:p>
    <w:p>
      <w:pPr>
        <w:pStyle w:val="20"/>
        <w:widowControl w:val="0"/>
        <w:numPr>
          <w:ilvl w:val="0"/>
          <w:numId w:val="87"/>
        </w:numPr>
        <w:autoSpaceDE w:val="0"/>
        <w:autoSpaceDN w:val="0"/>
        <w:spacing w:before="0" w:beforeAutospacing="0" w:after="0" w:afterAutospacing="0" w:line="269" w:lineRule="exact"/>
        <w:ind w:left="1087" w:hanging="529"/>
        <w:jc w:val="both"/>
        <w:rPr>
          <w:rFonts w:cs="宋体"/>
          <w:color w:val="auto"/>
          <w:sz w:val="21"/>
          <w:szCs w:val="21"/>
          <w:highlight w:val="none"/>
        </w:rPr>
      </w:pPr>
      <w:r>
        <w:rPr>
          <w:rFonts w:hint="eastAsia" w:cs="宋体"/>
          <w:color w:val="auto"/>
          <w:spacing w:val="-6"/>
          <w:sz w:val="21"/>
          <w:szCs w:val="21"/>
          <w:highlight w:val="none"/>
        </w:rPr>
        <w:t xml:space="preserve">竣工付款涉及政府投资资金的，按第 </w:t>
      </w:r>
      <w:r>
        <w:rPr>
          <w:rFonts w:hint="eastAsia" w:cs="宋体"/>
          <w:color w:val="auto"/>
          <w:sz w:val="21"/>
          <w:szCs w:val="21"/>
          <w:highlight w:val="none"/>
        </w:rPr>
        <w:t>17.3.3（4）</w:t>
      </w:r>
      <w:r>
        <w:rPr>
          <w:rFonts w:hint="eastAsia" w:cs="宋体"/>
          <w:color w:val="auto"/>
          <w:spacing w:val="-3"/>
          <w:sz w:val="21"/>
          <w:szCs w:val="21"/>
          <w:highlight w:val="none"/>
        </w:rPr>
        <w:t>目的约定办理。</w:t>
      </w:r>
    </w:p>
    <w:p>
      <w:pPr>
        <w:pStyle w:val="20"/>
        <w:widowControl w:val="0"/>
        <w:numPr>
          <w:ilvl w:val="2"/>
          <w:numId w:val="86"/>
        </w:numPr>
        <w:autoSpaceDE w:val="0"/>
        <w:autoSpaceDN w:val="0"/>
        <w:spacing w:before="0" w:beforeAutospacing="0" w:after="0" w:afterAutospacing="0"/>
        <w:jc w:val="both"/>
        <w:rPr>
          <w:rFonts w:cs="宋体"/>
          <w:color w:val="auto"/>
          <w:sz w:val="21"/>
          <w:szCs w:val="21"/>
          <w:highlight w:val="none"/>
        </w:rPr>
      </w:pPr>
      <w:r>
        <w:rPr>
          <w:rFonts w:hint="eastAsia" w:cs="宋体"/>
          <w:color w:val="auto"/>
          <w:spacing w:val="-16"/>
          <w:sz w:val="21"/>
          <w:szCs w:val="21"/>
          <w:highlight w:val="none"/>
        </w:rPr>
        <w:t xml:space="preserve">除第 </w:t>
      </w:r>
      <w:r>
        <w:rPr>
          <w:rFonts w:hint="eastAsia" w:cs="宋体"/>
          <w:color w:val="auto"/>
          <w:sz w:val="21"/>
          <w:szCs w:val="21"/>
          <w:highlight w:val="none"/>
        </w:rPr>
        <w:t>17.5.4</w:t>
      </w:r>
      <w:r>
        <w:rPr>
          <w:rFonts w:hint="eastAsia" w:cs="宋体"/>
          <w:color w:val="auto"/>
          <w:spacing w:val="-8"/>
          <w:sz w:val="21"/>
          <w:szCs w:val="21"/>
          <w:highlight w:val="none"/>
        </w:rPr>
        <w:t xml:space="preserve"> 项约定的情况外，发包人和承包人应当在监理人颁发</w:t>
      </w:r>
      <w:r>
        <w:rPr>
          <w:rFonts w:hint="eastAsia" w:cs="宋体"/>
          <w:color w:val="auto"/>
          <w:spacing w:val="-3"/>
          <w:sz w:val="21"/>
          <w:szCs w:val="21"/>
          <w:highlight w:val="none"/>
        </w:rPr>
        <w:t>（</w:t>
      </w:r>
      <w:r>
        <w:rPr>
          <w:rFonts w:hint="eastAsia" w:cs="宋体"/>
          <w:color w:val="auto"/>
          <w:sz w:val="21"/>
          <w:szCs w:val="21"/>
          <w:highlight w:val="none"/>
        </w:rPr>
        <w:t>出具</w:t>
      </w:r>
      <w:r>
        <w:rPr>
          <w:rFonts w:hint="eastAsia" w:cs="宋体"/>
          <w:color w:val="auto"/>
          <w:spacing w:val="-3"/>
          <w:sz w:val="21"/>
          <w:szCs w:val="21"/>
          <w:highlight w:val="none"/>
        </w:rPr>
        <w:t>）</w:t>
      </w:r>
      <w:r>
        <w:rPr>
          <w:rFonts w:hint="eastAsia" w:cs="宋体"/>
          <w:color w:val="auto"/>
          <w:sz w:val="21"/>
          <w:szCs w:val="21"/>
          <w:highlight w:val="none"/>
        </w:rPr>
        <w:t>工</w:t>
      </w:r>
    </w:p>
    <w:p>
      <w:pPr>
        <w:pStyle w:val="20"/>
        <w:widowControl w:val="0"/>
        <w:autoSpaceDE w:val="0"/>
        <w:autoSpaceDN w:val="0"/>
        <w:spacing w:before="0" w:beforeAutospacing="0" w:after="0" w:afterAutospacing="0"/>
        <w:ind w:left="138"/>
        <w:rPr>
          <w:rFonts w:cs="宋体"/>
          <w:color w:val="auto"/>
          <w:sz w:val="21"/>
          <w:szCs w:val="21"/>
          <w:highlight w:val="none"/>
        </w:rPr>
      </w:pPr>
      <w:r>
        <w:rPr>
          <w:rFonts w:hint="eastAsia" w:cs="宋体"/>
          <w:color w:val="auto"/>
          <w:sz w:val="21"/>
          <w:szCs w:val="21"/>
          <w:highlight w:val="none"/>
        </w:rPr>
        <w:t xml:space="preserve">程接收证书后 56 天内办清竣工结算和竣工付款。 </w:t>
      </w:r>
    </w:p>
    <w:p>
      <w:pPr>
        <w:pStyle w:val="20"/>
        <w:widowControl w:val="0"/>
        <w:numPr>
          <w:ilvl w:val="2"/>
          <w:numId w:val="86"/>
        </w:numPr>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7"/>
          <w:sz w:val="21"/>
          <w:szCs w:val="21"/>
          <w:highlight w:val="none"/>
        </w:rPr>
        <w:t>政府投资或者以政府投资为主的建设项目纳入审计项目计划的，发包人和承包人</w:t>
      </w:r>
      <w:r>
        <w:rPr>
          <w:rFonts w:hint="eastAsia" w:cs="宋体"/>
          <w:color w:val="auto"/>
          <w:spacing w:val="-11"/>
          <w:sz w:val="21"/>
          <w:szCs w:val="21"/>
          <w:highlight w:val="none"/>
        </w:rPr>
        <w:t>均负有配合、接受审计机关审计的义务，竣工结算应当依据审计结论，办清竣工结算和竣</w:t>
      </w:r>
      <w:r>
        <w:rPr>
          <w:rFonts w:hint="eastAsia" w:cs="宋体"/>
          <w:color w:val="auto"/>
          <w:sz w:val="21"/>
          <w:szCs w:val="21"/>
          <w:highlight w:val="none"/>
        </w:rPr>
        <w:t xml:space="preserve">工付款的时间按照相关规定执行。 </w:t>
      </w:r>
    </w:p>
    <w:p>
      <w:pPr>
        <w:pStyle w:val="7"/>
        <w:widowControl/>
        <w:numPr>
          <w:ilvl w:val="1"/>
          <w:numId w:val="86"/>
        </w:numPr>
        <w:spacing w:before="0"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最终结清 </w:t>
      </w:r>
    </w:p>
    <w:p>
      <w:pPr>
        <w:pStyle w:val="20"/>
        <w:widowControl w:val="0"/>
        <w:numPr>
          <w:ilvl w:val="2"/>
          <w:numId w:val="86"/>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最终结清申请单</w:t>
      </w:r>
    </w:p>
    <w:p>
      <w:pPr>
        <w:pStyle w:val="20"/>
        <w:widowControl w:val="0"/>
        <w:numPr>
          <w:ilvl w:val="0"/>
          <w:numId w:val="88"/>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3"/>
          <w:sz w:val="21"/>
          <w:szCs w:val="21"/>
          <w:highlight w:val="none"/>
        </w:rPr>
        <w:t>缺陷责任期终止证书签发后，承包人可按合同约定的份数和期限向监理人提交最</w:t>
      </w:r>
      <w:r>
        <w:rPr>
          <w:rFonts w:hint="eastAsia" w:cs="宋体"/>
          <w:color w:val="auto"/>
          <w:spacing w:val="-11"/>
          <w:sz w:val="21"/>
          <w:szCs w:val="21"/>
          <w:highlight w:val="none"/>
        </w:rPr>
        <w:t>终结清申请单，并提供相关证明材料。承包人提交最终结清申请单的份数和期限见合同条款</w:t>
      </w:r>
      <w:r>
        <w:rPr>
          <w:rFonts w:hint="eastAsia" w:cs="宋体"/>
          <w:color w:val="auto"/>
          <w:spacing w:val="-7"/>
          <w:sz w:val="21"/>
          <w:szCs w:val="21"/>
          <w:highlight w:val="none"/>
        </w:rPr>
        <w:t>专用部分。</w:t>
      </w:r>
    </w:p>
    <w:p>
      <w:pPr>
        <w:pStyle w:val="20"/>
        <w:widowControl w:val="0"/>
        <w:autoSpaceDE w:val="0"/>
        <w:autoSpaceDN w:val="0"/>
        <w:spacing w:before="0" w:beforeAutospacing="0" w:after="0" w:afterAutospacing="0" w:line="415" w:lineRule="auto"/>
        <w:ind w:left="138" w:right="208" w:firstLine="419"/>
        <w:rPr>
          <w:rFonts w:cs="宋体"/>
          <w:color w:val="auto"/>
          <w:sz w:val="21"/>
          <w:szCs w:val="21"/>
          <w:highlight w:val="none"/>
        </w:rPr>
      </w:pPr>
      <w:r>
        <w:rPr>
          <w:rFonts w:hint="eastAsia" w:cs="宋体"/>
          <w:color w:val="auto"/>
          <w:sz w:val="21"/>
          <w:szCs w:val="21"/>
          <w:highlight w:val="none"/>
        </w:rPr>
        <w:t xml:space="preserve">发包人向承包人支付质量保证金利息的，承包人应按照约定的利息计算方法计算利息， 并列入最终结清申请单中。是否支付质量保证金利息及利息计算方法见合同条款专用部分。 </w:t>
      </w:r>
    </w:p>
    <w:p>
      <w:pPr>
        <w:pStyle w:val="20"/>
        <w:widowControl w:val="0"/>
        <w:numPr>
          <w:ilvl w:val="0"/>
          <w:numId w:val="88"/>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发包人对最终结清申请单内容有异议的，有权要求承包人进行修正和提供补充资料，由承包人向监理人提交修正后的最终结清申请单。</w:t>
      </w:r>
    </w:p>
    <w:p>
      <w:pPr>
        <w:pStyle w:val="20"/>
        <w:widowControl w:val="0"/>
        <w:numPr>
          <w:ilvl w:val="2"/>
          <w:numId w:val="86"/>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最终结清证书和支付时间</w:t>
      </w:r>
    </w:p>
    <w:p>
      <w:pPr>
        <w:pStyle w:val="20"/>
        <w:widowControl w:val="0"/>
        <w:numPr>
          <w:ilvl w:val="0"/>
          <w:numId w:val="89"/>
        </w:numPr>
        <w:autoSpaceDE w:val="0"/>
        <w:autoSpaceDN w:val="0"/>
        <w:spacing w:before="0" w:beforeAutospacing="0" w:after="0" w:afterAutospacing="0"/>
        <w:rPr>
          <w:rFonts w:cs="宋体"/>
          <w:color w:val="auto"/>
          <w:sz w:val="21"/>
          <w:szCs w:val="21"/>
          <w:highlight w:val="none"/>
        </w:rPr>
      </w:pPr>
      <w:r>
        <w:rPr>
          <w:rFonts w:hint="eastAsia" w:cs="宋体"/>
          <w:color w:val="auto"/>
          <w:spacing w:val="-6"/>
          <w:sz w:val="21"/>
          <w:szCs w:val="21"/>
          <w:highlight w:val="none"/>
        </w:rPr>
        <w:t xml:space="preserve">监理人收到承包人提交的最终结清申请单后的 </w:t>
      </w:r>
      <w:r>
        <w:rPr>
          <w:rFonts w:hint="eastAsia" w:cs="宋体"/>
          <w:color w:val="auto"/>
          <w:sz w:val="21"/>
          <w:szCs w:val="21"/>
          <w:highlight w:val="none"/>
        </w:rPr>
        <w:t>14</w:t>
      </w:r>
      <w:r>
        <w:rPr>
          <w:rFonts w:hint="eastAsia" w:cs="宋体"/>
          <w:color w:val="auto"/>
          <w:spacing w:val="-12"/>
          <w:sz w:val="21"/>
          <w:szCs w:val="21"/>
          <w:highlight w:val="none"/>
        </w:rPr>
        <w:t xml:space="preserve"> 天内，提出发包人应支付给承包</w:t>
      </w:r>
    </w:p>
    <w:p>
      <w:pPr>
        <w:pStyle w:val="20"/>
        <w:widowControl w:val="0"/>
        <w:autoSpaceDE w:val="0"/>
        <w:autoSpaceDN w:val="0"/>
        <w:spacing w:before="0" w:beforeAutospacing="0" w:after="0" w:afterAutospacing="0" w:line="415" w:lineRule="auto"/>
        <w:ind w:left="138" w:right="220"/>
        <w:rPr>
          <w:rFonts w:cs="宋体"/>
          <w:color w:val="auto"/>
          <w:sz w:val="21"/>
          <w:szCs w:val="21"/>
          <w:highlight w:val="none"/>
        </w:rPr>
      </w:pPr>
      <w:r>
        <w:rPr>
          <w:rFonts w:hint="eastAsia" w:cs="宋体"/>
          <w:color w:val="auto"/>
          <w:spacing w:val="-5"/>
          <w:sz w:val="21"/>
          <w:szCs w:val="21"/>
          <w:highlight w:val="none"/>
        </w:rPr>
        <w:t xml:space="preserve">人的价款等审核意见，并报送发包人审核。发包人应在收到后 </w:t>
      </w:r>
      <w:r>
        <w:rPr>
          <w:rFonts w:hint="eastAsia" w:cs="宋体"/>
          <w:color w:val="auto"/>
          <w:sz w:val="21"/>
          <w:szCs w:val="21"/>
          <w:highlight w:val="none"/>
        </w:rPr>
        <w:t>14</w:t>
      </w:r>
      <w:r>
        <w:rPr>
          <w:rFonts w:hint="eastAsia" w:cs="宋体"/>
          <w:color w:val="auto"/>
          <w:spacing w:val="-7"/>
          <w:sz w:val="21"/>
          <w:szCs w:val="21"/>
          <w:highlight w:val="none"/>
        </w:rPr>
        <w:t xml:space="preserve"> 天内审核完毕，由监理人</w:t>
      </w:r>
      <w:r>
        <w:rPr>
          <w:rFonts w:hint="eastAsia" w:cs="宋体"/>
          <w:color w:val="auto"/>
          <w:spacing w:val="-8"/>
          <w:sz w:val="21"/>
          <w:szCs w:val="21"/>
          <w:highlight w:val="none"/>
        </w:rPr>
        <w:t>向承包人出具经发包人签认的最终结清证书。监理人未在约定时间内提出具体意见的，视为</w:t>
      </w:r>
      <w:r>
        <w:rPr>
          <w:rFonts w:hint="eastAsia" w:cs="宋体"/>
          <w:color w:val="auto"/>
          <w:spacing w:val="-5"/>
          <w:sz w:val="21"/>
          <w:szCs w:val="21"/>
          <w:highlight w:val="none"/>
        </w:rPr>
        <w:t xml:space="preserve">承包人提交的最终结清申请已经监理人核查同意；发包人未在约定时间内提出具体意见的， </w:t>
      </w:r>
      <w:r>
        <w:rPr>
          <w:rFonts w:hint="eastAsia" w:cs="宋体"/>
          <w:color w:val="auto"/>
          <w:spacing w:val="-4"/>
          <w:sz w:val="21"/>
          <w:szCs w:val="21"/>
          <w:highlight w:val="none"/>
        </w:rPr>
        <w:t>监理人提出应支付给承包人的价款视为已经发包人同意。</w:t>
      </w:r>
    </w:p>
    <w:p>
      <w:pPr>
        <w:pStyle w:val="20"/>
        <w:widowControl w:val="0"/>
        <w:numPr>
          <w:ilvl w:val="0"/>
          <w:numId w:val="89"/>
        </w:numPr>
        <w:autoSpaceDE w:val="0"/>
        <w:autoSpaceDN w:val="0"/>
        <w:spacing w:before="0" w:beforeAutospacing="0" w:after="0" w:afterAutospacing="0" w:line="415" w:lineRule="auto"/>
        <w:ind w:left="138" w:right="340" w:firstLine="419"/>
        <w:rPr>
          <w:rFonts w:cs="宋体"/>
          <w:color w:val="auto"/>
          <w:sz w:val="21"/>
          <w:szCs w:val="21"/>
          <w:highlight w:val="none"/>
        </w:rPr>
      </w:pPr>
      <w:r>
        <w:rPr>
          <w:rFonts w:hint="eastAsia" w:cs="宋体"/>
          <w:color w:val="auto"/>
          <w:spacing w:val="-5"/>
          <w:sz w:val="21"/>
          <w:szCs w:val="21"/>
          <w:highlight w:val="none"/>
        </w:rPr>
        <w:t xml:space="preserve">发包人应在监理人出具最终结清证书后的 </w:t>
      </w:r>
      <w:r>
        <w:rPr>
          <w:rFonts w:hint="eastAsia" w:cs="宋体"/>
          <w:color w:val="auto"/>
          <w:sz w:val="21"/>
          <w:szCs w:val="21"/>
          <w:highlight w:val="none"/>
        </w:rPr>
        <w:t>14</w:t>
      </w:r>
      <w:r>
        <w:rPr>
          <w:rFonts w:hint="eastAsia" w:cs="宋体"/>
          <w:color w:val="auto"/>
          <w:spacing w:val="-12"/>
          <w:sz w:val="21"/>
          <w:szCs w:val="21"/>
          <w:highlight w:val="none"/>
        </w:rPr>
        <w:t xml:space="preserve"> 天内，将应支付款支付给承包人。</w:t>
      </w:r>
      <w:r>
        <w:rPr>
          <w:rFonts w:hint="eastAsia" w:cs="宋体"/>
          <w:color w:val="auto"/>
          <w:spacing w:val="-8"/>
          <w:sz w:val="21"/>
          <w:szCs w:val="21"/>
          <w:highlight w:val="none"/>
        </w:rPr>
        <w:t xml:space="preserve">发包人不按期支付的，按第 </w:t>
      </w:r>
      <w:r>
        <w:rPr>
          <w:rFonts w:hint="eastAsia" w:cs="宋体"/>
          <w:color w:val="auto"/>
          <w:sz w:val="21"/>
          <w:szCs w:val="21"/>
          <w:highlight w:val="none"/>
        </w:rPr>
        <w:t>17.3.3（2）</w:t>
      </w:r>
      <w:r>
        <w:rPr>
          <w:rFonts w:hint="eastAsia" w:cs="宋体"/>
          <w:color w:val="auto"/>
          <w:spacing w:val="-3"/>
          <w:sz w:val="21"/>
          <w:szCs w:val="21"/>
          <w:highlight w:val="none"/>
        </w:rPr>
        <w:t>目的约定，将逾期付款违约金支付给承包人。</w:t>
      </w:r>
    </w:p>
    <w:p>
      <w:pPr>
        <w:pStyle w:val="20"/>
        <w:widowControl w:val="0"/>
        <w:numPr>
          <w:ilvl w:val="0"/>
          <w:numId w:val="89"/>
        </w:numPr>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6"/>
          <w:sz w:val="21"/>
          <w:szCs w:val="21"/>
          <w:highlight w:val="none"/>
        </w:rPr>
        <w:t xml:space="preserve">承包人对发包人签认的最终结清证书有异议的，按第 </w:t>
      </w:r>
      <w:r>
        <w:rPr>
          <w:rFonts w:hint="eastAsia" w:cs="宋体"/>
          <w:color w:val="auto"/>
          <w:sz w:val="21"/>
          <w:szCs w:val="21"/>
          <w:highlight w:val="none"/>
        </w:rPr>
        <w:t>24</w:t>
      </w:r>
      <w:r>
        <w:rPr>
          <w:rFonts w:hint="eastAsia" w:cs="宋体"/>
          <w:color w:val="auto"/>
          <w:spacing w:val="-11"/>
          <w:sz w:val="21"/>
          <w:szCs w:val="21"/>
          <w:highlight w:val="none"/>
        </w:rPr>
        <w:t xml:space="preserve"> 条“争议的解决”的约 </w:t>
      </w:r>
      <w:r>
        <w:rPr>
          <w:rFonts w:hint="eastAsia" w:cs="宋体"/>
          <w:color w:val="auto"/>
          <w:spacing w:val="-9"/>
          <w:sz w:val="21"/>
          <w:szCs w:val="21"/>
          <w:highlight w:val="none"/>
        </w:rPr>
        <w:t>定办理。</w:t>
      </w:r>
    </w:p>
    <w:p>
      <w:pPr>
        <w:pStyle w:val="20"/>
        <w:widowControl w:val="0"/>
        <w:numPr>
          <w:ilvl w:val="0"/>
          <w:numId w:val="89"/>
        </w:numPr>
        <w:autoSpaceDE w:val="0"/>
        <w:autoSpaceDN w:val="0"/>
        <w:spacing w:before="0" w:beforeAutospacing="0" w:after="0" w:afterAutospacing="0"/>
        <w:ind w:left="1087" w:hanging="529"/>
        <w:rPr>
          <w:rFonts w:cs="宋体"/>
          <w:color w:val="auto"/>
          <w:sz w:val="21"/>
          <w:szCs w:val="21"/>
          <w:highlight w:val="none"/>
        </w:rPr>
      </w:pPr>
      <w:r>
        <w:rPr>
          <w:rFonts w:hint="eastAsia" w:cs="宋体"/>
          <w:color w:val="auto"/>
          <w:spacing w:val="-6"/>
          <w:sz w:val="21"/>
          <w:szCs w:val="21"/>
          <w:highlight w:val="none"/>
        </w:rPr>
        <w:t xml:space="preserve">最终结清付款涉及政府投资资金的，按第 </w:t>
      </w:r>
      <w:r>
        <w:rPr>
          <w:rFonts w:hint="eastAsia" w:cs="宋体"/>
          <w:color w:val="auto"/>
          <w:sz w:val="21"/>
          <w:szCs w:val="21"/>
          <w:highlight w:val="none"/>
        </w:rPr>
        <w:t>17.3.3（4）</w:t>
      </w:r>
      <w:r>
        <w:rPr>
          <w:rFonts w:hint="eastAsia" w:cs="宋体"/>
          <w:color w:val="auto"/>
          <w:spacing w:val="-3"/>
          <w:sz w:val="21"/>
          <w:szCs w:val="21"/>
          <w:highlight w:val="none"/>
        </w:rPr>
        <w:t>目的约定办理。</w:t>
      </w:r>
    </w:p>
    <w:p>
      <w:pPr>
        <w:pStyle w:val="6"/>
        <w:widowControl/>
        <w:numPr>
          <w:ilvl w:val="0"/>
          <w:numId w:val="14"/>
        </w:numPr>
        <w:spacing w:before="132" w:after="0"/>
        <w:ind w:left="560" w:hanging="423"/>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竣工验收</w:t>
      </w:r>
    </w:p>
    <w:p>
      <w:pPr>
        <w:pStyle w:val="7"/>
        <w:widowControl/>
        <w:numPr>
          <w:ilvl w:val="1"/>
          <w:numId w:val="14"/>
        </w:numPr>
        <w:spacing w:before="1"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竣工验收的含义 </w:t>
      </w:r>
    </w:p>
    <w:p>
      <w:pPr>
        <w:pStyle w:val="20"/>
        <w:widowControl w:val="0"/>
        <w:numPr>
          <w:ilvl w:val="2"/>
          <w:numId w:val="90"/>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 xml:space="preserve">竣工验收指承包人完成了全部合同工作后，发包人按合同要求进行的验收。 </w:t>
      </w:r>
    </w:p>
    <w:p>
      <w:pPr>
        <w:pStyle w:val="20"/>
        <w:widowControl w:val="0"/>
        <w:numPr>
          <w:ilvl w:val="2"/>
          <w:numId w:val="90"/>
        </w:numPr>
        <w:autoSpaceDE w:val="0"/>
        <w:autoSpaceDN w:val="0"/>
        <w:spacing w:before="0" w:beforeAutospacing="0" w:after="0" w:afterAutospacing="0" w:line="415" w:lineRule="auto"/>
        <w:ind w:left="138" w:right="308" w:firstLine="419"/>
        <w:rPr>
          <w:rFonts w:cs="宋体"/>
          <w:color w:val="auto"/>
          <w:sz w:val="21"/>
          <w:szCs w:val="21"/>
          <w:highlight w:val="none"/>
        </w:rPr>
      </w:pPr>
      <w:r>
        <w:rPr>
          <w:rFonts w:hint="eastAsia" w:cs="宋体"/>
          <w:color w:val="auto"/>
          <w:spacing w:val="-8"/>
          <w:sz w:val="21"/>
          <w:szCs w:val="21"/>
          <w:highlight w:val="none"/>
        </w:rPr>
        <w:t>国家验收是政府有关部门根据法律、规范、规程和政策要求，针对发包人全面组</w:t>
      </w:r>
      <w:r>
        <w:rPr>
          <w:rFonts w:hint="eastAsia" w:cs="宋体"/>
          <w:color w:val="auto"/>
          <w:spacing w:val="-4"/>
          <w:sz w:val="21"/>
          <w:szCs w:val="21"/>
          <w:highlight w:val="none"/>
        </w:rPr>
        <w:t>织实施的整个工程正式交付投运前的验收。</w:t>
      </w:r>
    </w:p>
    <w:p>
      <w:pPr>
        <w:pStyle w:val="20"/>
        <w:widowControl w:val="0"/>
        <w:numPr>
          <w:ilvl w:val="2"/>
          <w:numId w:val="90"/>
        </w:numPr>
        <w:autoSpaceDE w:val="0"/>
        <w:autoSpaceDN w:val="0"/>
        <w:spacing w:before="0" w:beforeAutospacing="0" w:after="0" w:afterAutospacing="0" w:line="415" w:lineRule="auto"/>
        <w:ind w:left="138" w:right="308" w:firstLine="419"/>
        <w:rPr>
          <w:rFonts w:cs="宋体"/>
          <w:color w:val="auto"/>
          <w:sz w:val="21"/>
          <w:szCs w:val="21"/>
          <w:highlight w:val="none"/>
        </w:rPr>
      </w:pPr>
      <w:r>
        <w:rPr>
          <w:rFonts w:hint="eastAsia" w:cs="宋体"/>
          <w:color w:val="auto"/>
          <w:spacing w:val="-10"/>
          <w:sz w:val="21"/>
          <w:szCs w:val="21"/>
          <w:highlight w:val="none"/>
        </w:rPr>
        <w:t>需要进行国家验收的，竣工验收是国家验收的一部分。竣工验收所采用的各项验收和评定标准应符合国家验收标准。发包人和承包人为竣工验收提供的各项竣工验收资料</w:t>
      </w:r>
      <w:r>
        <w:rPr>
          <w:rFonts w:hint="eastAsia" w:cs="宋体"/>
          <w:color w:val="auto"/>
          <w:sz w:val="21"/>
          <w:szCs w:val="21"/>
          <w:highlight w:val="none"/>
        </w:rPr>
        <w:t xml:space="preserve">符合国家验收的要求。  </w:t>
      </w:r>
    </w:p>
    <w:p>
      <w:pPr>
        <w:pStyle w:val="20"/>
        <w:widowControl w:val="0"/>
        <w:autoSpaceDE w:val="0"/>
        <w:autoSpaceDN w:val="0"/>
        <w:spacing w:before="1" w:beforeAutospacing="0" w:after="0" w:afterAutospacing="0"/>
        <w:rPr>
          <w:rFonts w:cs="宋体"/>
          <w:color w:val="auto"/>
          <w:highlight w:val="none"/>
        </w:rPr>
      </w:pPr>
      <w:r>
        <w:rPr>
          <w:rFonts w:hint="eastAsia" w:cs="宋体"/>
          <w:color w:val="auto"/>
          <w:highlight w:val="none"/>
        </w:rPr>
        <w:t xml:space="preserve">竣工验收申请报告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当工程具备以下条件时，承包人即可向监理人报送竣工验收申请报告： </w:t>
      </w:r>
    </w:p>
    <w:p>
      <w:pPr>
        <w:pStyle w:val="20"/>
        <w:widowControl w:val="0"/>
        <w:numPr>
          <w:ilvl w:val="0"/>
          <w:numId w:val="91"/>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3"/>
          <w:sz w:val="21"/>
          <w:szCs w:val="21"/>
          <w:highlight w:val="none"/>
        </w:rPr>
        <w:t>除监理人同意列入缺陷责任期内完成的尾工（</w:t>
      </w:r>
      <w:r>
        <w:rPr>
          <w:rFonts w:hint="eastAsia" w:cs="宋体"/>
          <w:color w:val="auto"/>
          <w:sz w:val="21"/>
          <w:szCs w:val="21"/>
          <w:highlight w:val="none"/>
        </w:rPr>
        <w:t>甩项）</w:t>
      </w:r>
      <w:r>
        <w:rPr>
          <w:rFonts w:hint="eastAsia" w:cs="宋体"/>
          <w:color w:val="auto"/>
          <w:spacing w:val="-3"/>
          <w:sz w:val="21"/>
          <w:szCs w:val="21"/>
          <w:highlight w:val="none"/>
        </w:rPr>
        <w:t>工程和缺陷修补工作外，合</w:t>
      </w:r>
      <w:r>
        <w:rPr>
          <w:rFonts w:hint="eastAsia" w:cs="宋体"/>
          <w:color w:val="auto"/>
          <w:spacing w:val="-8"/>
          <w:sz w:val="21"/>
          <w:szCs w:val="21"/>
          <w:highlight w:val="none"/>
        </w:rPr>
        <w:t>同范围内的全部单位工程以及有关工作，包括合同要求的试验、试运行以及检验和验收均已</w:t>
      </w:r>
      <w:r>
        <w:rPr>
          <w:rFonts w:hint="eastAsia" w:cs="宋体"/>
          <w:color w:val="auto"/>
          <w:spacing w:val="-5"/>
          <w:sz w:val="21"/>
          <w:szCs w:val="21"/>
          <w:highlight w:val="none"/>
        </w:rPr>
        <w:t>完成，并符合合同要求；</w:t>
      </w:r>
    </w:p>
    <w:p>
      <w:pPr>
        <w:pStyle w:val="20"/>
        <w:widowControl w:val="0"/>
        <w:numPr>
          <w:ilvl w:val="0"/>
          <w:numId w:val="91"/>
        </w:numPr>
        <w:autoSpaceDE w:val="0"/>
        <w:autoSpaceDN w:val="0"/>
        <w:spacing w:before="0" w:beforeAutospacing="0" w:after="0" w:afterAutospacing="0"/>
        <w:ind w:left="1087"/>
        <w:rPr>
          <w:rFonts w:cs="宋体"/>
          <w:color w:val="auto"/>
          <w:sz w:val="21"/>
          <w:szCs w:val="21"/>
          <w:highlight w:val="none"/>
        </w:rPr>
      </w:pPr>
      <w:r>
        <w:rPr>
          <w:rFonts w:hint="eastAsia" w:cs="宋体"/>
          <w:color w:val="auto"/>
          <w:spacing w:val="-3"/>
          <w:sz w:val="21"/>
          <w:szCs w:val="21"/>
          <w:highlight w:val="none"/>
        </w:rPr>
        <w:t>承包人负责整理和提交的竣工验收资料应当符合工程所在地建设行政主管部门和</w:t>
      </w:r>
    </w:p>
    <w:p>
      <w:pPr>
        <w:pStyle w:val="20"/>
        <w:widowControl w:val="0"/>
        <w:autoSpaceDE w:val="0"/>
        <w:autoSpaceDN w:val="0"/>
        <w:spacing w:before="0" w:beforeAutospacing="0" w:after="0" w:afterAutospacing="0" w:line="415" w:lineRule="auto"/>
        <w:ind w:left="138" w:right="208"/>
        <w:rPr>
          <w:rFonts w:cs="宋体"/>
          <w:color w:val="auto"/>
          <w:sz w:val="21"/>
          <w:szCs w:val="21"/>
          <w:highlight w:val="none"/>
        </w:rPr>
      </w:pP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pacing w:val="-44"/>
          <w:sz w:val="21"/>
          <w:szCs w:val="21"/>
          <w:highlight w:val="none"/>
        </w:rPr>
        <w:t>）</w:t>
      </w:r>
      <w:r>
        <w:rPr>
          <w:rFonts w:hint="eastAsia" w:cs="宋体"/>
          <w:color w:val="auto"/>
          <w:spacing w:val="-6"/>
          <w:sz w:val="21"/>
          <w:szCs w:val="21"/>
          <w:highlight w:val="none"/>
        </w:rPr>
        <w:t>城市建设档案管理机构有关施工资料的要求，同时已按合同条款专用部分约定备齐了</w:t>
      </w:r>
      <w:r>
        <w:rPr>
          <w:rFonts w:hint="eastAsia" w:cs="宋体"/>
          <w:color w:val="auto"/>
          <w:spacing w:val="-7"/>
          <w:sz w:val="21"/>
          <w:szCs w:val="21"/>
          <w:highlight w:val="none"/>
        </w:rPr>
        <w:t>符合要求的竣工资料。竣工验收资料的内容和份数以及费用支付方式见合同条款专用部分。</w:t>
      </w:r>
    </w:p>
    <w:p>
      <w:pPr>
        <w:pStyle w:val="20"/>
        <w:widowControl w:val="0"/>
        <w:numPr>
          <w:ilvl w:val="0"/>
          <w:numId w:val="91"/>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已按监理人的要求编制了在缺陷责任期内需完成的尾工</w:t>
      </w:r>
      <w:r>
        <w:rPr>
          <w:rFonts w:hint="eastAsia" w:cs="宋体"/>
          <w:color w:val="auto"/>
          <w:sz w:val="21"/>
          <w:szCs w:val="21"/>
          <w:highlight w:val="none"/>
        </w:rPr>
        <w:t>（甩项</w:t>
      </w:r>
      <w:r>
        <w:rPr>
          <w:rFonts w:hint="eastAsia" w:cs="宋体"/>
          <w:color w:val="auto"/>
          <w:spacing w:val="-3"/>
          <w:sz w:val="21"/>
          <w:szCs w:val="21"/>
          <w:highlight w:val="none"/>
        </w:rPr>
        <w:t>）</w:t>
      </w:r>
      <w:r>
        <w:rPr>
          <w:rFonts w:hint="eastAsia" w:cs="宋体"/>
          <w:color w:val="auto"/>
          <w:spacing w:val="-2"/>
          <w:sz w:val="21"/>
          <w:szCs w:val="21"/>
          <w:highlight w:val="none"/>
        </w:rPr>
        <w:t>工程，和缺陷修</w:t>
      </w:r>
      <w:r>
        <w:rPr>
          <w:rFonts w:hint="eastAsia" w:cs="宋体"/>
          <w:color w:val="auto"/>
          <w:spacing w:val="-3"/>
          <w:sz w:val="21"/>
          <w:szCs w:val="21"/>
          <w:highlight w:val="none"/>
        </w:rPr>
        <w:t>补工作清单等相应施工计划；</w:t>
      </w:r>
    </w:p>
    <w:p>
      <w:pPr>
        <w:pStyle w:val="20"/>
        <w:widowControl w:val="0"/>
        <w:numPr>
          <w:ilvl w:val="0"/>
          <w:numId w:val="91"/>
        </w:numPr>
        <w:autoSpaceDE w:val="0"/>
        <w:autoSpaceDN w:val="0"/>
        <w:spacing w:before="0" w:beforeAutospacing="0" w:after="0" w:afterAutospacing="0" w:line="269" w:lineRule="exact"/>
        <w:ind w:left="1087"/>
        <w:rPr>
          <w:rFonts w:cs="宋体"/>
          <w:color w:val="auto"/>
          <w:sz w:val="21"/>
          <w:szCs w:val="21"/>
          <w:highlight w:val="none"/>
        </w:rPr>
      </w:pPr>
      <w:r>
        <w:rPr>
          <w:rFonts w:hint="eastAsia" w:cs="宋体"/>
          <w:color w:val="auto"/>
          <w:spacing w:val="-3"/>
          <w:sz w:val="21"/>
          <w:szCs w:val="21"/>
          <w:highlight w:val="none"/>
        </w:rPr>
        <w:t>监理人要求在竣工验收前应完成的其他工作；</w:t>
      </w:r>
    </w:p>
    <w:p>
      <w:pPr>
        <w:pStyle w:val="20"/>
        <w:widowControl w:val="0"/>
        <w:numPr>
          <w:ilvl w:val="0"/>
          <w:numId w:val="91"/>
        </w:numPr>
        <w:autoSpaceDE w:val="0"/>
        <w:autoSpaceDN w:val="0"/>
        <w:spacing w:before="0" w:beforeAutospacing="0" w:after="0" w:afterAutospacing="0"/>
        <w:ind w:left="1087"/>
        <w:rPr>
          <w:rFonts w:cs="宋体"/>
          <w:color w:val="auto"/>
          <w:sz w:val="21"/>
          <w:szCs w:val="21"/>
          <w:highlight w:val="none"/>
        </w:rPr>
      </w:pPr>
      <w:r>
        <w:rPr>
          <w:rFonts w:hint="eastAsia" w:cs="宋体"/>
          <w:color w:val="auto"/>
          <w:spacing w:val="-3"/>
          <w:sz w:val="21"/>
          <w:szCs w:val="21"/>
          <w:highlight w:val="none"/>
        </w:rPr>
        <w:t>监理人要求提交的竣工验收资料清单。</w:t>
      </w:r>
    </w:p>
    <w:p>
      <w:pPr>
        <w:pStyle w:val="7"/>
        <w:widowControl/>
        <w:ind w:left="138"/>
        <w:rPr>
          <w:rFonts w:ascii="宋体" w:hAnsi="宋体" w:cs="宋体"/>
          <w:color w:val="auto"/>
          <w:sz w:val="24"/>
          <w:szCs w:val="24"/>
          <w:highlight w:val="none"/>
        </w:rPr>
      </w:pPr>
      <w:r>
        <w:rPr>
          <w:rFonts w:hint="eastAsia" w:ascii="宋体" w:hAnsi="宋体" w:cs="宋体"/>
          <w:color w:val="auto"/>
          <w:sz w:val="24"/>
          <w:szCs w:val="24"/>
          <w:highlight w:val="none"/>
        </w:rPr>
        <w:t xml:space="preserve">18.3 验 收 </w:t>
      </w:r>
    </w:p>
    <w:p>
      <w:pPr>
        <w:pStyle w:val="20"/>
        <w:widowControl w:val="0"/>
        <w:autoSpaceDE w:val="0"/>
        <w:autoSpaceDN w:val="0"/>
        <w:spacing w:before="0" w:beforeAutospacing="0" w:after="0" w:afterAutospacing="0" w:line="415" w:lineRule="auto"/>
        <w:ind w:left="138" w:right="308" w:firstLine="419"/>
        <w:rPr>
          <w:rFonts w:cs="宋体"/>
          <w:color w:val="auto"/>
          <w:sz w:val="21"/>
          <w:szCs w:val="21"/>
          <w:highlight w:val="none"/>
        </w:rPr>
      </w:pPr>
      <w:r>
        <w:rPr>
          <w:rFonts w:hint="eastAsia" w:cs="宋体"/>
          <w:color w:val="auto"/>
          <w:spacing w:val="-6"/>
          <w:sz w:val="21"/>
          <w:szCs w:val="21"/>
          <w:highlight w:val="none"/>
        </w:rPr>
        <w:t xml:space="preserve">监理人收到承包人按第 </w:t>
      </w:r>
      <w:r>
        <w:rPr>
          <w:rFonts w:hint="eastAsia" w:cs="宋体"/>
          <w:color w:val="auto"/>
          <w:sz w:val="21"/>
          <w:szCs w:val="21"/>
          <w:highlight w:val="none"/>
        </w:rPr>
        <w:t>18.2</w:t>
      </w:r>
      <w:r>
        <w:rPr>
          <w:rFonts w:hint="eastAsia" w:cs="宋体"/>
          <w:color w:val="auto"/>
          <w:spacing w:val="-7"/>
          <w:sz w:val="21"/>
          <w:szCs w:val="21"/>
          <w:highlight w:val="none"/>
        </w:rPr>
        <w:t xml:space="preserve"> 款约定提交的竣工验收申请报告后，应审查申请报告的各</w:t>
      </w:r>
      <w:r>
        <w:rPr>
          <w:rFonts w:hint="eastAsia" w:cs="宋体"/>
          <w:color w:val="auto"/>
          <w:spacing w:val="-5"/>
          <w:sz w:val="21"/>
          <w:szCs w:val="21"/>
          <w:highlight w:val="none"/>
        </w:rPr>
        <w:t>项内容，并按以下不同情况进行处理。</w:t>
      </w:r>
    </w:p>
    <w:p>
      <w:pPr>
        <w:pStyle w:val="20"/>
        <w:widowControl w:val="0"/>
        <w:numPr>
          <w:ilvl w:val="2"/>
          <w:numId w:val="92"/>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8"/>
          <w:sz w:val="21"/>
          <w:szCs w:val="21"/>
          <w:highlight w:val="none"/>
        </w:rPr>
        <w:t>监理人审查后认为尚不具备竣工验收条件的，应在收到竣工验收申请报告后的</w:t>
      </w:r>
    </w:p>
    <w:p>
      <w:pPr>
        <w:pStyle w:val="20"/>
        <w:widowControl w:val="0"/>
        <w:autoSpaceDE w:val="0"/>
        <w:autoSpaceDN w:val="0"/>
        <w:spacing w:before="1" w:beforeAutospacing="0" w:after="0" w:afterAutospacing="0" w:line="415" w:lineRule="auto"/>
        <w:ind w:left="138" w:right="309"/>
        <w:rPr>
          <w:rFonts w:cs="宋体"/>
          <w:color w:val="auto"/>
          <w:sz w:val="21"/>
          <w:szCs w:val="21"/>
          <w:highlight w:val="none"/>
        </w:rPr>
      </w:pPr>
      <w:r>
        <w:rPr>
          <w:rFonts w:hint="eastAsia" w:cs="宋体"/>
          <w:color w:val="auto"/>
          <w:sz w:val="21"/>
          <w:szCs w:val="21"/>
          <w:highlight w:val="none"/>
        </w:rPr>
        <w:t xml:space="preserve">28 天内通知承包人，并指出在颁发接收证书前承包人需进行的工作内容。承包人完成监理人通知的全部工作内容后，应再次提交竣工验收申请报告，直至监理人同意为止。 </w:t>
      </w:r>
    </w:p>
    <w:p>
      <w:pPr>
        <w:pStyle w:val="20"/>
        <w:widowControl w:val="0"/>
        <w:numPr>
          <w:ilvl w:val="2"/>
          <w:numId w:val="92"/>
        </w:numPr>
        <w:autoSpaceDE w:val="0"/>
        <w:autoSpaceDN w:val="0"/>
        <w:spacing w:before="0" w:beforeAutospacing="0" w:after="0" w:afterAutospacing="0"/>
        <w:rPr>
          <w:rFonts w:cs="宋体"/>
          <w:color w:val="auto"/>
          <w:sz w:val="21"/>
          <w:szCs w:val="21"/>
          <w:highlight w:val="none"/>
        </w:rPr>
      </w:pPr>
      <w:r>
        <w:rPr>
          <w:rFonts w:hint="eastAsia" w:cs="宋体"/>
          <w:color w:val="auto"/>
          <w:sz w:val="21"/>
          <w:szCs w:val="21"/>
          <w:highlight w:val="none"/>
        </w:rPr>
        <w:t>监理人审查后认为已具备竣工验收条件的，应在收到竣工验收申请报告后的</w:t>
      </w:r>
    </w:p>
    <w:p>
      <w:pPr>
        <w:pStyle w:val="20"/>
        <w:widowControl w:val="0"/>
        <w:autoSpaceDE w:val="0"/>
        <w:autoSpaceDN w:val="0"/>
        <w:spacing w:before="1" w:beforeAutospacing="0" w:after="0" w:afterAutospacing="0"/>
        <w:ind w:left="138"/>
        <w:rPr>
          <w:rFonts w:cs="宋体"/>
          <w:color w:val="auto"/>
          <w:sz w:val="21"/>
          <w:szCs w:val="21"/>
          <w:highlight w:val="none"/>
        </w:rPr>
      </w:pPr>
      <w:r>
        <w:rPr>
          <w:rFonts w:hint="eastAsia" w:cs="宋体"/>
          <w:color w:val="auto"/>
          <w:sz w:val="21"/>
          <w:szCs w:val="21"/>
          <w:highlight w:val="none"/>
        </w:rPr>
        <w:t xml:space="preserve">28 天内提请发包人进行工程验收。 </w:t>
      </w:r>
    </w:p>
    <w:p>
      <w:pPr>
        <w:pStyle w:val="20"/>
        <w:widowControl w:val="0"/>
        <w:numPr>
          <w:ilvl w:val="2"/>
          <w:numId w:val="92"/>
        </w:numPr>
        <w:autoSpaceDE w:val="0"/>
        <w:autoSpaceDN w:val="0"/>
        <w:spacing w:before="0" w:beforeAutospacing="0" w:after="0" w:afterAutospacing="0"/>
        <w:rPr>
          <w:rFonts w:cs="宋体"/>
          <w:color w:val="auto"/>
          <w:sz w:val="21"/>
          <w:szCs w:val="21"/>
          <w:highlight w:val="none"/>
        </w:rPr>
      </w:pPr>
      <w:r>
        <w:rPr>
          <w:rFonts w:hint="eastAsia" w:cs="宋体"/>
          <w:color w:val="auto"/>
          <w:sz w:val="21"/>
          <w:szCs w:val="21"/>
          <w:highlight w:val="none"/>
        </w:rPr>
        <w:t>发包人经过验收后同意接受工程的，应在监理人收到竣工验收申请报告后的</w:t>
      </w:r>
    </w:p>
    <w:p>
      <w:pPr>
        <w:pStyle w:val="20"/>
        <w:widowControl w:val="0"/>
        <w:autoSpaceDE w:val="0"/>
        <w:autoSpaceDN w:val="0"/>
        <w:spacing w:before="0" w:beforeAutospacing="0" w:after="0" w:afterAutospacing="0" w:line="415" w:lineRule="auto"/>
        <w:ind w:left="138" w:right="220"/>
        <w:rPr>
          <w:rFonts w:cs="宋体"/>
          <w:color w:val="auto"/>
          <w:sz w:val="21"/>
          <w:szCs w:val="21"/>
          <w:highlight w:val="none"/>
        </w:rPr>
      </w:pPr>
      <w:r>
        <w:rPr>
          <w:rFonts w:hint="eastAsia" w:cs="宋体"/>
          <w:color w:val="auto"/>
          <w:sz w:val="21"/>
          <w:szCs w:val="21"/>
          <w:highlight w:val="none"/>
        </w:rPr>
        <w:t>56</w:t>
      </w:r>
      <w:r>
        <w:rPr>
          <w:rFonts w:hint="eastAsia" w:cs="宋体"/>
          <w:color w:val="auto"/>
          <w:spacing w:val="-3"/>
          <w:sz w:val="21"/>
          <w:szCs w:val="21"/>
          <w:highlight w:val="none"/>
        </w:rPr>
        <w:t xml:space="preserve"> 天内，由监理人向承包人出具经发包人签认的工程接收证书。发包人验收后同意接收工程，但提出整修和完善要求的，限期修好，并缓发工程接收证书。整修和完善工作完成后， 监理人复查达到要求的，经发包人同意后，再向承包人出具工程接收证书。 </w:t>
      </w:r>
    </w:p>
    <w:p>
      <w:pPr>
        <w:pStyle w:val="20"/>
        <w:widowControl w:val="0"/>
        <w:numPr>
          <w:ilvl w:val="2"/>
          <w:numId w:val="92"/>
        </w:numPr>
        <w:autoSpaceDE w:val="0"/>
        <w:autoSpaceDN w:val="0"/>
        <w:spacing w:before="0" w:beforeAutospacing="0" w:after="0" w:afterAutospacing="0" w:line="415" w:lineRule="auto"/>
        <w:ind w:left="138" w:right="203" w:firstLine="419"/>
        <w:rPr>
          <w:rFonts w:cs="宋体"/>
          <w:color w:val="auto"/>
          <w:sz w:val="21"/>
          <w:szCs w:val="21"/>
          <w:highlight w:val="none"/>
        </w:rPr>
      </w:pPr>
      <w:r>
        <w:rPr>
          <w:rFonts w:hint="eastAsia" w:cs="宋体"/>
          <w:color w:val="auto"/>
          <w:spacing w:val="-3"/>
          <w:sz w:val="21"/>
          <w:szCs w:val="21"/>
          <w:highlight w:val="none"/>
        </w:rPr>
        <w:t>发包人验收后不同意接收工程的，监理人应按照发包人的验收意见发出指示，要</w:t>
      </w:r>
      <w:r>
        <w:rPr>
          <w:rFonts w:hint="eastAsia" w:cs="宋体"/>
          <w:color w:val="auto"/>
          <w:spacing w:val="-7"/>
          <w:sz w:val="21"/>
          <w:szCs w:val="21"/>
          <w:highlight w:val="none"/>
        </w:rPr>
        <w:t>求承包人对不合格工程认真返工重作或进行补救处理，并承担由此产生的费用。承包人在完</w:t>
      </w:r>
      <w:r>
        <w:rPr>
          <w:rFonts w:hint="eastAsia" w:cs="宋体"/>
          <w:color w:val="auto"/>
          <w:spacing w:val="-11"/>
          <w:sz w:val="21"/>
          <w:szCs w:val="21"/>
          <w:highlight w:val="none"/>
        </w:rPr>
        <w:t xml:space="preserve">成不合格工程的返工重作或补救工作后，应重新提交竣工验收申请报告，按第 </w:t>
      </w:r>
      <w:r>
        <w:rPr>
          <w:rFonts w:hint="eastAsia" w:cs="宋体"/>
          <w:color w:val="auto"/>
          <w:sz w:val="21"/>
          <w:szCs w:val="21"/>
          <w:highlight w:val="none"/>
        </w:rPr>
        <w:t>18.3.1</w:t>
      </w:r>
      <w:r>
        <w:rPr>
          <w:rFonts w:hint="eastAsia" w:cs="宋体"/>
          <w:color w:val="auto"/>
          <w:spacing w:val="-16"/>
          <w:sz w:val="21"/>
          <w:szCs w:val="21"/>
          <w:highlight w:val="none"/>
        </w:rPr>
        <w:t xml:space="preserve"> 项、</w:t>
      </w:r>
      <w:r>
        <w:rPr>
          <w:rFonts w:hint="eastAsia" w:cs="宋体"/>
          <w:color w:val="auto"/>
          <w:sz w:val="21"/>
          <w:szCs w:val="21"/>
          <w:highlight w:val="none"/>
        </w:rPr>
        <w:t xml:space="preserve">第 18.3.2 项和第 18.3.3 项的约定进行。 </w:t>
      </w:r>
    </w:p>
    <w:p>
      <w:pPr>
        <w:pStyle w:val="20"/>
        <w:widowControl w:val="0"/>
        <w:numPr>
          <w:ilvl w:val="2"/>
          <w:numId w:val="92"/>
        </w:numPr>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5"/>
          <w:sz w:val="21"/>
          <w:szCs w:val="21"/>
          <w:highlight w:val="none"/>
        </w:rPr>
        <w:t xml:space="preserve">经验收合格的工程, 实际竣工日期为承包人按照第 </w:t>
      </w:r>
      <w:r>
        <w:rPr>
          <w:rFonts w:hint="eastAsia" w:cs="宋体"/>
          <w:color w:val="auto"/>
          <w:sz w:val="21"/>
          <w:szCs w:val="21"/>
          <w:highlight w:val="none"/>
        </w:rPr>
        <w:t>18.2</w:t>
      </w:r>
      <w:r>
        <w:rPr>
          <w:rFonts w:hint="eastAsia" w:cs="宋体"/>
          <w:color w:val="auto"/>
          <w:spacing w:val="-7"/>
          <w:sz w:val="21"/>
          <w:szCs w:val="21"/>
          <w:highlight w:val="none"/>
        </w:rPr>
        <w:t xml:space="preserve"> 款提交竣工验收申请报</w:t>
      </w:r>
      <w:r>
        <w:rPr>
          <w:rFonts w:hint="eastAsia" w:cs="宋体"/>
          <w:color w:val="auto"/>
          <w:spacing w:val="-4"/>
          <w:sz w:val="21"/>
          <w:szCs w:val="21"/>
          <w:highlight w:val="none"/>
        </w:rPr>
        <w:t>告或按照本款重新提交竣工验收申请报告的日期</w:t>
      </w:r>
      <w:r>
        <w:rPr>
          <w:rFonts w:hint="eastAsia" w:cs="宋体"/>
          <w:color w:val="auto"/>
          <w:sz w:val="21"/>
          <w:szCs w:val="21"/>
          <w:highlight w:val="none"/>
        </w:rPr>
        <w:t>（</w:t>
      </w:r>
      <w:r>
        <w:rPr>
          <w:rFonts w:hint="eastAsia" w:cs="宋体"/>
          <w:color w:val="auto"/>
          <w:spacing w:val="-3"/>
          <w:sz w:val="21"/>
          <w:szCs w:val="21"/>
          <w:highlight w:val="none"/>
        </w:rPr>
        <w:t>以两者中时间在后者为准</w:t>
      </w:r>
      <w:r>
        <w:rPr>
          <w:rFonts w:hint="eastAsia" w:cs="宋体"/>
          <w:color w:val="auto"/>
          <w:spacing w:val="-106"/>
          <w:sz w:val="21"/>
          <w:szCs w:val="21"/>
          <w:highlight w:val="none"/>
        </w:rPr>
        <w:t>）</w:t>
      </w:r>
      <w:r>
        <w:rPr>
          <w:rFonts w:hint="eastAsia" w:cs="宋体"/>
          <w:color w:val="auto"/>
          <w:spacing w:val="-3"/>
          <w:sz w:val="21"/>
          <w:szCs w:val="21"/>
          <w:highlight w:val="none"/>
        </w:rPr>
        <w:t>。</w:t>
      </w:r>
    </w:p>
    <w:p>
      <w:pPr>
        <w:pStyle w:val="20"/>
        <w:widowControl w:val="0"/>
        <w:numPr>
          <w:ilvl w:val="2"/>
          <w:numId w:val="92"/>
        </w:numPr>
        <w:autoSpaceDE w:val="0"/>
        <w:autoSpaceDN w:val="0"/>
        <w:spacing w:before="0" w:beforeAutospacing="0" w:after="0" w:afterAutospacing="0" w:line="415" w:lineRule="auto"/>
        <w:ind w:left="138" w:right="205" w:firstLine="419"/>
        <w:rPr>
          <w:rFonts w:cs="宋体"/>
          <w:color w:val="auto"/>
          <w:sz w:val="21"/>
          <w:szCs w:val="21"/>
          <w:highlight w:val="none"/>
        </w:rPr>
      </w:pPr>
      <w:r>
        <w:rPr>
          <w:rFonts w:hint="eastAsia" w:cs="宋体"/>
          <w:color w:val="auto"/>
          <w:spacing w:val="-5"/>
          <w:sz w:val="21"/>
          <w:szCs w:val="21"/>
          <w:highlight w:val="none"/>
        </w:rPr>
        <w:t xml:space="preserve">发包人在收到承包人竣工验收申请报告 </w:t>
      </w:r>
      <w:r>
        <w:rPr>
          <w:rFonts w:hint="eastAsia" w:cs="宋体"/>
          <w:color w:val="auto"/>
          <w:sz w:val="21"/>
          <w:szCs w:val="21"/>
          <w:highlight w:val="none"/>
        </w:rPr>
        <w:t>56</w:t>
      </w:r>
      <w:r>
        <w:rPr>
          <w:rFonts w:hint="eastAsia" w:cs="宋体"/>
          <w:color w:val="auto"/>
          <w:spacing w:val="-13"/>
          <w:sz w:val="21"/>
          <w:szCs w:val="21"/>
          <w:highlight w:val="none"/>
        </w:rPr>
        <w:t xml:space="preserve"> 天后未进行验收的，视为验收合格，实</w:t>
      </w:r>
      <w:r>
        <w:rPr>
          <w:rFonts w:hint="eastAsia" w:cs="宋体"/>
          <w:color w:val="auto"/>
          <w:spacing w:val="-9"/>
          <w:sz w:val="21"/>
          <w:szCs w:val="21"/>
          <w:highlight w:val="none"/>
        </w:rPr>
        <w:t>际竣工日期以提交竣工验收申请报告的日期为准，但发包人由于不可抗力不能进行验收的除</w:t>
      </w:r>
      <w:r>
        <w:rPr>
          <w:rFonts w:hint="eastAsia" w:cs="宋体"/>
          <w:color w:val="auto"/>
          <w:spacing w:val="-6"/>
          <w:sz w:val="21"/>
          <w:szCs w:val="21"/>
          <w:highlight w:val="none"/>
        </w:rPr>
        <w:t>外。</w:t>
      </w:r>
    </w:p>
    <w:p>
      <w:pPr>
        <w:pStyle w:val="7"/>
        <w:widowControl/>
        <w:numPr>
          <w:ilvl w:val="1"/>
          <w:numId w:val="93"/>
        </w:numPr>
        <w:spacing w:before="135"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单位工程验收 </w:t>
      </w:r>
    </w:p>
    <w:p>
      <w:pPr>
        <w:pStyle w:val="20"/>
        <w:widowControl w:val="0"/>
        <w:numPr>
          <w:ilvl w:val="2"/>
          <w:numId w:val="93"/>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10"/>
          <w:sz w:val="21"/>
          <w:szCs w:val="21"/>
          <w:highlight w:val="none"/>
        </w:rPr>
        <w:t>发包人根据合同进度计划安排，在全部工程竣工前需要使用已经竣工的单位工程</w:t>
      </w:r>
      <w:r>
        <w:rPr>
          <w:rFonts w:hint="eastAsia" w:cs="宋体"/>
          <w:color w:val="auto"/>
          <w:spacing w:val="-5"/>
          <w:sz w:val="21"/>
          <w:szCs w:val="21"/>
          <w:highlight w:val="none"/>
        </w:rPr>
        <w:t xml:space="preserve">时，或承包人提出经发包人同意时，可进行单位工程验收。验收的程序可参照第 </w:t>
      </w:r>
      <w:r>
        <w:rPr>
          <w:rFonts w:hint="eastAsia" w:cs="宋体"/>
          <w:color w:val="auto"/>
          <w:sz w:val="21"/>
          <w:szCs w:val="21"/>
          <w:highlight w:val="none"/>
        </w:rPr>
        <w:t>18.2</w:t>
      </w:r>
      <w:r>
        <w:rPr>
          <w:rFonts w:hint="eastAsia" w:cs="宋体"/>
          <w:color w:val="auto"/>
          <w:spacing w:val="-21"/>
          <w:sz w:val="21"/>
          <w:szCs w:val="21"/>
          <w:highlight w:val="none"/>
        </w:rPr>
        <w:t xml:space="preserve"> 款</w:t>
      </w:r>
    </w:p>
    <w:p>
      <w:pPr>
        <w:pStyle w:val="20"/>
        <w:widowControl w:val="0"/>
        <w:autoSpaceDE w:val="0"/>
        <w:autoSpaceDN w:val="0"/>
        <w:spacing w:before="0" w:beforeAutospacing="0" w:after="0" w:afterAutospacing="0" w:line="415" w:lineRule="auto"/>
        <w:ind w:left="138" w:right="308"/>
        <w:jc w:val="both"/>
        <w:rPr>
          <w:rFonts w:cs="宋体"/>
          <w:color w:val="auto"/>
          <w:sz w:val="21"/>
          <w:szCs w:val="21"/>
          <w:highlight w:val="none"/>
        </w:rPr>
      </w:pPr>
      <w:r>
        <w:rPr>
          <w:rFonts w:hint="eastAsia" w:cs="宋体"/>
          <w:color w:val="auto"/>
          <w:spacing w:val="-9"/>
          <w:sz w:val="21"/>
          <w:szCs w:val="21"/>
          <w:highlight w:val="none"/>
        </w:rPr>
        <w:t xml:space="preserve">与第 </w:t>
      </w:r>
      <w:r>
        <w:rPr>
          <w:rFonts w:hint="eastAsia" w:cs="宋体"/>
          <w:color w:val="auto"/>
          <w:sz w:val="21"/>
          <w:szCs w:val="21"/>
          <w:highlight w:val="none"/>
        </w:rPr>
        <w:t>18.3</w:t>
      </w:r>
      <w:r>
        <w:rPr>
          <w:rFonts w:hint="eastAsia" w:cs="宋体"/>
          <w:color w:val="auto"/>
          <w:spacing w:val="-7"/>
          <w:sz w:val="21"/>
          <w:szCs w:val="21"/>
          <w:highlight w:val="none"/>
        </w:rPr>
        <w:t xml:space="preserve"> 款的约定进行。验收合格后，由监理人向承包人出具经发包人签认的单位工程验</w:t>
      </w:r>
      <w:r>
        <w:rPr>
          <w:rFonts w:hint="eastAsia" w:cs="宋体"/>
          <w:color w:val="auto"/>
          <w:spacing w:val="-11"/>
          <w:sz w:val="21"/>
          <w:szCs w:val="21"/>
          <w:highlight w:val="none"/>
        </w:rPr>
        <w:t>收证书。已签发单位工程接收证书的单位工程由发包人负责照管。单位工程的验收成果和结</w:t>
      </w:r>
      <w:r>
        <w:rPr>
          <w:rFonts w:hint="eastAsia" w:cs="宋体"/>
          <w:color w:val="auto"/>
          <w:spacing w:val="-6"/>
          <w:sz w:val="21"/>
          <w:szCs w:val="21"/>
          <w:highlight w:val="none"/>
        </w:rPr>
        <w:t>论作为全部工程竣工验收申请报告的附件。</w:t>
      </w:r>
    </w:p>
    <w:p>
      <w:pPr>
        <w:pStyle w:val="20"/>
        <w:widowControl w:val="0"/>
        <w:numPr>
          <w:ilvl w:val="2"/>
          <w:numId w:val="93"/>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9"/>
          <w:sz w:val="21"/>
          <w:szCs w:val="21"/>
          <w:highlight w:val="none"/>
        </w:rPr>
        <w:t>发包人在全部工程竣工前，使用已接收的单位工程导致承包人费用增加的，发包</w:t>
      </w:r>
      <w:r>
        <w:rPr>
          <w:rFonts w:hint="eastAsia" w:cs="宋体"/>
          <w:color w:val="auto"/>
          <w:spacing w:val="-4"/>
          <w:sz w:val="21"/>
          <w:szCs w:val="21"/>
          <w:highlight w:val="none"/>
        </w:rPr>
        <w:t>人应承担由此增加的费用和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3"/>
          <w:sz w:val="21"/>
          <w:szCs w:val="21"/>
          <w:highlight w:val="none"/>
        </w:rPr>
        <w:t>）工期延误，并支付承包人合理利润。</w:t>
      </w:r>
    </w:p>
    <w:p>
      <w:pPr>
        <w:pStyle w:val="7"/>
        <w:widowControl/>
        <w:numPr>
          <w:ilvl w:val="1"/>
          <w:numId w:val="93"/>
        </w:numPr>
        <w:spacing w:before="135"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施工期运行 </w:t>
      </w:r>
    </w:p>
    <w:p>
      <w:pPr>
        <w:pStyle w:val="20"/>
        <w:widowControl w:val="0"/>
        <w:numPr>
          <w:ilvl w:val="2"/>
          <w:numId w:val="93"/>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8"/>
          <w:sz w:val="21"/>
          <w:szCs w:val="21"/>
          <w:highlight w:val="none"/>
        </w:rPr>
        <w:t>施工期运行是指合同工程尚未全部竣工，其中某项或某几项单位工程或工程设备</w:t>
      </w:r>
      <w:r>
        <w:rPr>
          <w:rFonts w:hint="eastAsia" w:cs="宋体"/>
          <w:color w:val="auto"/>
          <w:spacing w:val="-4"/>
          <w:sz w:val="21"/>
          <w:szCs w:val="21"/>
          <w:highlight w:val="none"/>
        </w:rPr>
        <w:t>安装已竣工，根据合同条款专用部分约定，需要投入施工期运行的，经发包人按第 18.4</w:t>
      </w:r>
      <w:r>
        <w:rPr>
          <w:rFonts w:hint="eastAsia" w:cs="宋体"/>
          <w:color w:val="auto"/>
          <w:sz w:val="21"/>
          <w:szCs w:val="21"/>
          <w:highlight w:val="none"/>
        </w:rPr>
        <w:t>款</w:t>
      </w:r>
      <w:r>
        <w:rPr>
          <w:rFonts w:hint="eastAsia" w:cs="宋体"/>
          <w:color w:val="auto"/>
          <w:spacing w:val="-3"/>
          <w:sz w:val="21"/>
          <w:szCs w:val="21"/>
          <w:highlight w:val="none"/>
        </w:rPr>
        <w:t>的约定验收合格，证明能确保安全后，才能在施工期投入运行。</w:t>
      </w:r>
    </w:p>
    <w:p>
      <w:pPr>
        <w:pStyle w:val="20"/>
        <w:widowControl w:val="0"/>
        <w:numPr>
          <w:ilvl w:val="2"/>
          <w:numId w:val="93"/>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2"/>
          <w:sz w:val="21"/>
          <w:szCs w:val="21"/>
          <w:highlight w:val="none"/>
        </w:rPr>
        <w:t xml:space="preserve">在施工期运行中发现工程或工程设备损坏或存在缺陷的，由承包人按第 </w:t>
      </w:r>
      <w:r>
        <w:rPr>
          <w:rFonts w:hint="eastAsia" w:cs="宋体"/>
          <w:color w:val="auto"/>
          <w:sz w:val="21"/>
          <w:szCs w:val="21"/>
          <w:highlight w:val="none"/>
        </w:rPr>
        <w:t>19.2款</w:t>
      </w:r>
      <w:r>
        <w:rPr>
          <w:rFonts w:hint="eastAsia" w:cs="宋体"/>
          <w:color w:val="auto"/>
          <w:spacing w:val="-3"/>
          <w:sz w:val="21"/>
          <w:szCs w:val="21"/>
          <w:highlight w:val="none"/>
        </w:rPr>
        <w:t>约定进行修复。</w:t>
      </w:r>
    </w:p>
    <w:p>
      <w:pPr>
        <w:pStyle w:val="7"/>
        <w:widowControl/>
        <w:numPr>
          <w:ilvl w:val="1"/>
          <w:numId w:val="93"/>
        </w:numPr>
        <w:spacing w:before="136"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试运行 </w:t>
      </w:r>
    </w:p>
    <w:p>
      <w:pPr>
        <w:pStyle w:val="20"/>
        <w:widowControl w:val="0"/>
        <w:numPr>
          <w:ilvl w:val="2"/>
          <w:numId w:val="93"/>
        </w:numPr>
        <w:autoSpaceDE w:val="0"/>
        <w:autoSpaceDN w:val="0"/>
        <w:spacing w:before="1" w:beforeAutospacing="0" w:after="0" w:afterAutospacing="0"/>
        <w:ind w:left="1192"/>
        <w:rPr>
          <w:rFonts w:cs="宋体"/>
          <w:color w:val="auto"/>
          <w:sz w:val="21"/>
          <w:szCs w:val="21"/>
          <w:highlight w:val="none"/>
        </w:rPr>
      </w:pPr>
      <w:r>
        <w:rPr>
          <w:rFonts w:hint="eastAsia" w:cs="宋体"/>
          <w:color w:val="auto"/>
          <w:spacing w:val="-3"/>
          <w:sz w:val="21"/>
          <w:szCs w:val="21"/>
          <w:highlight w:val="none"/>
        </w:rPr>
        <w:t>工程及工程设备试运行的组织与费用承担</w:t>
      </w:r>
    </w:p>
    <w:p>
      <w:pPr>
        <w:pStyle w:val="20"/>
        <w:widowControl w:val="0"/>
        <w:numPr>
          <w:ilvl w:val="0"/>
          <w:numId w:val="94"/>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工程设备安装具备单机无负荷试运行条件，由承包人组织试运行，费用由承包人承担。</w:t>
      </w:r>
    </w:p>
    <w:p>
      <w:pPr>
        <w:pStyle w:val="20"/>
        <w:widowControl w:val="0"/>
        <w:numPr>
          <w:ilvl w:val="0"/>
          <w:numId w:val="94"/>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工程设备安装具备无负荷联动试运行条件，由发包人组织试运行，费用由发包人承担。</w:t>
      </w:r>
    </w:p>
    <w:p>
      <w:pPr>
        <w:pStyle w:val="20"/>
        <w:widowControl w:val="0"/>
        <w:numPr>
          <w:ilvl w:val="0"/>
          <w:numId w:val="94"/>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投料试运行应在工程竣工验收后由发包人负责，如发包人要求在工程竣工验收前进行或需要承包人配合时，应征得承包人同意，另行签订补充协议。</w:t>
      </w:r>
    </w:p>
    <w:p>
      <w:pPr>
        <w:pStyle w:val="20"/>
        <w:widowControl w:val="0"/>
        <w:numPr>
          <w:ilvl w:val="2"/>
          <w:numId w:val="93"/>
        </w:numPr>
        <w:autoSpaceDE w:val="0"/>
        <w:autoSpaceDN w:val="0"/>
        <w:spacing w:before="72" w:beforeAutospacing="0" w:after="0" w:afterAutospacing="0" w:line="415" w:lineRule="auto"/>
        <w:ind w:right="203" w:firstLine="419"/>
        <w:rPr>
          <w:rFonts w:cs="宋体"/>
          <w:color w:val="auto"/>
          <w:sz w:val="21"/>
          <w:szCs w:val="21"/>
          <w:highlight w:val="none"/>
        </w:rPr>
      </w:pPr>
      <w:r>
        <w:rPr>
          <w:rFonts w:hint="eastAsia" w:cs="宋体"/>
          <w:color w:val="auto"/>
          <w:spacing w:val="-8"/>
          <w:sz w:val="21"/>
          <w:szCs w:val="21"/>
          <w:highlight w:val="none"/>
        </w:rPr>
        <w:t>由于承包人的原因导致试运行失败的，承包人应采取措施保证试运行合格，并承</w:t>
      </w:r>
      <w:r>
        <w:rPr>
          <w:rFonts w:hint="eastAsia" w:cs="宋体"/>
          <w:color w:val="auto"/>
          <w:spacing w:val="-16"/>
          <w:sz w:val="21"/>
          <w:szCs w:val="21"/>
          <w:highlight w:val="none"/>
        </w:rPr>
        <w:t>担相应费用。由于发包人的原因导致试运行失败的，承包人应当采取措施保证试运行合格，发</w:t>
      </w:r>
      <w:r>
        <w:rPr>
          <w:rFonts w:hint="eastAsia" w:cs="宋体"/>
          <w:color w:val="auto"/>
          <w:spacing w:val="-5"/>
          <w:sz w:val="21"/>
          <w:szCs w:val="21"/>
          <w:highlight w:val="none"/>
        </w:rPr>
        <w:t>包人应承担由此产生的费用，并支付承包人合理利润。</w:t>
      </w:r>
    </w:p>
    <w:p>
      <w:pPr>
        <w:pStyle w:val="7"/>
        <w:widowControl/>
        <w:numPr>
          <w:ilvl w:val="1"/>
          <w:numId w:val="93"/>
        </w:numPr>
        <w:spacing w:before="135"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竣工清场 </w:t>
      </w:r>
    </w:p>
    <w:p>
      <w:pPr>
        <w:pStyle w:val="20"/>
        <w:widowControl w:val="0"/>
        <w:numPr>
          <w:ilvl w:val="2"/>
          <w:numId w:val="93"/>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9"/>
          <w:sz w:val="21"/>
          <w:szCs w:val="21"/>
          <w:highlight w:val="none"/>
        </w:rPr>
        <w:t>监理人颁发</w:t>
      </w:r>
      <w:r>
        <w:rPr>
          <w:rFonts w:hint="eastAsia" w:cs="宋体"/>
          <w:color w:val="auto"/>
          <w:spacing w:val="-3"/>
          <w:sz w:val="21"/>
          <w:szCs w:val="21"/>
          <w:highlight w:val="none"/>
        </w:rPr>
        <w:t>（</w:t>
      </w:r>
      <w:r>
        <w:rPr>
          <w:rFonts w:hint="eastAsia" w:cs="宋体"/>
          <w:color w:val="auto"/>
          <w:spacing w:val="-2"/>
          <w:sz w:val="21"/>
          <w:szCs w:val="21"/>
          <w:highlight w:val="none"/>
        </w:rPr>
        <w:t>出具</w:t>
      </w:r>
      <w:r>
        <w:rPr>
          <w:rFonts w:hint="eastAsia" w:cs="宋体"/>
          <w:color w:val="auto"/>
          <w:spacing w:val="-32"/>
          <w:sz w:val="21"/>
          <w:szCs w:val="21"/>
          <w:highlight w:val="none"/>
        </w:rPr>
        <w:t>）</w:t>
      </w:r>
      <w:r>
        <w:rPr>
          <w:rFonts w:hint="eastAsia" w:cs="宋体"/>
          <w:color w:val="auto"/>
          <w:spacing w:val="-7"/>
          <w:sz w:val="21"/>
          <w:szCs w:val="21"/>
          <w:highlight w:val="none"/>
        </w:rPr>
        <w:t>工程接收证书后，承包人负责按照以下要求对施工场地进行</w:t>
      </w:r>
      <w:r>
        <w:rPr>
          <w:rFonts w:hint="eastAsia" w:cs="宋体"/>
          <w:color w:val="auto"/>
          <w:spacing w:val="-4"/>
          <w:sz w:val="21"/>
          <w:szCs w:val="21"/>
          <w:highlight w:val="none"/>
        </w:rPr>
        <w:t>清理，直至监理人检验合格为止。竣工清场费用由承包人承担。</w:t>
      </w:r>
    </w:p>
    <w:p>
      <w:pPr>
        <w:pStyle w:val="20"/>
        <w:widowControl w:val="0"/>
        <w:numPr>
          <w:ilvl w:val="0"/>
          <w:numId w:val="95"/>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施工场地内残留的垃圾已全部清除出场；</w:t>
      </w:r>
    </w:p>
    <w:p>
      <w:pPr>
        <w:pStyle w:val="20"/>
        <w:widowControl w:val="0"/>
        <w:numPr>
          <w:ilvl w:val="0"/>
          <w:numId w:val="95"/>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临时工程已拆除，场地已按合同要求进行清理、平整或复原；</w:t>
      </w:r>
    </w:p>
    <w:p>
      <w:pPr>
        <w:pStyle w:val="20"/>
        <w:widowControl w:val="0"/>
        <w:numPr>
          <w:ilvl w:val="0"/>
          <w:numId w:val="95"/>
        </w:numPr>
        <w:autoSpaceDE w:val="0"/>
        <w:autoSpaceDN w:val="0"/>
        <w:spacing w:before="1" w:beforeAutospacing="0" w:after="0" w:afterAutospacing="0" w:line="415" w:lineRule="auto"/>
        <w:ind w:left="138" w:right="309" w:firstLine="419"/>
        <w:rPr>
          <w:rFonts w:cs="宋体"/>
          <w:color w:val="auto"/>
          <w:sz w:val="21"/>
          <w:szCs w:val="21"/>
          <w:highlight w:val="none"/>
        </w:rPr>
      </w:pPr>
      <w:r>
        <w:rPr>
          <w:rFonts w:hint="eastAsia" w:cs="宋体"/>
          <w:color w:val="auto"/>
          <w:spacing w:val="-3"/>
          <w:sz w:val="21"/>
          <w:szCs w:val="21"/>
          <w:highlight w:val="none"/>
        </w:rPr>
        <w:t>按合同约定应撤离的承包人设备和剩余的材料，包括废弃的施工设备和材料，已按计划撤离施工场地；</w:t>
      </w:r>
    </w:p>
    <w:p>
      <w:pPr>
        <w:pStyle w:val="20"/>
        <w:widowControl w:val="0"/>
        <w:numPr>
          <w:ilvl w:val="0"/>
          <w:numId w:val="95"/>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工程建筑物周边及其附近道路、河道的施工堆积物，已按监理人指示全部清理；</w:t>
      </w:r>
    </w:p>
    <w:p>
      <w:pPr>
        <w:pStyle w:val="20"/>
        <w:widowControl w:val="0"/>
        <w:numPr>
          <w:ilvl w:val="0"/>
          <w:numId w:val="95"/>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监理人指示的其他场地清理工作已全部完成。</w:t>
      </w:r>
    </w:p>
    <w:p>
      <w:pPr>
        <w:pStyle w:val="20"/>
        <w:widowControl w:val="0"/>
        <w:numPr>
          <w:ilvl w:val="2"/>
          <w:numId w:val="93"/>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8"/>
          <w:sz w:val="21"/>
          <w:szCs w:val="21"/>
          <w:highlight w:val="none"/>
        </w:rPr>
        <w:t>承包人未按监理人的要求恢复临时占地，或者场地清理未达到合同约定的，发包</w:t>
      </w:r>
      <w:r>
        <w:rPr>
          <w:rFonts w:hint="eastAsia" w:cs="宋体"/>
          <w:color w:val="auto"/>
          <w:spacing w:val="-4"/>
          <w:sz w:val="21"/>
          <w:szCs w:val="21"/>
          <w:highlight w:val="none"/>
        </w:rPr>
        <w:t>人有权委托其他人恢复或清理，所发生的金额从拟支付给承包人的款项中扣除。</w:t>
      </w:r>
    </w:p>
    <w:p>
      <w:pPr>
        <w:pStyle w:val="7"/>
        <w:widowControl/>
        <w:numPr>
          <w:ilvl w:val="1"/>
          <w:numId w:val="93"/>
        </w:numPr>
        <w:spacing w:before="136"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施工队伍的撤离 </w:t>
      </w:r>
    </w:p>
    <w:p>
      <w:pPr>
        <w:pStyle w:val="20"/>
        <w:widowControl w:val="0"/>
        <w:numPr>
          <w:ilvl w:val="2"/>
          <w:numId w:val="93"/>
        </w:numPr>
        <w:autoSpaceDE w:val="0"/>
        <w:autoSpaceDN w:val="0"/>
        <w:spacing w:before="1" w:beforeAutospacing="0" w:after="0" w:afterAutospacing="0" w:line="415" w:lineRule="auto"/>
        <w:ind w:right="309" w:firstLine="419"/>
        <w:jc w:val="both"/>
        <w:rPr>
          <w:rFonts w:cs="宋体"/>
          <w:color w:val="auto"/>
          <w:sz w:val="21"/>
          <w:szCs w:val="21"/>
          <w:highlight w:val="none"/>
        </w:rPr>
      </w:pPr>
      <w:r>
        <w:rPr>
          <w:rFonts w:hint="eastAsia" w:cs="宋体"/>
          <w:color w:val="auto"/>
          <w:spacing w:val="-6"/>
          <w:sz w:val="21"/>
          <w:szCs w:val="21"/>
          <w:highlight w:val="none"/>
        </w:rPr>
        <w:t xml:space="preserve">工程接收证书颁发后的 </w:t>
      </w:r>
      <w:r>
        <w:rPr>
          <w:rFonts w:hint="eastAsia" w:cs="宋体"/>
          <w:color w:val="auto"/>
          <w:sz w:val="21"/>
          <w:szCs w:val="21"/>
          <w:highlight w:val="none"/>
        </w:rPr>
        <w:t>56</w:t>
      </w:r>
      <w:r>
        <w:rPr>
          <w:rFonts w:hint="eastAsia" w:cs="宋体"/>
          <w:color w:val="auto"/>
          <w:spacing w:val="-7"/>
          <w:sz w:val="21"/>
          <w:szCs w:val="21"/>
          <w:highlight w:val="none"/>
        </w:rPr>
        <w:t xml:space="preserve"> 天内，除了经监理人同意需在缺陷责任期内继续工作</w:t>
      </w:r>
      <w:r>
        <w:rPr>
          <w:rFonts w:hint="eastAsia" w:cs="宋体"/>
          <w:color w:val="auto"/>
          <w:spacing w:val="-10"/>
          <w:sz w:val="21"/>
          <w:szCs w:val="21"/>
          <w:highlight w:val="none"/>
        </w:rPr>
        <w:t>和使用的人员、施工设备和临时工程外，其余的人员、施工设备和临时工程均应撤离施工场</w:t>
      </w:r>
      <w:r>
        <w:rPr>
          <w:rFonts w:hint="eastAsia" w:cs="宋体"/>
          <w:color w:val="auto"/>
          <w:spacing w:val="-5"/>
          <w:sz w:val="21"/>
          <w:szCs w:val="21"/>
          <w:highlight w:val="none"/>
        </w:rPr>
        <w:t>地或拆除。</w:t>
      </w:r>
    </w:p>
    <w:p>
      <w:pPr>
        <w:pStyle w:val="20"/>
        <w:widowControl w:val="0"/>
        <w:numPr>
          <w:ilvl w:val="2"/>
          <w:numId w:val="93"/>
        </w:numPr>
        <w:autoSpaceDE w:val="0"/>
        <w:autoSpaceDN w:val="0"/>
        <w:spacing w:before="0" w:beforeAutospacing="0" w:after="0" w:afterAutospacing="0" w:line="415" w:lineRule="auto"/>
        <w:ind w:right="207" w:firstLine="419"/>
        <w:rPr>
          <w:rFonts w:cs="宋体"/>
          <w:color w:val="auto"/>
          <w:sz w:val="21"/>
          <w:szCs w:val="21"/>
          <w:highlight w:val="none"/>
        </w:rPr>
      </w:pPr>
      <w:r>
        <w:rPr>
          <w:rFonts w:hint="eastAsia" w:cs="宋体"/>
          <w:color w:val="auto"/>
          <w:spacing w:val="-7"/>
          <w:sz w:val="21"/>
          <w:szCs w:val="21"/>
          <w:highlight w:val="none"/>
        </w:rPr>
        <w:t>承包人撤离施工场地</w:t>
      </w:r>
      <w:r>
        <w:rPr>
          <w:rFonts w:hint="eastAsia" w:cs="宋体"/>
          <w:color w:val="auto"/>
          <w:sz w:val="21"/>
          <w:szCs w:val="21"/>
          <w:highlight w:val="none"/>
        </w:rPr>
        <w:t>（</w:t>
      </w:r>
      <w:r>
        <w:rPr>
          <w:rFonts w:hint="eastAsia" w:cs="宋体"/>
          <w:color w:val="auto"/>
          <w:spacing w:val="-2"/>
          <w:sz w:val="21"/>
          <w:szCs w:val="21"/>
          <w:highlight w:val="none"/>
        </w:rPr>
        <w:t>现场</w:t>
      </w:r>
      <w:r>
        <w:rPr>
          <w:rFonts w:hint="eastAsia" w:cs="宋体"/>
          <w:color w:val="auto"/>
          <w:spacing w:val="-32"/>
          <w:sz w:val="21"/>
          <w:szCs w:val="21"/>
          <w:highlight w:val="none"/>
        </w:rPr>
        <w:t>）</w:t>
      </w:r>
      <w:r>
        <w:rPr>
          <w:rFonts w:hint="eastAsia" w:cs="宋体"/>
          <w:color w:val="auto"/>
          <w:spacing w:val="-7"/>
          <w:sz w:val="21"/>
          <w:szCs w:val="21"/>
          <w:highlight w:val="none"/>
        </w:rPr>
        <w:t>时，监理人和承包人应当办理永久工程和施工场地</w:t>
      </w:r>
      <w:r>
        <w:rPr>
          <w:rFonts w:hint="eastAsia" w:cs="宋体"/>
          <w:color w:val="auto"/>
          <w:spacing w:val="-16"/>
          <w:sz w:val="21"/>
          <w:szCs w:val="21"/>
          <w:highlight w:val="none"/>
        </w:rPr>
        <w:t>移交手续，移交手续以书面方式出具，并分别经过发包人、监理人和承包人的签认。但是，监</w:t>
      </w:r>
      <w:r>
        <w:rPr>
          <w:rFonts w:hint="eastAsia" w:cs="宋体"/>
          <w:color w:val="auto"/>
          <w:spacing w:val="-8"/>
          <w:sz w:val="21"/>
          <w:szCs w:val="21"/>
          <w:highlight w:val="none"/>
        </w:rPr>
        <w:t xml:space="preserve">理人和发包人未按第 </w:t>
      </w:r>
      <w:r>
        <w:rPr>
          <w:rFonts w:hint="eastAsia" w:cs="宋体"/>
          <w:color w:val="auto"/>
          <w:sz w:val="21"/>
          <w:szCs w:val="21"/>
          <w:highlight w:val="none"/>
        </w:rPr>
        <w:t>17.5.1</w:t>
      </w:r>
      <w:r>
        <w:rPr>
          <w:rFonts w:hint="eastAsia" w:cs="宋体"/>
          <w:color w:val="auto"/>
          <w:spacing w:val="-7"/>
          <w:sz w:val="21"/>
          <w:szCs w:val="21"/>
          <w:highlight w:val="none"/>
        </w:rPr>
        <w:t xml:space="preserve"> 项约定的期限办清竣工结算和竣工付款的，本工程不得交付使</w:t>
      </w:r>
      <w:r>
        <w:rPr>
          <w:rFonts w:hint="eastAsia" w:cs="宋体"/>
          <w:color w:val="auto"/>
          <w:spacing w:val="-8"/>
          <w:sz w:val="21"/>
          <w:szCs w:val="21"/>
          <w:highlight w:val="none"/>
        </w:rPr>
        <w:t>用，发包人和监理人也无权要求承包人按合同约定的期限撤离施工场地</w:t>
      </w:r>
      <w:r>
        <w:rPr>
          <w:rFonts w:hint="eastAsia" w:cs="宋体"/>
          <w:color w:val="auto"/>
          <w:spacing w:val="-3"/>
          <w:sz w:val="21"/>
          <w:szCs w:val="21"/>
          <w:highlight w:val="none"/>
        </w:rPr>
        <w:t>（</w:t>
      </w:r>
      <w:r>
        <w:rPr>
          <w:rFonts w:hint="eastAsia" w:cs="宋体"/>
          <w:color w:val="auto"/>
          <w:spacing w:val="-2"/>
          <w:sz w:val="21"/>
          <w:szCs w:val="21"/>
          <w:highlight w:val="none"/>
        </w:rPr>
        <w:t>现场</w:t>
      </w:r>
      <w:r>
        <w:rPr>
          <w:rFonts w:hint="eastAsia" w:cs="宋体"/>
          <w:color w:val="auto"/>
          <w:spacing w:val="-29"/>
          <w:sz w:val="21"/>
          <w:szCs w:val="21"/>
          <w:highlight w:val="none"/>
        </w:rPr>
        <w:t>）</w:t>
      </w:r>
      <w:r>
        <w:rPr>
          <w:rFonts w:hint="eastAsia" w:cs="宋体"/>
          <w:color w:val="auto"/>
          <w:spacing w:val="-3"/>
          <w:sz w:val="21"/>
          <w:szCs w:val="21"/>
          <w:highlight w:val="none"/>
        </w:rPr>
        <w:t>和办理工程移交手续。</w:t>
      </w:r>
    </w:p>
    <w:p>
      <w:pPr>
        <w:pStyle w:val="20"/>
        <w:widowControl w:val="0"/>
        <w:numPr>
          <w:ilvl w:val="2"/>
          <w:numId w:val="93"/>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12"/>
          <w:sz w:val="21"/>
          <w:szCs w:val="21"/>
          <w:highlight w:val="none"/>
        </w:rPr>
        <w:t>缺陷责任期满时，承包人的人员和施工设备应在合同约定期限内全部撤离施工场</w:t>
      </w:r>
      <w:r>
        <w:rPr>
          <w:rFonts w:hint="eastAsia" w:cs="宋体"/>
          <w:color w:val="auto"/>
          <w:spacing w:val="-5"/>
          <w:sz w:val="21"/>
          <w:szCs w:val="21"/>
          <w:highlight w:val="none"/>
        </w:rPr>
        <w:t>地。撤离施工场地的期限要求见合同条款专用部分。</w:t>
      </w:r>
    </w:p>
    <w:p>
      <w:pPr>
        <w:pStyle w:val="7"/>
        <w:widowControl/>
        <w:numPr>
          <w:ilvl w:val="1"/>
          <w:numId w:val="93"/>
        </w:numPr>
        <w:spacing w:before="134"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中间验收 </w:t>
      </w:r>
    </w:p>
    <w:p>
      <w:pPr>
        <w:pStyle w:val="20"/>
        <w:widowControl w:val="0"/>
        <w:numPr>
          <w:ilvl w:val="2"/>
          <w:numId w:val="93"/>
        </w:numPr>
        <w:autoSpaceDE w:val="0"/>
        <w:autoSpaceDN w:val="0"/>
        <w:spacing w:before="0" w:beforeAutospacing="0" w:after="0" w:afterAutospacing="0" w:line="415" w:lineRule="auto"/>
        <w:ind w:right="308" w:firstLine="419"/>
        <w:rPr>
          <w:rFonts w:cs="宋体"/>
          <w:color w:val="auto"/>
          <w:sz w:val="23"/>
          <w:szCs w:val="23"/>
          <w:highlight w:val="none"/>
        </w:rPr>
      </w:pPr>
      <w:r>
        <w:rPr>
          <w:rFonts w:hint="eastAsia" w:cs="宋体"/>
          <w:color w:val="auto"/>
          <w:spacing w:val="-8"/>
          <w:sz w:val="21"/>
          <w:szCs w:val="21"/>
          <w:highlight w:val="none"/>
        </w:rPr>
        <w:t>本工程需要按照合同约定进行中间验收。进行中间验收的部位见合同条款专用部</w:t>
      </w:r>
      <w:r>
        <w:rPr>
          <w:rFonts w:hint="eastAsia" w:cs="宋体"/>
          <w:color w:val="auto"/>
          <w:spacing w:val="-6"/>
          <w:sz w:val="21"/>
          <w:szCs w:val="21"/>
          <w:highlight w:val="none"/>
        </w:rPr>
        <w:t>分。</w:t>
      </w:r>
    </w:p>
    <w:p>
      <w:pPr>
        <w:pStyle w:val="20"/>
        <w:widowControl w:val="0"/>
        <w:numPr>
          <w:ilvl w:val="2"/>
          <w:numId w:val="93"/>
        </w:numPr>
        <w:autoSpaceDE w:val="0"/>
        <w:autoSpaceDN w:val="0"/>
        <w:spacing w:before="72" w:beforeAutospacing="0" w:after="0" w:afterAutospacing="0"/>
        <w:ind w:left="1192"/>
        <w:jc w:val="both"/>
        <w:rPr>
          <w:rFonts w:cs="宋体"/>
          <w:color w:val="auto"/>
          <w:sz w:val="21"/>
          <w:szCs w:val="21"/>
          <w:highlight w:val="none"/>
        </w:rPr>
      </w:pPr>
      <w:r>
        <w:rPr>
          <w:rFonts w:hint="eastAsia" w:cs="宋体"/>
          <w:color w:val="auto"/>
          <w:spacing w:val="-8"/>
          <w:sz w:val="21"/>
          <w:szCs w:val="21"/>
          <w:highlight w:val="none"/>
        </w:rPr>
        <w:t xml:space="preserve">当工程进度达到第 </w:t>
      </w:r>
      <w:r>
        <w:rPr>
          <w:rFonts w:hint="eastAsia" w:cs="宋体"/>
          <w:color w:val="auto"/>
          <w:sz w:val="21"/>
          <w:szCs w:val="21"/>
          <w:highlight w:val="none"/>
        </w:rPr>
        <w:t>18.9.1</w:t>
      </w:r>
      <w:r>
        <w:rPr>
          <w:rFonts w:hint="eastAsia" w:cs="宋体"/>
          <w:color w:val="auto"/>
          <w:spacing w:val="-8"/>
          <w:sz w:val="21"/>
          <w:szCs w:val="21"/>
          <w:highlight w:val="none"/>
        </w:rPr>
        <w:t xml:space="preserve"> 项约定的中间验收部位时，承包人应当进行自检，</w:t>
      </w:r>
    </w:p>
    <w:p>
      <w:pPr>
        <w:pStyle w:val="20"/>
        <w:widowControl w:val="0"/>
        <w:autoSpaceDE w:val="0"/>
        <w:autoSpaceDN w:val="0"/>
        <w:spacing w:before="0" w:beforeAutospacing="0" w:after="0" w:afterAutospacing="0" w:line="415" w:lineRule="auto"/>
        <w:ind w:left="138" w:right="309"/>
        <w:jc w:val="both"/>
        <w:rPr>
          <w:rFonts w:cs="宋体"/>
          <w:color w:val="auto"/>
          <w:sz w:val="21"/>
          <w:szCs w:val="21"/>
          <w:highlight w:val="none"/>
        </w:rPr>
      </w:pPr>
      <w:r>
        <w:rPr>
          <w:rFonts w:hint="eastAsia" w:cs="宋体"/>
          <w:color w:val="auto"/>
          <w:spacing w:val="-5"/>
          <w:sz w:val="21"/>
          <w:szCs w:val="21"/>
          <w:highlight w:val="none"/>
        </w:rPr>
        <w:t xml:space="preserve">并在中间验收前 </w:t>
      </w:r>
      <w:r>
        <w:rPr>
          <w:rFonts w:hint="eastAsia" w:cs="宋体"/>
          <w:color w:val="auto"/>
          <w:sz w:val="21"/>
          <w:szCs w:val="21"/>
          <w:highlight w:val="none"/>
        </w:rPr>
        <w:t>48</w:t>
      </w:r>
      <w:r>
        <w:rPr>
          <w:rFonts w:hint="eastAsia" w:cs="宋体"/>
          <w:color w:val="auto"/>
          <w:spacing w:val="-7"/>
          <w:sz w:val="21"/>
          <w:szCs w:val="21"/>
          <w:highlight w:val="none"/>
        </w:rPr>
        <w:t xml:space="preserve"> 小时以书面形式通知监理人验收。书面通知应包括中间验收的内容、验</w:t>
      </w:r>
      <w:r>
        <w:rPr>
          <w:rFonts w:hint="eastAsia" w:cs="宋体"/>
          <w:color w:val="auto"/>
          <w:spacing w:val="-11"/>
          <w:sz w:val="21"/>
          <w:szCs w:val="21"/>
          <w:highlight w:val="none"/>
        </w:rPr>
        <w:t>收时间和地点。承包人应当准备验收记录。只有监理人验收合格并在验收记录上签字后，承</w:t>
      </w:r>
      <w:r>
        <w:rPr>
          <w:rFonts w:hint="eastAsia" w:cs="宋体"/>
          <w:color w:val="auto"/>
          <w:spacing w:val="-12"/>
          <w:sz w:val="21"/>
          <w:szCs w:val="21"/>
          <w:highlight w:val="none"/>
        </w:rPr>
        <w:t>包人方可继续施工。验收不合格的，承包人在合同约定的期限内修改后重新验收。重新验收</w:t>
      </w:r>
      <w:r>
        <w:rPr>
          <w:rFonts w:hint="eastAsia" w:cs="宋体"/>
          <w:color w:val="auto"/>
          <w:spacing w:val="-6"/>
          <w:sz w:val="21"/>
          <w:szCs w:val="21"/>
          <w:highlight w:val="none"/>
        </w:rPr>
        <w:t>的期限见合同条款专用部分。</w:t>
      </w:r>
    </w:p>
    <w:p>
      <w:pPr>
        <w:pStyle w:val="20"/>
        <w:widowControl w:val="0"/>
        <w:numPr>
          <w:ilvl w:val="2"/>
          <w:numId w:val="93"/>
        </w:numPr>
        <w:autoSpaceDE w:val="0"/>
        <w:autoSpaceDN w:val="0"/>
        <w:spacing w:before="0" w:beforeAutospacing="0" w:after="0" w:afterAutospacing="0" w:line="268" w:lineRule="exact"/>
        <w:ind w:left="1192"/>
        <w:jc w:val="both"/>
        <w:rPr>
          <w:rFonts w:cs="宋体"/>
          <w:color w:val="auto"/>
          <w:sz w:val="21"/>
          <w:szCs w:val="21"/>
          <w:highlight w:val="none"/>
        </w:rPr>
      </w:pPr>
      <w:r>
        <w:rPr>
          <w:rFonts w:hint="eastAsia" w:cs="宋体"/>
          <w:color w:val="auto"/>
          <w:spacing w:val="-5"/>
          <w:sz w:val="21"/>
          <w:szCs w:val="21"/>
          <w:highlight w:val="none"/>
        </w:rPr>
        <w:t xml:space="preserve">监理人不能按时进行验收的，应在验收前至少 </w:t>
      </w:r>
      <w:r>
        <w:rPr>
          <w:rFonts w:hint="eastAsia" w:cs="宋体"/>
          <w:color w:val="auto"/>
          <w:sz w:val="21"/>
          <w:szCs w:val="21"/>
          <w:highlight w:val="none"/>
        </w:rPr>
        <w:t>24</w:t>
      </w:r>
      <w:r>
        <w:rPr>
          <w:rFonts w:hint="eastAsia" w:cs="宋体"/>
          <w:color w:val="auto"/>
          <w:spacing w:val="-8"/>
          <w:sz w:val="21"/>
          <w:szCs w:val="21"/>
          <w:highlight w:val="none"/>
        </w:rPr>
        <w:t xml:space="preserve"> 小时以书面形式向承包人提</w:t>
      </w:r>
    </w:p>
    <w:p>
      <w:pPr>
        <w:pStyle w:val="20"/>
        <w:widowControl w:val="0"/>
        <w:autoSpaceDE w:val="0"/>
        <w:autoSpaceDN w:val="0"/>
        <w:spacing w:before="1" w:beforeAutospacing="0" w:after="0" w:afterAutospacing="0" w:line="415" w:lineRule="auto"/>
        <w:ind w:left="138" w:right="308"/>
        <w:jc w:val="both"/>
        <w:rPr>
          <w:rFonts w:cs="宋体"/>
          <w:color w:val="auto"/>
          <w:sz w:val="21"/>
          <w:szCs w:val="21"/>
          <w:highlight w:val="none"/>
        </w:rPr>
      </w:pPr>
      <w:r>
        <w:rPr>
          <w:rFonts w:hint="eastAsia" w:cs="宋体"/>
          <w:color w:val="auto"/>
          <w:spacing w:val="-5"/>
          <w:sz w:val="21"/>
          <w:szCs w:val="21"/>
          <w:highlight w:val="none"/>
        </w:rPr>
        <w:t xml:space="preserve">出延期要求，但延期不能超过 </w:t>
      </w:r>
      <w:r>
        <w:rPr>
          <w:rFonts w:hint="eastAsia" w:cs="宋体"/>
          <w:color w:val="auto"/>
          <w:sz w:val="21"/>
          <w:szCs w:val="21"/>
          <w:highlight w:val="none"/>
        </w:rPr>
        <w:t>48</w:t>
      </w:r>
      <w:r>
        <w:rPr>
          <w:rFonts w:hint="eastAsia" w:cs="宋体"/>
          <w:color w:val="auto"/>
          <w:spacing w:val="-7"/>
          <w:sz w:val="21"/>
          <w:szCs w:val="21"/>
          <w:highlight w:val="none"/>
        </w:rPr>
        <w:t xml:space="preserve"> 小时。监理人未能按本款约定的时限提出延期要求，又未</w:t>
      </w:r>
      <w:r>
        <w:rPr>
          <w:rFonts w:hint="eastAsia" w:cs="宋体"/>
          <w:color w:val="auto"/>
          <w:spacing w:val="-5"/>
          <w:sz w:val="21"/>
          <w:szCs w:val="21"/>
          <w:highlight w:val="none"/>
        </w:rPr>
        <w:t>按期进行验收的，承包人可自行组织验收，监理人必须认同验收记录。</w:t>
      </w:r>
    </w:p>
    <w:p>
      <w:pPr>
        <w:pStyle w:val="20"/>
        <w:widowControl w:val="0"/>
        <w:autoSpaceDE w:val="0"/>
        <w:autoSpaceDN w:val="0"/>
        <w:spacing w:before="0"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4"/>
          <w:sz w:val="21"/>
          <w:szCs w:val="21"/>
          <w:highlight w:val="none"/>
        </w:rPr>
        <w:t xml:space="preserve">经监理人验收后工程质量符合约定的验收标准，但验收 </w:t>
      </w:r>
      <w:r>
        <w:rPr>
          <w:rFonts w:hint="eastAsia" w:cs="宋体"/>
          <w:color w:val="auto"/>
          <w:sz w:val="21"/>
          <w:szCs w:val="21"/>
          <w:highlight w:val="none"/>
        </w:rPr>
        <w:t>24</w:t>
      </w:r>
      <w:r>
        <w:rPr>
          <w:rFonts w:hint="eastAsia" w:cs="宋体"/>
          <w:color w:val="auto"/>
          <w:spacing w:val="-7"/>
          <w:sz w:val="21"/>
          <w:szCs w:val="21"/>
          <w:highlight w:val="none"/>
        </w:rPr>
        <w:t xml:space="preserve"> 小时后监理人仍不在验收记</w:t>
      </w:r>
      <w:r>
        <w:rPr>
          <w:rFonts w:hint="eastAsia" w:cs="宋体"/>
          <w:color w:val="auto"/>
          <w:spacing w:val="-5"/>
          <w:sz w:val="21"/>
          <w:szCs w:val="21"/>
          <w:highlight w:val="none"/>
        </w:rPr>
        <w:t>录签字的，视为监理人已经认可验收记录，承包人可继续施工。</w:t>
      </w:r>
    </w:p>
    <w:p>
      <w:pPr>
        <w:pStyle w:val="6"/>
        <w:widowControl/>
        <w:numPr>
          <w:ilvl w:val="0"/>
          <w:numId w:val="14"/>
        </w:numPr>
        <w:spacing w:before="0" w:after="0"/>
        <w:ind w:left="560" w:hanging="423"/>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 xml:space="preserve">缺陷责任与保修责任 </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缺陷责任期的起算时间 </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8"/>
          <w:sz w:val="21"/>
          <w:szCs w:val="21"/>
          <w:highlight w:val="none"/>
        </w:rPr>
        <w:t>缺陷责任期自实际竣工日期起计算。在全部工程竣工验收前，已经发包人提前验收的单</w:t>
      </w:r>
      <w:r>
        <w:rPr>
          <w:rFonts w:hint="eastAsia" w:cs="宋体"/>
          <w:color w:val="auto"/>
          <w:spacing w:val="-5"/>
          <w:sz w:val="21"/>
          <w:szCs w:val="21"/>
          <w:highlight w:val="none"/>
        </w:rPr>
        <w:t>位工程，其缺陷责任期的起算日期相应提前。</w:t>
      </w:r>
    </w:p>
    <w:p>
      <w:pPr>
        <w:pStyle w:val="7"/>
        <w:widowControl/>
        <w:numPr>
          <w:ilvl w:val="1"/>
          <w:numId w:val="14"/>
        </w:numPr>
        <w:spacing w:before="136"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缺陷责任 </w:t>
      </w:r>
    </w:p>
    <w:p>
      <w:pPr>
        <w:pStyle w:val="20"/>
        <w:widowControl w:val="0"/>
        <w:numPr>
          <w:ilvl w:val="2"/>
          <w:numId w:val="96"/>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 xml:space="preserve">承包人应在缺陷责任期内对已交付使用的工程承担缺陷责任。 </w:t>
      </w:r>
    </w:p>
    <w:p>
      <w:pPr>
        <w:pStyle w:val="20"/>
        <w:widowControl w:val="0"/>
        <w:numPr>
          <w:ilvl w:val="2"/>
          <w:numId w:val="96"/>
        </w:numPr>
        <w:autoSpaceDE w:val="0"/>
        <w:autoSpaceDN w:val="0"/>
        <w:spacing w:before="0"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10"/>
          <w:sz w:val="21"/>
          <w:szCs w:val="21"/>
          <w:highlight w:val="none"/>
        </w:rPr>
        <w:t>缺陷责任期内，发包人对已接收使用的工程负责日常维护工作。发包人在使用过程中，发现已接收的工程存在新的缺陷或已修复的缺陷部位或部件又遭损坏的，承包人应负</w:t>
      </w:r>
      <w:r>
        <w:rPr>
          <w:rFonts w:hint="eastAsia" w:cs="宋体"/>
          <w:color w:val="auto"/>
          <w:spacing w:val="-4"/>
          <w:sz w:val="21"/>
          <w:szCs w:val="21"/>
          <w:highlight w:val="none"/>
        </w:rPr>
        <w:t>责修复，直至检验合格为止。</w:t>
      </w:r>
    </w:p>
    <w:p>
      <w:pPr>
        <w:pStyle w:val="20"/>
        <w:widowControl w:val="0"/>
        <w:numPr>
          <w:ilvl w:val="2"/>
          <w:numId w:val="96"/>
        </w:numPr>
        <w:autoSpaceDE w:val="0"/>
        <w:autoSpaceDN w:val="0"/>
        <w:spacing w:before="0"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5"/>
          <w:sz w:val="21"/>
          <w:szCs w:val="21"/>
          <w:highlight w:val="none"/>
        </w:rPr>
        <w:t>监理人和承包人应共同查清缺陷和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pacing w:val="-32"/>
          <w:sz w:val="21"/>
          <w:szCs w:val="21"/>
          <w:highlight w:val="none"/>
        </w:rPr>
        <w:t>）</w:t>
      </w:r>
      <w:r>
        <w:rPr>
          <w:rFonts w:hint="eastAsia" w:cs="宋体"/>
          <w:color w:val="auto"/>
          <w:spacing w:val="-6"/>
          <w:sz w:val="21"/>
          <w:szCs w:val="21"/>
          <w:highlight w:val="none"/>
        </w:rPr>
        <w:t>损坏的原因。经查明属承包人原因造成</w:t>
      </w:r>
      <w:r>
        <w:rPr>
          <w:rFonts w:hint="eastAsia" w:cs="宋体"/>
          <w:color w:val="auto"/>
          <w:spacing w:val="-10"/>
          <w:sz w:val="21"/>
          <w:szCs w:val="21"/>
          <w:highlight w:val="none"/>
        </w:rPr>
        <w:t>的，应由承包人承担修复和查验的费用。经查验属发包人原因造成的，发包人应承担修复和</w:t>
      </w:r>
      <w:r>
        <w:rPr>
          <w:rFonts w:hint="eastAsia" w:cs="宋体"/>
          <w:color w:val="auto"/>
          <w:spacing w:val="-4"/>
          <w:sz w:val="21"/>
          <w:szCs w:val="21"/>
          <w:highlight w:val="none"/>
        </w:rPr>
        <w:t>查验的费用，并支付承包人合理利润。</w:t>
      </w:r>
    </w:p>
    <w:p>
      <w:pPr>
        <w:pStyle w:val="20"/>
        <w:widowControl w:val="0"/>
        <w:numPr>
          <w:ilvl w:val="2"/>
          <w:numId w:val="96"/>
        </w:numPr>
        <w:autoSpaceDE w:val="0"/>
        <w:autoSpaceDN w:val="0"/>
        <w:spacing w:before="0" w:beforeAutospacing="0" w:after="0" w:afterAutospacing="0" w:line="415" w:lineRule="auto"/>
        <w:ind w:left="138" w:right="220" w:firstLine="419"/>
        <w:jc w:val="both"/>
        <w:rPr>
          <w:rFonts w:cs="宋体"/>
          <w:color w:val="auto"/>
          <w:sz w:val="21"/>
          <w:szCs w:val="21"/>
          <w:highlight w:val="none"/>
        </w:rPr>
      </w:pPr>
      <w:r>
        <w:rPr>
          <w:rFonts w:hint="eastAsia" w:cs="宋体"/>
          <w:color w:val="auto"/>
          <w:spacing w:val="-3"/>
          <w:sz w:val="21"/>
          <w:szCs w:val="21"/>
          <w:highlight w:val="none"/>
        </w:rPr>
        <w:t>承包人不能在合理时间内修复缺陷的，发包人可自行修复或委托其他人修复，所</w:t>
      </w:r>
      <w:r>
        <w:rPr>
          <w:rFonts w:hint="eastAsia" w:cs="宋体"/>
          <w:color w:val="auto"/>
          <w:spacing w:val="-7"/>
          <w:sz w:val="21"/>
          <w:szCs w:val="21"/>
          <w:highlight w:val="none"/>
        </w:rPr>
        <w:t xml:space="preserve">需费用和利润的承担，按第 </w:t>
      </w:r>
      <w:r>
        <w:rPr>
          <w:rFonts w:hint="eastAsia" w:cs="宋体"/>
          <w:color w:val="auto"/>
          <w:sz w:val="21"/>
          <w:szCs w:val="21"/>
          <w:highlight w:val="none"/>
        </w:rPr>
        <w:t>19.2.3</w:t>
      </w:r>
      <w:r>
        <w:rPr>
          <w:rFonts w:hint="eastAsia" w:cs="宋体"/>
          <w:color w:val="auto"/>
          <w:spacing w:val="-10"/>
          <w:sz w:val="21"/>
          <w:szCs w:val="21"/>
          <w:highlight w:val="none"/>
        </w:rPr>
        <w:t xml:space="preserve"> 项约定办理。</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缺陷责任期的延长 </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8"/>
          <w:sz w:val="21"/>
          <w:szCs w:val="21"/>
          <w:highlight w:val="none"/>
        </w:rPr>
        <w:t>由于承包人原因造成某项缺陷或损坏，使某项工程或工程设备不能按原定目标使用，需</w:t>
      </w:r>
      <w:r>
        <w:rPr>
          <w:rFonts w:hint="eastAsia" w:cs="宋体"/>
          <w:color w:val="auto"/>
          <w:spacing w:val="-12"/>
          <w:sz w:val="21"/>
          <w:szCs w:val="21"/>
          <w:highlight w:val="none"/>
        </w:rPr>
        <w:t>要再次检查、检验和修复的，发包人有权要求承包人相应延长缺陷责任期，但缺陷责任期最</w:t>
      </w:r>
      <w:r>
        <w:rPr>
          <w:rFonts w:hint="eastAsia" w:cs="宋体"/>
          <w:color w:val="auto"/>
          <w:sz w:val="21"/>
          <w:szCs w:val="21"/>
          <w:highlight w:val="none"/>
        </w:rPr>
        <w:t>长不超过2年</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进一步试验和试运行 </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9"/>
          <w:sz w:val="21"/>
          <w:szCs w:val="21"/>
          <w:highlight w:val="none"/>
        </w:rPr>
        <w:t>任何一项缺陷或损坏修复后，经检查证明其影响了工程或工程设备的使用性能，承包人</w:t>
      </w:r>
      <w:r>
        <w:rPr>
          <w:rFonts w:hint="eastAsia" w:cs="宋体"/>
          <w:color w:val="auto"/>
          <w:spacing w:val="-5"/>
          <w:sz w:val="21"/>
          <w:szCs w:val="21"/>
          <w:highlight w:val="none"/>
        </w:rPr>
        <w:t>应重新进行合同约定的试验和试运行，试验和试运行的全部费用应由责任方承担。</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承包人的进入权 </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8"/>
          <w:sz w:val="21"/>
          <w:szCs w:val="21"/>
          <w:highlight w:val="none"/>
        </w:rPr>
        <w:t>缺陷责任期内承包人为缺陷修复工作需要，有权进入工程现场，但应遵守发包人的保安</w:t>
      </w:r>
      <w:r>
        <w:rPr>
          <w:rFonts w:hint="eastAsia" w:cs="宋体"/>
          <w:color w:val="auto"/>
          <w:spacing w:val="-6"/>
          <w:sz w:val="21"/>
          <w:szCs w:val="21"/>
          <w:highlight w:val="none"/>
        </w:rPr>
        <w:t>和保密规定。</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缺陷责任期终止证书 </w:t>
      </w:r>
    </w:p>
    <w:p>
      <w:pPr>
        <w:pStyle w:val="20"/>
        <w:widowControl w:val="0"/>
        <w:autoSpaceDE w:val="0"/>
        <w:autoSpaceDN w:val="0"/>
        <w:spacing w:before="0"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17"/>
          <w:sz w:val="21"/>
          <w:szCs w:val="21"/>
          <w:highlight w:val="none"/>
        </w:rPr>
        <w:t xml:space="preserve">在第 </w:t>
      </w:r>
      <w:r>
        <w:rPr>
          <w:rFonts w:hint="eastAsia" w:cs="宋体"/>
          <w:color w:val="auto"/>
          <w:sz w:val="21"/>
          <w:szCs w:val="21"/>
          <w:highlight w:val="none"/>
        </w:rPr>
        <w:t>1.1.4.5</w:t>
      </w:r>
      <w:r>
        <w:rPr>
          <w:rFonts w:hint="eastAsia" w:cs="宋体"/>
          <w:color w:val="auto"/>
          <w:spacing w:val="-15"/>
          <w:sz w:val="21"/>
          <w:szCs w:val="21"/>
          <w:highlight w:val="none"/>
        </w:rPr>
        <w:t xml:space="preserve"> 目约定的缺陷责任期，包括根据第 </w:t>
      </w:r>
      <w:r>
        <w:rPr>
          <w:rFonts w:hint="eastAsia" w:cs="宋体"/>
          <w:color w:val="auto"/>
          <w:sz w:val="21"/>
          <w:szCs w:val="21"/>
          <w:highlight w:val="none"/>
        </w:rPr>
        <w:t>19.3</w:t>
      </w:r>
      <w:r>
        <w:rPr>
          <w:rFonts w:hint="eastAsia" w:cs="宋体"/>
          <w:color w:val="auto"/>
          <w:spacing w:val="-12"/>
          <w:sz w:val="21"/>
          <w:szCs w:val="21"/>
          <w:highlight w:val="none"/>
        </w:rPr>
        <w:t xml:space="preserve"> 款延长的期限终止后 </w:t>
      </w:r>
      <w:r>
        <w:rPr>
          <w:rFonts w:hint="eastAsia" w:cs="宋体"/>
          <w:color w:val="auto"/>
          <w:sz w:val="21"/>
          <w:szCs w:val="21"/>
          <w:highlight w:val="none"/>
        </w:rPr>
        <w:t>14</w:t>
      </w:r>
      <w:r>
        <w:rPr>
          <w:rFonts w:hint="eastAsia" w:cs="宋体"/>
          <w:color w:val="auto"/>
          <w:spacing w:val="-20"/>
          <w:sz w:val="21"/>
          <w:szCs w:val="21"/>
          <w:highlight w:val="none"/>
        </w:rPr>
        <w:t xml:space="preserve"> 天内，由</w:t>
      </w:r>
      <w:r>
        <w:rPr>
          <w:rFonts w:hint="eastAsia" w:cs="宋体"/>
          <w:color w:val="auto"/>
          <w:spacing w:val="-12"/>
          <w:sz w:val="21"/>
          <w:szCs w:val="21"/>
          <w:highlight w:val="none"/>
        </w:rPr>
        <w:t>监理人向承包人出具经发包人签认的缺陷责任期终止证书，并退还剩余的质量保证金或退还</w:t>
      </w:r>
      <w:r>
        <w:rPr>
          <w:rFonts w:hint="eastAsia" w:cs="宋体"/>
          <w:color w:val="auto"/>
          <w:spacing w:val="-9"/>
          <w:sz w:val="21"/>
          <w:szCs w:val="21"/>
          <w:highlight w:val="none"/>
        </w:rPr>
        <w:t>保函。</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保修责任 </w:t>
      </w:r>
    </w:p>
    <w:p>
      <w:pPr>
        <w:pStyle w:val="20"/>
        <w:widowControl w:val="0"/>
        <w:numPr>
          <w:ilvl w:val="2"/>
          <w:numId w:val="97"/>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7"/>
          <w:sz w:val="21"/>
          <w:szCs w:val="21"/>
          <w:highlight w:val="none"/>
        </w:rPr>
        <w:t>合同当事人根据有关法律法规规定明确工程质量保修范围、期限和责任。保修期</w:t>
      </w:r>
      <w:r>
        <w:rPr>
          <w:rFonts w:hint="eastAsia" w:cs="宋体"/>
          <w:color w:val="auto"/>
          <w:spacing w:val="-9"/>
          <w:sz w:val="21"/>
          <w:szCs w:val="21"/>
          <w:highlight w:val="none"/>
        </w:rPr>
        <w:t>自实际竣工日期起计算。在全部工程竣工验收前，已经发包人提前验收的单位工程，其保修</w:t>
      </w:r>
      <w:r>
        <w:rPr>
          <w:rFonts w:hint="eastAsia" w:cs="宋体"/>
          <w:color w:val="auto"/>
          <w:spacing w:val="-4"/>
          <w:sz w:val="21"/>
          <w:szCs w:val="21"/>
          <w:highlight w:val="none"/>
        </w:rPr>
        <w:t>期的起算日期相应提前。工程质量保修范围、期限和责任见合同条款专用部分。</w:t>
      </w:r>
    </w:p>
    <w:p>
      <w:pPr>
        <w:pStyle w:val="20"/>
        <w:widowControl w:val="0"/>
        <w:numPr>
          <w:ilvl w:val="2"/>
          <w:numId w:val="97"/>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8"/>
          <w:sz w:val="21"/>
          <w:szCs w:val="21"/>
          <w:highlight w:val="none"/>
        </w:rPr>
        <w:t>质量保修书是竣工验收申请报告的组成内容。承包人应当按照有关法律法规规定和合同所附的格式出具质量保修书，质量保修书的主要内容应当与本款上述约定内容一致</w:t>
      </w:r>
      <w:r>
        <w:rPr>
          <w:rFonts w:hint="eastAsia" w:cs="宋体"/>
          <w:color w:val="auto"/>
          <w:spacing w:val="-6"/>
          <w:sz w:val="21"/>
          <w:szCs w:val="21"/>
          <w:highlight w:val="none"/>
        </w:rPr>
        <w:t xml:space="preserve">。承包人在递交合同条款第 </w:t>
      </w:r>
      <w:r>
        <w:rPr>
          <w:rFonts w:hint="eastAsia" w:cs="宋体"/>
          <w:color w:val="auto"/>
          <w:sz w:val="21"/>
          <w:szCs w:val="21"/>
          <w:highlight w:val="none"/>
        </w:rPr>
        <w:t>18.2</w:t>
      </w:r>
      <w:r>
        <w:rPr>
          <w:rFonts w:hint="eastAsia" w:cs="宋体"/>
          <w:color w:val="auto"/>
          <w:spacing w:val="-7"/>
          <w:sz w:val="21"/>
          <w:szCs w:val="21"/>
          <w:highlight w:val="none"/>
        </w:rPr>
        <w:t xml:space="preserve"> 款约定的竣工验收报告的同时，将质量保修书一并报送监</w:t>
      </w:r>
      <w:r>
        <w:rPr>
          <w:rFonts w:hint="eastAsia" w:cs="宋体"/>
          <w:color w:val="auto"/>
          <w:spacing w:val="-5"/>
          <w:sz w:val="21"/>
          <w:szCs w:val="21"/>
          <w:highlight w:val="none"/>
        </w:rPr>
        <w:t>理人。</w:t>
      </w:r>
    </w:p>
    <w:p>
      <w:pPr>
        <w:pStyle w:val="6"/>
        <w:widowControl/>
        <w:numPr>
          <w:ilvl w:val="0"/>
          <w:numId w:val="14"/>
        </w:numPr>
        <w:spacing w:before="0" w:after="0"/>
        <w:ind w:left="560" w:hanging="423"/>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保险</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工程保险 </w:t>
      </w:r>
    </w:p>
    <w:p>
      <w:pPr>
        <w:pStyle w:val="20"/>
        <w:widowControl w:val="0"/>
        <w:autoSpaceDE w:val="0"/>
        <w:autoSpaceDN w:val="0"/>
        <w:spacing w:before="0"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6"/>
          <w:sz w:val="21"/>
          <w:szCs w:val="21"/>
          <w:highlight w:val="none"/>
        </w:rPr>
        <w:t>承包人应以发包人和承包人的共同名义向双方同意的保险人投保建筑工程一切险、安装</w:t>
      </w:r>
      <w:r>
        <w:rPr>
          <w:rFonts w:hint="eastAsia" w:cs="宋体"/>
          <w:color w:val="auto"/>
          <w:spacing w:val="-11"/>
          <w:sz w:val="21"/>
          <w:szCs w:val="21"/>
          <w:highlight w:val="none"/>
        </w:rPr>
        <w:t>工程一切险。其具体的投保内容、保险金额、保险费率、保险期限等有关内容见合同条款专</w:t>
      </w:r>
      <w:r>
        <w:rPr>
          <w:rFonts w:hint="eastAsia" w:cs="宋体"/>
          <w:color w:val="auto"/>
          <w:spacing w:val="-8"/>
          <w:sz w:val="21"/>
          <w:szCs w:val="21"/>
          <w:highlight w:val="none"/>
        </w:rPr>
        <w:t>用部分。</w:t>
      </w:r>
    </w:p>
    <w:p>
      <w:pPr>
        <w:pStyle w:val="7"/>
        <w:widowControl/>
        <w:numPr>
          <w:ilvl w:val="1"/>
          <w:numId w:val="14"/>
        </w:numPr>
        <w:spacing w:before="66"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人员工伤事故的保险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20.2.1 承包人员工伤事故的保险 </w:t>
      </w:r>
    </w:p>
    <w:p>
      <w:pPr>
        <w:pStyle w:val="20"/>
        <w:widowControl w:val="0"/>
        <w:numPr>
          <w:ilvl w:val="0"/>
          <w:numId w:val="98"/>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承包人应依照有关法律法规规定参加工伤保险，为其履行合同所雇佣的全部人员</w:t>
      </w:r>
    </w:p>
    <w:p>
      <w:pPr>
        <w:pStyle w:val="20"/>
        <w:widowControl w:val="0"/>
        <w:autoSpaceDE w:val="0"/>
        <w:autoSpaceDN w:val="0"/>
        <w:spacing w:before="0" w:beforeAutospacing="0" w:after="0" w:afterAutospacing="0" w:line="415" w:lineRule="auto"/>
        <w:ind w:left="138" w:right="309"/>
        <w:rPr>
          <w:rFonts w:cs="宋体"/>
          <w:color w:val="auto"/>
          <w:sz w:val="21"/>
          <w:szCs w:val="21"/>
          <w:highlight w:val="none"/>
        </w:rPr>
      </w:pPr>
      <w:r>
        <w:rPr>
          <w:rFonts w:hint="eastAsia" w:cs="宋体"/>
          <w:color w:val="auto"/>
          <w:sz w:val="21"/>
          <w:szCs w:val="21"/>
          <w:highlight w:val="none"/>
        </w:rPr>
        <w:t>（</w:t>
      </w:r>
      <w:r>
        <w:rPr>
          <w:rFonts w:hint="eastAsia" w:cs="宋体"/>
          <w:color w:val="auto"/>
          <w:spacing w:val="-3"/>
          <w:sz w:val="21"/>
          <w:szCs w:val="21"/>
          <w:highlight w:val="none"/>
        </w:rPr>
        <w:t>包括专业分包人、劳务分包人使用的人员</w:t>
      </w:r>
      <w:r>
        <w:rPr>
          <w:rFonts w:hint="eastAsia" w:cs="宋体"/>
          <w:color w:val="auto"/>
          <w:spacing w:val="-106"/>
          <w:sz w:val="21"/>
          <w:szCs w:val="21"/>
          <w:highlight w:val="none"/>
        </w:rPr>
        <w:t>）</w:t>
      </w:r>
      <w:r>
        <w:rPr>
          <w:rFonts w:hint="eastAsia" w:cs="宋体"/>
          <w:color w:val="auto"/>
          <w:spacing w:val="-3"/>
          <w:sz w:val="21"/>
          <w:szCs w:val="21"/>
          <w:highlight w:val="none"/>
        </w:rPr>
        <w:t xml:space="preserve">，在合同工程开工前应当一次性缴纳工伤保险费。承包人在工程分包计费时，不得再向分包人另行计提、划拨工伤保险费。 </w:t>
      </w:r>
    </w:p>
    <w:p>
      <w:pPr>
        <w:pStyle w:val="20"/>
        <w:widowControl w:val="0"/>
        <w:numPr>
          <w:ilvl w:val="0"/>
          <w:numId w:val="98"/>
        </w:numPr>
        <w:autoSpaceDE w:val="0"/>
        <w:autoSpaceDN w:val="0"/>
        <w:spacing w:before="0" w:beforeAutospacing="0" w:after="0" w:afterAutospacing="0" w:line="415" w:lineRule="auto"/>
        <w:ind w:left="558" w:right="1273" w:firstLine="0"/>
        <w:rPr>
          <w:rFonts w:cs="宋体"/>
          <w:color w:val="auto"/>
          <w:sz w:val="21"/>
          <w:szCs w:val="21"/>
          <w:highlight w:val="none"/>
        </w:rPr>
      </w:pPr>
      <w:r>
        <w:rPr>
          <w:rFonts w:hint="eastAsia" w:cs="宋体"/>
          <w:color w:val="auto"/>
          <w:spacing w:val="-3"/>
          <w:sz w:val="21"/>
          <w:szCs w:val="21"/>
          <w:highlight w:val="none"/>
        </w:rPr>
        <w:t>承包人工伤事故保险期限自合同工程开工之日起至合同终止之日</w:t>
      </w:r>
      <w:r>
        <w:rPr>
          <w:rFonts w:hint="eastAsia" w:cs="宋体"/>
          <w:color w:val="auto"/>
          <w:spacing w:val="-3"/>
          <w:sz w:val="21"/>
          <w:szCs w:val="21"/>
          <w:highlight w:val="none"/>
          <w:lang w:val="en-US" w:eastAsia="zh-CN"/>
        </w:rPr>
        <w:t>止</w:t>
      </w:r>
    </w:p>
    <w:p>
      <w:pPr>
        <w:pStyle w:val="20"/>
        <w:widowControl w:val="0"/>
        <w:numPr>
          <w:ilvl w:val="0"/>
          <w:numId w:val="0"/>
        </w:numPr>
        <w:autoSpaceDE w:val="0"/>
        <w:autoSpaceDN w:val="0"/>
        <w:spacing w:before="0" w:beforeAutospacing="0" w:after="0" w:afterAutospacing="0" w:line="415" w:lineRule="auto"/>
        <w:ind w:left="558" w:leftChars="0" w:right="1273" w:rightChars="0"/>
        <w:rPr>
          <w:rFonts w:cs="宋体"/>
          <w:color w:val="auto"/>
          <w:sz w:val="21"/>
          <w:szCs w:val="21"/>
          <w:highlight w:val="none"/>
        </w:rPr>
      </w:pPr>
      <w:r>
        <w:rPr>
          <w:rFonts w:hint="eastAsia" w:cs="宋体"/>
          <w:color w:val="auto"/>
          <w:spacing w:val="-3"/>
          <w:sz w:val="21"/>
          <w:szCs w:val="21"/>
          <w:highlight w:val="none"/>
        </w:rPr>
        <w:t>20.2.2 发包人员工伤事故的保险</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8"/>
          <w:sz w:val="21"/>
          <w:szCs w:val="21"/>
          <w:highlight w:val="none"/>
        </w:rPr>
        <w:t>发包人应依照有关法律法规规定参加工伤保险，为其现场机构雇佣的全部人员，缴纳工</w:t>
      </w:r>
      <w:r>
        <w:rPr>
          <w:rFonts w:hint="eastAsia" w:cs="宋体"/>
          <w:color w:val="auto"/>
          <w:spacing w:val="-5"/>
          <w:sz w:val="21"/>
          <w:szCs w:val="21"/>
          <w:highlight w:val="none"/>
        </w:rPr>
        <w:t>伤保险费，并要求其监理人也进行此项保险。</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人身意外伤害险 </w:t>
      </w:r>
    </w:p>
    <w:p>
      <w:pPr>
        <w:pStyle w:val="20"/>
        <w:widowControl w:val="0"/>
        <w:numPr>
          <w:ilvl w:val="2"/>
          <w:numId w:val="99"/>
        </w:numPr>
        <w:autoSpaceDE w:val="0"/>
        <w:autoSpaceDN w:val="0"/>
        <w:spacing w:before="1" w:beforeAutospacing="0" w:after="0" w:afterAutospacing="0" w:line="415" w:lineRule="auto"/>
        <w:ind w:right="321" w:firstLine="419"/>
        <w:rPr>
          <w:rFonts w:cs="宋体"/>
          <w:color w:val="auto"/>
          <w:sz w:val="21"/>
          <w:szCs w:val="21"/>
          <w:highlight w:val="none"/>
        </w:rPr>
      </w:pPr>
      <w:r>
        <w:rPr>
          <w:rFonts w:hint="eastAsia" w:cs="宋体"/>
          <w:color w:val="auto"/>
          <w:spacing w:val="-1"/>
          <w:sz w:val="21"/>
          <w:szCs w:val="21"/>
          <w:highlight w:val="none"/>
        </w:rPr>
        <w:t>发包人应在整个施工期间为其现场机构雇用的全部人员，投保人身意外伤害险</w:t>
      </w:r>
      <w:r>
        <w:rPr>
          <w:rFonts w:hint="eastAsia" w:cs="宋体"/>
          <w:color w:val="auto"/>
          <w:spacing w:val="-3"/>
          <w:sz w:val="21"/>
          <w:szCs w:val="21"/>
          <w:highlight w:val="none"/>
        </w:rPr>
        <w:t xml:space="preserve">，缴纳保险费，并要求其监理人也进行此项保险。 </w:t>
      </w:r>
    </w:p>
    <w:p>
      <w:pPr>
        <w:pStyle w:val="20"/>
        <w:widowControl w:val="0"/>
        <w:numPr>
          <w:ilvl w:val="2"/>
          <w:numId w:val="99"/>
        </w:numPr>
        <w:autoSpaceDE w:val="0"/>
        <w:autoSpaceDN w:val="0"/>
        <w:spacing w:before="0" w:beforeAutospacing="0" w:after="0" w:afterAutospacing="0" w:line="415" w:lineRule="auto"/>
        <w:ind w:right="321" w:firstLine="419"/>
        <w:rPr>
          <w:rFonts w:cs="宋体"/>
          <w:color w:val="auto"/>
          <w:sz w:val="21"/>
          <w:szCs w:val="21"/>
          <w:highlight w:val="none"/>
        </w:rPr>
      </w:pPr>
      <w:r>
        <w:rPr>
          <w:rFonts w:hint="eastAsia" w:cs="宋体"/>
          <w:color w:val="auto"/>
          <w:spacing w:val="-1"/>
          <w:sz w:val="21"/>
          <w:szCs w:val="21"/>
          <w:highlight w:val="none"/>
        </w:rPr>
        <w:t>承包人应在整个施工期间为其现场机构雇用的全部人员，投保人身意外伤害险</w:t>
      </w:r>
      <w:r>
        <w:rPr>
          <w:rFonts w:hint="eastAsia" w:cs="宋体"/>
          <w:color w:val="auto"/>
          <w:spacing w:val="-3"/>
          <w:sz w:val="21"/>
          <w:szCs w:val="21"/>
          <w:highlight w:val="none"/>
        </w:rPr>
        <w:t xml:space="preserve">，缴纳保险费，并要求其分包人也进行此项保险。 </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第三者责任险 </w:t>
      </w:r>
    </w:p>
    <w:p>
      <w:pPr>
        <w:pStyle w:val="20"/>
        <w:widowControl w:val="0"/>
        <w:numPr>
          <w:ilvl w:val="2"/>
          <w:numId w:val="100"/>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9"/>
          <w:sz w:val="21"/>
          <w:szCs w:val="21"/>
          <w:highlight w:val="none"/>
        </w:rPr>
        <w:t>第三者责任系指在保险期内，对因工程意外事故造成的、依法应由被保险人负责</w:t>
      </w:r>
      <w:r>
        <w:rPr>
          <w:rFonts w:hint="eastAsia" w:cs="宋体"/>
          <w:color w:val="auto"/>
          <w:spacing w:val="-5"/>
          <w:sz w:val="21"/>
          <w:szCs w:val="21"/>
          <w:highlight w:val="none"/>
        </w:rPr>
        <w:t>的工地上及毗邻地区的第三者人身伤亡、疾病或财产损失</w:t>
      </w:r>
      <w:r>
        <w:rPr>
          <w:rFonts w:hint="eastAsia" w:cs="宋体"/>
          <w:color w:val="auto"/>
          <w:sz w:val="21"/>
          <w:szCs w:val="21"/>
          <w:highlight w:val="none"/>
        </w:rPr>
        <w:t>（</w:t>
      </w:r>
      <w:r>
        <w:rPr>
          <w:rFonts w:hint="eastAsia" w:cs="宋体"/>
          <w:color w:val="auto"/>
          <w:spacing w:val="-1"/>
          <w:sz w:val="21"/>
          <w:szCs w:val="21"/>
          <w:highlight w:val="none"/>
        </w:rPr>
        <w:t>本工程除外</w:t>
      </w:r>
      <w:r>
        <w:rPr>
          <w:rFonts w:hint="eastAsia" w:cs="宋体"/>
          <w:color w:val="auto"/>
          <w:spacing w:val="-106"/>
          <w:sz w:val="21"/>
          <w:szCs w:val="21"/>
          <w:highlight w:val="none"/>
        </w:rPr>
        <w:t>）</w:t>
      </w:r>
      <w:r>
        <w:rPr>
          <w:rFonts w:hint="eastAsia" w:cs="宋体"/>
          <w:color w:val="auto"/>
          <w:spacing w:val="-3"/>
          <w:sz w:val="21"/>
          <w:szCs w:val="21"/>
          <w:highlight w:val="none"/>
        </w:rPr>
        <w:t xml:space="preserve">，以及被保险人因此而支付的诉讼费用和事先经保险人书面同意支付的其他费用等赔偿责任。 </w:t>
      </w:r>
    </w:p>
    <w:p>
      <w:pPr>
        <w:pStyle w:val="20"/>
        <w:widowControl w:val="0"/>
        <w:numPr>
          <w:ilvl w:val="2"/>
          <w:numId w:val="100"/>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8"/>
          <w:sz w:val="21"/>
          <w:szCs w:val="21"/>
          <w:highlight w:val="none"/>
        </w:rPr>
        <w:t>在缺陷责任期终止证书颁发前，承包人应以承包人和发包人的共同名义，投保第20.4.1</w:t>
      </w:r>
      <w:r>
        <w:rPr>
          <w:rFonts w:hint="eastAsia" w:cs="宋体"/>
          <w:color w:val="auto"/>
          <w:spacing w:val="-7"/>
          <w:sz w:val="21"/>
          <w:szCs w:val="21"/>
          <w:highlight w:val="none"/>
        </w:rPr>
        <w:t xml:space="preserve"> 项约定的第三者责任险，其保险费率、保险金额、保险费承担人等有关内容见合同</w:t>
      </w:r>
      <w:r>
        <w:rPr>
          <w:rFonts w:hint="eastAsia" w:cs="宋体"/>
          <w:color w:val="auto"/>
          <w:spacing w:val="-4"/>
          <w:sz w:val="21"/>
          <w:szCs w:val="21"/>
          <w:highlight w:val="none"/>
        </w:rPr>
        <w:t>条款专用部分。</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其他保险 </w:t>
      </w:r>
    </w:p>
    <w:p>
      <w:pPr>
        <w:pStyle w:val="20"/>
        <w:widowControl w:val="0"/>
        <w:autoSpaceDE w:val="0"/>
        <w:autoSpaceDN w:val="0"/>
        <w:spacing w:before="0" w:beforeAutospacing="0" w:after="0" w:afterAutospacing="0" w:line="415" w:lineRule="auto"/>
        <w:ind w:left="138" w:right="308" w:firstLine="419"/>
        <w:rPr>
          <w:rFonts w:cs="宋体"/>
          <w:color w:val="auto"/>
          <w:sz w:val="21"/>
          <w:szCs w:val="21"/>
          <w:highlight w:val="none"/>
        </w:rPr>
      </w:pPr>
      <w:r>
        <w:rPr>
          <w:rFonts w:hint="eastAsia" w:cs="宋体"/>
          <w:color w:val="auto"/>
          <w:spacing w:val="-9"/>
          <w:sz w:val="21"/>
          <w:szCs w:val="21"/>
          <w:highlight w:val="none"/>
        </w:rPr>
        <w:t>承包人应为其施工设备、进场的材料和工程设备等办理保险。办理保险的险种见合同条</w:t>
      </w:r>
      <w:r>
        <w:rPr>
          <w:rFonts w:hint="eastAsia" w:cs="宋体"/>
          <w:color w:val="auto"/>
          <w:spacing w:val="-6"/>
          <w:sz w:val="21"/>
          <w:szCs w:val="21"/>
          <w:highlight w:val="none"/>
        </w:rPr>
        <w:t>款专用部分。</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对各项保险的一般要求 </w:t>
      </w:r>
    </w:p>
    <w:p>
      <w:pPr>
        <w:pStyle w:val="20"/>
        <w:widowControl w:val="0"/>
        <w:numPr>
          <w:ilvl w:val="2"/>
          <w:numId w:val="101"/>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 xml:space="preserve">保险凭证 </w:t>
      </w:r>
    </w:p>
    <w:p>
      <w:pPr>
        <w:pStyle w:val="20"/>
        <w:widowControl w:val="0"/>
        <w:autoSpaceDE w:val="0"/>
        <w:autoSpaceDN w:val="0"/>
        <w:spacing w:before="0" w:beforeAutospacing="0" w:after="0" w:afterAutospacing="0"/>
        <w:rPr>
          <w:rFonts w:cs="宋体"/>
          <w:color w:val="auto"/>
          <w:sz w:val="21"/>
          <w:szCs w:val="21"/>
          <w:highlight w:val="none"/>
        </w:rPr>
      </w:pPr>
      <w:r>
        <w:rPr>
          <w:rFonts w:hint="eastAsia" w:cs="宋体"/>
          <w:color w:val="auto"/>
          <w:sz w:val="21"/>
          <w:szCs w:val="21"/>
          <w:highlight w:val="none"/>
        </w:rPr>
        <w:t>承包人应在合同约定的期限内向发包人提交各项保险生效的证据和保险单副本，保险单</w:t>
      </w:r>
    </w:p>
    <w:p>
      <w:pPr>
        <w:pStyle w:val="20"/>
        <w:widowControl w:val="0"/>
        <w:autoSpaceDE w:val="0"/>
        <w:autoSpaceDN w:val="0"/>
        <w:spacing w:before="72" w:beforeAutospacing="0" w:after="0" w:afterAutospacing="0" w:line="415" w:lineRule="auto"/>
        <w:ind w:right="308"/>
        <w:rPr>
          <w:rFonts w:cs="宋体"/>
          <w:color w:val="auto"/>
          <w:sz w:val="21"/>
          <w:szCs w:val="21"/>
          <w:highlight w:val="none"/>
        </w:rPr>
      </w:pPr>
      <w:r>
        <w:rPr>
          <w:rFonts w:hint="eastAsia" w:cs="宋体"/>
          <w:color w:val="auto"/>
          <w:spacing w:val="-9"/>
          <w:sz w:val="21"/>
          <w:szCs w:val="21"/>
          <w:highlight w:val="none"/>
        </w:rPr>
        <w:t>必须与合同约定的条件保持一致。各项保险生效的证据和保险单副本的期限见合同条款专用</w:t>
      </w:r>
      <w:r>
        <w:rPr>
          <w:rFonts w:hint="eastAsia" w:cs="宋体"/>
          <w:color w:val="auto"/>
          <w:spacing w:val="-8"/>
          <w:sz w:val="21"/>
          <w:szCs w:val="21"/>
          <w:highlight w:val="none"/>
        </w:rPr>
        <w:t>部分。</w:t>
      </w:r>
    </w:p>
    <w:p>
      <w:pPr>
        <w:pStyle w:val="20"/>
        <w:widowControl w:val="0"/>
        <w:numPr>
          <w:ilvl w:val="2"/>
          <w:numId w:val="101"/>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保险合同条款的变动</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8"/>
          <w:sz w:val="21"/>
          <w:szCs w:val="21"/>
          <w:highlight w:val="none"/>
        </w:rPr>
        <w:t>承包人需要变动保险合同条款时，应事先征得发包人同意，并通知监理人。保险人作出</w:t>
      </w:r>
      <w:r>
        <w:rPr>
          <w:rFonts w:hint="eastAsia" w:cs="宋体"/>
          <w:color w:val="auto"/>
          <w:spacing w:val="-5"/>
          <w:sz w:val="21"/>
          <w:szCs w:val="21"/>
          <w:highlight w:val="none"/>
        </w:rPr>
        <w:t>变动的，承包人应在收到保险人通知后立即通知发包人和监理人。</w:t>
      </w:r>
    </w:p>
    <w:p>
      <w:pPr>
        <w:pStyle w:val="20"/>
        <w:widowControl w:val="0"/>
        <w:numPr>
          <w:ilvl w:val="2"/>
          <w:numId w:val="101"/>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 xml:space="preserve">持续保险 </w:t>
      </w:r>
    </w:p>
    <w:p>
      <w:pPr>
        <w:pStyle w:val="20"/>
        <w:widowControl w:val="0"/>
        <w:autoSpaceDE w:val="0"/>
        <w:autoSpaceDN w:val="0"/>
        <w:spacing w:before="1" w:beforeAutospacing="0" w:after="0" w:afterAutospacing="0" w:line="415" w:lineRule="auto"/>
        <w:ind w:left="138" w:right="309" w:firstLine="419"/>
        <w:rPr>
          <w:rFonts w:cs="宋体"/>
          <w:color w:val="auto"/>
          <w:sz w:val="21"/>
          <w:szCs w:val="21"/>
          <w:highlight w:val="none"/>
        </w:rPr>
      </w:pPr>
      <w:r>
        <w:rPr>
          <w:rFonts w:hint="eastAsia" w:cs="宋体"/>
          <w:color w:val="auto"/>
          <w:spacing w:val="-9"/>
          <w:sz w:val="21"/>
          <w:szCs w:val="21"/>
          <w:highlight w:val="none"/>
        </w:rPr>
        <w:t>承包人应与保险人保持联系，使保险人能够随时了解工程实施中的变动，并确保按保险</w:t>
      </w:r>
      <w:r>
        <w:rPr>
          <w:rFonts w:hint="eastAsia" w:cs="宋体"/>
          <w:color w:val="auto"/>
          <w:spacing w:val="-5"/>
          <w:sz w:val="21"/>
          <w:szCs w:val="21"/>
          <w:highlight w:val="none"/>
        </w:rPr>
        <w:t>合同条款要求持续保险。</w:t>
      </w:r>
    </w:p>
    <w:p>
      <w:pPr>
        <w:pStyle w:val="20"/>
        <w:widowControl w:val="0"/>
        <w:numPr>
          <w:ilvl w:val="2"/>
          <w:numId w:val="101"/>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 xml:space="preserve">保险金不足的补偿 </w:t>
      </w:r>
    </w:p>
    <w:p>
      <w:pPr>
        <w:pStyle w:val="20"/>
        <w:widowControl w:val="0"/>
        <w:autoSpaceDE w:val="0"/>
        <w:autoSpaceDN w:val="0"/>
        <w:spacing w:before="1" w:beforeAutospacing="0" w:after="0" w:afterAutospacing="0" w:line="415" w:lineRule="auto"/>
        <w:ind w:left="138" w:right="309" w:firstLine="419"/>
        <w:rPr>
          <w:rFonts w:cs="宋体"/>
          <w:color w:val="auto"/>
          <w:sz w:val="21"/>
          <w:szCs w:val="21"/>
          <w:highlight w:val="none"/>
        </w:rPr>
      </w:pPr>
      <w:r>
        <w:rPr>
          <w:rFonts w:hint="eastAsia" w:cs="宋体"/>
          <w:color w:val="auto"/>
          <w:spacing w:val="-6"/>
          <w:sz w:val="21"/>
          <w:szCs w:val="21"/>
          <w:highlight w:val="none"/>
        </w:rPr>
        <w:t>保险金不足以补偿损失的，应由承包人和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25"/>
          <w:sz w:val="21"/>
          <w:szCs w:val="21"/>
          <w:highlight w:val="none"/>
        </w:rPr>
        <w:t>）</w:t>
      </w:r>
      <w:r>
        <w:rPr>
          <w:rFonts w:hint="eastAsia" w:cs="宋体"/>
          <w:color w:val="auto"/>
          <w:spacing w:val="-5"/>
          <w:sz w:val="21"/>
          <w:szCs w:val="21"/>
          <w:highlight w:val="none"/>
        </w:rPr>
        <w:t>发包人按合同约定负责补偿。保险金不</w:t>
      </w:r>
      <w:r>
        <w:rPr>
          <w:rFonts w:hint="eastAsia" w:cs="宋体"/>
          <w:color w:val="auto"/>
          <w:spacing w:val="-4"/>
          <w:sz w:val="21"/>
          <w:szCs w:val="21"/>
          <w:highlight w:val="none"/>
        </w:rPr>
        <w:t>足的补偿原则见合同条款专用部分。</w:t>
      </w:r>
    </w:p>
    <w:p>
      <w:pPr>
        <w:pStyle w:val="20"/>
        <w:widowControl w:val="0"/>
        <w:numPr>
          <w:ilvl w:val="2"/>
          <w:numId w:val="101"/>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未按约定投保的补救</w:t>
      </w:r>
    </w:p>
    <w:p>
      <w:pPr>
        <w:pStyle w:val="20"/>
        <w:widowControl w:val="0"/>
        <w:numPr>
          <w:ilvl w:val="0"/>
          <w:numId w:val="102"/>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由于负有投保义务的一方当事人未按合同约定办理保险，或未能使保险持续有效的，另一方当事人可代为办理，所需费用由对方当事人承担。</w:t>
      </w:r>
    </w:p>
    <w:p>
      <w:pPr>
        <w:pStyle w:val="20"/>
        <w:widowControl w:val="0"/>
        <w:numPr>
          <w:ilvl w:val="0"/>
          <w:numId w:val="102"/>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由于负有投保义务的一方当事人未按合同约定办理某项保险，导致受益人未能得到保险人的赔偿，原应从该项保险得到的保险金应由负有投保义务的一方当事人支付。</w:t>
      </w:r>
    </w:p>
    <w:p>
      <w:pPr>
        <w:pStyle w:val="20"/>
        <w:widowControl w:val="0"/>
        <w:numPr>
          <w:ilvl w:val="2"/>
          <w:numId w:val="101"/>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 xml:space="preserve">报告义务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当保险事故发生时，投保人应按照保险单规定的条件和期限及时向保险人报告。 </w:t>
      </w:r>
    </w:p>
    <w:p>
      <w:pPr>
        <w:pStyle w:val="6"/>
        <w:widowControl/>
        <w:numPr>
          <w:ilvl w:val="0"/>
          <w:numId w:val="14"/>
        </w:numPr>
        <w:spacing w:before="132" w:after="0"/>
        <w:ind w:left="560" w:hanging="423"/>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不可抗力</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不可抗力的确认 </w:t>
      </w:r>
    </w:p>
    <w:p>
      <w:pPr>
        <w:pStyle w:val="20"/>
        <w:widowControl w:val="0"/>
        <w:numPr>
          <w:ilvl w:val="2"/>
          <w:numId w:val="103"/>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7"/>
          <w:sz w:val="21"/>
          <w:szCs w:val="21"/>
          <w:highlight w:val="none"/>
        </w:rPr>
        <w:t>不可抗力是指承包人和发包人在订立合同时不可预见，在工程施工过程中不可避</w:t>
      </w:r>
      <w:r>
        <w:rPr>
          <w:rFonts w:hint="eastAsia" w:cs="宋体"/>
          <w:color w:val="auto"/>
          <w:spacing w:val="-10"/>
          <w:sz w:val="21"/>
          <w:szCs w:val="21"/>
          <w:highlight w:val="none"/>
        </w:rPr>
        <w:t>免发生并不能克服的自然灾害和社会性突发事件，如地震、海啸、瘟疫、水灾、骚乱、暴动</w:t>
      </w:r>
      <w:r>
        <w:rPr>
          <w:rFonts w:hint="eastAsia" w:cs="宋体"/>
          <w:color w:val="auto"/>
          <w:spacing w:val="-4"/>
          <w:sz w:val="21"/>
          <w:szCs w:val="21"/>
          <w:highlight w:val="none"/>
        </w:rPr>
        <w:t>、战争和合同约定的其他情形。其他情形见合同条款专用部分。</w:t>
      </w:r>
    </w:p>
    <w:p>
      <w:pPr>
        <w:pStyle w:val="20"/>
        <w:widowControl w:val="0"/>
        <w:numPr>
          <w:ilvl w:val="2"/>
          <w:numId w:val="103"/>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11"/>
          <w:sz w:val="21"/>
          <w:szCs w:val="21"/>
          <w:highlight w:val="none"/>
        </w:rPr>
        <w:t>不可抗力发生后，发包人和承包人应及时认真统计所造成的损失，收集不可抗力</w:t>
      </w:r>
      <w:r>
        <w:rPr>
          <w:rFonts w:hint="eastAsia" w:cs="宋体"/>
          <w:color w:val="auto"/>
          <w:spacing w:val="-12"/>
          <w:sz w:val="21"/>
          <w:szCs w:val="21"/>
          <w:highlight w:val="none"/>
        </w:rPr>
        <w:t>造成损失的证据。合同双方对是否属于不可抗力或其损失的意见不一致的，由监理人按第</w:t>
      </w:r>
    </w:p>
    <w:p>
      <w:pPr>
        <w:pStyle w:val="20"/>
        <w:widowControl w:val="0"/>
        <w:autoSpaceDE w:val="0"/>
        <w:autoSpaceDN w:val="0"/>
        <w:spacing w:before="0" w:beforeAutospacing="0" w:after="0" w:afterAutospacing="0" w:line="269" w:lineRule="exact"/>
        <w:ind w:left="138"/>
        <w:rPr>
          <w:rFonts w:cs="宋体"/>
          <w:color w:val="auto"/>
          <w:sz w:val="21"/>
          <w:szCs w:val="21"/>
          <w:highlight w:val="none"/>
        </w:rPr>
      </w:pPr>
      <w:r>
        <w:rPr>
          <w:rFonts w:hint="eastAsia" w:cs="宋体"/>
          <w:color w:val="auto"/>
          <w:sz w:val="21"/>
          <w:szCs w:val="21"/>
          <w:highlight w:val="none"/>
        </w:rPr>
        <w:t xml:space="preserve">3.5 款商定或确定。发生争议时，按第 24 条的约定办理。 </w:t>
      </w:r>
    </w:p>
    <w:p>
      <w:pPr>
        <w:pStyle w:val="7"/>
        <w:widowControl/>
        <w:numPr>
          <w:ilvl w:val="1"/>
          <w:numId w:val="104"/>
        </w:numPr>
        <w:spacing w:before="1"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不可抗力的通知 </w:t>
      </w:r>
    </w:p>
    <w:p>
      <w:pPr>
        <w:pStyle w:val="20"/>
        <w:widowControl w:val="0"/>
        <w:numPr>
          <w:ilvl w:val="2"/>
          <w:numId w:val="104"/>
        </w:numPr>
        <w:autoSpaceDE w:val="0"/>
        <w:autoSpaceDN w:val="0"/>
        <w:spacing w:before="0" w:beforeAutospacing="0" w:after="0" w:afterAutospacing="0"/>
        <w:rPr>
          <w:rFonts w:cs="宋体"/>
          <w:color w:val="auto"/>
          <w:sz w:val="21"/>
          <w:szCs w:val="21"/>
          <w:highlight w:val="none"/>
        </w:rPr>
      </w:pPr>
      <w:r>
        <w:rPr>
          <w:rFonts w:hint="eastAsia" w:cs="宋体"/>
          <w:color w:val="auto"/>
          <w:spacing w:val="-8"/>
          <w:sz w:val="21"/>
          <w:szCs w:val="21"/>
          <w:highlight w:val="none"/>
        </w:rPr>
        <w:t>合同一方当事人遇到不可抗力事件，使其履行合同义务受到阻碍时，应立即通</w:t>
      </w:r>
    </w:p>
    <w:p>
      <w:pPr>
        <w:pStyle w:val="20"/>
        <w:widowControl w:val="0"/>
        <w:autoSpaceDE w:val="0"/>
        <w:autoSpaceDN w:val="0"/>
        <w:spacing w:before="72" w:beforeAutospacing="0" w:after="0" w:afterAutospacing="0" w:line="415" w:lineRule="auto"/>
        <w:ind w:left="558" w:right="208" w:hanging="420"/>
        <w:rPr>
          <w:rFonts w:cs="宋体"/>
          <w:color w:val="auto"/>
          <w:sz w:val="21"/>
          <w:szCs w:val="21"/>
          <w:highlight w:val="none"/>
        </w:rPr>
      </w:pPr>
      <w:r>
        <w:rPr>
          <w:rFonts w:hint="eastAsia" w:cs="宋体"/>
          <w:color w:val="auto"/>
          <w:spacing w:val="-16"/>
          <w:sz w:val="21"/>
          <w:szCs w:val="21"/>
          <w:highlight w:val="none"/>
        </w:rPr>
        <w:t>知合同另一方当事人和监理人，书面说明不可抗力和受阻碍的详细情况，并提供必要的证明。</w:t>
      </w:r>
      <w:r>
        <w:rPr>
          <w:rFonts w:hint="eastAsia" w:cs="宋体"/>
          <w:color w:val="auto"/>
          <w:sz w:val="21"/>
          <w:szCs w:val="21"/>
          <w:highlight w:val="none"/>
        </w:rPr>
        <w:t>21.2.2</w:t>
      </w:r>
      <w:r>
        <w:rPr>
          <w:rFonts w:hint="eastAsia" w:cs="宋体"/>
          <w:color w:val="auto"/>
          <w:spacing w:val="-9"/>
          <w:sz w:val="21"/>
          <w:szCs w:val="21"/>
          <w:highlight w:val="none"/>
        </w:rPr>
        <w:t xml:space="preserve"> 如不可抗力持续发生，合同一方当事人应及时向合同另一方当事人和监理人提</w:t>
      </w:r>
    </w:p>
    <w:p>
      <w:pPr>
        <w:pStyle w:val="20"/>
        <w:widowControl w:val="0"/>
        <w:autoSpaceDE w:val="0"/>
        <w:autoSpaceDN w:val="0"/>
        <w:spacing w:before="0" w:beforeAutospacing="0" w:after="0" w:afterAutospacing="0" w:line="415" w:lineRule="auto"/>
        <w:ind w:left="138" w:right="230"/>
        <w:rPr>
          <w:rFonts w:cs="宋体"/>
          <w:color w:val="auto"/>
          <w:sz w:val="21"/>
          <w:szCs w:val="21"/>
          <w:highlight w:val="none"/>
        </w:rPr>
      </w:pPr>
      <w:r>
        <w:rPr>
          <w:rFonts w:hint="eastAsia" w:cs="宋体"/>
          <w:color w:val="auto"/>
          <w:sz w:val="21"/>
          <w:szCs w:val="21"/>
          <w:highlight w:val="none"/>
        </w:rPr>
        <w:t xml:space="preserve">交中间报告，说明不可抗力和履行合同受阻的情况，并于不可抗力事件结束后 28 天内提交最终报告及有关资料。 </w:t>
      </w:r>
    </w:p>
    <w:p>
      <w:pPr>
        <w:pStyle w:val="7"/>
        <w:widowControl/>
        <w:numPr>
          <w:ilvl w:val="1"/>
          <w:numId w:val="104"/>
        </w:numPr>
        <w:spacing w:before="135" w:after="0"/>
        <w:ind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不可抗力后果及其处理 </w:t>
      </w:r>
    </w:p>
    <w:p>
      <w:pPr>
        <w:pStyle w:val="20"/>
        <w:widowControl w:val="0"/>
        <w:numPr>
          <w:ilvl w:val="2"/>
          <w:numId w:val="104"/>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不可抗力造成损害的责任</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7"/>
          <w:sz w:val="21"/>
          <w:szCs w:val="21"/>
          <w:highlight w:val="none"/>
        </w:rPr>
        <w:t>不可抗力导致的人员伤亡、财产损失、费用增加和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pacing w:val="-20"/>
          <w:sz w:val="21"/>
          <w:szCs w:val="21"/>
          <w:highlight w:val="none"/>
        </w:rPr>
        <w:t>）</w:t>
      </w:r>
      <w:r>
        <w:rPr>
          <w:rFonts w:hint="eastAsia" w:cs="宋体"/>
          <w:color w:val="auto"/>
          <w:spacing w:val="-6"/>
          <w:sz w:val="21"/>
          <w:szCs w:val="21"/>
          <w:highlight w:val="none"/>
        </w:rPr>
        <w:t>工期延误等后果，由合同双方</w:t>
      </w:r>
      <w:r>
        <w:rPr>
          <w:rFonts w:hint="eastAsia" w:cs="宋体"/>
          <w:color w:val="auto"/>
          <w:spacing w:val="-4"/>
          <w:sz w:val="21"/>
          <w:szCs w:val="21"/>
          <w:highlight w:val="none"/>
        </w:rPr>
        <w:t>按以下原则承担：</w:t>
      </w:r>
    </w:p>
    <w:p>
      <w:pPr>
        <w:pStyle w:val="20"/>
        <w:widowControl w:val="0"/>
        <w:numPr>
          <w:ilvl w:val="0"/>
          <w:numId w:val="105"/>
        </w:numPr>
        <w:autoSpaceDE w:val="0"/>
        <w:autoSpaceDN w:val="0"/>
        <w:spacing w:before="0" w:beforeAutospacing="0" w:after="0" w:afterAutospacing="0" w:line="415" w:lineRule="auto"/>
        <w:ind w:right="308" w:firstLine="419"/>
        <w:rPr>
          <w:rFonts w:cs="宋体"/>
          <w:color w:val="auto"/>
          <w:sz w:val="21"/>
          <w:szCs w:val="21"/>
          <w:highlight w:val="none"/>
        </w:rPr>
      </w:pPr>
      <w:r>
        <w:rPr>
          <w:rFonts w:hint="eastAsia" w:cs="宋体"/>
          <w:color w:val="auto"/>
          <w:spacing w:val="-3"/>
          <w:sz w:val="21"/>
          <w:szCs w:val="21"/>
          <w:highlight w:val="none"/>
        </w:rPr>
        <w:t>永久工程，包括已运至施工场地的材料和工程设备的损害，以及因工程损害造成的第三者人员伤亡和财产损失由发包人承担；</w:t>
      </w:r>
    </w:p>
    <w:p>
      <w:pPr>
        <w:pStyle w:val="20"/>
        <w:widowControl w:val="0"/>
        <w:numPr>
          <w:ilvl w:val="0"/>
          <w:numId w:val="105"/>
        </w:numPr>
        <w:autoSpaceDE w:val="0"/>
        <w:autoSpaceDN w:val="0"/>
        <w:spacing w:before="0" w:beforeAutospacing="0" w:after="0" w:afterAutospacing="0" w:line="269" w:lineRule="exact"/>
        <w:ind w:left="1087"/>
        <w:rPr>
          <w:rFonts w:cs="宋体"/>
          <w:color w:val="auto"/>
          <w:sz w:val="21"/>
          <w:szCs w:val="21"/>
          <w:highlight w:val="none"/>
        </w:rPr>
      </w:pPr>
      <w:r>
        <w:rPr>
          <w:rFonts w:hint="eastAsia" w:cs="宋体"/>
          <w:color w:val="auto"/>
          <w:spacing w:val="-3"/>
          <w:sz w:val="21"/>
          <w:szCs w:val="21"/>
          <w:highlight w:val="none"/>
        </w:rPr>
        <w:t>承包人设备的损坏由承包人承担；</w:t>
      </w:r>
    </w:p>
    <w:p>
      <w:pPr>
        <w:pStyle w:val="20"/>
        <w:widowControl w:val="0"/>
        <w:numPr>
          <w:ilvl w:val="0"/>
          <w:numId w:val="105"/>
        </w:numPr>
        <w:autoSpaceDE w:val="0"/>
        <w:autoSpaceDN w:val="0"/>
        <w:spacing w:before="0" w:beforeAutospacing="0" w:after="0" w:afterAutospacing="0"/>
        <w:ind w:left="1087"/>
        <w:rPr>
          <w:rFonts w:cs="宋体"/>
          <w:color w:val="auto"/>
          <w:sz w:val="21"/>
          <w:szCs w:val="21"/>
          <w:highlight w:val="none"/>
        </w:rPr>
      </w:pPr>
      <w:r>
        <w:rPr>
          <w:rFonts w:hint="eastAsia" w:cs="宋体"/>
          <w:color w:val="auto"/>
          <w:spacing w:val="-3"/>
          <w:sz w:val="21"/>
          <w:szCs w:val="21"/>
          <w:highlight w:val="none"/>
        </w:rPr>
        <w:t xml:space="preserve">发包人和承包人各自承担其人员伤亡和其他财产损失及其相关费用； </w:t>
      </w:r>
    </w:p>
    <w:p>
      <w:pPr>
        <w:pStyle w:val="20"/>
        <w:widowControl w:val="0"/>
        <w:numPr>
          <w:ilvl w:val="0"/>
          <w:numId w:val="105"/>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承包人的停工损失由承包人承担，但停工期间应监理人要求照管工程和清理、修复工程的金额由发包人承担；</w:t>
      </w:r>
    </w:p>
    <w:p>
      <w:pPr>
        <w:pStyle w:val="20"/>
        <w:widowControl w:val="0"/>
        <w:numPr>
          <w:ilvl w:val="0"/>
          <w:numId w:val="105"/>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不能按期竣工的，应合理延长工期，承包人不需支付逾期竣工违约金。发包人要求赶工的，承包人应采取赶工措施，赶工费用由发包人承担。</w:t>
      </w:r>
    </w:p>
    <w:p>
      <w:pPr>
        <w:pStyle w:val="20"/>
        <w:widowControl w:val="0"/>
        <w:numPr>
          <w:ilvl w:val="2"/>
          <w:numId w:val="104"/>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延迟履行期间发生的不可抗力</w:t>
      </w:r>
    </w:p>
    <w:p>
      <w:pPr>
        <w:pStyle w:val="20"/>
        <w:widowControl w:val="0"/>
        <w:autoSpaceDE w:val="0"/>
        <w:autoSpaceDN w:val="0"/>
        <w:spacing w:before="0" w:beforeAutospacing="0" w:after="0" w:afterAutospacing="0" w:line="415" w:lineRule="auto"/>
        <w:ind w:left="558" w:right="954"/>
        <w:rPr>
          <w:rFonts w:cs="宋体"/>
          <w:color w:val="auto"/>
          <w:sz w:val="21"/>
          <w:szCs w:val="21"/>
          <w:highlight w:val="none"/>
        </w:rPr>
      </w:pPr>
      <w:r>
        <w:rPr>
          <w:rFonts w:hint="eastAsia" w:cs="宋体"/>
          <w:color w:val="auto"/>
          <w:sz w:val="21"/>
          <w:szCs w:val="21"/>
          <w:highlight w:val="none"/>
        </w:rPr>
        <w:t xml:space="preserve">合同一方当事人延迟履行，在延迟履行期间发生不可抗力的，不免除其责任。21.3.3 避免和减少不可抗力损失 </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10"/>
          <w:sz w:val="21"/>
          <w:szCs w:val="21"/>
          <w:highlight w:val="none"/>
        </w:rPr>
        <w:t>不可抗力发生后，发包人和承包人均应采取措施尽量避免和减少损失的扩大，任何一方</w:t>
      </w:r>
      <w:r>
        <w:rPr>
          <w:rFonts w:hint="eastAsia" w:cs="宋体"/>
          <w:color w:val="auto"/>
          <w:spacing w:val="-5"/>
          <w:sz w:val="21"/>
          <w:szCs w:val="21"/>
          <w:highlight w:val="none"/>
        </w:rPr>
        <w:t>没有采取有效措施导致损失扩大的，应对扩大的损失承担责任。</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21.3.4 因不可抗力解除合同 </w:t>
      </w:r>
    </w:p>
    <w:p>
      <w:pPr>
        <w:pStyle w:val="20"/>
        <w:widowControl w:val="0"/>
        <w:autoSpaceDE w:val="0"/>
        <w:autoSpaceDN w:val="0"/>
        <w:spacing w:before="0" w:beforeAutospacing="0" w:after="0" w:afterAutospacing="0" w:line="415" w:lineRule="auto"/>
        <w:ind w:left="138" w:right="203" w:firstLine="419"/>
        <w:rPr>
          <w:rFonts w:cs="宋体"/>
          <w:color w:val="auto"/>
          <w:sz w:val="27"/>
          <w:szCs w:val="27"/>
          <w:highlight w:val="none"/>
        </w:rPr>
      </w:pPr>
      <w:r>
        <w:rPr>
          <w:rFonts w:hint="eastAsia" w:cs="宋体"/>
          <w:color w:val="auto"/>
          <w:spacing w:val="-11"/>
          <w:sz w:val="21"/>
          <w:szCs w:val="21"/>
          <w:highlight w:val="none"/>
        </w:rPr>
        <w:t xml:space="preserve">合同一方当事人因不可抗力不能履行合同的，应当及时通知对方解除合同。合同解除后， </w:t>
      </w:r>
      <w:r>
        <w:rPr>
          <w:rFonts w:hint="eastAsia" w:cs="宋体"/>
          <w:color w:val="auto"/>
          <w:spacing w:val="-10"/>
          <w:sz w:val="21"/>
          <w:szCs w:val="21"/>
          <w:highlight w:val="none"/>
        </w:rPr>
        <w:t xml:space="preserve">承包人应按照第 </w:t>
      </w:r>
      <w:r>
        <w:rPr>
          <w:rFonts w:hint="eastAsia" w:cs="宋体"/>
          <w:color w:val="auto"/>
          <w:sz w:val="21"/>
          <w:szCs w:val="21"/>
          <w:highlight w:val="none"/>
        </w:rPr>
        <w:t>22.2.5</w:t>
      </w:r>
      <w:r>
        <w:rPr>
          <w:rFonts w:hint="eastAsia" w:cs="宋体"/>
          <w:color w:val="auto"/>
          <w:spacing w:val="-8"/>
          <w:sz w:val="21"/>
          <w:szCs w:val="21"/>
          <w:highlight w:val="none"/>
        </w:rPr>
        <w:t xml:space="preserve"> 项约定撤离施工场地。已经订货的材料、设备由订货方负责退货或</w:t>
      </w:r>
      <w:r>
        <w:rPr>
          <w:rFonts w:hint="eastAsia" w:cs="宋体"/>
          <w:color w:val="auto"/>
          <w:spacing w:val="-11"/>
          <w:sz w:val="21"/>
          <w:szCs w:val="21"/>
          <w:highlight w:val="none"/>
        </w:rPr>
        <w:t>解除订货合同，不能退还的货款和因退货、解除订货合同发生的费用，由发包人承担，因未</w:t>
      </w:r>
      <w:r>
        <w:rPr>
          <w:rFonts w:hint="eastAsia" w:cs="宋体"/>
          <w:color w:val="auto"/>
          <w:spacing w:val="-7"/>
          <w:sz w:val="21"/>
          <w:szCs w:val="21"/>
          <w:highlight w:val="none"/>
        </w:rPr>
        <w:t xml:space="preserve">及时退货造成的损失由责任方承担。合同解除后的付款，参照第 </w:t>
      </w:r>
      <w:r>
        <w:rPr>
          <w:rFonts w:hint="eastAsia" w:cs="宋体"/>
          <w:color w:val="auto"/>
          <w:sz w:val="21"/>
          <w:szCs w:val="21"/>
          <w:highlight w:val="none"/>
        </w:rPr>
        <w:t>22.2.4</w:t>
      </w:r>
      <w:r>
        <w:rPr>
          <w:rFonts w:hint="eastAsia" w:cs="宋体"/>
          <w:color w:val="auto"/>
          <w:spacing w:val="-7"/>
          <w:sz w:val="21"/>
          <w:szCs w:val="21"/>
          <w:highlight w:val="none"/>
        </w:rPr>
        <w:t xml:space="preserve"> 项约定，由监理人</w:t>
      </w:r>
      <w:r>
        <w:rPr>
          <w:rFonts w:hint="eastAsia" w:cs="宋体"/>
          <w:color w:val="auto"/>
          <w:sz w:val="21"/>
          <w:szCs w:val="21"/>
          <w:highlight w:val="none"/>
        </w:rPr>
        <w:t>按第 3.5 款商定或确定。</w:t>
      </w:r>
    </w:p>
    <w:p>
      <w:pPr>
        <w:pStyle w:val="6"/>
        <w:widowControl/>
        <w:numPr>
          <w:ilvl w:val="0"/>
          <w:numId w:val="14"/>
        </w:numPr>
        <w:spacing w:before="62" w:after="0"/>
        <w:ind w:left="560" w:hanging="423"/>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违约</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承包人违约 </w:t>
      </w:r>
    </w:p>
    <w:p>
      <w:pPr>
        <w:pStyle w:val="20"/>
        <w:widowControl w:val="0"/>
        <w:autoSpaceDE w:val="0"/>
        <w:autoSpaceDN w:val="0"/>
        <w:spacing w:before="1" w:beforeAutospacing="0" w:after="0" w:afterAutospacing="0"/>
        <w:ind w:left="558"/>
        <w:rPr>
          <w:rFonts w:cs="宋体"/>
          <w:color w:val="auto"/>
          <w:sz w:val="21"/>
          <w:szCs w:val="21"/>
          <w:highlight w:val="none"/>
        </w:rPr>
      </w:pPr>
      <w:r>
        <w:rPr>
          <w:rFonts w:hint="eastAsia" w:cs="宋体"/>
          <w:color w:val="auto"/>
          <w:sz w:val="21"/>
          <w:szCs w:val="21"/>
          <w:highlight w:val="none"/>
        </w:rPr>
        <w:t xml:space="preserve">22.1.1 承包人违约的情形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在履行合同过程中发生的下列情况属承包人违约： </w:t>
      </w:r>
    </w:p>
    <w:p>
      <w:pPr>
        <w:pStyle w:val="20"/>
        <w:widowControl w:val="0"/>
        <w:numPr>
          <w:ilvl w:val="0"/>
          <w:numId w:val="106"/>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9"/>
          <w:sz w:val="21"/>
          <w:szCs w:val="21"/>
          <w:highlight w:val="none"/>
        </w:rPr>
        <w:t xml:space="preserve">承包人违反第 </w:t>
      </w:r>
      <w:r>
        <w:rPr>
          <w:rFonts w:hint="eastAsia" w:cs="宋体"/>
          <w:color w:val="auto"/>
          <w:sz w:val="21"/>
          <w:szCs w:val="21"/>
          <w:highlight w:val="none"/>
        </w:rPr>
        <w:t>1.8</w:t>
      </w:r>
      <w:r>
        <w:rPr>
          <w:rFonts w:hint="eastAsia" w:cs="宋体"/>
          <w:color w:val="auto"/>
          <w:spacing w:val="-18"/>
          <w:sz w:val="21"/>
          <w:szCs w:val="21"/>
          <w:highlight w:val="none"/>
        </w:rPr>
        <w:t xml:space="preserve"> 款或第 </w:t>
      </w:r>
      <w:r>
        <w:rPr>
          <w:rFonts w:hint="eastAsia" w:cs="宋体"/>
          <w:color w:val="auto"/>
          <w:sz w:val="21"/>
          <w:szCs w:val="21"/>
          <w:highlight w:val="none"/>
        </w:rPr>
        <w:t>4.3</w:t>
      </w:r>
      <w:r>
        <w:rPr>
          <w:rFonts w:hint="eastAsia" w:cs="宋体"/>
          <w:color w:val="auto"/>
          <w:spacing w:val="-8"/>
          <w:sz w:val="21"/>
          <w:szCs w:val="21"/>
          <w:highlight w:val="none"/>
        </w:rPr>
        <w:t xml:space="preserve"> 款的约定，私自将合同的全部或部分权利转让给其</w:t>
      </w:r>
      <w:r>
        <w:rPr>
          <w:rFonts w:hint="eastAsia" w:cs="宋体"/>
          <w:color w:val="auto"/>
          <w:spacing w:val="-5"/>
          <w:sz w:val="21"/>
          <w:szCs w:val="21"/>
          <w:highlight w:val="none"/>
        </w:rPr>
        <w:t>他人，或私自将合同的全部或部分义务转移给其他人；</w:t>
      </w:r>
    </w:p>
    <w:p>
      <w:pPr>
        <w:pStyle w:val="20"/>
        <w:widowControl w:val="0"/>
        <w:numPr>
          <w:ilvl w:val="0"/>
          <w:numId w:val="106"/>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9"/>
          <w:sz w:val="21"/>
          <w:szCs w:val="21"/>
          <w:highlight w:val="none"/>
        </w:rPr>
        <w:t xml:space="preserve">承包人违反第 </w:t>
      </w:r>
      <w:r>
        <w:rPr>
          <w:rFonts w:hint="eastAsia" w:cs="宋体"/>
          <w:color w:val="auto"/>
          <w:sz w:val="21"/>
          <w:szCs w:val="21"/>
          <w:highlight w:val="none"/>
        </w:rPr>
        <w:t>5.3</w:t>
      </w:r>
      <w:r>
        <w:rPr>
          <w:rFonts w:hint="eastAsia" w:cs="宋体"/>
          <w:color w:val="auto"/>
          <w:spacing w:val="-18"/>
          <w:sz w:val="21"/>
          <w:szCs w:val="21"/>
          <w:highlight w:val="none"/>
        </w:rPr>
        <w:t xml:space="preserve"> 款或第 </w:t>
      </w:r>
      <w:r>
        <w:rPr>
          <w:rFonts w:hint="eastAsia" w:cs="宋体"/>
          <w:color w:val="auto"/>
          <w:sz w:val="21"/>
          <w:szCs w:val="21"/>
          <w:highlight w:val="none"/>
        </w:rPr>
        <w:t>6.4</w:t>
      </w:r>
      <w:r>
        <w:rPr>
          <w:rFonts w:hint="eastAsia" w:cs="宋体"/>
          <w:color w:val="auto"/>
          <w:spacing w:val="-8"/>
          <w:sz w:val="21"/>
          <w:szCs w:val="21"/>
          <w:highlight w:val="none"/>
        </w:rPr>
        <w:t xml:space="preserve"> 款的约定，未经监理人批准，私自将已按合同约定</w:t>
      </w:r>
      <w:r>
        <w:rPr>
          <w:rFonts w:hint="eastAsia" w:cs="宋体"/>
          <w:color w:val="auto"/>
          <w:spacing w:val="-5"/>
          <w:sz w:val="21"/>
          <w:szCs w:val="21"/>
          <w:highlight w:val="none"/>
        </w:rPr>
        <w:t>进入施工场地的施工设备、临时设施或材料撤离施工场地；</w:t>
      </w:r>
    </w:p>
    <w:p>
      <w:pPr>
        <w:pStyle w:val="20"/>
        <w:widowControl w:val="0"/>
        <w:numPr>
          <w:ilvl w:val="0"/>
          <w:numId w:val="106"/>
        </w:numPr>
        <w:autoSpaceDE w:val="0"/>
        <w:autoSpaceDN w:val="0"/>
        <w:spacing w:before="0" w:beforeAutospacing="0" w:after="0" w:afterAutospacing="0" w:line="415" w:lineRule="auto"/>
        <w:ind w:right="308" w:firstLine="419"/>
        <w:rPr>
          <w:rFonts w:cs="宋体"/>
          <w:color w:val="auto"/>
          <w:sz w:val="21"/>
          <w:szCs w:val="21"/>
          <w:highlight w:val="none"/>
        </w:rPr>
      </w:pPr>
      <w:r>
        <w:rPr>
          <w:rFonts w:hint="eastAsia" w:cs="宋体"/>
          <w:color w:val="auto"/>
          <w:spacing w:val="-7"/>
          <w:sz w:val="21"/>
          <w:szCs w:val="21"/>
          <w:highlight w:val="none"/>
        </w:rPr>
        <w:t xml:space="preserve">承包人违反第 </w:t>
      </w:r>
      <w:r>
        <w:rPr>
          <w:rFonts w:hint="eastAsia" w:cs="宋体"/>
          <w:color w:val="auto"/>
          <w:sz w:val="21"/>
          <w:szCs w:val="21"/>
          <w:highlight w:val="none"/>
        </w:rPr>
        <w:t>5.4</w:t>
      </w:r>
      <w:r>
        <w:rPr>
          <w:rFonts w:hint="eastAsia" w:cs="宋体"/>
          <w:color w:val="auto"/>
          <w:spacing w:val="-7"/>
          <w:sz w:val="21"/>
          <w:szCs w:val="21"/>
          <w:highlight w:val="none"/>
        </w:rPr>
        <w:t xml:space="preserve"> 款的约定使用了不合格材料或工程设备，工程质量达不到标准</w:t>
      </w:r>
      <w:r>
        <w:rPr>
          <w:rFonts w:hint="eastAsia" w:cs="宋体"/>
          <w:color w:val="auto"/>
          <w:spacing w:val="-5"/>
          <w:sz w:val="21"/>
          <w:szCs w:val="21"/>
          <w:highlight w:val="none"/>
        </w:rPr>
        <w:t>要求，又拒绝清除不合格工程；</w:t>
      </w:r>
    </w:p>
    <w:p>
      <w:pPr>
        <w:pStyle w:val="20"/>
        <w:widowControl w:val="0"/>
        <w:numPr>
          <w:ilvl w:val="0"/>
          <w:numId w:val="106"/>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承包人未能按合同进度计划及时完成合同约定的工作，已造成或预期造成工期延误；</w:t>
      </w:r>
    </w:p>
    <w:p>
      <w:pPr>
        <w:pStyle w:val="20"/>
        <w:widowControl w:val="0"/>
        <w:numPr>
          <w:ilvl w:val="0"/>
          <w:numId w:val="106"/>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承包人在缺陷责任期内，未能对工程接收证书所列的缺陷清单的内容或缺陷责任期内发生的缺陷进行修复，而又拒绝按监理人指示再进行修补；</w:t>
      </w:r>
    </w:p>
    <w:p>
      <w:pPr>
        <w:pStyle w:val="20"/>
        <w:widowControl w:val="0"/>
        <w:numPr>
          <w:ilvl w:val="0"/>
          <w:numId w:val="106"/>
        </w:numPr>
        <w:autoSpaceDE w:val="0"/>
        <w:autoSpaceDN w:val="0"/>
        <w:spacing w:before="0" w:beforeAutospacing="0" w:after="0" w:afterAutospacing="0"/>
        <w:ind w:left="1087"/>
        <w:rPr>
          <w:rFonts w:cs="宋体"/>
          <w:color w:val="auto"/>
          <w:sz w:val="21"/>
          <w:szCs w:val="21"/>
          <w:highlight w:val="none"/>
        </w:rPr>
      </w:pPr>
      <w:r>
        <w:rPr>
          <w:rFonts w:hint="eastAsia" w:cs="宋体"/>
          <w:color w:val="auto"/>
          <w:spacing w:val="-3"/>
          <w:sz w:val="21"/>
          <w:szCs w:val="21"/>
          <w:highlight w:val="none"/>
        </w:rPr>
        <w:t xml:space="preserve">承包人无法继续履行或明确表示不履行或实质上已停止履行合同； </w:t>
      </w:r>
    </w:p>
    <w:p>
      <w:pPr>
        <w:pStyle w:val="20"/>
        <w:widowControl w:val="0"/>
        <w:numPr>
          <w:ilvl w:val="0"/>
          <w:numId w:val="106"/>
        </w:numPr>
        <w:autoSpaceDE w:val="0"/>
        <w:autoSpaceDN w:val="0"/>
        <w:spacing w:before="0" w:beforeAutospacing="0" w:after="0" w:afterAutospacing="0" w:line="415" w:lineRule="auto"/>
        <w:ind w:left="558" w:right="3585" w:firstLine="0"/>
        <w:rPr>
          <w:rFonts w:cs="宋体"/>
          <w:color w:val="auto"/>
          <w:sz w:val="21"/>
          <w:szCs w:val="21"/>
          <w:highlight w:val="none"/>
        </w:rPr>
      </w:pPr>
      <w:r>
        <w:rPr>
          <w:rFonts w:hint="eastAsia" w:cs="宋体"/>
          <w:color w:val="auto"/>
          <w:spacing w:val="-3"/>
          <w:sz w:val="21"/>
          <w:szCs w:val="21"/>
          <w:highlight w:val="none"/>
        </w:rPr>
        <w:t>承包人不按合同约定履行义务的其他情况。</w:t>
      </w:r>
      <w:r>
        <w:rPr>
          <w:rFonts w:hint="eastAsia" w:cs="宋体"/>
          <w:color w:val="auto"/>
          <w:sz w:val="21"/>
          <w:szCs w:val="21"/>
          <w:highlight w:val="none"/>
        </w:rPr>
        <w:t>22.1.2</w:t>
      </w:r>
      <w:r>
        <w:rPr>
          <w:rFonts w:hint="eastAsia" w:cs="宋体"/>
          <w:color w:val="auto"/>
          <w:spacing w:val="-3"/>
          <w:sz w:val="21"/>
          <w:szCs w:val="21"/>
          <w:highlight w:val="none"/>
        </w:rPr>
        <w:t xml:space="preserve"> 对承包人违约的处理</w:t>
      </w:r>
    </w:p>
    <w:p>
      <w:pPr>
        <w:pStyle w:val="20"/>
        <w:widowControl w:val="0"/>
        <w:numPr>
          <w:ilvl w:val="0"/>
          <w:numId w:val="107"/>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2"/>
          <w:sz w:val="21"/>
          <w:szCs w:val="21"/>
          <w:highlight w:val="none"/>
        </w:rPr>
        <w:t xml:space="preserve">承包人发生第 </w:t>
      </w:r>
      <w:r>
        <w:rPr>
          <w:rFonts w:hint="eastAsia" w:cs="宋体"/>
          <w:color w:val="auto"/>
          <w:sz w:val="21"/>
          <w:szCs w:val="21"/>
          <w:highlight w:val="none"/>
        </w:rPr>
        <w:t>22.1.1（6）</w:t>
      </w:r>
      <w:r>
        <w:rPr>
          <w:rFonts w:hint="eastAsia" w:cs="宋体"/>
          <w:color w:val="auto"/>
          <w:spacing w:val="-3"/>
          <w:sz w:val="21"/>
          <w:szCs w:val="21"/>
          <w:highlight w:val="none"/>
        </w:rPr>
        <w:t xml:space="preserve">目约定的违约情况时，发包人可通知承包人立即解除合同，并按有关法律处理。 </w:t>
      </w:r>
    </w:p>
    <w:p>
      <w:pPr>
        <w:pStyle w:val="20"/>
        <w:widowControl w:val="0"/>
        <w:numPr>
          <w:ilvl w:val="0"/>
          <w:numId w:val="107"/>
        </w:numPr>
        <w:autoSpaceDE w:val="0"/>
        <w:autoSpaceDN w:val="0"/>
        <w:spacing w:before="0" w:beforeAutospacing="0" w:after="0" w:afterAutospacing="0" w:line="415" w:lineRule="auto"/>
        <w:ind w:right="205" w:firstLine="419"/>
        <w:rPr>
          <w:rFonts w:cs="宋体"/>
          <w:color w:val="auto"/>
          <w:sz w:val="21"/>
          <w:szCs w:val="21"/>
          <w:highlight w:val="none"/>
        </w:rPr>
      </w:pPr>
      <w:r>
        <w:rPr>
          <w:rFonts w:hint="eastAsia" w:cs="宋体"/>
          <w:color w:val="auto"/>
          <w:sz w:val="21"/>
          <w:szCs w:val="21"/>
          <w:highlight w:val="none"/>
        </w:rPr>
        <w:t>承包人发生除第 22.1.1（6）</w:t>
      </w:r>
      <w:r>
        <w:rPr>
          <w:rFonts w:hint="eastAsia" w:cs="宋体"/>
          <w:color w:val="auto"/>
          <w:spacing w:val="-3"/>
          <w:sz w:val="21"/>
          <w:szCs w:val="21"/>
          <w:highlight w:val="none"/>
        </w:rPr>
        <w:t>目约定以外的其他违约情况时，监理人可向承包人</w:t>
      </w:r>
      <w:r>
        <w:rPr>
          <w:rFonts w:hint="eastAsia" w:cs="宋体"/>
          <w:color w:val="auto"/>
          <w:spacing w:val="-15"/>
          <w:sz w:val="21"/>
          <w:szCs w:val="21"/>
          <w:highlight w:val="none"/>
        </w:rPr>
        <w:t>发出整改通知，要求其在指定的期限内改正。承包人应承担其违约所引起的费用增加和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z w:val="21"/>
          <w:szCs w:val="21"/>
          <w:highlight w:val="none"/>
        </w:rPr>
        <w:t xml:space="preserve">） </w:t>
      </w:r>
      <w:r>
        <w:rPr>
          <w:rFonts w:hint="eastAsia" w:cs="宋体"/>
          <w:color w:val="auto"/>
          <w:spacing w:val="-2"/>
          <w:sz w:val="21"/>
          <w:szCs w:val="21"/>
          <w:highlight w:val="none"/>
        </w:rPr>
        <w:t>工期延误。</w:t>
      </w:r>
    </w:p>
    <w:p>
      <w:pPr>
        <w:pStyle w:val="20"/>
        <w:widowControl w:val="0"/>
        <w:numPr>
          <w:ilvl w:val="0"/>
          <w:numId w:val="107"/>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经检查证明承包人已采取了有效措施纠正违约行为，具备复工条件的，可由监理人签发复工通知复工。</w:t>
      </w:r>
    </w:p>
    <w:p>
      <w:pPr>
        <w:pStyle w:val="20"/>
        <w:widowControl w:val="0"/>
        <w:numPr>
          <w:ilvl w:val="2"/>
          <w:numId w:val="108"/>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承包人违约解除合同</w:t>
      </w:r>
    </w:p>
    <w:p>
      <w:pPr>
        <w:pStyle w:val="20"/>
        <w:widowControl w:val="0"/>
        <w:autoSpaceDE w:val="0"/>
        <w:autoSpaceDN w:val="0"/>
        <w:spacing w:before="0" w:beforeAutospacing="0" w:after="0" w:afterAutospacing="0" w:line="415" w:lineRule="auto"/>
        <w:ind w:left="138" w:right="205" w:firstLine="419"/>
        <w:rPr>
          <w:rFonts w:cs="宋体"/>
          <w:color w:val="auto"/>
          <w:sz w:val="21"/>
          <w:szCs w:val="21"/>
          <w:highlight w:val="none"/>
        </w:rPr>
      </w:pPr>
      <w:r>
        <w:rPr>
          <w:rFonts w:hint="eastAsia" w:cs="宋体"/>
          <w:color w:val="auto"/>
          <w:spacing w:val="-7"/>
          <w:sz w:val="21"/>
          <w:szCs w:val="21"/>
          <w:highlight w:val="none"/>
        </w:rPr>
        <w:t xml:space="preserve">监理人发出整改通知 </w:t>
      </w:r>
      <w:r>
        <w:rPr>
          <w:rFonts w:hint="eastAsia" w:cs="宋体"/>
          <w:color w:val="auto"/>
          <w:sz w:val="21"/>
          <w:szCs w:val="21"/>
          <w:highlight w:val="none"/>
        </w:rPr>
        <w:t>28</w:t>
      </w:r>
      <w:r>
        <w:rPr>
          <w:rFonts w:hint="eastAsia" w:cs="宋体"/>
          <w:color w:val="auto"/>
          <w:spacing w:val="-8"/>
          <w:sz w:val="21"/>
          <w:szCs w:val="21"/>
          <w:highlight w:val="none"/>
        </w:rPr>
        <w:t xml:space="preserve"> 天后，承包人仍不纠正违约行为的，发包人可向承包人发出解</w:t>
      </w:r>
      <w:r>
        <w:rPr>
          <w:rFonts w:hint="eastAsia" w:cs="宋体"/>
          <w:color w:val="auto"/>
          <w:spacing w:val="-12"/>
          <w:sz w:val="21"/>
          <w:szCs w:val="21"/>
          <w:highlight w:val="none"/>
        </w:rPr>
        <w:t>除合同通知。合同解除后，发包人可派员进驻施工场地，另行组织人员或委托其他承包人施</w:t>
      </w:r>
      <w:r>
        <w:rPr>
          <w:rFonts w:hint="eastAsia" w:cs="宋体"/>
          <w:color w:val="auto"/>
          <w:spacing w:val="-17"/>
          <w:sz w:val="21"/>
          <w:szCs w:val="21"/>
          <w:highlight w:val="none"/>
        </w:rPr>
        <w:t>工。发包人因继续完成该工程的需要，有权扣留使用承包人在现场的材料、设备和临时设施。</w:t>
      </w:r>
      <w:r>
        <w:rPr>
          <w:rFonts w:hint="eastAsia" w:cs="宋体"/>
          <w:color w:val="auto"/>
          <w:spacing w:val="-11"/>
          <w:sz w:val="21"/>
          <w:szCs w:val="21"/>
          <w:highlight w:val="none"/>
        </w:rPr>
        <w:t>但发包人的这一行动不免除承包人应承担的违约责任，也不影响发包人根据合同约定享有的</w:t>
      </w:r>
      <w:r>
        <w:rPr>
          <w:rFonts w:hint="eastAsia" w:cs="宋体"/>
          <w:color w:val="auto"/>
          <w:sz w:val="21"/>
          <w:szCs w:val="21"/>
          <w:highlight w:val="none"/>
        </w:rPr>
        <w:t xml:space="preserve">索赔权利。 </w:t>
      </w:r>
    </w:p>
    <w:p>
      <w:pPr>
        <w:pStyle w:val="20"/>
        <w:widowControl w:val="0"/>
        <w:numPr>
          <w:ilvl w:val="2"/>
          <w:numId w:val="108"/>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合同解除后的估价、付款和结清</w:t>
      </w:r>
    </w:p>
    <w:p>
      <w:pPr>
        <w:pStyle w:val="20"/>
        <w:widowControl w:val="0"/>
        <w:numPr>
          <w:ilvl w:val="0"/>
          <w:numId w:val="109"/>
        </w:numPr>
        <w:autoSpaceDE w:val="0"/>
        <w:autoSpaceDN w:val="0"/>
        <w:spacing w:before="1" w:beforeAutospacing="0" w:after="0" w:afterAutospacing="0" w:line="415" w:lineRule="auto"/>
        <w:ind w:right="309" w:firstLine="419"/>
        <w:rPr>
          <w:rFonts w:cs="宋体"/>
          <w:color w:val="auto"/>
          <w:sz w:val="21"/>
          <w:szCs w:val="21"/>
          <w:highlight w:val="none"/>
        </w:rPr>
      </w:pPr>
      <w:r>
        <w:rPr>
          <w:rFonts w:hint="eastAsia" w:cs="宋体"/>
          <w:color w:val="auto"/>
          <w:spacing w:val="-5"/>
          <w:sz w:val="21"/>
          <w:szCs w:val="21"/>
          <w:highlight w:val="none"/>
        </w:rPr>
        <w:t xml:space="preserve">合同解除后，监理人按第 </w:t>
      </w:r>
      <w:r>
        <w:rPr>
          <w:rFonts w:hint="eastAsia" w:cs="宋体"/>
          <w:color w:val="auto"/>
          <w:sz w:val="21"/>
          <w:szCs w:val="21"/>
          <w:highlight w:val="none"/>
        </w:rPr>
        <w:t>3.5</w:t>
      </w:r>
      <w:r>
        <w:rPr>
          <w:rFonts w:hint="eastAsia" w:cs="宋体"/>
          <w:color w:val="auto"/>
          <w:spacing w:val="-7"/>
          <w:sz w:val="21"/>
          <w:szCs w:val="21"/>
          <w:highlight w:val="none"/>
        </w:rPr>
        <w:t xml:space="preserve"> 款商定或确定承包人实际完成工作的价值，以及承</w:t>
      </w:r>
      <w:r>
        <w:rPr>
          <w:rFonts w:hint="eastAsia" w:cs="宋体"/>
          <w:color w:val="auto"/>
          <w:spacing w:val="-5"/>
          <w:sz w:val="21"/>
          <w:szCs w:val="21"/>
          <w:highlight w:val="none"/>
        </w:rPr>
        <w:t>包人已提供的材料、施工设备、工程设备和临时工程等的价值。</w:t>
      </w:r>
    </w:p>
    <w:p>
      <w:pPr>
        <w:pStyle w:val="20"/>
        <w:widowControl w:val="0"/>
        <w:numPr>
          <w:ilvl w:val="0"/>
          <w:numId w:val="109"/>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 xml:space="preserve">合同解除后，发包人应暂停对承包人的一切付款，查清各项付款和已扣款金额， 包括承包人应支付的违约金。 </w:t>
      </w:r>
    </w:p>
    <w:p>
      <w:pPr>
        <w:pStyle w:val="20"/>
        <w:widowControl w:val="0"/>
        <w:numPr>
          <w:ilvl w:val="0"/>
          <w:numId w:val="109"/>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11"/>
          <w:sz w:val="21"/>
          <w:szCs w:val="21"/>
          <w:highlight w:val="none"/>
        </w:rPr>
        <w:t xml:space="preserve">合同解除后，发包人应按第 </w:t>
      </w:r>
      <w:r>
        <w:rPr>
          <w:rFonts w:hint="eastAsia" w:cs="宋体"/>
          <w:color w:val="auto"/>
          <w:sz w:val="21"/>
          <w:szCs w:val="21"/>
          <w:highlight w:val="none"/>
        </w:rPr>
        <w:t>23.4</w:t>
      </w:r>
      <w:r>
        <w:rPr>
          <w:rFonts w:hint="eastAsia" w:cs="宋体"/>
          <w:color w:val="auto"/>
          <w:spacing w:val="-8"/>
          <w:sz w:val="21"/>
          <w:szCs w:val="21"/>
          <w:highlight w:val="none"/>
        </w:rPr>
        <w:t xml:space="preserve"> 款的约定向承包人索赔由于解除合同给发包人</w:t>
      </w:r>
      <w:r>
        <w:rPr>
          <w:rFonts w:hint="eastAsia" w:cs="宋体"/>
          <w:color w:val="auto"/>
          <w:spacing w:val="-2"/>
          <w:sz w:val="21"/>
          <w:szCs w:val="21"/>
          <w:highlight w:val="none"/>
        </w:rPr>
        <w:t>造成的损失。</w:t>
      </w:r>
    </w:p>
    <w:p>
      <w:pPr>
        <w:pStyle w:val="20"/>
        <w:widowControl w:val="0"/>
        <w:numPr>
          <w:ilvl w:val="0"/>
          <w:numId w:val="109"/>
        </w:numPr>
        <w:autoSpaceDE w:val="0"/>
        <w:autoSpaceDN w:val="0"/>
        <w:spacing w:before="0" w:beforeAutospacing="0" w:after="0" w:afterAutospacing="0"/>
        <w:ind w:left="1087"/>
        <w:rPr>
          <w:rFonts w:cs="宋体"/>
          <w:color w:val="auto"/>
          <w:sz w:val="21"/>
          <w:szCs w:val="21"/>
          <w:highlight w:val="none"/>
        </w:rPr>
      </w:pPr>
      <w:r>
        <w:rPr>
          <w:rFonts w:hint="eastAsia" w:cs="宋体"/>
          <w:color w:val="auto"/>
          <w:spacing w:val="-3"/>
          <w:sz w:val="21"/>
          <w:szCs w:val="21"/>
          <w:highlight w:val="none"/>
        </w:rPr>
        <w:t>合同双方确认上述往来款项后，出具最终结清付款证书，结清全部合同款项。</w:t>
      </w:r>
    </w:p>
    <w:p>
      <w:pPr>
        <w:pStyle w:val="20"/>
        <w:widowControl w:val="0"/>
        <w:numPr>
          <w:ilvl w:val="0"/>
          <w:numId w:val="109"/>
        </w:numPr>
        <w:autoSpaceDE w:val="0"/>
        <w:autoSpaceDN w:val="0"/>
        <w:spacing w:before="0" w:beforeAutospacing="0" w:after="0" w:afterAutospacing="0" w:line="415" w:lineRule="auto"/>
        <w:ind w:right="308" w:firstLine="419"/>
        <w:rPr>
          <w:rFonts w:cs="宋体"/>
          <w:color w:val="auto"/>
          <w:sz w:val="21"/>
          <w:szCs w:val="21"/>
          <w:highlight w:val="none"/>
        </w:rPr>
      </w:pPr>
      <w:r>
        <w:rPr>
          <w:rFonts w:hint="eastAsia" w:cs="宋体"/>
          <w:color w:val="auto"/>
          <w:spacing w:val="-7"/>
          <w:sz w:val="21"/>
          <w:szCs w:val="21"/>
          <w:highlight w:val="none"/>
        </w:rPr>
        <w:t xml:space="preserve">发包人和承包人未能就解除合同后的结清达成一致而形成争议的，按第 </w:t>
      </w:r>
      <w:r>
        <w:rPr>
          <w:rFonts w:hint="eastAsia" w:cs="宋体"/>
          <w:color w:val="auto"/>
          <w:sz w:val="21"/>
          <w:szCs w:val="21"/>
          <w:highlight w:val="none"/>
        </w:rPr>
        <w:t>24</w:t>
      </w:r>
      <w:r>
        <w:rPr>
          <w:rFonts w:hint="eastAsia" w:cs="宋体"/>
          <w:color w:val="auto"/>
          <w:spacing w:val="-17"/>
          <w:sz w:val="21"/>
          <w:szCs w:val="21"/>
          <w:highlight w:val="none"/>
        </w:rPr>
        <w:t xml:space="preserve"> 条的</w:t>
      </w:r>
      <w:r>
        <w:rPr>
          <w:rFonts w:hint="eastAsia" w:cs="宋体"/>
          <w:color w:val="auto"/>
          <w:spacing w:val="-2"/>
          <w:sz w:val="21"/>
          <w:szCs w:val="21"/>
          <w:highlight w:val="none"/>
        </w:rPr>
        <w:t>约定办理。</w:t>
      </w:r>
    </w:p>
    <w:p>
      <w:pPr>
        <w:pStyle w:val="20"/>
        <w:widowControl w:val="0"/>
        <w:numPr>
          <w:ilvl w:val="2"/>
          <w:numId w:val="108"/>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协议利益的转让</w:t>
      </w:r>
    </w:p>
    <w:p>
      <w:pPr>
        <w:pStyle w:val="20"/>
        <w:widowControl w:val="0"/>
        <w:autoSpaceDE w:val="0"/>
        <w:autoSpaceDN w:val="0"/>
        <w:spacing w:before="1" w:beforeAutospacing="0" w:after="0" w:afterAutospacing="0" w:line="415" w:lineRule="auto"/>
        <w:ind w:left="138" w:right="309" w:firstLine="419"/>
        <w:jc w:val="both"/>
        <w:rPr>
          <w:rFonts w:cs="宋体"/>
          <w:color w:val="auto"/>
          <w:sz w:val="21"/>
          <w:szCs w:val="21"/>
          <w:highlight w:val="none"/>
        </w:rPr>
      </w:pPr>
      <w:r>
        <w:rPr>
          <w:rFonts w:hint="eastAsia" w:cs="宋体"/>
          <w:color w:val="auto"/>
          <w:spacing w:val="-11"/>
          <w:sz w:val="21"/>
          <w:szCs w:val="21"/>
          <w:highlight w:val="none"/>
        </w:rPr>
        <w:t>因承包人违约解除合同的，发包人有权要求承包人将其为实施合同而签订的材料和设备</w:t>
      </w:r>
      <w:r>
        <w:rPr>
          <w:rFonts w:hint="eastAsia" w:cs="宋体"/>
          <w:color w:val="auto"/>
          <w:spacing w:val="-7"/>
          <w:sz w:val="21"/>
          <w:szCs w:val="21"/>
          <w:highlight w:val="none"/>
        </w:rPr>
        <w:t xml:space="preserve">的订货协议或任何服务协议利益转让给发包人，并在解除合同后的 </w:t>
      </w:r>
      <w:r>
        <w:rPr>
          <w:rFonts w:hint="eastAsia" w:cs="宋体"/>
          <w:color w:val="auto"/>
          <w:sz w:val="21"/>
          <w:szCs w:val="21"/>
          <w:highlight w:val="none"/>
        </w:rPr>
        <w:t>14</w:t>
      </w:r>
      <w:r>
        <w:rPr>
          <w:rFonts w:hint="eastAsia" w:cs="宋体"/>
          <w:color w:val="auto"/>
          <w:spacing w:val="-7"/>
          <w:sz w:val="21"/>
          <w:szCs w:val="21"/>
          <w:highlight w:val="none"/>
        </w:rPr>
        <w:t xml:space="preserve"> 天内，依法办理转让</w:t>
      </w:r>
      <w:r>
        <w:rPr>
          <w:rFonts w:hint="eastAsia" w:cs="宋体"/>
          <w:color w:val="auto"/>
          <w:spacing w:val="-6"/>
          <w:sz w:val="21"/>
          <w:szCs w:val="21"/>
          <w:highlight w:val="none"/>
        </w:rPr>
        <w:t xml:space="preserve">手续。 </w:t>
      </w:r>
    </w:p>
    <w:p>
      <w:pPr>
        <w:pStyle w:val="20"/>
        <w:widowControl w:val="0"/>
        <w:numPr>
          <w:ilvl w:val="2"/>
          <w:numId w:val="108"/>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 xml:space="preserve">紧急情况下无能力或不愿进行抢救 </w:t>
      </w:r>
    </w:p>
    <w:p>
      <w:pPr>
        <w:pStyle w:val="20"/>
        <w:widowControl w:val="0"/>
        <w:autoSpaceDE w:val="0"/>
        <w:autoSpaceDN w:val="0"/>
        <w:spacing w:before="0" w:beforeAutospacing="0" w:after="0" w:afterAutospacing="0" w:line="415" w:lineRule="auto"/>
        <w:ind w:left="138" w:right="310" w:firstLine="419"/>
        <w:jc w:val="both"/>
        <w:rPr>
          <w:rFonts w:cs="宋体"/>
          <w:color w:val="auto"/>
          <w:sz w:val="21"/>
          <w:szCs w:val="21"/>
          <w:highlight w:val="none"/>
        </w:rPr>
      </w:pPr>
      <w:r>
        <w:rPr>
          <w:rFonts w:hint="eastAsia" w:cs="宋体"/>
          <w:color w:val="auto"/>
          <w:sz w:val="21"/>
          <w:szCs w:val="21"/>
          <w:highlight w:val="none"/>
        </w:rPr>
        <w:t>在工程实施期间或缺陷责任期内发生危及工程安全的事件，监理人通知承包人进行抢</w:t>
      </w:r>
      <w:r>
        <w:rPr>
          <w:rFonts w:hint="eastAsia" w:cs="宋体"/>
          <w:color w:val="auto"/>
          <w:spacing w:val="-10"/>
          <w:sz w:val="21"/>
          <w:szCs w:val="21"/>
          <w:highlight w:val="none"/>
        </w:rPr>
        <w:t>救，承包人声明无能力或不愿立即执行的，发包人有权雇佣其他人员进行抢救。此类抢救按</w:t>
      </w:r>
      <w:r>
        <w:rPr>
          <w:rFonts w:hint="eastAsia" w:cs="宋体"/>
          <w:color w:val="auto"/>
          <w:spacing w:val="-5"/>
          <w:sz w:val="21"/>
          <w:szCs w:val="21"/>
          <w:highlight w:val="none"/>
        </w:rPr>
        <w:t>合同约定属于承包人义务的，由此发生的金额和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3"/>
          <w:sz w:val="21"/>
          <w:szCs w:val="21"/>
          <w:highlight w:val="none"/>
        </w:rPr>
        <w:t>工期延误由承包人承担。</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发包人违约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22.2.1 发包人违约的情形 </w:t>
      </w:r>
    </w:p>
    <w:p>
      <w:pPr>
        <w:pStyle w:val="20"/>
        <w:widowControl w:val="0"/>
        <w:autoSpaceDE w:val="0"/>
        <w:autoSpaceDN w:val="0"/>
        <w:spacing w:before="0" w:beforeAutospacing="0" w:after="0" w:afterAutospacing="0"/>
        <w:ind w:left="558"/>
        <w:rPr>
          <w:rFonts w:cs="宋体"/>
          <w:color w:val="auto"/>
          <w:sz w:val="21"/>
          <w:szCs w:val="21"/>
          <w:highlight w:val="none"/>
        </w:rPr>
      </w:pPr>
      <w:r>
        <w:rPr>
          <w:rFonts w:hint="eastAsia" w:cs="宋体"/>
          <w:color w:val="auto"/>
          <w:sz w:val="21"/>
          <w:szCs w:val="21"/>
          <w:highlight w:val="none"/>
        </w:rPr>
        <w:t xml:space="preserve">在履行合同过程中发生的下列情形，属发包人违约： </w:t>
      </w:r>
    </w:p>
    <w:p>
      <w:pPr>
        <w:pStyle w:val="20"/>
        <w:widowControl w:val="0"/>
        <w:numPr>
          <w:ilvl w:val="0"/>
          <w:numId w:val="110"/>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 xml:space="preserve">发包人未能按合同约定支付预付款或合同价款，或拖延、拒绝批准付款申请和支付凭证，导致付款延误的； </w:t>
      </w:r>
    </w:p>
    <w:p>
      <w:pPr>
        <w:pStyle w:val="20"/>
        <w:widowControl w:val="0"/>
        <w:numPr>
          <w:ilvl w:val="0"/>
          <w:numId w:val="110"/>
        </w:numPr>
        <w:autoSpaceDE w:val="0"/>
        <w:autoSpaceDN w:val="0"/>
        <w:spacing w:before="0" w:beforeAutospacing="0" w:after="0" w:afterAutospacing="0" w:line="269" w:lineRule="exact"/>
        <w:ind w:left="1087"/>
        <w:rPr>
          <w:rFonts w:cs="宋体"/>
          <w:color w:val="auto"/>
          <w:sz w:val="21"/>
          <w:szCs w:val="21"/>
          <w:highlight w:val="none"/>
        </w:rPr>
      </w:pPr>
      <w:r>
        <w:rPr>
          <w:rFonts w:hint="eastAsia" w:cs="宋体"/>
          <w:color w:val="auto"/>
          <w:spacing w:val="-3"/>
          <w:sz w:val="21"/>
          <w:szCs w:val="21"/>
          <w:highlight w:val="none"/>
        </w:rPr>
        <w:t>发包人原因造成停工的；</w:t>
      </w:r>
    </w:p>
    <w:p>
      <w:pPr>
        <w:pStyle w:val="20"/>
        <w:widowControl w:val="0"/>
        <w:numPr>
          <w:ilvl w:val="0"/>
          <w:numId w:val="110"/>
        </w:numPr>
        <w:autoSpaceDE w:val="0"/>
        <w:autoSpaceDN w:val="0"/>
        <w:spacing w:before="0" w:beforeAutospacing="0" w:after="0" w:afterAutospacing="0"/>
        <w:ind w:left="1087"/>
        <w:rPr>
          <w:rFonts w:cs="宋体"/>
          <w:color w:val="auto"/>
          <w:sz w:val="21"/>
          <w:szCs w:val="21"/>
          <w:highlight w:val="none"/>
        </w:rPr>
      </w:pPr>
      <w:r>
        <w:rPr>
          <w:rFonts w:hint="eastAsia" w:cs="宋体"/>
          <w:color w:val="auto"/>
          <w:spacing w:val="-3"/>
          <w:sz w:val="21"/>
          <w:szCs w:val="21"/>
          <w:highlight w:val="none"/>
        </w:rPr>
        <w:t>监理人无正当理由没有在约定期限内发出复工指示，导致承包人无法复工的；</w:t>
      </w:r>
    </w:p>
    <w:p>
      <w:pPr>
        <w:pStyle w:val="20"/>
        <w:widowControl w:val="0"/>
        <w:numPr>
          <w:ilvl w:val="0"/>
          <w:numId w:val="110"/>
        </w:numPr>
        <w:autoSpaceDE w:val="0"/>
        <w:autoSpaceDN w:val="0"/>
        <w:spacing w:before="0" w:beforeAutospacing="0" w:after="0" w:afterAutospacing="0"/>
        <w:ind w:left="1087"/>
        <w:rPr>
          <w:rFonts w:cs="宋体"/>
          <w:color w:val="auto"/>
          <w:sz w:val="21"/>
          <w:szCs w:val="21"/>
          <w:highlight w:val="none"/>
        </w:rPr>
      </w:pPr>
      <w:r>
        <w:rPr>
          <w:rFonts w:hint="eastAsia" w:cs="宋体"/>
          <w:color w:val="auto"/>
          <w:spacing w:val="-3"/>
          <w:sz w:val="21"/>
          <w:szCs w:val="21"/>
          <w:highlight w:val="none"/>
        </w:rPr>
        <w:t xml:space="preserve">发包人无法继续履行或明确表示不履行或实质上已停止履行合同的； </w:t>
      </w:r>
    </w:p>
    <w:p>
      <w:pPr>
        <w:pStyle w:val="20"/>
        <w:widowControl w:val="0"/>
        <w:numPr>
          <w:ilvl w:val="0"/>
          <w:numId w:val="110"/>
        </w:numPr>
        <w:autoSpaceDE w:val="0"/>
        <w:autoSpaceDN w:val="0"/>
        <w:spacing w:before="0" w:beforeAutospacing="0" w:after="0" w:afterAutospacing="0" w:line="415" w:lineRule="auto"/>
        <w:ind w:left="558" w:right="4214" w:firstLine="0"/>
        <w:rPr>
          <w:rFonts w:cs="宋体"/>
          <w:color w:val="auto"/>
          <w:sz w:val="21"/>
          <w:szCs w:val="21"/>
          <w:highlight w:val="none"/>
        </w:rPr>
      </w:pPr>
      <w:r>
        <w:rPr>
          <w:rFonts w:hint="eastAsia" w:cs="宋体"/>
          <w:color w:val="auto"/>
          <w:spacing w:val="-3"/>
          <w:sz w:val="21"/>
          <w:szCs w:val="21"/>
          <w:highlight w:val="none"/>
        </w:rPr>
        <w:t>发包人不履行合同约定其他义务的。</w:t>
      </w:r>
      <w:r>
        <w:rPr>
          <w:rFonts w:hint="eastAsia" w:cs="宋体"/>
          <w:color w:val="auto"/>
          <w:sz w:val="21"/>
          <w:szCs w:val="21"/>
          <w:highlight w:val="none"/>
        </w:rPr>
        <w:t>22.2.2</w:t>
      </w:r>
      <w:r>
        <w:rPr>
          <w:rFonts w:hint="eastAsia" w:cs="宋体"/>
          <w:color w:val="auto"/>
          <w:spacing w:val="-3"/>
          <w:sz w:val="21"/>
          <w:szCs w:val="21"/>
          <w:highlight w:val="none"/>
        </w:rPr>
        <w:t xml:space="preserve"> 承包人有权暂停施工</w:t>
      </w:r>
    </w:p>
    <w:p>
      <w:pPr>
        <w:pStyle w:val="20"/>
        <w:widowControl w:val="0"/>
        <w:autoSpaceDE w:val="0"/>
        <w:autoSpaceDN w:val="0"/>
        <w:spacing w:before="72" w:beforeAutospacing="0" w:after="0" w:afterAutospacing="0" w:line="415" w:lineRule="auto"/>
        <w:ind w:left="138" w:right="205" w:firstLine="419"/>
        <w:rPr>
          <w:rFonts w:cs="宋体"/>
          <w:color w:val="auto"/>
          <w:sz w:val="21"/>
          <w:szCs w:val="21"/>
          <w:highlight w:val="none"/>
        </w:rPr>
      </w:pPr>
      <w:r>
        <w:rPr>
          <w:rFonts w:hint="eastAsia" w:cs="宋体"/>
          <w:color w:val="auto"/>
          <w:spacing w:val="-8"/>
          <w:sz w:val="21"/>
          <w:szCs w:val="21"/>
          <w:highlight w:val="none"/>
        </w:rPr>
        <w:t xml:space="preserve">发包人发生除第 </w:t>
      </w:r>
      <w:r>
        <w:rPr>
          <w:rFonts w:hint="eastAsia" w:cs="宋体"/>
          <w:color w:val="auto"/>
          <w:spacing w:val="-3"/>
          <w:sz w:val="21"/>
          <w:szCs w:val="21"/>
          <w:highlight w:val="none"/>
        </w:rPr>
        <w:t>22.2.1（4）</w:t>
      </w:r>
      <w:r>
        <w:rPr>
          <w:rFonts w:hint="eastAsia" w:cs="宋体"/>
          <w:color w:val="auto"/>
          <w:spacing w:val="-5"/>
          <w:sz w:val="21"/>
          <w:szCs w:val="21"/>
          <w:highlight w:val="none"/>
        </w:rPr>
        <w:t>目以外的违约情况时，承包人可向发包人发出通知，要求</w:t>
      </w:r>
      <w:r>
        <w:rPr>
          <w:rFonts w:hint="eastAsia" w:cs="宋体"/>
          <w:color w:val="auto"/>
          <w:spacing w:val="-11"/>
          <w:sz w:val="21"/>
          <w:szCs w:val="21"/>
          <w:highlight w:val="none"/>
        </w:rPr>
        <w:t xml:space="preserve">发包人采取有效措施纠正违约行为。发包人收到承包人通知后的 </w:t>
      </w:r>
      <w:r>
        <w:rPr>
          <w:rFonts w:hint="eastAsia" w:cs="宋体"/>
          <w:color w:val="auto"/>
          <w:sz w:val="21"/>
          <w:szCs w:val="21"/>
          <w:highlight w:val="none"/>
        </w:rPr>
        <w:t>28</w:t>
      </w:r>
      <w:r>
        <w:rPr>
          <w:rFonts w:hint="eastAsia" w:cs="宋体"/>
          <w:color w:val="auto"/>
          <w:spacing w:val="-7"/>
          <w:sz w:val="21"/>
          <w:szCs w:val="21"/>
          <w:highlight w:val="none"/>
        </w:rPr>
        <w:t xml:space="preserve"> 天内仍不履行合同义务， </w:t>
      </w:r>
      <w:r>
        <w:rPr>
          <w:rFonts w:hint="eastAsia" w:cs="宋体"/>
          <w:color w:val="auto"/>
          <w:spacing w:val="-9"/>
          <w:sz w:val="21"/>
          <w:szCs w:val="21"/>
          <w:highlight w:val="none"/>
        </w:rPr>
        <w:t>承包人有权暂停施工，并通知监理人，发包人应承担由此增加的费用和</w:t>
      </w:r>
      <w:r>
        <w:rPr>
          <w:rFonts w:hint="eastAsia" w:cs="宋体"/>
          <w:color w:val="auto"/>
          <w:spacing w:val="-3"/>
          <w:sz w:val="21"/>
          <w:szCs w:val="21"/>
          <w:highlight w:val="none"/>
        </w:rPr>
        <w:t>（或</w:t>
      </w:r>
      <w:r>
        <w:rPr>
          <w:rFonts w:hint="eastAsia" w:cs="宋体"/>
          <w:color w:val="auto"/>
          <w:spacing w:val="-17"/>
          <w:sz w:val="21"/>
          <w:szCs w:val="21"/>
          <w:highlight w:val="none"/>
        </w:rPr>
        <w:t>）</w:t>
      </w:r>
      <w:r>
        <w:rPr>
          <w:rFonts w:hint="eastAsia" w:cs="宋体"/>
          <w:color w:val="auto"/>
          <w:spacing w:val="-5"/>
          <w:sz w:val="21"/>
          <w:szCs w:val="21"/>
          <w:highlight w:val="none"/>
        </w:rPr>
        <w:t>工期延误，并</w:t>
      </w:r>
      <w:r>
        <w:rPr>
          <w:rFonts w:hint="eastAsia" w:cs="宋体"/>
          <w:color w:val="auto"/>
          <w:spacing w:val="-4"/>
          <w:sz w:val="21"/>
          <w:szCs w:val="21"/>
          <w:highlight w:val="none"/>
        </w:rPr>
        <w:t>支付承包人合理利润。</w:t>
      </w:r>
    </w:p>
    <w:p>
      <w:pPr>
        <w:pStyle w:val="20"/>
        <w:widowControl w:val="0"/>
        <w:numPr>
          <w:ilvl w:val="2"/>
          <w:numId w:val="111"/>
        </w:numPr>
        <w:autoSpaceDE w:val="0"/>
        <w:autoSpaceDN w:val="0"/>
        <w:spacing w:before="0" w:beforeAutospacing="0" w:after="0" w:afterAutospacing="0" w:line="268" w:lineRule="exact"/>
        <w:rPr>
          <w:rFonts w:cs="宋体"/>
          <w:color w:val="auto"/>
          <w:sz w:val="21"/>
          <w:szCs w:val="21"/>
          <w:highlight w:val="none"/>
        </w:rPr>
      </w:pPr>
      <w:r>
        <w:rPr>
          <w:rFonts w:hint="eastAsia" w:cs="宋体"/>
          <w:color w:val="auto"/>
          <w:spacing w:val="-3"/>
          <w:sz w:val="21"/>
          <w:szCs w:val="21"/>
          <w:highlight w:val="none"/>
        </w:rPr>
        <w:t xml:space="preserve">发包人违约解除合同 </w:t>
      </w:r>
    </w:p>
    <w:p>
      <w:pPr>
        <w:pStyle w:val="20"/>
        <w:widowControl w:val="0"/>
        <w:numPr>
          <w:ilvl w:val="0"/>
          <w:numId w:val="112"/>
        </w:numPr>
        <w:autoSpaceDE w:val="0"/>
        <w:autoSpaceDN w:val="0"/>
        <w:spacing w:before="0" w:beforeAutospacing="0" w:after="0" w:afterAutospacing="0"/>
        <w:jc w:val="both"/>
        <w:rPr>
          <w:rFonts w:cs="宋体"/>
          <w:color w:val="auto"/>
          <w:sz w:val="21"/>
          <w:szCs w:val="21"/>
          <w:highlight w:val="none"/>
        </w:rPr>
      </w:pPr>
      <w:r>
        <w:rPr>
          <w:rFonts w:hint="eastAsia" w:cs="宋体"/>
          <w:color w:val="auto"/>
          <w:spacing w:val="-15"/>
          <w:sz w:val="21"/>
          <w:szCs w:val="21"/>
          <w:highlight w:val="none"/>
        </w:rPr>
        <w:t xml:space="preserve">发生第 </w:t>
      </w:r>
      <w:r>
        <w:rPr>
          <w:rFonts w:hint="eastAsia" w:cs="宋体"/>
          <w:color w:val="auto"/>
          <w:sz w:val="21"/>
          <w:szCs w:val="21"/>
          <w:highlight w:val="none"/>
        </w:rPr>
        <w:t>22.2.1（4）</w:t>
      </w:r>
      <w:r>
        <w:rPr>
          <w:rFonts w:hint="eastAsia" w:cs="宋体"/>
          <w:color w:val="auto"/>
          <w:spacing w:val="-3"/>
          <w:sz w:val="21"/>
          <w:szCs w:val="21"/>
          <w:highlight w:val="none"/>
        </w:rPr>
        <w:t xml:space="preserve">目的违约情况时，承包人可书面通知发包人解除合同。   </w:t>
      </w:r>
    </w:p>
    <w:p>
      <w:pPr>
        <w:pStyle w:val="20"/>
        <w:widowControl w:val="0"/>
        <w:numPr>
          <w:ilvl w:val="0"/>
          <w:numId w:val="112"/>
        </w:numPr>
        <w:autoSpaceDE w:val="0"/>
        <w:autoSpaceDN w:val="0"/>
        <w:spacing w:before="1"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10"/>
          <w:sz w:val="21"/>
          <w:szCs w:val="21"/>
          <w:highlight w:val="none"/>
        </w:rPr>
        <w:t xml:space="preserve">承包人按第 </w:t>
      </w:r>
      <w:r>
        <w:rPr>
          <w:rFonts w:hint="eastAsia" w:cs="宋体"/>
          <w:color w:val="auto"/>
          <w:sz w:val="21"/>
          <w:szCs w:val="21"/>
          <w:highlight w:val="none"/>
        </w:rPr>
        <w:t>22.2.2</w:t>
      </w:r>
      <w:r>
        <w:rPr>
          <w:rFonts w:hint="eastAsia" w:cs="宋体"/>
          <w:color w:val="auto"/>
          <w:spacing w:val="-15"/>
          <w:sz w:val="21"/>
          <w:szCs w:val="21"/>
          <w:highlight w:val="none"/>
        </w:rPr>
        <w:t xml:space="preserve"> 项暂停施工 </w:t>
      </w:r>
      <w:r>
        <w:rPr>
          <w:rFonts w:hint="eastAsia" w:cs="宋体"/>
          <w:color w:val="auto"/>
          <w:sz w:val="21"/>
          <w:szCs w:val="21"/>
          <w:highlight w:val="none"/>
        </w:rPr>
        <w:t>28</w:t>
      </w:r>
      <w:r>
        <w:rPr>
          <w:rFonts w:hint="eastAsia" w:cs="宋体"/>
          <w:color w:val="auto"/>
          <w:spacing w:val="-7"/>
          <w:sz w:val="21"/>
          <w:szCs w:val="21"/>
          <w:highlight w:val="none"/>
        </w:rPr>
        <w:t xml:space="preserve"> 天后，发包人仍不纠正违约行为的，承包人可</w:t>
      </w:r>
      <w:r>
        <w:rPr>
          <w:rFonts w:hint="eastAsia" w:cs="宋体"/>
          <w:color w:val="auto"/>
          <w:spacing w:val="-10"/>
          <w:sz w:val="21"/>
          <w:szCs w:val="21"/>
          <w:highlight w:val="none"/>
        </w:rPr>
        <w:t>向发包人发出解除合同通知。但承包人的这一行动不免除发包人承担的违约责任，也不影响</w:t>
      </w:r>
      <w:r>
        <w:rPr>
          <w:rFonts w:hint="eastAsia" w:cs="宋体"/>
          <w:color w:val="auto"/>
          <w:spacing w:val="-5"/>
          <w:sz w:val="21"/>
          <w:szCs w:val="21"/>
          <w:highlight w:val="none"/>
        </w:rPr>
        <w:t>承包人根据合同约定享有的索赔权利。</w:t>
      </w:r>
    </w:p>
    <w:p>
      <w:pPr>
        <w:pStyle w:val="20"/>
        <w:widowControl w:val="0"/>
        <w:numPr>
          <w:ilvl w:val="2"/>
          <w:numId w:val="111"/>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 xml:space="preserve">解除合同后的付款 </w:t>
      </w:r>
    </w:p>
    <w:p>
      <w:pPr>
        <w:pStyle w:val="20"/>
        <w:widowControl w:val="0"/>
        <w:autoSpaceDE w:val="0"/>
        <w:autoSpaceDN w:val="0"/>
        <w:spacing w:before="0" w:beforeAutospacing="0" w:after="0" w:afterAutospacing="0" w:line="415" w:lineRule="auto"/>
        <w:ind w:left="138" w:right="232" w:firstLine="419"/>
        <w:rPr>
          <w:rFonts w:cs="宋体"/>
          <w:color w:val="auto"/>
          <w:sz w:val="21"/>
          <w:szCs w:val="21"/>
          <w:highlight w:val="none"/>
        </w:rPr>
      </w:pPr>
      <w:r>
        <w:rPr>
          <w:rFonts w:hint="eastAsia" w:cs="宋体"/>
          <w:color w:val="auto"/>
          <w:sz w:val="21"/>
          <w:szCs w:val="21"/>
          <w:highlight w:val="none"/>
        </w:rPr>
        <w:t xml:space="preserve">因发包人违约解除合同的，发包人应在解除合同后 28 天内向承包人支付下列金额，承包人应在此期限内及时向发包人提交要求支付下列金额的有关资料和凭证： </w:t>
      </w:r>
    </w:p>
    <w:p>
      <w:pPr>
        <w:pStyle w:val="20"/>
        <w:widowControl w:val="0"/>
        <w:numPr>
          <w:ilvl w:val="0"/>
          <w:numId w:val="113"/>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3"/>
          <w:sz w:val="21"/>
          <w:szCs w:val="21"/>
          <w:highlight w:val="none"/>
        </w:rPr>
        <w:t>合同解除日以前所完成工作的价款；</w:t>
      </w:r>
    </w:p>
    <w:p>
      <w:pPr>
        <w:pStyle w:val="20"/>
        <w:widowControl w:val="0"/>
        <w:numPr>
          <w:ilvl w:val="0"/>
          <w:numId w:val="113"/>
        </w:numPr>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3"/>
          <w:sz w:val="21"/>
          <w:szCs w:val="21"/>
          <w:highlight w:val="none"/>
        </w:rPr>
        <w:t>承包人为该工程施工订购并已付款的材料、工程设备和其他物品的金额。发包人付还后，该材料、工程设备和其他物品归发包人所有；</w:t>
      </w:r>
    </w:p>
    <w:p>
      <w:pPr>
        <w:pStyle w:val="20"/>
        <w:widowControl w:val="0"/>
        <w:numPr>
          <w:ilvl w:val="0"/>
          <w:numId w:val="113"/>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承包人为完成工程所发生的，而发包人未支付的金额；</w:t>
      </w:r>
    </w:p>
    <w:p>
      <w:pPr>
        <w:pStyle w:val="20"/>
        <w:widowControl w:val="0"/>
        <w:numPr>
          <w:ilvl w:val="0"/>
          <w:numId w:val="113"/>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承包人撤离施工场地以及遣散承包人人员的金额；</w:t>
      </w:r>
    </w:p>
    <w:p>
      <w:pPr>
        <w:pStyle w:val="20"/>
        <w:widowControl w:val="0"/>
        <w:numPr>
          <w:ilvl w:val="0"/>
          <w:numId w:val="113"/>
        </w:numPr>
        <w:autoSpaceDE w:val="0"/>
        <w:autoSpaceDN w:val="0"/>
        <w:spacing w:before="1" w:beforeAutospacing="0" w:after="0" w:afterAutospacing="0"/>
        <w:rPr>
          <w:rFonts w:cs="宋体"/>
          <w:color w:val="auto"/>
          <w:sz w:val="21"/>
          <w:szCs w:val="21"/>
          <w:highlight w:val="none"/>
        </w:rPr>
      </w:pPr>
      <w:r>
        <w:rPr>
          <w:rFonts w:hint="eastAsia" w:cs="宋体"/>
          <w:color w:val="auto"/>
          <w:spacing w:val="-3"/>
          <w:sz w:val="21"/>
          <w:szCs w:val="21"/>
          <w:highlight w:val="none"/>
        </w:rPr>
        <w:t>由于解除合同应赔偿的承包人损失；</w:t>
      </w:r>
    </w:p>
    <w:p>
      <w:pPr>
        <w:pStyle w:val="20"/>
        <w:widowControl w:val="0"/>
        <w:numPr>
          <w:ilvl w:val="0"/>
          <w:numId w:val="113"/>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按合同约定在合同解除日前应支付给承包人的其他金额。</w:t>
      </w:r>
    </w:p>
    <w:p>
      <w:pPr>
        <w:pStyle w:val="20"/>
        <w:widowControl w:val="0"/>
        <w:autoSpaceDE w:val="0"/>
        <w:autoSpaceDN w:val="0"/>
        <w:spacing w:before="0" w:beforeAutospacing="0" w:after="0" w:afterAutospacing="0" w:line="415" w:lineRule="auto"/>
        <w:ind w:left="138" w:right="310" w:firstLine="419"/>
        <w:rPr>
          <w:rFonts w:cs="宋体"/>
          <w:color w:val="auto"/>
          <w:sz w:val="21"/>
          <w:szCs w:val="21"/>
          <w:highlight w:val="none"/>
        </w:rPr>
      </w:pPr>
      <w:r>
        <w:rPr>
          <w:rFonts w:hint="eastAsia" w:cs="宋体"/>
          <w:color w:val="auto"/>
          <w:sz w:val="21"/>
          <w:szCs w:val="21"/>
          <w:highlight w:val="none"/>
        </w:rPr>
        <w:t xml:space="preserve">发包人应按本项约定支付上述金额并退还质量保证金或退还质量保证金保函和履约担保，但有权要求承包人支付应偿还给发包人的各项金额。 </w:t>
      </w:r>
    </w:p>
    <w:p>
      <w:pPr>
        <w:pStyle w:val="20"/>
        <w:widowControl w:val="0"/>
        <w:numPr>
          <w:ilvl w:val="2"/>
          <w:numId w:val="111"/>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解除合同后的承包人撤离</w:t>
      </w:r>
    </w:p>
    <w:p>
      <w:pPr>
        <w:pStyle w:val="20"/>
        <w:widowControl w:val="0"/>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9"/>
          <w:sz w:val="21"/>
          <w:szCs w:val="21"/>
          <w:highlight w:val="none"/>
        </w:rPr>
        <w:t>因发包人违约而解除合同后，承包人应妥善做好已竣工工程和已购材料、设备的保护和</w:t>
      </w:r>
      <w:r>
        <w:rPr>
          <w:rFonts w:hint="eastAsia" w:cs="宋体"/>
          <w:color w:val="auto"/>
          <w:spacing w:val="-12"/>
          <w:sz w:val="21"/>
          <w:szCs w:val="21"/>
          <w:highlight w:val="none"/>
        </w:rPr>
        <w:t>移交工作，按发包人要求将承包人设备和人员撤出施工场地。承包人撤出施工场地应遵守第</w:t>
      </w:r>
    </w:p>
    <w:p>
      <w:pPr>
        <w:pStyle w:val="20"/>
        <w:widowControl w:val="0"/>
        <w:autoSpaceDE w:val="0"/>
        <w:autoSpaceDN w:val="0"/>
        <w:spacing w:before="0" w:beforeAutospacing="0" w:after="0" w:afterAutospacing="0" w:line="269" w:lineRule="exact"/>
        <w:ind w:left="138"/>
        <w:rPr>
          <w:rFonts w:cs="宋体"/>
          <w:color w:val="auto"/>
          <w:sz w:val="21"/>
          <w:szCs w:val="21"/>
          <w:highlight w:val="none"/>
        </w:rPr>
      </w:pPr>
      <w:r>
        <w:rPr>
          <w:rFonts w:hint="eastAsia" w:cs="宋体"/>
          <w:color w:val="auto"/>
          <w:sz w:val="21"/>
          <w:szCs w:val="21"/>
          <w:highlight w:val="none"/>
        </w:rPr>
        <w:t xml:space="preserve">18.7.1 项的约定，发包人应为承包人撤出提供必要条件。 </w:t>
      </w:r>
    </w:p>
    <w:p>
      <w:pPr>
        <w:pStyle w:val="7"/>
        <w:widowControl/>
        <w:numPr>
          <w:ilvl w:val="1"/>
          <w:numId w:val="14"/>
        </w:numPr>
        <w:spacing w:before="1"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第三人造成的违约 </w:t>
      </w:r>
    </w:p>
    <w:p>
      <w:pPr>
        <w:pStyle w:val="20"/>
        <w:widowControl w:val="0"/>
        <w:autoSpaceDE w:val="0"/>
        <w:autoSpaceDN w:val="0"/>
        <w:spacing w:before="0" w:beforeAutospacing="0" w:after="0" w:afterAutospacing="0" w:line="415" w:lineRule="auto"/>
        <w:ind w:left="138" w:right="309" w:firstLine="419"/>
        <w:rPr>
          <w:rFonts w:cs="宋体"/>
          <w:color w:val="auto"/>
          <w:sz w:val="27"/>
          <w:szCs w:val="27"/>
          <w:highlight w:val="none"/>
        </w:rPr>
      </w:pPr>
      <w:r>
        <w:rPr>
          <w:rFonts w:hint="eastAsia" w:cs="宋体"/>
          <w:color w:val="auto"/>
          <w:spacing w:val="-10"/>
          <w:sz w:val="21"/>
          <w:szCs w:val="21"/>
          <w:highlight w:val="none"/>
        </w:rPr>
        <w:t>在履行合同过程中，一方当事人因第三人的原因造成违约的，应当向对方当事人承担违</w:t>
      </w:r>
      <w:r>
        <w:rPr>
          <w:rFonts w:hint="eastAsia" w:cs="宋体"/>
          <w:color w:val="auto"/>
          <w:spacing w:val="-5"/>
          <w:sz w:val="21"/>
          <w:szCs w:val="21"/>
          <w:highlight w:val="none"/>
        </w:rPr>
        <w:t xml:space="preserve">约责任。一方当事人和第三人之间的纠纷，依照法律规定或者按照约定解决。 </w:t>
      </w:r>
    </w:p>
    <w:p>
      <w:pPr>
        <w:pStyle w:val="6"/>
        <w:widowControl/>
        <w:numPr>
          <w:ilvl w:val="0"/>
          <w:numId w:val="14"/>
        </w:numPr>
        <w:spacing w:before="62" w:after="0"/>
        <w:ind w:left="560" w:hanging="423"/>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索赔</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承包人索赔的提出 </w:t>
      </w:r>
    </w:p>
    <w:p>
      <w:pPr>
        <w:pStyle w:val="20"/>
        <w:widowControl w:val="0"/>
        <w:autoSpaceDE w:val="0"/>
        <w:autoSpaceDN w:val="0"/>
        <w:spacing w:before="1" w:beforeAutospacing="0" w:after="0" w:afterAutospacing="0" w:line="415" w:lineRule="auto"/>
        <w:ind w:left="138" w:right="311" w:firstLine="419"/>
        <w:rPr>
          <w:rFonts w:cs="宋体"/>
          <w:color w:val="auto"/>
          <w:sz w:val="21"/>
          <w:szCs w:val="21"/>
          <w:highlight w:val="none"/>
        </w:rPr>
      </w:pPr>
      <w:r>
        <w:rPr>
          <w:rFonts w:hint="eastAsia" w:cs="宋体"/>
          <w:color w:val="auto"/>
          <w:spacing w:val="-7"/>
          <w:sz w:val="21"/>
          <w:szCs w:val="21"/>
          <w:highlight w:val="none"/>
        </w:rPr>
        <w:t>根据合同约定，承包人认为有权得到追加付款和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25"/>
          <w:sz w:val="21"/>
          <w:szCs w:val="21"/>
          <w:highlight w:val="none"/>
        </w:rPr>
        <w:t>）</w:t>
      </w:r>
      <w:r>
        <w:rPr>
          <w:rFonts w:hint="eastAsia" w:cs="宋体"/>
          <w:color w:val="auto"/>
          <w:spacing w:val="-6"/>
          <w:sz w:val="21"/>
          <w:szCs w:val="21"/>
          <w:highlight w:val="none"/>
        </w:rPr>
        <w:t>延长工期的，应按以下程序向发</w:t>
      </w:r>
      <w:r>
        <w:rPr>
          <w:rFonts w:hint="eastAsia" w:cs="宋体"/>
          <w:color w:val="auto"/>
          <w:spacing w:val="-4"/>
          <w:sz w:val="21"/>
          <w:szCs w:val="21"/>
          <w:highlight w:val="none"/>
        </w:rPr>
        <w:t>包人提出索赔：</w:t>
      </w:r>
    </w:p>
    <w:p>
      <w:pPr>
        <w:pStyle w:val="20"/>
        <w:widowControl w:val="0"/>
        <w:numPr>
          <w:ilvl w:val="0"/>
          <w:numId w:val="114"/>
        </w:numPr>
        <w:autoSpaceDE w:val="0"/>
        <w:autoSpaceDN w:val="0"/>
        <w:spacing w:before="0" w:beforeAutospacing="0" w:after="0" w:afterAutospacing="0" w:line="269" w:lineRule="exact"/>
        <w:rPr>
          <w:rFonts w:cs="宋体"/>
          <w:color w:val="auto"/>
          <w:sz w:val="21"/>
          <w:szCs w:val="21"/>
          <w:highlight w:val="none"/>
        </w:rPr>
      </w:pPr>
      <w:r>
        <w:rPr>
          <w:rFonts w:hint="eastAsia" w:cs="宋体"/>
          <w:color w:val="auto"/>
          <w:spacing w:val="-6"/>
          <w:sz w:val="21"/>
          <w:szCs w:val="21"/>
          <w:highlight w:val="none"/>
        </w:rPr>
        <w:t xml:space="preserve">承包人应在知道或应当知道索赔事件发生后 </w:t>
      </w:r>
      <w:r>
        <w:rPr>
          <w:rFonts w:hint="eastAsia" w:cs="宋体"/>
          <w:color w:val="auto"/>
          <w:sz w:val="21"/>
          <w:szCs w:val="21"/>
          <w:highlight w:val="none"/>
        </w:rPr>
        <w:t>28</w:t>
      </w:r>
      <w:r>
        <w:rPr>
          <w:rFonts w:hint="eastAsia" w:cs="宋体"/>
          <w:color w:val="auto"/>
          <w:spacing w:val="-12"/>
          <w:sz w:val="21"/>
          <w:szCs w:val="21"/>
          <w:highlight w:val="none"/>
        </w:rPr>
        <w:t xml:space="preserve"> 天内，向监理人递交索赔意向</w:t>
      </w:r>
    </w:p>
    <w:p>
      <w:pPr>
        <w:pStyle w:val="20"/>
        <w:widowControl w:val="0"/>
        <w:autoSpaceDE w:val="0"/>
        <w:autoSpaceDN w:val="0"/>
        <w:spacing w:before="0" w:beforeAutospacing="0" w:after="0" w:afterAutospacing="0" w:line="415" w:lineRule="auto"/>
        <w:ind w:left="138" w:right="308"/>
        <w:rPr>
          <w:rFonts w:cs="宋体"/>
          <w:color w:val="auto"/>
          <w:sz w:val="21"/>
          <w:szCs w:val="21"/>
          <w:highlight w:val="none"/>
        </w:rPr>
      </w:pPr>
      <w:r>
        <w:rPr>
          <w:rFonts w:hint="eastAsia" w:cs="宋体"/>
          <w:color w:val="auto"/>
          <w:spacing w:val="-5"/>
          <w:sz w:val="21"/>
          <w:szCs w:val="21"/>
          <w:highlight w:val="none"/>
        </w:rPr>
        <w:t xml:space="preserve">书，并说明发生索赔事件的事由。承包人未在前述 </w:t>
      </w:r>
      <w:r>
        <w:rPr>
          <w:rFonts w:hint="eastAsia" w:cs="宋体"/>
          <w:color w:val="auto"/>
          <w:sz w:val="21"/>
          <w:szCs w:val="21"/>
          <w:highlight w:val="none"/>
        </w:rPr>
        <w:t>28</w:t>
      </w:r>
      <w:r>
        <w:rPr>
          <w:rFonts w:hint="eastAsia" w:cs="宋体"/>
          <w:color w:val="auto"/>
          <w:spacing w:val="-6"/>
          <w:sz w:val="21"/>
          <w:szCs w:val="21"/>
          <w:highlight w:val="none"/>
        </w:rPr>
        <w:t xml:space="preserve"> 天内发出索赔意向通知书的，丧失要</w:t>
      </w:r>
      <w:r>
        <w:rPr>
          <w:rFonts w:hint="eastAsia" w:cs="宋体"/>
          <w:color w:val="auto"/>
          <w:spacing w:val="-4"/>
          <w:sz w:val="21"/>
          <w:szCs w:val="21"/>
          <w:highlight w:val="none"/>
        </w:rPr>
        <w:t>求追加付款和</w:t>
      </w:r>
      <w:r>
        <w:rPr>
          <w:rFonts w:hint="eastAsia" w:cs="宋体"/>
          <w:color w:val="auto"/>
          <w:spacing w:val="-3"/>
          <w:sz w:val="21"/>
          <w:szCs w:val="21"/>
          <w:highlight w:val="none"/>
        </w:rPr>
        <w:t>（</w:t>
      </w:r>
      <w:r>
        <w:rPr>
          <w:rFonts w:hint="eastAsia" w:cs="宋体"/>
          <w:color w:val="auto"/>
          <w:sz w:val="21"/>
          <w:szCs w:val="21"/>
          <w:highlight w:val="none"/>
        </w:rPr>
        <w:t>或</w:t>
      </w:r>
      <w:r>
        <w:rPr>
          <w:rFonts w:hint="eastAsia" w:cs="宋体"/>
          <w:color w:val="auto"/>
          <w:spacing w:val="-3"/>
          <w:sz w:val="21"/>
          <w:szCs w:val="21"/>
          <w:highlight w:val="none"/>
        </w:rPr>
        <w:t>）延长工期的权利；</w:t>
      </w:r>
    </w:p>
    <w:p>
      <w:pPr>
        <w:pStyle w:val="20"/>
        <w:widowControl w:val="0"/>
        <w:numPr>
          <w:ilvl w:val="0"/>
          <w:numId w:val="114"/>
        </w:numPr>
        <w:autoSpaceDE w:val="0"/>
        <w:autoSpaceDN w:val="0"/>
        <w:spacing w:before="1" w:beforeAutospacing="0" w:after="0" w:afterAutospacing="0" w:line="415" w:lineRule="auto"/>
        <w:ind w:left="138" w:right="308" w:firstLine="419"/>
        <w:jc w:val="both"/>
        <w:rPr>
          <w:rFonts w:cs="宋体"/>
          <w:color w:val="auto"/>
          <w:sz w:val="21"/>
          <w:szCs w:val="21"/>
          <w:highlight w:val="none"/>
        </w:rPr>
      </w:pPr>
      <w:r>
        <w:rPr>
          <w:rFonts w:hint="eastAsia" w:cs="宋体"/>
          <w:color w:val="auto"/>
          <w:spacing w:val="-6"/>
          <w:sz w:val="21"/>
          <w:szCs w:val="21"/>
          <w:highlight w:val="none"/>
        </w:rPr>
        <w:t xml:space="preserve">承包人应在发出索赔意向通知书后 </w:t>
      </w:r>
      <w:r>
        <w:rPr>
          <w:rFonts w:hint="eastAsia" w:cs="宋体"/>
          <w:color w:val="auto"/>
          <w:sz w:val="21"/>
          <w:szCs w:val="21"/>
          <w:highlight w:val="none"/>
        </w:rPr>
        <w:t>28</w:t>
      </w:r>
      <w:r>
        <w:rPr>
          <w:rFonts w:hint="eastAsia" w:cs="宋体"/>
          <w:color w:val="auto"/>
          <w:spacing w:val="-12"/>
          <w:sz w:val="21"/>
          <w:szCs w:val="21"/>
          <w:highlight w:val="none"/>
        </w:rPr>
        <w:t xml:space="preserve"> 天内，向监理人正式递交索赔通知书。索赔</w:t>
      </w:r>
      <w:r>
        <w:rPr>
          <w:rFonts w:hint="eastAsia" w:cs="宋体"/>
          <w:color w:val="auto"/>
          <w:spacing w:val="-8"/>
          <w:sz w:val="21"/>
          <w:szCs w:val="21"/>
          <w:highlight w:val="none"/>
        </w:rPr>
        <w:t>通知书应详细说明索赔理由以及要求追加的付款金额和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pacing w:val="-29"/>
          <w:sz w:val="21"/>
          <w:szCs w:val="21"/>
          <w:highlight w:val="none"/>
        </w:rPr>
        <w:t>）</w:t>
      </w:r>
      <w:r>
        <w:rPr>
          <w:rFonts w:hint="eastAsia" w:cs="宋体"/>
          <w:color w:val="auto"/>
          <w:spacing w:val="-7"/>
          <w:sz w:val="21"/>
          <w:szCs w:val="21"/>
          <w:highlight w:val="none"/>
        </w:rPr>
        <w:t>延长的工期，并附必要的记录</w:t>
      </w:r>
      <w:r>
        <w:rPr>
          <w:rFonts w:hint="eastAsia" w:cs="宋体"/>
          <w:color w:val="auto"/>
          <w:spacing w:val="-5"/>
          <w:sz w:val="21"/>
          <w:szCs w:val="21"/>
          <w:highlight w:val="none"/>
        </w:rPr>
        <w:t>和证明材料；</w:t>
      </w:r>
    </w:p>
    <w:p>
      <w:pPr>
        <w:pStyle w:val="20"/>
        <w:widowControl w:val="0"/>
        <w:numPr>
          <w:ilvl w:val="0"/>
          <w:numId w:val="114"/>
        </w:numPr>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3"/>
          <w:sz w:val="21"/>
          <w:szCs w:val="21"/>
          <w:highlight w:val="none"/>
        </w:rPr>
        <w:t>索赔事件具有连续影响的，承包人应按合理时间间隔继续递交延续索赔通知，说明连续影响的实际情况和记录，列出累计的追加付款金额和（</w:t>
      </w:r>
      <w:r>
        <w:rPr>
          <w:rFonts w:hint="eastAsia" w:cs="宋体"/>
          <w:color w:val="auto"/>
          <w:sz w:val="21"/>
          <w:szCs w:val="21"/>
          <w:highlight w:val="none"/>
        </w:rPr>
        <w:t>或</w:t>
      </w:r>
      <w:r>
        <w:rPr>
          <w:rFonts w:hint="eastAsia" w:cs="宋体"/>
          <w:color w:val="auto"/>
          <w:spacing w:val="-3"/>
          <w:sz w:val="21"/>
          <w:szCs w:val="21"/>
          <w:highlight w:val="none"/>
        </w:rPr>
        <w:t>）工期延长天数；</w:t>
      </w:r>
    </w:p>
    <w:p>
      <w:pPr>
        <w:pStyle w:val="20"/>
        <w:widowControl w:val="0"/>
        <w:numPr>
          <w:ilvl w:val="0"/>
          <w:numId w:val="114"/>
        </w:numPr>
        <w:autoSpaceDE w:val="0"/>
        <w:autoSpaceDN w:val="0"/>
        <w:spacing w:before="0" w:beforeAutospacing="0" w:after="0" w:afterAutospacing="0" w:line="415" w:lineRule="auto"/>
        <w:ind w:left="138" w:right="309" w:firstLine="419"/>
        <w:rPr>
          <w:rFonts w:cs="宋体"/>
          <w:color w:val="auto"/>
          <w:sz w:val="21"/>
          <w:szCs w:val="21"/>
          <w:highlight w:val="none"/>
        </w:rPr>
      </w:pPr>
      <w:r>
        <w:rPr>
          <w:rFonts w:hint="eastAsia" w:cs="宋体"/>
          <w:color w:val="auto"/>
          <w:spacing w:val="-7"/>
          <w:sz w:val="21"/>
          <w:szCs w:val="21"/>
          <w:highlight w:val="none"/>
        </w:rPr>
        <w:t xml:space="preserve">在索赔事件影响结束后的 </w:t>
      </w:r>
      <w:r>
        <w:rPr>
          <w:rFonts w:hint="eastAsia" w:cs="宋体"/>
          <w:color w:val="auto"/>
          <w:sz w:val="21"/>
          <w:szCs w:val="21"/>
          <w:highlight w:val="none"/>
        </w:rPr>
        <w:t>28</w:t>
      </w:r>
      <w:r>
        <w:rPr>
          <w:rFonts w:hint="eastAsia" w:cs="宋体"/>
          <w:color w:val="auto"/>
          <w:spacing w:val="-11"/>
          <w:sz w:val="21"/>
          <w:szCs w:val="21"/>
          <w:highlight w:val="none"/>
        </w:rPr>
        <w:t xml:space="preserve"> 天内，承包人应向监理人递交最终索赔通知书，说</w:t>
      </w:r>
      <w:r>
        <w:rPr>
          <w:rFonts w:hint="eastAsia" w:cs="宋体"/>
          <w:color w:val="auto"/>
          <w:spacing w:val="-7"/>
          <w:sz w:val="21"/>
          <w:szCs w:val="21"/>
          <w:highlight w:val="none"/>
        </w:rPr>
        <w:t xml:space="preserve">明最终要求索赔的追加付款金额和延长的工期，并附必要的记录和证明材料。 </w:t>
      </w:r>
    </w:p>
    <w:p>
      <w:pPr>
        <w:pStyle w:val="7"/>
        <w:widowControl/>
        <w:numPr>
          <w:ilvl w:val="1"/>
          <w:numId w:val="14"/>
        </w:numPr>
        <w:spacing w:before="134"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承包人索赔处理程序 </w:t>
      </w:r>
    </w:p>
    <w:p>
      <w:pPr>
        <w:pStyle w:val="20"/>
        <w:widowControl w:val="0"/>
        <w:numPr>
          <w:ilvl w:val="0"/>
          <w:numId w:val="115"/>
        </w:numPr>
        <w:autoSpaceDE w:val="0"/>
        <w:autoSpaceDN w:val="0"/>
        <w:spacing w:before="0" w:beforeAutospacing="0" w:after="0" w:afterAutospacing="0" w:line="415" w:lineRule="auto"/>
        <w:ind w:right="309" w:firstLine="419"/>
        <w:rPr>
          <w:rFonts w:cs="宋体"/>
          <w:color w:val="auto"/>
          <w:sz w:val="21"/>
          <w:szCs w:val="21"/>
          <w:highlight w:val="none"/>
        </w:rPr>
      </w:pPr>
      <w:r>
        <w:rPr>
          <w:rFonts w:hint="eastAsia" w:cs="宋体"/>
          <w:color w:val="auto"/>
          <w:spacing w:val="-3"/>
          <w:sz w:val="21"/>
          <w:szCs w:val="21"/>
          <w:highlight w:val="none"/>
        </w:rPr>
        <w:t xml:space="preserve">监理人收到承包人提交的索赔通知书后，应及时审查索赔通知书的内容、查验承包人的记录和证明材料，必要时监理人可要求承包人提交全部原始记录副本。 </w:t>
      </w:r>
    </w:p>
    <w:p>
      <w:pPr>
        <w:pStyle w:val="20"/>
        <w:widowControl w:val="0"/>
        <w:numPr>
          <w:ilvl w:val="0"/>
          <w:numId w:val="115"/>
        </w:numPr>
        <w:autoSpaceDE w:val="0"/>
        <w:autoSpaceDN w:val="0"/>
        <w:spacing w:before="0" w:beforeAutospacing="0" w:after="0" w:afterAutospacing="0" w:line="269" w:lineRule="exact"/>
        <w:ind w:left="1087"/>
        <w:rPr>
          <w:rFonts w:cs="宋体"/>
          <w:color w:val="auto"/>
          <w:sz w:val="21"/>
          <w:szCs w:val="21"/>
          <w:highlight w:val="none"/>
        </w:rPr>
      </w:pPr>
      <w:r>
        <w:rPr>
          <w:rFonts w:hint="eastAsia" w:cs="宋体"/>
          <w:color w:val="auto"/>
          <w:spacing w:val="-9"/>
          <w:sz w:val="21"/>
          <w:szCs w:val="21"/>
          <w:highlight w:val="none"/>
        </w:rPr>
        <w:t xml:space="preserve">监理人应按第 </w:t>
      </w:r>
      <w:r>
        <w:rPr>
          <w:rFonts w:hint="eastAsia" w:cs="宋体"/>
          <w:color w:val="auto"/>
          <w:sz w:val="21"/>
          <w:szCs w:val="21"/>
          <w:highlight w:val="none"/>
        </w:rPr>
        <w:t>3.5</w:t>
      </w:r>
      <w:r>
        <w:rPr>
          <w:rFonts w:hint="eastAsia" w:cs="宋体"/>
          <w:color w:val="auto"/>
          <w:spacing w:val="-8"/>
          <w:sz w:val="21"/>
          <w:szCs w:val="21"/>
          <w:highlight w:val="none"/>
        </w:rPr>
        <w:t xml:space="preserve"> 款商定或确定追加的付款和</w:t>
      </w:r>
      <w:r>
        <w:rPr>
          <w:rFonts w:hint="eastAsia" w:cs="宋体"/>
          <w:color w:val="auto"/>
          <w:sz w:val="21"/>
          <w:szCs w:val="21"/>
          <w:highlight w:val="none"/>
        </w:rPr>
        <w:t>（或</w:t>
      </w:r>
      <w:r>
        <w:rPr>
          <w:rFonts w:hint="eastAsia" w:cs="宋体"/>
          <w:color w:val="auto"/>
          <w:spacing w:val="-3"/>
          <w:sz w:val="21"/>
          <w:szCs w:val="21"/>
          <w:highlight w:val="none"/>
        </w:rPr>
        <w:t>）延长的工期，并在收到上述</w:t>
      </w:r>
    </w:p>
    <w:p>
      <w:pPr>
        <w:pStyle w:val="20"/>
        <w:widowControl w:val="0"/>
        <w:autoSpaceDE w:val="0"/>
        <w:autoSpaceDN w:val="0"/>
        <w:spacing w:before="0" w:beforeAutospacing="0" w:after="0" w:afterAutospacing="0"/>
        <w:ind w:left="138"/>
        <w:rPr>
          <w:rFonts w:cs="宋体"/>
          <w:color w:val="auto"/>
          <w:sz w:val="21"/>
          <w:szCs w:val="21"/>
          <w:highlight w:val="none"/>
        </w:rPr>
      </w:pPr>
      <w:r>
        <w:rPr>
          <w:rFonts w:hint="eastAsia" w:cs="宋体"/>
          <w:color w:val="auto"/>
          <w:sz w:val="21"/>
          <w:szCs w:val="21"/>
          <w:highlight w:val="none"/>
        </w:rPr>
        <w:t xml:space="preserve">索赔通知书或有关索赔的进一步证明材料后的 42 天内，将索赔处理结果答复承包人。 </w:t>
      </w:r>
    </w:p>
    <w:p>
      <w:pPr>
        <w:pStyle w:val="20"/>
        <w:widowControl w:val="0"/>
        <w:numPr>
          <w:ilvl w:val="0"/>
          <w:numId w:val="115"/>
        </w:numPr>
        <w:autoSpaceDE w:val="0"/>
        <w:autoSpaceDN w:val="0"/>
        <w:spacing w:before="0" w:beforeAutospacing="0" w:after="0" w:afterAutospacing="0"/>
        <w:ind w:left="1084" w:hanging="527"/>
        <w:rPr>
          <w:rFonts w:cs="宋体"/>
          <w:color w:val="auto"/>
          <w:sz w:val="21"/>
          <w:szCs w:val="21"/>
          <w:highlight w:val="none"/>
        </w:rPr>
      </w:pPr>
      <w:r>
        <w:rPr>
          <w:rFonts w:hint="eastAsia" w:cs="宋体"/>
          <w:color w:val="auto"/>
          <w:spacing w:val="-9"/>
          <w:sz w:val="21"/>
          <w:szCs w:val="21"/>
          <w:highlight w:val="none"/>
        </w:rPr>
        <w:t xml:space="preserve">承包人接受索赔处理结果的，发包人应在作出索赔处理结果答复后 </w:t>
      </w:r>
      <w:r>
        <w:rPr>
          <w:rFonts w:hint="eastAsia" w:cs="宋体"/>
          <w:color w:val="auto"/>
          <w:sz w:val="21"/>
          <w:szCs w:val="21"/>
          <w:highlight w:val="none"/>
        </w:rPr>
        <w:t>28</w:t>
      </w:r>
      <w:r>
        <w:rPr>
          <w:rFonts w:hint="eastAsia" w:cs="宋体"/>
          <w:color w:val="auto"/>
          <w:spacing w:val="-10"/>
          <w:sz w:val="21"/>
          <w:szCs w:val="21"/>
          <w:highlight w:val="none"/>
        </w:rPr>
        <w:t xml:space="preserve"> 天内完成赔</w:t>
      </w:r>
    </w:p>
    <w:p>
      <w:pPr>
        <w:pStyle w:val="20"/>
        <w:widowControl w:val="0"/>
        <w:autoSpaceDE w:val="0"/>
        <w:autoSpaceDN w:val="0"/>
        <w:spacing w:before="0" w:beforeAutospacing="0" w:after="0" w:afterAutospacing="0"/>
        <w:ind w:left="138"/>
        <w:rPr>
          <w:rFonts w:cs="宋体"/>
          <w:color w:val="auto"/>
          <w:sz w:val="21"/>
          <w:szCs w:val="21"/>
          <w:highlight w:val="none"/>
        </w:rPr>
      </w:pPr>
      <w:r>
        <w:rPr>
          <w:rFonts w:hint="eastAsia" w:cs="宋体"/>
          <w:color w:val="auto"/>
          <w:sz w:val="21"/>
          <w:szCs w:val="21"/>
          <w:highlight w:val="none"/>
        </w:rPr>
        <w:t xml:space="preserve">付。承包人不接受索赔处理结果的，按第 24 条的约定办理。 </w:t>
      </w:r>
    </w:p>
    <w:p>
      <w:pPr>
        <w:pStyle w:val="7"/>
        <w:widowControl/>
        <w:numPr>
          <w:ilvl w:val="1"/>
          <w:numId w:val="14"/>
        </w:numPr>
        <w:spacing w:before="1"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承包人提出索赔的期限 </w:t>
      </w:r>
    </w:p>
    <w:p>
      <w:pPr>
        <w:pStyle w:val="20"/>
        <w:widowControl w:val="0"/>
        <w:numPr>
          <w:ilvl w:val="2"/>
          <w:numId w:val="116"/>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8"/>
          <w:sz w:val="21"/>
          <w:szCs w:val="21"/>
          <w:highlight w:val="none"/>
        </w:rPr>
        <w:t xml:space="preserve">承包人按第 </w:t>
      </w:r>
      <w:r>
        <w:rPr>
          <w:rFonts w:hint="eastAsia" w:cs="宋体"/>
          <w:color w:val="auto"/>
          <w:sz w:val="21"/>
          <w:szCs w:val="21"/>
          <w:highlight w:val="none"/>
        </w:rPr>
        <w:t>17.5</w:t>
      </w:r>
      <w:r>
        <w:rPr>
          <w:rFonts w:hint="eastAsia" w:cs="宋体"/>
          <w:color w:val="auto"/>
          <w:spacing w:val="-7"/>
          <w:sz w:val="21"/>
          <w:szCs w:val="21"/>
          <w:highlight w:val="none"/>
        </w:rPr>
        <w:t xml:space="preserve"> 款的约定接受了竣工付款证书后，应被认为已无权再提出在合</w:t>
      </w:r>
      <w:r>
        <w:rPr>
          <w:rFonts w:hint="eastAsia" w:cs="宋体"/>
          <w:color w:val="auto"/>
          <w:spacing w:val="-4"/>
          <w:sz w:val="21"/>
          <w:szCs w:val="21"/>
          <w:highlight w:val="none"/>
        </w:rPr>
        <w:t>同工程接收证书颁发前所发生的任何索赔。</w:t>
      </w:r>
    </w:p>
    <w:p>
      <w:pPr>
        <w:pStyle w:val="20"/>
        <w:widowControl w:val="0"/>
        <w:numPr>
          <w:ilvl w:val="2"/>
          <w:numId w:val="116"/>
        </w:numPr>
        <w:autoSpaceDE w:val="0"/>
        <w:autoSpaceDN w:val="0"/>
        <w:spacing w:before="0" w:beforeAutospacing="0" w:after="0" w:afterAutospacing="0" w:line="415" w:lineRule="auto"/>
        <w:ind w:right="308" w:firstLine="419"/>
        <w:jc w:val="both"/>
        <w:rPr>
          <w:rFonts w:cs="宋体"/>
          <w:color w:val="auto"/>
          <w:sz w:val="22"/>
          <w:szCs w:val="22"/>
          <w:highlight w:val="none"/>
        </w:rPr>
      </w:pPr>
      <w:r>
        <w:rPr>
          <w:rFonts w:hint="eastAsia" w:cs="宋体"/>
          <w:color w:val="auto"/>
          <w:spacing w:val="-8"/>
          <w:sz w:val="21"/>
          <w:szCs w:val="21"/>
          <w:highlight w:val="none"/>
        </w:rPr>
        <w:t xml:space="preserve">承包人按第 </w:t>
      </w:r>
      <w:r>
        <w:rPr>
          <w:rFonts w:hint="eastAsia" w:cs="宋体"/>
          <w:color w:val="auto"/>
          <w:sz w:val="21"/>
          <w:szCs w:val="21"/>
          <w:highlight w:val="none"/>
        </w:rPr>
        <w:t>17.6</w:t>
      </w:r>
      <w:r>
        <w:rPr>
          <w:rFonts w:hint="eastAsia" w:cs="宋体"/>
          <w:color w:val="auto"/>
          <w:spacing w:val="-7"/>
          <w:sz w:val="21"/>
          <w:szCs w:val="21"/>
          <w:highlight w:val="none"/>
        </w:rPr>
        <w:t xml:space="preserve"> 款的约定提交的最终结清申请单中，只限于提出工程接收证书</w:t>
      </w:r>
      <w:r>
        <w:rPr>
          <w:rFonts w:hint="eastAsia" w:cs="宋体"/>
          <w:color w:val="auto"/>
          <w:spacing w:val="-4"/>
          <w:sz w:val="21"/>
          <w:szCs w:val="21"/>
          <w:highlight w:val="none"/>
        </w:rPr>
        <w:t>颁发后发生的索赔。提出索赔的期限自接受最终结清证书时终止。</w:t>
      </w:r>
    </w:p>
    <w:p>
      <w:pPr>
        <w:pStyle w:val="7"/>
        <w:widowControl/>
        <w:numPr>
          <w:ilvl w:val="1"/>
          <w:numId w:val="14"/>
        </w:numPr>
        <w:spacing w:before="66"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发包人的索赔 </w:t>
      </w:r>
    </w:p>
    <w:p>
      <w:pPr>
        <w:pStyle w:val="20"/>
        <w:widowControl w:val="0"/>
        <w:numPr>
          <w:ilvl w:val="2"/>
          <w:numId w:val="117"/>
        </w:numPr>
        <w:autoSpaceDE w:val="0"/>
        <w:autoSpaceDN w:val="0"/>
        <w:spacing w:before="0" w:beforeAutospacing="0" w:after="0" w:afterAutospacing="0" w:line="415" w:lineRule="auto"/>
        <w:ind w:right="308" w:firstLine="419"/>
        <w:jc w:val="both"/>
        <w:rPr>
          <w:rFonts w:cs="宋体"/>
          <w:color w:val="auto"/>
          <w:sz w:val="21"/>
          <w:szCs w:val="21"/>
          <w:highlight w:val="none"/>
        </w:rPr>
      </w:pPr>
      <w:r>
        <w:rPr>
          <w:rFonts w:hint="eastAsia" w:cs="宋体"/>
          <w:color w:val="auto"/>
          <w:spacing w:val="-11"/>
          <w:sz w:val="21"/>
          <w:szCs w:val="21"/>
          <w:highlight w:val="none"/>
        </w:rPr>
        <w:t>发生索赔事件后，监理人应及时书面通知承包人，详细说明发包人有权得到的索</w:t>
      </w:r>
      <w:r>
        <w:rPr>
          <w:rFonts w:hint="eastAsia" w:cs="宋体"/>
          <w:color w:val="auto"/>
          <w:spacing w:val="-7"/>
          <w:sz w:val="21"/>
          <w:szCs w:val="21"/>
          <w:highlight w:val="none"/>
        </w:rPr>
        <w:t>赔金额和</w:t>
      </w:r>
      <w:r>
        <w:rPr>
          <w:rFonts w:hint="eastAsia" w:cs="宋体"/>
          <w:color w:val="auto"/>
          <w:sz w:val="21"/>
          <w:szCs w:val="21"/>
          <w:highlight w:val="none"/>
        </w:rPr>
        <w:t>（或</w:t>
      </w:r>
      <w:r>
        <w:rPr>
          <w:rFonts w:hint="eastAsia" w:cs="宋体"/>
          <w:color w:val="auto"/>
          <w:spacing w:val="-3"/>
          <w:sz w:val="21"/>
          <w:szCs w:val="21"/>
          <w:highlight w:val="none"/>
        </w:rPr>
        <w:t>）</w:t>
      </w:r>
      <w:r>
        <w:rPr>
          <w:rFonts w:hint="eastAsia" w:cs="宋体"/>
          <w:color w:val="auto"/>
          <w:spacing w:val="-2"/>
          <w:sz w:val="21"/>
          <w:szCs w:val="21"/>
          <w:highlight w:val="none"/>
        </w:rPr>
        <w:t xml:space="preserve">延长缺陷责任期的细节和依据。发包人提出索赔的期限和要求与第 </w:t>
      </w:r>
      <w:r>
        <w:rPr>
          <w:rFonts w:hint="eastAsia" w:cs="宋体"/>
          <w:color w:val="auto"/>
          <w:spacing w:val="-4"/>
          <w:sz w:val="21"/>
          <w:szCs w:val="21"/>
          <w:highlight w:val="none"/>
        </w:rPr>
        <w:t>23.3</w:t>
      </w:r>
      <w:r>
        <w:rPr>
          <w:rFonts w:hint="eastAsia" w:cs="宋体"/>
          <w:color w:val="auto"/>
          <w:sz w:val="21"/>
          <w:szCs w:val="21"/>
          <w:highlight w:val="none"/>
        </w:rPr>
        <w:t>款</w:t>
      </w:r>
      <w:r>
        <w:rPr>
          <w:rFonts w:hint="eastAsia" w:cs="宋体"/>
          <w:color w:val="auto"/>
          <w:spacing w:val="-3"/>
          <w:sz w:val="21"/>
          <w:szCs w:val="21"/>
          <w:highlight w:val="none"/>
        </w:rPr>
        <w:t>的约定相同，延长缺陷责任期的通知应在缺陷责任期届满前发出。</w:t>
      </w:r>
    </w:p>
    <w:p>
      <w:pPr>
        <w:pStyle w:val="20"/>
        <w:widowControl w:val="0"/>
        <w:numPr>
          <w:ilvl w:val="2"/>
          <w:numId w:val="117"/>
        </w:numPr>
        <w:autoSpaceDE w:val="0"/>
        <w:autoSpaceDN w:val="0"/>
        <w:spacing w:before="0" w:beforeAutospacing="0" w:after="0" w:afterAutospacing="0" w:line="415" w:lineRule="auto"/>
        <w:ind w:right="310" w:firstLine="419"/>
        <w:jc w:val="both"/>
        <w:rPr>
          <w:rFonts w:cs="宋体"/>
          <w:color w:val="auto"/>
          <w:sz w:val="21"/>
          <w:szCs w:val="21"/>
          <w:highlight w:val="none"/>
        </w:rPr>
      </w:pPr>
      <w:r>
        <w:rPr>
          <w:rFonts w:hint="eastAsia" w:cs="宋体"/>
          <w:color w:val="auto"/>
          <w:spacing w:val="-9"/>
          <w:sz w:val="21"/>
          <w:szCs w:val="21"/>
          <w:highlight w:val="none"/>
        </w:rPr>
        <w:t xml:space="preserve">监理人按第 </w:t>
      </w:r>
      <w:r>
        <w:rPr>
          <w:rFonts w:hint="eastAsia" w:cs="宋体"/>
          <w:color w:val="auto"/>
          <w:sz w:val="21"/>
          <w:szCs w:val="21"/>
          <w:highlight w:val="none"/>
        </w:rPr>
        <w:t>3.5</w:t>
      </w:r>
      <w:r>
        <w:rPr>
          <w:rFonts w:hint="eastAsia" w:cs="宋体"/>
          <w:color w:val="auto"/>
          <w:spacing w:val="-9"/>
          <w:sz w:val="21"/>
          <w:szCs w:val="21"/>
          <w:highlight w:val="none"/>
        </w:rPr>
        <w:t xml:space="preserve"> 款商定或确定发包人从承包人处得到赔付的金额和</w:t>
      </w:r>
      <w:r>
        <w:rPr>
          <w:rFonts w:hint="eastAsia" w:cs="宋体"/>
          <w:color w:val="auto"/>
          <w:sz w:val="21"/>
          <w:szCs w:val="21"/>
          <w:highlight w:val="none"/>
        </w:rPr>
        <w:t>（</w:t>
      </w:r>
      <w:r>
        <w:rPr>
          <w:rFonts w:hint="eastAsia" w:cs="宋体"/>
          <w:color w:val="auto"/>
          <w:spacing w:val="-3"/>
          <w:sz w:val="21"/>
          <w:szCs w:val="21"/>
          <w:highlight w:val="none"/>
        </w:rPr>
        <w:t>或</w:t>
      </w:r>
      <w:r>
        <w:rPr>
          <w:rFonts w:hint="eastAsia" w:cs="宋体"/>
          <w:color w:val="auto"/>
          <w:spacing w:val="-46"/>
          <w:sz w:val="21"/>
          <w:szCs w:val="21"/>
          <w:highlight w:val="none"/>
        </w:rPr>
        <w:t>）</w:t>
      </w:r>
      <w:r>
        <w:rPr>
          <w:rFonts w:hint="eastAsia" w:cs="宋体"/>
          <w:color w:val="auto"/>
          <w:spacing w:val="-2"/>
          <w:sz w:val="21"/>
          <w:szCs w:val="21"/>
          <w:highlight w:val="none"/>
        </w:rPr>
        <w:t>缺陷责</w:t>
      </w:r>
      <w:r>
        <w:rPr>
          <w:rFonts w:hint="eastAsia" w:cs="宋体"/>
          <w:color w:val="auto"/>
          <w:spacing w:val="-10"/>
          <w:sz w:val="21"/>
          <w:szCs w:val="21"/>
          <w:highlight w:val="none"/>
        </w:rPr>
        <w:t>任期的延长期。承包人应付给发包人的金额可从拟支付给承包人的合同价款中扣除，或由承</w:t>
      </w:r>
      <w:r>
        <w:rPr>
          <w:rFonts w:hint="eastAsia" w:cs="宋体"/>
          <w:color w:val="auto"/>
          <w:spacing w:val="-4"/>
          <w:sz w:val="21"/>
          <w:szCs w:val="21"/>
          <w:highlight w:val="none"/>
        </w:rPr>
        <w:t>包人以其他方式支付给发包人。</w:t>
      </w:r>
    </w:p>
    <w:p>
      <w:pPr>
        <w:pStyle w:val="6"/>
        <w:widowControl/>
        <w:numPr>
          <w:ilvl w:val="0"/>
          <w:numId w:val="14"/>
        </w:numPr>
        <w:spacing w:before="1" w:after="0"/>
        <w:ind w:left="560" w:hanging="423"/>
        <w:jc w:val="left"/>
        <w:rPr>
          <w:rFonts w:ascii="宋体" w:hAnsi="宋体" w:eastAsia="宋体" w:cs="宋体"/>
          <w:color w:val="auto"/>
          <w:szCs w:val="28"/>
          <w:highlight w:val="none"/>
        </w:rPr>
      </w:pPr>
      <w:r>
        <w:rPr>
          <w:rFonts w:hint="eastAsia" w:ascii="宋体" w:hAnsi="宋体" w:eastAsia="宋体" w:cs="宋体"/>
          <w:color w:val="auto"/>
          <w:spacing w:val="-3"/>
          <w:szCs w:val="28"/>
          <w:highlight w:val="none"/>
        </w:rPr>
        <w:t>争议的解决</w:t>
      </w:r>
    </w:p>
    <w:p>
      <w:pPr>
        <w:pStyle w:val="7"/>
        <w:widowControl/>
        <w:numPr>
          <w:ilvl w:val="1"/>
          <w:numId w:val="14"/>
        </w:numPr>
        <w:spacing w:before="1"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争议的解决方式 </w:t>
      </w:r>
    </w:p>
    <w:p>
      <w:pPr>
        <w:pStyle w:val="20"/>
        <w:widowControl w:val="0"/>
        <w:autoSpaceDE w:val="0"/>
        <w:autoSpaceDN w:val="0"/>
        <w:spacing w:before="0" w:beforeAutospacing="0" w:after="0" w:afterAutospacing="0" w:line="415" w:lineRule="auto"/>
        <w:ind w:left="138" w:right="310" w:firstLine="419"/>
        <w:jc w:val="both"/>
        <w:rPr>
          <w:rFonts w:cs="宋体"/>
          <w:color w:val="auto"/>
          <w:sz w:val="21"/>
          <w:szCs w:val="21"/>
          <w:highlight w:val="none"/>
        </w:rPr>
      </w:pPr>
      <w:r>
        <w:rPr>
          <w:rFonts w:hint="eastAsia" w:cs="宋体"/>
          <w:color w:val="auto"/>
          <w:sz w:val="21"/>
          <w:szCs w:val="21"/>
          <w:highlight w:val="none"/>
        </w:rPr>
        <w:t>发包人和承包人在履行合同中发生争议的，可以友好协商解决或者提请争议评审组评</w:t>
      </w:r>
      <w:r>
        <w:rPr>
          <w:rFonts w:hint="eastAsia" w:cs="宋体"/>
          <w:color w:val="auto"/>
          <w:spacing w:val="-10"/>
          <w:sz w:val="21"/>
          <w:szCs w:val="21"/>
          <w:highlight w:val="none"/>
        </w:rPr>
        <w:t>审。合同当事人友好协商解决不成、不愿提请争议评审或者不接受争议评审组意见的，可在</w:t>
      </w:r>
      <w:r>
        <w:rPr>
          <w:rFonts w:hint="eastAsia" w:cs="宋体"/>
          <w:color w:val="auto"/>
          <w:spacing w:val="-5"/>
          <w:sz w:val="21"/>
          <w:szCs w:val="21"/>
          <w:highlight w:val="none"/>
        </w:rPr>
        <w:t>合同条款专用部分中约定下列一种方式解决。</w:t>
      </w:r>
    </w:p>
    <w:p>
      <w:pPr>
        <w:pStyle w:val="20"/>
        <w:widowControl w:val="0"/>
        <w:numPr>
          <w:ilvl w:val="0"/>
          <w:numId w:val="118"/>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向约定的仲裁委员会申请仲裁；</w:t>
      </w:r>
    </w:p>
    <w:p>
      <w:pPr>
        <w:pStyle w:val="20"/>
        <w:widowControl w:val="0"/>
        <w:numPr>
          <w:ilvl w:val="0"/>
          <w:numId w:val="118"/>
        </w:numPr>
        <w:autoSpaceDE w:val="0"/>
        <w:autoSpaceDN w:val="0"/>
        <w:spacing w:before="0" w:beforeAutospacing="0" w:after="0" w:afterAutospacing="0"/>
        <w:rPr>
          <w:rFonts w:cs="宋体"/>
          <w:color w:val="auto"/>
          <w:sz w:val="21"/>
          <w:szCs w:val="21"/>
          <w:highlight w:val="none"/>
        </w:rPr>
      </w:pPr>
      <w:r>
        <w:rPr>
          <w:rFonts w:hint="eastAsia" w:cs="宋体"/>
          <w:color w:val="auto"/>
          <w:spacing w:val="-3"/>
          <w:sz w:val="21"/>
          <w:szCs w:val="21"/>
          <w:highlight w:val="none"/>
        </w:rPr>
        <w:t>向有管辖权的人民法院提起诉讼。</w:t>
      </w:r>
    </w:p>
    <w:p>
      <w:pPr>
        <w:pStyle w:val="7"/>
        <w:widowControl/>
        <w:numPr>
          <w:ilvl w:val="1"/>
          <w:numId w:val="14"/>
        </w:numPr>
        <w:spacing w:before="0"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友好解决 </w:t>
      </w:r>
    </w:p>
    <w:p>
      <w:pPr>
        <w:pStyle w:val="20"/>
        <w:widowControl w:val="0"/>
        <w:autoSpaceDE w:val="0"/>
        <w:autoSpaceDN w:val="0"/>
        <w:spacing w:before="0" w:beforeAutospacing="0" w:after="0" w:afterAutospacing="0" w:line="415" w:lineRule="auto"/>
        <w:ind w:left="138" w:right="311" w:firstLine="419"/>
        <w:rPr>
          <w:rFonts w:cs="宋体"/>
          <w:color w:val="auto"/>
          <w:sz w:val="21"/>
          <w:szCs w:val="21"/>
          <w:highlight w:val="none"/>
        </w:rPr>
      </w:pPr>
      <w:r>
        <w:rPr>
          <w:rFonts w:hint="eastAsia" w:cs="宋体"/>
          <w:color w:val="auto"/>
          <w:spacing w:val="-9"/>
          <w:sz w:val="21"/>
          <w:szCs w:val="21"/>
          <w:highlight w:val="none"/>
        </w:rPr>
        <w:t>在提请争议评审、仲裁或者诉讼前，以及在争议评审、仲裁或诉讼过程中，发包人和承</w:t>
      </w:r>
      <w:r>
        <w:rPr>
          <w:rFonts w:hint="eastAsia" w:cs="宋体"/>
          <w:color w:val="auto"/>
          <w:spacing w:val="-5"/>
          <w:sz w:val="21"/>
          <w:szCs w:val="21"/>
          <w:highlight w:val="none"/>
        </w:rPr>
        <w:t>包人均可共同努力友好协商解决争议。</w:t>
      </w:r>
    </w:p>
    <w:p>
      <w:pPr>
        <w:pStyle w:val="7"/>
        <w:widowControl/>
        <w:numPr>
          <w:ilvl w:val="1"/>
          <w:numId w:val="14"/>
        </w:numPr>
        <w:spacing w:before="135" w:after="0"/>
        <w:ind w:left="619" w:hanging="48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争议评审 </w:t>
      </w:r>
    </w:p>
    <w:p>
      <w:pPr>
        <w:pStyle w:val="20"/>
        <w:widowControl w:val="0"/>
        <w:numPr>
          <w:ilvl w:val="2"/>
          <w:numId w:val="119"/>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pacing w:val="-5"/>
          <w:sz w:val="21"/>
          <w:szCs w:val="21"/>
          <w:highlight w:val="none"/>
        </w:rPr>
        <w:t xml:space="preserve">采用争议评审的，发包人和承包人应在开工日后的 </w:t>
      </w:r>
      <w:r>
        <w:rPr>
          <w:rFonts w:hint="eastAsia" w:cs="宋体"/>
          <w:color w:val="auto"/>
          <w:sz w:val="21"/>
          <w:szCs w:val="21"/>
          <w:highlight w:val="none"/>
        </w:rPr>
        <w:t>28</w:t>
      </w:r>
      <w:r>
        <w:rPr>
          <w:rFonts w:hint="eastAsia" w:cs="宋体"/>
          <w:color w:val="auto"/>
          <w:spacing w:val="-7"/>
          <w:sz w:val="21"/>
          <w:szCs w:val="21"/>
          <w:highlight w:val="none"/>
        </w:rPr>
        <w:t xml:space="preserve"> 天内或在争议发生后，协</w:t>
      </w:r>
      <w:r>
        <w:rPr>
          <w:rFonts w:hint="eastAsia" w:cs="宋体"/>
          <w:color w:val="auto"/>
          <w:spacing w:val="-4"/>
          <w:sz w:val="21"/>
          <w:szCs w:val="21"/>
          <w:highlight w:val="none"/>
        </w:rPr>
        <w:t xml:space="preserve">商成立争议评审组。争议评审组由有合同管理和工程实践经验的专家组成。 </w:t>
      </w:r>
    </w:p>
    <w:p>
      <w:pPr>
        <w:pStyle w:val="20"/>
        <w:widowControl w:val="0"/>
        <w:numPr>
          <w:ilvl w:val="2"/>
          <w:numId w:val="119"/>
        </w:numPr>
        <w:autoSpaceDE w:val="0"/>
        <w:autoSpaceDN w:val="0"/>
        <w:spacing w:before="0" w:beforeAutospacing="0" w:after="0" w:afterAutospacing="0" w:line="415" w:lineRule="auto"/>
        <w:ind w:right="309" w:firstLine="419"/>
        <w:jc w:val="both"/>
        <w:rPr>
          <w:rFonts w:cs="宋体"/>
          <w:color w:val="auto"/>
          <w:sz w:val="21"/>
          <w:szCs w:val="21"/>
          <w:highlight w:val="none"/>
        </w:rPr>
      </w:pPr>
      <w:r>
        <w:rPr>
          <w:rFonts w:hint="eastAsia" w:cs="宋体"/>
          <w:color w:val="auto"/>
          <w:sz w:val="21"/>
          <w:szCs w:val="21"/>
          <w:highlight w:val="none"/>
        </w:rPr>
        <w:t>合同双方的争议，应首先由申请人向争议评审组提交一份详细的评审申请报告</w:t>
      </w:r>
      <w:r>
        <w:rPr>
          <w:rFonts w:hint="eastAsia" w:cs="宋体"/>
          <w:color w:val="auto"/>
          <w:spacing w:val="-12"/>
          <w:sz w:val="21"/>
          <w:szCs w:val="21"/>
          <w:highlight w:val="none"/>
        </w:rPr>
        <w:t>，并附必要的文件、图纸和证明材料，申请人还应将上述报告的副本同时提交给被申请人和</w:t>
      </w:r>
      <w:r>
        <w:rPr>
          <w:rFonts w:hint="eastAsia" w:cs="宋体"/>
          <w:color w:val="auto"/>
          <w:spacing w:val="-6"/>
          <w:sz w:val="21"/>
          <w:szCs w:val="21"/>
          <w:highlight w:val="none"/>
        </w:rPr>
        <w:t>监理人。</w:t>
      </w:r>
    </w:p>
    <w:p>
      <w:pPr>
        <w:pStyle w:val="20"/>
        <w:widowControl w:val="0"/>
        <w:numPr>
          <w:ilvl w:val="2"/>
          <w:numId w:val="119"/>
        </w:numPr>
        <w:autoSpaceDE w:val="0"/>
        <w:autoSpaceDN w:val="0"/>
        <w:spacing w:before="0" w:beforeAutospacing="0" w:after="0" w:afterAutospacing="0" w:line="415" w:lineRule="auto"/>
        <w:ind w:right="308" w:firstLine="419"/>
        <w:jc w:val="right"/>
        <w:rPr>
          <w:rFonts w:cs="宋体"/>
          <w:color w:val="auto"/>
          <w:sz w:val="21"/>
          <w:szCs w:val="21"/>
          <w:highlight w:val="none"/>
        </w:rPr>
      </w:pPr>
      <w:r>
        <w:rPr>
          <w:rFonts w:hint="eastAsia" w:cs="宋体"/>
          <w:color w:val="auto"/>
          <w:spacing w:val="-5"/>
          <w:sz w:val="21"/>
          <w:szCs w:val="21"/>
          <w:highlight w:val="none"/>
        </w:rPr>
        <w:t xml:space="preserve">被申请人在收到申请人评审申请报告副本后的 </w:t>
      </w:r>
      <w:r>
        <w:rPr>
          <w:rFonts w:hint="eastAsia" w:cs="宋体"/>
          <w:color w:val="auto"/>
          <w:sz w:val="21"/>
          <w:szCs w:val="21"/>
          <w:highlight w:val="none"/>
        </w:rPr>
        <w:t>28</w:t>
      </w:r>
      <w:r>
        <w:rPr>
          <w:rFonts w:hint="eastAsia" w:cs="宋体"/>
          <w:color w:val="auto"/>
          <w:spacing w:val="-7"/>
          <w:sz w:val="21"/>
          <w:szCs w:val="21"/>
          <w:highlight w:val="none"/>
        </w:rPr>
        <w:t xml:space="preserve"> 天内，向争议评审组提交一份</w:t>
      </w:r>
      <w:r>
        <w:rPr>
          <w:rFonts w:hint="eastAsia" w:cs="宋体"/>
          <w:color w:val="auto"/>
          <w:spacing w:val="-4"/>
          <w:sz w:val="21"/>
          <w:szCs w:val="21"/>
          <w:highlight w:val="none"/>
        </w:rPr>
        <w:t>答辩报告，并附证明材料。被申请人应将答辩报告的副本同时提交给申请人和监理人。</w:t>
      </w:r>
      <w:r>
        <w:rPr>
          <w:rFonts w:hint="eastAsia" w:cs="宋体"/>
          <w:color w:val="auto"/>
          <w:sz w:val="21"/>
          <w:szCs w:val="21"/>
          <w:highlight w:val="none"/>
        </w:rPr>
        <w:t>24.3.4</w:t>
      </w:r>
      <w:r>
        <w:rPr>
          <w:rFonts w:hint="eastAsia" w:cs="宋体"/>
          <w:color w:val="auto"/>
          <w:spacing w:val="-5"/>
          <w:sz w:val="21"/>
          <w:szCs w:val="21"/>
          <w:highlight w:val="none"/>
        </w:rPr>
        <w:t xml:space="preserve"> 争议评审组在收到合同双方报告后的 </w:t>
      </w:r>
      <w:r>
        <w:rPr>
          <w:rFonts w:hint="eastAsia" w:cs="宋体"/>
          <w:color w:val="auto"/>
          <w:sz w:val="21"/>
          <w:szCs w:val="21"/>
          <w:highlight w:val="none"/>
        </w:rPr>
        <w:t>14</w:t>
      </w:r>
      <w:r>
        <w:rPr>
          <w:rFonts w:hint="eastAsia" w:cs="宋体"/>
          <w:color w:val="auto"/>
          <w:spacing w:val="-8"/>
          <w:sz w:val="21"/>
          <w:szCs w:val="21"/>
          <w:highlight w:val="none"/>
        </w:rPr>
        <w:t xml:space="preserve"> 天内，邀请双方代表和有关人员在合</w:t>
      </w:r>
    </w:p>
    <w:p>
      <w:pPr>
        <w:pStyle w:val="20"/>
        <w:widowControl w:val="0"/>
        <w:autoSpaceDE w:val="0"/>
        <w:autoSpaceDN w:val="0"/>
        <w:spacing w:before="0" w:beforeAutospacing="0" w:after="0" w:afterAutospacing="0"/>
        <w:ind w:right="309"/>
        <w:jc w:val="both"/>
        <w:rPr>
          <w:rFonts w:cs="宋体"/>
          <w:color w:val="auto"/>
          <w:sz w:val="21"/>
          <w:szCs w:val="21"/>
          <w:highlight w:val="none"/>
        </w:rPr>
      </w:pPr>
      <w:r>
        <w:rPr>
          <w:rFonts w:hint="eastAsia" w:cs="宋体"/>
          <w:color w:val="auto"/>
          <w:spacing w:val="-9"/>
          <w:sz w:val="21"/>
          <w:szCs w:val="21"/>
          <w:highlight w:val="none"/>
        </w:rPr>
        <w:t>同约定的期限内举行调查会，向双方调查争议细节；必要时争议评审组可要求双方进一步提</w:t>
      </w:r>
      <w:r>
        <w:rPr>
          <w:rFonts w:hint="eastAsia" w:cs="宋体"/>
          <w:color w:val="auto"/>
          <w:sz w:val="21"/>
          <w:szCs w:val="21"/>
          <w:highlight w:val="none"/>
        </w:rPr>
        <w:t xml:space="preserve">供补充材料。举行调查会的期限见合同条款专用部分。 </w:t>
      </w:r>
    </w:p>
    <w:p>
      <w:pPr>
        <w:pStyle w:val="20"/>
        <w:widowControl w:val="0"/>
        <w:numPr>
          <w:ilvl w:val="2"/>
          <w:numId w:val="120"/>
        </w:numPr>
        <w:autoSpaceDE w:val="0"/>
        <w:autoSpaceDN w:val="0"/>
        <w:spacing w:before="0" w:beforeAutospacing="0" w:after="0" w:afterAutospacing="0" w:line="415" w:lineRule="auto"/>
        <w:ind w:right="203" w:firstLine="419"/>
        <w:rPr>
          <w:rFonts w:cs="宋体"/>
          <w:color w:val="auto"/>
          <w:sz w:val="21"/>
          <w:szCs w:val="21"/>
          <w:highlight w:val="none"/>
        </w:rPr>
      </w:pPr>
      <w:r>
        <w:rPr>
          <w:rFonts w:hint="eastAsia" w:cs="宋体"/>
          <w:color w:val="auto"/>
          <w:spacing w:val="-7"/>
          <w:sz w:val="21"/>
          <w:szCs w:val="21"/>
          <w:highlight w:val="none"/>
        </w:rPr>
        <w:t xml:space="preserve">在调查会结束后的 </w:t>
      </w:r>
      <w:r>
        <w:rPr>
          <w:rFonts w:hint="eastAsia" w:cs="宋体"/>
          <w:color w:val="auto"/>
          <w:sz w:val="21"/>
          <w:szCs w:val="21"/>
          <w:highlight w:val="none"/>
        </w:rPr>
        <w:t>14</w:t>
      </w:r>
      <w:r>
        <w:rPr>
          <w:rFonts w:hint="eastAsia" w:cs="宋体"/>
          <w:color w:val="auto"/>
          <w:spacing w:val="-13"/>
          <w:sz w:val="21"/>
          <w:szCs w:val="21"/>
          <w:highlight w:val="none"/>
        </w:rPr>
        <w:t xml:space="preserve"> 天内，争议评审组应在不受任何干扰的情况下进行独立、公</w:t>
      </w:r>
      <w:r>
        <w:rPr>
          <w:rFonts w:hint="eastAsia" w:cs="宋体"/>
          <w:color w:val="auto"/>
          <w:spacing w:val="-11"/>
          <w:sz w:val="21"/>
          <w:szCs w:val="21"/>
          <w:highlight w:val="none"/>
        </w:rPr>
        <w:t>正的评审，在合同约定的期限内作出书面评审意见，并说明理由。在争议评审期间，争议双方暂按总监理工程师的确定执行。争议评审组作出争议评审意见的期限见合同条款专用部分</w:t>
      </w:r>
      <w:r>
        <w:rPr>
          <w:rFonts w:hint="eastAsia" w:cs="宋体"/>
          <w:color w:val="auto"/>
          <w:spacing w:val="-3"/>
          <w:sz w:val="21"/>
          <w:szCs w:val="21"/>
          <w:highlight w:val="none"/>
        </w:rPr>
        <w:t>。</w:t>
      </w:r>
    </w:p>
    <w:p>
      <w:pPr>
        <w:pStyle w:val="20"/>
        <w:widowControl w:val="0"/>
        <w:numPr>
          <w:ilvl w:val="2"/>
          <w:numId w:val="120"/>
        </w:numPr>
        <w:autoSpaceDE w:val="0"/>
        <w:autoSpaceDN w:val="0"/>
        <w:spacing w:before="0" w:beforeAutospacing="0" w:after="0" w:afterAutospacing="0" w:line="415" w:lineRule="auto"/>
        <w:ind w:right="309" w:firstLine="419"/>
        <w:rPr>
          <w:rFonts w:cs="宋体"/>
          <w:color w:val="auto"/>
          <w:sz w:val="22"/>
          <w:szCs w:val="22"/>
          <w:highlight w:val="none"/>
        </w:rPr>
      </w:pPr>
      <w:r>
        <w:rPr>
          <w:rFonts w:hint="eastAsia" w:cs="宋体"/>
          <w:color w:val="auto"/>
          <w:spacing w:val="-8"/>
          <w:sz w:val="21"/>
          <w:szCs w:val="21"/>
          <w:highlight w:val="none"/>
        </w:rPr>
        <w:t>发包人和承包人接受评审意见的，由监理人根据评审意见拟定执行协议，经争议</w:t>
      </w:r>
      <w:r>
        <w:rPr>
          <w:rFonts w:hint="eastAsia" w:cs="宋体"/>
          <w:color w:val="auto"/>
          <w:spacing w:val="-4"/>
          <w:sz w:val="21"/>
          <w:szCs w:val="21"/>
          <w:highlight w:val="none"/>
        </w:rPr>
        <w:t>双方签字后作为合同的补充文件，并遵照执行。</w:t>
      </w:r>
      <w:r>
        <w:rPr>
          <w:rFonts w:hint="eastAsia" w:cs="宋体"/>
          <w:color w:val="auto"/>
          <w:spacing w:val="-8"/>
          <w:sz w:val="21"/>
          <w:szCs w:val="21"/>
          <w:highlight w:val="none"/>
        </w:rPr>
        <w:t xml:space="preserve">发包人或承包人不接受评审意见，并要求提交仲裁或提起诉讼的，应在收到评审意见后的 </w:t>
      </w:r>
      <w:r>
        <w:rPr>
          <w:rFonts w:hint="eastAsia" w:cs="宋体"/>
          <w:color w:val="auto"/>
          <w:sz w:val="21"/>
          <w:szCs w:val="21"/>
          <w:highlight w:val="none"/>
        </w:rPr>
        <w:t>14</w:t>
      </w:r>
      <w:r>
        <w:rPr>
          <w:rFonts w:hint="eastAsia" w:cs="宋体"/>
          <w:color w:val="auto"/>
          <w:spacing w:val="-7"/>
          <w:sz w:val="21"/>
          <w:szCs w:val="21"/>
          <w:highlight w:val="none"/>
        </w:rPr>
        <w:t xml:space="preserve"> 天内将仲裁或起诉意向书面通知另一方，并抄送监理人，但在仲裁或诉讼结束</w:t>
      </w:r>
      <w:r>
        <w:rPr>
          <w:rFonts w:hint="eastAsia" w:cs="宋体"/>
          <w:color w:val="auto"/>
          <w:spacing w:val="-4"/>
          <w:sz w:val="21"/>
          <w:szCs w:val="21"/>
          <w:highlight w:val="none"/>
        </w:rPr>
        <w:t>前应暂按总监理工程师的确定执行。</w:t>
      </w:r>
    </w:p>
    <w:p>
      <w:pPr>
        <w:widowControl/>
        <w:jc w:val="center"/>
        <w:rPr>
          <w:rFonts w:ascii="黑体" w:eastAsia="黑体"/>
          <w:color w:val="auto"/>
          <w:sz w:val="28"/>
          <w:szCs w:val="28"/>
          <w:highlight w:val="none"/>
        </w:rPr>
      </w:pPr>
    </w:p>
    <w:bookmarkEnd w:id="544"/>
    <w:bookmarkEnd w:id="545"/>
    <w:bookmarkEnd w:id="546"/>
    <w:bookmarkEnd w:id="547"/>
    <w:bookmarkEnd w:id="548"/>
    <w:bookmarkEnd w:id="549"/>
    <w:p>
      <w:pPr>
        <w:widowControl/>
        <w:spacing w:line="360" w:lineRule="auto"/>
        <w:ind w:firstLine="2240" w:firstLineChars="800"/>
        <w:rPr>
          <w:rFonts w:ascii="黑体" w:eastAsia="黑体"/>
          <w:color w:val="auto"/>
          <w:sz w:val="28"/>
          <w:szCs w:val="28"/>
          <w:highlight w:val="none"/>
        </w:rPr>
      </w:pPr>
      <w:bookmarkStart w:id="553" w:name="_Toc492393932"/>
      <w:bookmarkStart w:id="554" w:name="_Toc523321733"/>
      <w:bookmarkStart w:id="555" w:name="_Toc519778421"/>
    </w:p>
    <w:bookmarkEnd w:id="553"/>
    <w:bookmarkEnd w:id="554"/>
    <w:bookmarkEnd w:id="555"/>
    <w:p>
      <w:pPr>
        <w:widowControl/>
        <w:spacing w:line="360" w:lineRule="auto"/>
        <w:rPr>
          <w:rFonts w:eastAsia="黑体"/>
          <w:b/>
          <w:color w:val="auto"/>
          <w:sz w:val="24"/>
          <w:szCs w:val="20"/>
          <w:highlight w:val="none"/>
          <w:lang w:val="zh-CN"/>
        </w:rPr>
      </w:pPr>
      <w:r>
        <w:rPr>
          <w:rFonts w:eastAsia="黑体"/>
          <w:color w:val="auto"/>
          <w:sz w:val="24"/>
          <w:szCs w:val="20"/>
          <w:highlight w:val="none"/>
          <w:lang w:val="zh-CN"/>
        </w:rPr>
        <w:br w:type="page"/>
      </w:r>
    </w:p>
    <w:p>
      <w:pPr>
        <w:widowControl/>
        <w:jc w:val="left"/>
        <w:rPr>
          <w:color w:val="auto"/>
          <w:highlight w:val="none"/>
        </w:rPr>
      </w:pPr>
      <w:r>
        <w:rPr>
          <w:rFonts w:hint="eastAsia"/>
          <w:color w:val="auto"/>
          <w:highlight w:val="none"/>
        </w:rPr>
        <w:t>附件：质量保修书格式</w:t>
      </w:r>
      <w:bookmarkEnd w:id="550"/>
      <w:bookmarkEnd w:id="551"/>
    </w:p>
    <w:p>
      <w:pPr>
        <w:tabs>
          <w:tab w:val="left" w:pos="3855"/>
        </w:tabs>
        <w:spacing w:line="400" w:lineRule="exact"/>
        <w:ind w:firstLine="560" w:firstLineChars="200"/>
        <w:jc w:val="center"/>
        <w:rPr>
          <w:rFonts w:eastAsia="黑体"/>
          <w:color w:val="auto"/>
          <w:sz w:val="28"/>
          <w:highlight w:val="none"/>
        </w:rPr>
      </w:pPr>
    </w:p>
    <w:p>
      <w:pPr>
        <w:tabs>
          <w:tab w:val="left" w:pos="3855"/>
        </w:tabs>
        <w:spacing w:line="400" w:lineRule="exact"/>
        <w:ind w:firstLine="560" w:firstLineChars="200"/>
        <w:jc w:val="center"/>
        <w:rPr>
          <w:rFonts w:eastAsia="黑体"/>
          <w:color w:val="auto"/>
          <w:sz w:val="28"/>
          <w:highlight w:val="none"/>
        </w:rPr>
      </w:pPr>
      <w:r>
        <w:rPr>
          <w:rFonts w:hint="eastAsia" w:eastAsia="黑体"/>
          <w:color w:val="auto"/>
          <w:sz w:val="28"/>
          <w:highlight w:val="none"/>
        </w:rPr>
        <w:t>房屋建筑工程质量保修书</w:t>
      </w:r>
      <w:bookmarkEnd w:id="552"/>
    </w:p>
    <w:p>
      <w:pPr>
        <w:spacing w:line="400" w:lineRule="exact"/>
        <w:rPr>
          <w:color w:val="auto"/>
          <w:highlight w:val="none"/>
        </w:rPr>
      </w:pPr>
    </w:p>
    <w:p>
      <w:pPr>
        <w:spacing w:line="400" w:lineRule="exact"/>
        <w:ind w:firstLine="488"/>
        <w:rPr>
          <w:rFonts w:hint="default" w:ascii="宋体" w:hAnsi="宋体" w:eastAsia="宋体"/>
          <w:color w:val="auto"/>
          <w:highlight w:val="none"/>
          <w:u w:val="single"/>
          <w:lang w:val="en-US" w:eastAsia="zh-CN"/>
        </w:rPr>
      </w:pPr>
      <w:r>
        <w:rPr>
          <w:rFonts w:hint="eastAsia" w:ascii="宋体" w:hAnsi="宋体"/>
          <w:color w:val="auto"/>
          <w:highlight w:val="none"/>
        </w:rPr>
        <w:t>发包人：</w:t>
      </w:r>
      <w:r>
        <w:rPr>
          <w:rFonts w:hint="eastAsia"/>
          <w:highlight w:val="none"/>
          <w:u w:val="single"/>
          <w:lang w:eastAsia="zh-CN"/>
        </w:rPr>
        <w:t>北京市顺义区教育资产管理服务中心</w:t>
      </w:r>
    </w:p>
    <w:p>
      <w:pPr>
        <w:spacing w:line="400" w:lineRule="exact"/>
        <w:ind w:firstLine="488"/>
        <w:rPr>
          <w:rFonts w:hint="default" w:ascii="宋体" w:hAnsi="宋体" w:eastAsia="宋体"/>
          <w:color w:val="auto"/>
          <w:highlight w:val="none"/>
          <w:u w:val="single"/>
          <w:lang w:val="en-US" w:eastAsia="zh-CN"/>
        </w:rPr>
      </w:pPr>
      <w:r>
        <w:rPr>
          <w:rFonts w:hint="eastAsia" w:ascii="宋体" w:hAnsi="宋体"/>
          <w:color w:val="auto"/>
          <w:highlight w:val="none"/>
        </w:rPr>
        <w:t>承包人：</w:t>
      </w:r>
      <w:r>
        <w:rPr>
          <w:rFonts w:hint="eastAsia" w:ascii="Times" w:hAnsi="宋体" w:cs="MingLiU"/>
          <w:color w:val="auto"/>
          <w:kern w:val="0"/>
          <w:szCs w:val="21"/>
          <w:highlight w:val="none"/>
          <w:u w:val="single"/>
          <w:lang w:val="en-US" w:eastAsia="zh-CN"/>
        </w:rPr>
        <w:t xml:space="preserve">                        </w:t>
      </w:r>
    </w:p>
    <w:p>
      <w:pPr>
        <w:spacing w:line="400" w:lineRule="exact"/>
        <w:ind w:firstLine="490"/>
        <w:rPr>
          <w:rFonts w:ascii="宋体" w:hAnsi="宋体"/>
          <w:color w:val="auto"/>
          <w:highlight w:val="none"/>
        </w:rPr>
      </w:pPr>
      <w:r>
        <w:rPr>
          <w:rFonts w:hint="eastAsia" w:ascii="宋体" w:hAnsi="宋体"/>
          <w:color w:val="auto"/>
          <w:highlight w:val="none"/>
        </w:rPr>
        <w:t>发包人、承包人根据《中华人民共和国建筑法》、《建设工程质量管理条例》和《房屋建筑工程质量保修办法》，经协商一致，对</w:t>
      </w:r>
      <w:r>
        <w:rPr>
          <w:rFonts w:hint="eastAsia" w:ascii="Times" w:hAnsi="宋体" w:cs="MingLiU"/>
          <w:color w:val="auto"/>
          <w:kern w:val="0"/>
          <w:szCs w:val="21"/>
          <w:highlight w:val="none"/>
          <w:u w:val="single"/>
          <w:lang w:val="en-US" w:eastAsia="zh-CN"/>
        </w:rPr>
        <w:t xml:space="preserve">                             </w:t>
      </w:r>
      <w:r>
        <w:rPr>
          <w:rFonts w:hint="eastAsia" w:ascii="宋体" w:hAnsi="宋体"/>
          <w:color w:val="auto"/>
          <w:highlight w:val="none"/>
        </w:rPr>
        <w:t>（工程名称）签订保修书。</w:t>
      </w:r>
    </w:p>
    <w:p>
      <w:pPr>
        <w:spacing w:line="400" w:lineRule="exact"/>
        <w:ind w:firstLine="550" w:firstLineChars="250"/>
        <w:rPr>
          <w:rFonts w:ascii="黑体" w:eastAsia="黑体"/>
          <w:color w:val="auto"/>
          <w:highlight w:val="none"/>
        </w:rPr>
      </w:pPr>
      <w:bookmarkStart w:id="556" w:name="_Toc111445498"/>
      <w:r>
        <w:rPr>
          <w:rFonts w:hint="eastAsia" w:ascii="黑体" w:eastAsia="黑体"/>
          <w:color w:val="auto"/>
          <w:highlight w:val="none"/>
        </w:rPr>
        <w:t>一、工程保修范围和内容</w:t>
      </w:r>
      <w:bookmarkEnd w:id="556"/>
    </w:p>
    <w:p>
      <w:pPr>
        <w:spacing w:line="400" w:lineRule="exact"/>
        <w:ind w:firstLine="490"/>
        <w:rPr>
          <w:rFonts w:ascii="宋体" w:hAnsi="宋体"/>
          <w:color w:val="auto"/>
          <w:highlight w:val="none"/>
        </w:rPr>
      </w:pPr>
      <w:r>
        <w:rPr>
          <w:rFonts w:hint="eastAsia" w:ascii="宋体" w:hAnsi="宋体"/>
          <w:color w:val="auto"/>
          <w:highlight w:val="none"/>
        </w:rPr>
        <w:t>承包人在保修期内，按照有关法律、法规、规章的管理规定和双方约定，承担本工程保修责任。</w:t>
      </w:r>
    </w:p>
    <w:p>
      <w:pPr>
        <w:spacing w:line="400" w:lineRule="exact"/>
        <w:ind w:firstLine="490"/>
        <w:rPr>
          <w:rFonts w:ascii="宋体" w:hAnsi="宋体"/>
          <w:color w:val="auto"/>
          <w:highlight w:val="none"/>
        </w:rPr>
      </w:pPr>
      <w:r>
        <w:rPr>
          <w:rFonts w:hint="eastAsia" w:ascii="宋体" w:hAnsi="宋体"/>
          <w:color w:val="auto"/>
          <w:highlight w:val="none"/>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pacing w:line="400" w:lineRule="exact"/>
        <w:rPr>
          <w:rFonts w:hint="eastAsia"/>
          <w:color w:val="auto"/>
          <w:highlight w:val="none"/>
          <w:u w:val="single"/>
          <w:lang w:val="en-US" w:eastAsia="zh-CN"/>
        </w:rPr>
      </w:pPr>
      <w:r>
        <w:rPr>
          <w:rFonts w:hint="eastAsia"/>
          <w:color w:val="auto"/>
          <w:highlight w:val="none"/>
          <w:u w:val="single"/>
          <w:lang w:val="en-US" w:eastAsia="zh-CN"/>
        </w:rPr>
        <w:t xml:space="preserve">                                                                    </w:t>
      </w:r>
    </w:p>
    <w:p>
      <w:pPr>
        <w:spacing w:line="400" w:lineRule="exact"/>
        <w:rPr>
          <w:rFonts w:hint="eastAsia"/>
          <w:color w:val="auto"/>
          <w:highlight w:val="none"/>
          <w:u w:val="single"/>
          <w:lang w:val="en-US" w:eastAsia="zh-CN"/>
        </w:rPr>
      </w:pPr>
      <w:r>
        <w:rPr>
          <w:rFonts w:hint="eastAsia"/>
          <w:color w:val="auto"/>
          <w:highlight w:val="none"/>
          <w:u w:val="single"/>
          <w:lang w:val="en-US" w:eastAsia="zh-CN"/>
        </w:rPr>
        <w:t xml:space="preserve">                                                                              </w:t>
      </w:r>
    </w:p>
    <w:p>
      <w:pPr>
        <w:spacing w:line="400" w:lineRule="exact"/>
        <w:rPr>
          <w:rFonts w:hint="default"/>
          <w:color w:val="auto"/>
          <w:highlight w:val="none"/>
          <w:u w:val="single"/>
          <w:lang w:val="en-US" w:eastAsia="zh-CN"/>
        </w:rPr>
      </w:pPr>
      <w:r>
        <w:rPr>
          <w:rFonts w:hint="eastAsia"/>
          <w:color w:val="auto"/>
          <w:highlight w:val="none"/>
          <w:u w:val="single"/>
          <w:lang w:val="en-US" w:eastAsia="zh-CN"/>
        </w:rPr>
        <w:t xml:space="preserve">                                                                                 </w:t>
      </w:r>
    </w:p>
    <w:p>
      <w:pPr>
        <w:spacing w:line="400" w:lineRule="exact"/>
        <w:ind w:firstLine="440" w:firstLineChars="200"/>
        <w:rPr>
          <w:rFonts w:ascii="黑体" w:eastAsia="黑体"/>
          <w:color w:val="auto"/>
          <w:highlight w:val="none"/>
        </w:rPr>
      </w:pPr>
      <w:bookmarkStart w:id="557" w:name="_Toc111445499"/>
      <w:r>
        <w:rPr>
          <w:rFonts w:hint="eastAsia" w:ascii="黑体" w:eastAsia="黑体"/>
          <w:color w:val="auto"/>
          <w:highlight w:val="none"/>
        </w:rPr>
        <w:t>二、保修期</w:t>
      </w:r>
      <w:bookmarkEnd w:id="557"/>
    </w:p>
    <w:p>
      <w:pPr>
        <w:spacing w:line="400" w:lineRule="exact"/>
        <w:ind w:left="420"/>
        <w:rPr>
          <w:rFonts w:ascii="宋体" w:hAnsi="宋体"/>
          <w:color w:val="auto"/>
          <w:highlight w:val="none"/>
        </w:rPr>
      </w:pPr>
      <w:r>
        <w:rPr>
          <w:rFonts w:hint="eastAsia" w:ascii="宋体" w:hAnsi="宋体"/>
          <w:color w:val="auto"/>
          <w:highlight w:val="none"/>
        </w:rPr>
        <w:t>双方根据《建设工程质量管理条例》及有关规定，约定本工程的保修期如下：</w:t>
      </w:r>
    </w:p>
    <w:p>
      <w:pPr>
        <w:numPr>
          <w:ilvl w:val="1"/>
          <w:numId w:val="121"/>
        </w:numPr>
        <w:tabs>
          <w:tab w:val="left" w:pos="800"/>
          <w:tab w:val="left" w:pos="1740"/>
        </w:tabs>
        <w:spacing w:line="400" w:lineRule="exact"/>
        <w:rPr>
          <w:rFonts w:ascii="宋体" w:hAnsi="宋体"/>
          <w:color w:val="auto"/>
          <w:highlight w:val="none"/>
        </w:rPr>
      </w:pPr>
      <w:r>
        <w:rPr>
          <w:rFonts w:hint="eastAsia" w:ascii="宋体" w:hAnsi="宋体"/>
          <w:color w:val="auto"/>
          <w:highlight w:val="none"/>
        </w:rPr>
        <w:t>地基基础工程和主体结构工程为设计文件规定的该工程合理使用年限；</w:t>
      </w:r>
    </w:p>
    <w:p>
      <w:pPr>
        <w:numPr>
          <w:ilvl w:val="1"/>
          <w:numId w:val="121"/>
        </w:numPr>
        <w:tabs>
          <w:tab w:val="left" w:pos="800"/>
          <w:tab w:val="left" w:pos="1740"/>
        </w:tabs>
        <w:spacing w:line="400" w:lineRule="exact"/>
        <w:rPr>
          <w:rFonts w:ascii="宋体" w:hAnsi="宋体"/>
          <w:color w:val="auto"/>
          <w:highlight w:val="none"/>
        </w:rPr>
      </w:pPr>
      <w:r>
        <w:rPr>
          <w:rFonts w:hint="eastAsia" w:ascii="宋体" w:hAnsi="宋体"/>
          <w:color w:val="auto"/>
          <w:highlight w:val="none"/>
        </w:rPr>
        <w:t>屋面防水工程、有防水要求的卫生间、房间和外墙面的防渗漏为</w:t>
      </w:r>
      <w:r>
        <w:rPr>
          <w:rFonts w:hint="eastAsia" w:ascii="宋体" w:hAnsi="宋体"/>
          <w:color w:val="auto"/>
          <w:highlight w:val="none"/>
          <w:u w:val="single"/>
        </w:rPr>
        <w:t xml:space="preserve">  5  </w:t>
      </w:r>
      <w:r>
        <w:rPr>
          <w:rFonts w:hint="eastAsia" w:ascii="宋体" w:hAnsi="宋体"/>
          <w:color w:val="auto"/>
          <w:highlight w:val="none"/>
        </w:rPr>
        <w:t>年；</w:t>
      </w:r>
    </w:p>
    <w:p>
      <w:pPr>
        <w:numPr>
          <w:ilvl w:val="1"/>
          <w:numId w:val="121"/>
        </w:numPr>
        <w:tabs>
          <w:tab w:val="left" w:pos="800"/>
          <w:tab w:val="left" w:pos="1740"/>
        </w:tabs>
        <w:spacing w:line="400" w:lineRule="exact"/>
        <w:rPr>
          <w:rFonts w:ascii="宋体" w:hAnsi="宋体"/>
          <w:color w:val="auto"/>
          <w:highlight w:val="none"/>
        </w:rPr>
      </w:pPr>
      <w:r>
        <w:rPr>
          <w:rFonts w:hint="eastAsia" w:ascii="宋体" w:hAnsi="宋体"/>
          <w:color w:val="auto"/>
          <w:highlight w:val="none"/>
        </w:rPr>
        <w:t>外窗工程为</w:t>
      </w:r>
      <w:r>
        <w:rPr>
          <w:rFonts w:hint="eastAsia" w:ascii="宋体" w:hAnsi="宋体"/>
          <w:color w:val="auto"/>
          <w:highlight w:val="none"/>
          <w:u w:val="single"/>
        </w:rPr>
        <w:t xml:space="preserve">   2   </w:t>
      </w:r>
      <w:r>
        <w:rPr>
          <w:rFonts w:hint="eastAsia" w:ascii="宋体" w:hAnsi="宋体"/>
          <w:color w:val="auto"/>
          <w:highlight w:val="none"/>
        </w:rPr>
        <w:t>年，外窗防渗漏为</w:t>
      </w:r>
      <w:r>
        <w:rPr>
          <w:rFonts w:hint="eastAsia" w:ascii="宋体" w:hAnsi="宋体"/>
          <w:color w:val="auto"/>
          <w:highlight w:val="none"/>
          <w:u w:val="single"/>
        </w:rPr>
        <w:t xml:space="preserve">   2   </w:t>
      </w:r>
      <w:r>
        <w:rPr>
          <w:rFonts w:hint="eastAsia" w:ascii="宋体" w:hAnsi="宋体"/>
          <w:color w:val="auto"/>
          <w:highlight w:val="none"/>
        </w:rPr>
        <w:t>年；</w:t>
      </w:r>
    </w:p>
    <w:p>
      <w:pPr>
        <w:numPr>
          <w:ilvl w:val="1"/>
          <w:numId w:val="121"/>
        </w:numPr>
        <w:tabs>
          <w:tab w:val="left" w:pos="800"/>
          <w:tab w:val="left" w:pos="1740"/>
        </w:tabs>
        <w:spacing w:line="400" w:lineRule="exact"/>
        <w:rPr>
          <w:rFonts w:ascii="宋体" w:hAnsi="宋体"/>
          <w:color w:val="auto"/>
          <w:highlight w:val="none"/>
        </w:rPr>
      </w:pPr>
      <w:r>
        <w:rPr>
          <w:rFonts w:hint="eastAsia" w:ascii="宋体" w:hAnsi="宋体"/>
          <w:color w:val="auto"/>
          <w:highlight w:val="none"/>
        </w:rPr>
        <w:t>装修工程为</w:t>
      </w:r>
      <w:r>
        <w:rPr>
          <w:rFonts w:hint="eastAsia" w:ascii="宋体" w:hAnsi="宋体"/>
          <w:color w:val="auto"/>
          <w:highlight w:val="none"/>
          <w:u w:val="single"/>
        </w:rPr>
        <w:t xml:space="preserve"> 2   </w:t>
      </w:r>
      <w:r>
        <w:rPr>
          <w:rFonts w:hint="eastAsia" w:ascii="宋体" w:hAnsi="宋体"/>
          <w:color w:val="auto"/>
          <w:highlight w:val="none"/>
        </w:rPr>
        <w:t>年；</w:t>
      </w:r>
    </w:p>
    <w:p>
      <w:pPr>
        <w:numPr>
          <w:ilvl w:val="1"/>
          <w:numId w:val="121"/>
        </w:numPr>
        <w:tabs>
          <w:tab w:val="left" w:pos="800"/>
          <w:tab w:val="left" w:pos="1740"/>
        </w:tabs>
        <w:spacing w:line="400" w:lineRule="exact"/>
        <w:rPr>
          <w:rFonts w:ascii="宋体" w:hAnsi="宋体"/>
          <w:color w:val="auto"/>
          <w:highlight w:val="none"/>
        </w:rPr>
      </w:pPr>
      <w:r>
        <w:rPr>
          <w:rFonts w:hint="eastAsia" w:ascii="宋体" w:hAnsi="宋体"/>
          <w:color w:val="auto"/>
          <w:highlight w:val="none"/>
        </w:rPr>
        <w:t>电气管线、给排水管道、设备安装工程为</w:t>
      </w:r>
      <w:r>
        <w:rPr>
          <w:rFonts w:hint="eastAsia" w:ascii="宋体" w:hAnsi="宋体"/>
          <w:color w:val="auto"/>
          <w:highlight w:val="none"/>
          <w:u w:val="single"/>
        </w:rPr>
        <w:t xml:space="preserve">   2    </w:t>
      </w:r>
      <w:r>
        <w:rPr>
          <w:rFonts w:hint="eastAsia" w:ascii="宋体" w:hAnsi="宋体"/>
          <w:color w:val="auto"/>
          <w:highlight w:val="none"/>
        </w:rPr>
        <w:t>年；</w:t>
      </w:r>
    </w:p>
    <w:p>
      <w:pPr>
        <w:numPr>
          <w:ilvl w:val="1"/>
          <w:numId w:val="121"/>
        </w:numPr>
        <w:tabs>
          <w:tab w:val="left" w:pos="800"/>
          <w:tab w:val="left" w:pos="1740"/>
        </w:tabs>
        <w:spacing w:line="400" w:lineRule="exact"/>
        <w:rPr>
          <w:rFonts w:ascii="宋体" w:hAnsi="宋体"/>
          <w:color w:val="auto"/>
          <w:highlight w:val="none"/>
        </w:rPr>
      </w:pPr>
      <w:r>
        <w:rPr>
          <w:rFonts w:hint="eastAsia" w:ascii="宋体" w:hAnsi="宋体"/>
          <w:color w:val="auto"/>
          <w:highlight w:val="none"/>
        </w:rPr>
        <w:t>供热与供冷系统为</w:t>
      </w:r>
      <w:r>
        <w:rPr>
          <w:rFonts w:hint="eastAsia" w:ascii="宋体" w:hAnsi="宋体"/>
          <w:color w:val="auto"/>
          <w:highlight w:val="none"/>
          <w:u w:val="single"/>
        </w:rPr>
        <w:t xml:space="preserve">  2 </w:t>
      </w:r>
      <w:r>
        <w:rPr>
          <w:rFonts w:hint="eastAsia" w:ascii="宋体" w:hAnsi="宋体"/>
          <w:color w:val="auto"/>
          <w:highlight w:val="none"/>
        </w:rPr>
        <w:t>个采暖期、供冷期；</w:t>
      </w:r>
    </w:p>
    <w:p>
      <w:pPr>
        <w:numPr>
          <w:ilvl w:val="1"/>
          <w:numId w:val="121"/>
        </w:numPr>
        <w:tabs>
          <w:tab w:val="left" w:pos="800"/>
          <w:tab w:val="left" w:pos="1740"/>
        </w:tabs>
        <w:spacing w:line="400" w:lineRule="exact"/>
        <w:rPr>
          <w:rFonts w:ascii="宋体" w:hAnsi="宋体"/>
          <w:color w:val="auto"/>
          <w:highlight w:val="none"/>
        </w:rPr>
      </w:pPr>
      <w:r>
        <w:rPr>
          <w:rFonts w:hint="eastAsia" w:ascii="宋体" w:hAnsi="宋体"/>
          <w:color w:val="auto"/>
          <w:highlight w:val="none"/>
        </w:rPr>
        <w:t>住宅小区内的给排水设施、道路等配套工程为</w:t>
      </w:r>
      <w:r>
        <w:rPr>
          <w:rFonts w:hint="eastAsia" w:ascii="宋体" w:hAnsi="宋体"/>
          <w:color w:val="auto"/>
          <w:highlight w:val="none"/>
          <w:u w:val="single"/>
        </w:rPr>
        <w:t xml:space="preserve">   2   </w:t>
      </w:r>
      <w:r>
        <w:rPr>
          <w:rFonts w:hint="eastAsia" w:ascii="宋体" w:hAnsi="宋体"/>
          <w:color w:val="auto"/>
          <w:highlight w:val="none"/>
        </w:rPr>
        <w:t>年；</w:t>
      </w:r>
    </w:p>
    <w:p>
      <w:pPr>
        <w:numPr>
          <w:ilvl w:val="1"/>
          <w:numId w:val="121"/>
        </w:numPr>
        <w:tabs>
          <w:tab w:val="left" w:pos="800"/>
          <w:tab w:val="left" w:pos="1740"/>
        </w:tabs>
        <w:spacing w:line="400" w:lineRule="exact"/>
        <w:rPr>
          <w:rFonts w:ascii="宋体" w:hAnsi="宋体"/>
          <w:color w:val="auto"/>
          <w:highlight w:val="none"/>
        </w:rPr>
      </w:pPr>
      <w:r>
        <w:rPr>
          <w:rFonts w:hint="eastAsia" w:ascii="宋体" w:hAnsi="宋体"/>
          <w:color w:val="auto"/>
          <w:highlight w:val="none"/>
        </w:rPr>
        <w:t>其他项目保修期限约定如下：</w:t>
      </w:r>
    </w:p>
    <w:p>
      <w:pPr>
        <w:spacing w:line="400" w:lineRule="exact"/>
        <w:rPr>
          <w:rFonts w:ascii="宋体" w:hAnsi="宋体"/>
          <w:color w:val="auto"/>
          <w:highlight w:val="none"/>
          <w:u w:val="single"/>
        </w:rPr>
      </w:pP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w:t>
      </w:r>
      <w:r>
        <w:rPr>
          <w:rFonts w:hint="eastAsia" w:ascii="宋体" w:hAnsi="宋体"/>
          <w:color w:val="auto"/>
          <w:highlight w:val="none"/>
          <w:u w:val="single"/>
        </w:rPr>
        <w:t xml:space="preserve">                                                                                                        </w:t>
      </w:r>
    </w:p>
    <w:p>
      <w:pPr>
        <w:spacing w:line="400" w:lineRule="exact"/>
        <w:ind w:firstLine="440" w:firstLineChars="200"/>
        <w:rPr>
          <w:rFonts w:ascii="黑体" w:eastAsia="黑体"/>
          <w:color w:val="auto"/>
          <w:highlight w:val="none"/>
        </w:rPr>
      </w:pPr>
      <w:bookmarkStart w:id="558" w:name="_Toc111445500"/>
      <w:r>
        <w:rPr>
          <w:rFonts w:hint="eastAsia" w:ascii="黑体" w:eastAsia="黑体"/>
          <w:color w:val="auto"/>
          <w:highlight w:val="none"/>
        </w:rPr>
        <w:t>三、保修责任</w:t>
      </w:r>
      <w:bookmarkEnd w:id="558"/>
    </w:p>
    <w:p>
      <w:pPr>
        <w:tabs>
          <w:tab w:val="left" w:pos="1740"/>
        </w:tabs>
        <w:spacing w:line="400" w:lineRule="exact"/>
        <w:ind w:firstLine="440" w:firstLineChars="200"/>
        <w:rPr>
          <w:rFonts w:ascii="宋体" w:hAnsi="宋体"/>
          <w:color w:val="auto"/>
          <w:highlight w:val="none"/>
        </w:rPr>
      </w:pPr>
      <w:r>
        <w:rPr>
          <w:rFonts w:hint="eastAsia" w:ascii="宋体" w:hAnsi="宋体"/>
          <w:color w:val="auto"/>
          <w:highlight w:val="none"/>
        </w:rPr>
        <w:t>1、属于责任范围、内容的项目，承包人应当在接到保修通知之日起7天内派人保修。承包人不在约定期限内派人保修的，发包人可以委托他人修理。</w:t>
      </w:r>
    </w:p>
    <w:p>
      <w:pPr>
        <w:tabs>
          <w:tab w:val="left" w:pos="1740"/>
        </w:tabs>
        <w:spacing w:line="400" w:lineRule="exact"/>
        <w:ind w:firstLine="440" w:firstLineChars="200"/>
        <w:rPr>
          <w:rFonts w:ascii="宋体" w:hAnsi="宋体"/>
          <w:color w:val="auto"/>
          <w:highlight w:val="none"/>
        </w:rPr>
      </w:pPr>
      <w:r>
        <w:rPr>
          <w:rFonts w:hint="eastAsia" w:ascii="宋体" w:hAnsi="宋体"/>
          <w:color w:val="auto"/>
          <w:highlight w:val="none"/>
        </w:rPr>
        <w:t>2、发生紧急抢修事故的，承包人在接到事故通知后，应当立即到达事故现场抢修。</w:t>
      </w:r>
    </w:p>
    <w:p>
      <w:pPr>
        <w:tabs>
          <w:tab w:val="left" w:pos="1740"/>
        </w:tabs>
        <w:spacing w:line="400" w:lineRule="exact"/>
        <w:ind w:firstLine="440" w:firstLineChars="200"/>
        <w:rPr>
          <w:rFonts w:ascii="宋体" w:hAnsi="宋体"/>
          <w:color w:val="auto"/>
          <w:highlight w:val="none"/>
        </w:rPr>
      </w:pPr>
      <w:r>
        <w:rPr>
          <w:rFonts w:hint="eastAsia" w:ascii="宋体" w:hAnsi="宋体"/>
          <w:color w:val="auto"/>
          <w:highlight w:val="none"/>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pPr>
        <w:tabs>
          <w:tab w:val="left" w:pos="1740"/>
        </w:tabs>
        <w:spacing w:line="400" w:lineRule="exact"/>
        <w:ind w:firstLine="440" w:firstLineChars="200"/>
        <w:rPr>
          <w:rFonts w:ascii="宋体" w:hAnsi="宋体"/>
          <w:color w:val="auto"/>
          <w:highlight w:val="none"/>
        </w:rPr>
      </w:pPr>
      <w:r>
        <w:rPr>
          <w:rFonts w:hint="eastAsia" w:ascii="宋体" w:hAnsi="宋体"/>
          <w:color w:val="auto"/>
          <w:highlight w:val="none"/>
        </w:rPr>
        <w:t>4、质量保修完成后，由发包人组织验收。</w:t>
      </w:r>
    </w:p>
    <w:p>
      <w:pPr>
        <w:spacing w:line="400" w:lineRule="exact"/>
        <w:ind w:firstLine="440" w:firstLineChars="200"/>
        <w:rPr>
          <w:rFonts w:ascii="黑体" w:eastAsia="黑体"/>
          <w:color w:val="auto"/>
          <w:highlight w:val="none"/>
        </w:rPr>
      </w:pPr>
      <w:bookmarkStart w:id="559" w:name="_Toc111445501"/>
      <w:r>
        <w:rPr>
          <w:rFonts w:hint="eastAsia" w:ascii="黑体" w:eastAsia="黑体"/>
          <w:color w:val="auto"/>
          <w:highlight w:val="none"/>
        </w:rPr>
        <w:t>四、保修费用</w:t>
      </w:r>
      <w:bookmarkEnd w:id="559"/>
    </w:p>
    <w:p>
      <w:pPr>
        <w:spacing w:line="400" w:lineRule="exact"/>
        <w:ind w:left="420"/>
        <w:rPr>
          <w:rFonts w:ascii="宋体" w:hAnsi="宋体"/>
          <w:color w:val="auto"/>
          <w:highlight w:val="none"/>
          <w:u w:val="single"/>
        </w:rPr>
      </w:pPr>
      <w:r>
        <w:rPr>
          <w:rFonts w:hint="eastAsia" w:ascii="宋体" w:hAnsi="宋体"/>
          <w:color w:val="auto"/>
          <w:highlight w:val="none"/>
        </w:rPr>
        <w:t>保修费用由造成质量缺陷的责任方承担。</w:t>
      </w:r>
    </w:p>
    <w:p>
      <w:pPr>
        <w:spacing w:line="400" w:lineRule="exact"/>
        <w:ind w:firstLine="440" w:firstLineChars="200"/>
        <w:rPr>
          <w:rFonts w:ascii="黑体" w:eastAsia="黑体"/>
          <w:color w:val="auto"/>
          <w:highlight w:val="none"/>
        </w:rPr>
      </w:pPr>
      <w:bookmarkStart w:id="560" w:name="_Toc111445502"/>
      <w:r>
        <w:rPr>
          <w:rFonts w:hint="eastAsia" w:ascii="黑体" w:eastAsia="黑体"/>
          <w:color w:val="auto"/>
          <w:highlight w:val="none"/>
        </w:rPr>
        <w:t>五、其 他</w:t>
      </w:r>
      <w:bookmarkEnd w:id="560"/>
    </w:p>
    <w:p>
      <w:pPr>
        <w:spacing w:line="400" w:lineRule="exact"/>
        <w:ind w:left="420"/>
        <w:rPr>
          <w:rFonts w:ascii="宋体" w:hAnsi="宋体"/>
          <w:color w:val="auto"/>
          <w:highlight w:val="none"/>
        </w:rPr>
      </w:pPr>
      <w:r>
        <w:rPr>
          <w:rFonts w:hint="eastAsia" w:ascii="宋体" w:hAnsi="宋体"/>
          <w:color w:val="auto"/>
          <w:highlight w:val="none"/>
        </w:rPr>
        <w:t>双方约定的其他工程保修责任事项：</w:t>
      </w:r>
    </w:p>
    <w:p>
      <w:pPr>
        <w:spacing w:line="400" w:lineRule="exact"/>
        <w:rPr>
          <w:rFonts w:ascii="宋体" w:hAnsi="宋体"/>
          <w:color w:val="auto"/>
          <w:highlight w:val="none"/>
          <w:u w:val="single"/>
        </w:rPr>
      </w:pPr>
      <w:r>
        <w:rPr>
          <w:rFonts w:hint="eastAsia" w:ascii="宋体" w:hAnsi="宋体"/>
          <w:color w:val="auto"/>
          <w:highlight w:val="none"/>
          <w:u w:val="single"/>
        </w:rPr>
        <w:t xml:space="preserve">           /                                                                                                                                    </w:t>
      </w:r>
    </w:p>
    <w:p>
      <w:pPr>
        <w:spacing w:line="400" w:lineRule="exact"/>
        <w:ind w:firstLine="420"/>
        <w:rPr>
          <w:rFonts w:ascii="宋体" w:hAnsi="宋体"/>
          <w:color w:val="auto"/>
          <w:highlight w:val="none"/>
        </w:rPr>
      </w:pPr>
      <w:r>
        <w:rPr>
          <w:rFonts w:hint="eastAsia" w:ascii="宋体" w:hAnsi="宋体"/>
          <w:color w:val="auto"/>
          <w:highlight w:val="none"/>
        </w:rPr>
        <w:t>本工程保修书，由施工合同发包人、承包人双方在竣工验收前共同签署，作为施工合同附件，其有效期限至保修期满。</w:t>
      </w:r>
    </w:p>
    <w:p>
      <w:pPr>
        <w:spacing w:line="400" w:lineRule="exact"/>
        <w:ind w:firstLine="420"/>
        <w:rPr>
          <w:rFonts w:ascii="宋体" w:hAnsi="宋体"/>
          <w:color w:val="auto"/>
          <w:highlight w:val="none"/>
        </w:rPr>
      </w:pPr>
    </w:p>
    <w:p>
      <w:pPr>
        <w:spacing w:line="400" w:lineRule="exact"/>
        <w:jc w:val="left"/>
        <w:rPr>
          <w:rFonts w:ascii="宋体" w:hAnsi="宋体"/>
          <w:color w:val="auto"/>
          <w:highlight w:val="none"/>
        </w:rPr>
      </w:pPr>
      <w:r>
        <w:rPr>
          <w:rFonts w:hint="eastAsia" w:ascii="宋体" w:hAnsi="宋体"/>
          <w:color w:val="auto"/>
          <w:highlight w:val="none"/>
        </w:rPr>
        <w:t>发包人：</w:t>
      </w:r>
      <w:r>
        <w:rPr>
          <w:rFonts w:hint="eastAsia" w:ascii="Times" w:hAnsi="宋体" w:cs="MingLiU"/>
          <w:color w:val="auto"/>
          <w:kern w:val="0"/>
          <w:szCs w:val="21"/>
          <w:highlight w:val="none"/>
          <w:u w:val="single"/>
          <w:lang w:val="en-US" w:eastAsia="zh-CN"/>
        </w:rPr>
        <w:t xml:space="preserve">                       </w:t>
      </w:r>
      <w:r>
        <w:rPr>
          <w:rFonts w:hint="eastAsia" w:ascii="宋体" w:hAnsi="宋体"/>
          <w:color w:val="auto"/>
          <w:highlight w:val="none"/>
        </w:rPr>
        <w:t>（公章）      承包人：</w:t>
      </w:r>
      <w:r>
        <w:rPr>
          <w:rFonts w:hint="eastAsia" w:ascii="宋体" w:hAnsi="宋体"/>
          <w:color w:val="auto"/>
          <w:highlight w:val="none"/>
          <w:u w:val="single"/>
          <w:lang w:val="en-US" w:eastAsia="zh-CN"/>
        </w:rPr>
        <w:t xml:space="preserve">                     </w:t>
      </w:r>
      <w:r>
        <w:rPr>
          <w:rFonts w:hint="eastAsia" w:ascii="宋体" w:hAnsi="宋体"/>
          <w:color w:val="auto"/>
          <w:highlight w:val="none"/>
        </w:rPr>
        <w:t>（公章）</w:t>
      </w:r>
    </w:p>
    <w:p>
      <w:pPr>
        <w:spacing w:line="400" w:lineRule="exact"/>
        <w:jc w:val="left"/>
        <w:rPr>
          <w:rFonts w:ascii="宋体" w:hAnsi="宋体"/>
          <w:color w:val="auto"/>
          <w:highlight w:val="none"/>
        </w:rPr>
      </w:pPr>
    </w:p>
    <w:p>
      <w:pPr>
        <w:spacing w:line="400" w:lineRule="exact"/>
        <w:ind w:left="5250" w:hanging="5500" w:hangingChars="2500"/>
        <w:jc w:val="left"/>
        <w:rPr>
          <w:rFonts w:hint="default" w:eastAsia="宋体"/>
          <w:color w:val="auto"/>
          <w:highlight w:val="none"/>
          <w:u w:val="single"/>
          <w:lang w:val="en-US" w:eastAsia="zh-CN"/>
        </w:rPr>
      </w:pPr>
      <w:r>
        <w:rPr>
          <w:rFonts w:hint="eastAsia" w:ascii="宋体" w:hAnsi="宋体"/>
          <w:color w:val="auto"/>
          <w:highlight w:val="none"/>
        </w:rPr>
        <w:t>法定地址：</w:t>
      </w:r>
      <w:r>
        <w:rPr>
          <w:rFonts w:hint="eastAsia" w:ascii="宋体" w:hAnsi="宋体" w:cs="Arial"/>
          <w:color w:val="auto"/>
          <w:szCs w:val="21"/>
          <w:highlight w:val="none"/>
          <w:u w:val="single"/>
          <w:lang w:val="en-US" w:eastAsia="zh-CN"/>
        </w:rPr>
        <w:t xml:space="preserve">                        </w:t>
      </w:r>
      <w:r>
        <w:rPr>
          <w:rFonts w:hint="eastAsia"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法定地址：</w:t>
      </w:r>
      <w:r>
        <w:rPr>
          <w:rFonts w:hint="eastAsia"/>
          <w:color w:val="auto"/>
          <w:highlight w:val="none"/>
          <w:u w:val="single"/>
          <w:lang w:val="en-US" w:eastAsia="zh-CN"/>
        </w:rPr>
        <w:t xml:space="preserve">                                  </w:t>
      </w:r>
    </w:p>
    <w:p>
      <w:pPr>
        <w:tabs>
          <w:tab w:val="left" w:pos="4275"/>
        </w:tabs>
        <w:spacing w:line="400" w:lineRule="exact"/>
        <w:rPr>
          <w:rFonts w:ascii="宋体" w:hAnsi="宋体"/>
          <w:color w:val="auto"/>
          <w:highlight w:val="none"/>
        </w:rPr>
      </w:pPr>
      <w:r>
        <w:rPr>
          <w:rFonts w:hint="eastAsia" w:ascii="宋体" w:hAnsi="宋体"/>
          <w:color w:val="auto"/>
          <w:highlight w:val="none"/>
        </w:rPr>
        <w:t>法定代表人或其                             法定代表人或其</w:t>
      </w:r>
    </w:p>
    <w:p>
      <w:pPr>
        <w:spacing w:afterLines="150" w:line="400" w:lineRule="exact"/>
        <w:rPr>
          <w:rFonts w:ascii="宋体" w:hAnsi="宋体"/>
          <w:color w:val="auto"/>
          <w:highlight w:val="none"/>
        </w:rPr>
      </w:pPr>
      <w:r>
        <w:rPr>
          <w:rFonts w:hint="eastAsia" w:ascii="宋体" w:hAnsi="宋体"/>
          <w:color w:val="auto"/>
          <w:highlight w:val="none"/>
        </w:rPr>
        <w:t>委托代理人：（签字）</w:t>
      </w:r>
      <w:r>
        <w:rPr>
          <w:rFonts w:hint="eastAsia" w:ascii="宋体" w:hAnsi="宋体"/>
          <w:color w:val="auto"/>
          <w:highlight w:val="none"/>
        </w:rPr>
        <w:tab/>
      </w:r>
      <w:r>
        <w:rPr>
          <w:rFonts w:hint="eastAsia" w:ascii="宋体" w:hAnsi="宋体"/>
          <w:color w:val="auto"/>
          <w:highlight w:val="none"/>
        </w:rPr>
        <w:t xml:space="preserve">                       委托代理人：（签字）</w:t>
      </w:r>
    </w:p>
    <w:p>
      <w:pPr>
        <w:spacing w:afterLines="150" w:line="400" w:lineRule="exact"/>
        <w:rPr>
          <w:rFonts w:hint="default" w:ascii="宋体" w:hAnsi="宋体" w:eastAsia="宋体"/>
          <w:color w:val="auto"/>
          <w:highlight w:val="none"/>
          <w:u w:val="single"/>
          <w:lang w:val="en-US" w:eastAsia="zh-CN"/>
        </w:rPr>
      </w:pPr>
      <w:r>
        <w:rPr>
          <w:rFonts w:hint="eastAsia" w:ascii="宋体" w:hAnsi="宋体"/>
          <w:color w:val="auto"/>
          <w:highlight w:val="none"/>
        </w:rPr>
        <w:t>电话：</w:t>
      </w:r>
      <w:r>
        <w:rPr>
          <w:rFonts w:hint="eastAsia" w:ascii="宋体" w:hAnsi="宋体"/>
          <w:color w:val="auto"/>
          <w:highlight w:val="none"/>
          <w:u w:val="single"/>
          <w:lang w:val="en-US" w:eastAsia="zh-CN"/>
        </w:rPr>
        <w:t xml:space="preserve">                    </w:t>
      </w:r>
      <w:r>
        <w:rPr>
          <w:rFonts w:hint="eastAsia" w:ascii="宋体" w:hAnsi="宋体"/>
          <w:color w:val="auto"/>
          <w:highlight w:val="none"/>
        </w:rPr>
        <w:t xml:space="preserve">                  电话：</w:t>
      </w:r>
      <w:r>
        <w:rPr>
          <w:rFonts w:hint="eastAsia" w:ascii="宋体" w:hAnsi="宋体"/>
          <w:color w:val="auto"/>
          <w:highlight w:val="none"/>
          <w:u w:val="single"/>
          <w:lang w:val="en-US" w:eastAsia="zh-CN"/>
        </w:rPr>
        <w:t xml:space="preserve">                   </w:t>
      </w:r>
    </w:p>
    <w:p>
      <w:pPr>
        <w:tabs>
          <w:tab w:val="left" w:pos="4495"/>
        </w:tabs>
        <w:spacing w:line="480" w:lineRule="auto"/>
        <w:rPr>
          <w:rFonts w:hint="default" w:ascii="宋体" w:hAnsi="宋体" w:eastAsia="宋体"/>
          <w:color w:val="auto"/>
          <w:highlight w:val="none"/>
          <w:u w:val="single"/>
          <w:lang w:val="en-US" w:eastAsia="zh-CN"/>
        </w:rPr>
      </w:pPr>
      <w:r>
        <w:rPr>
          <w:rFonts w:hint="eastAsia" w:ascii="宋体" w:hAnsi="宋体"/>
          <w:color w:val="auto"/>
          <w:highlight w:val="none"/>
        </w:rPr>
        <w:t>传真：</w:t>
      </w:r>
      <w:r>
        <w:rPr>
          <w:rFonts w:hint="eastAsia" w:ascii="宋体" w:hAnsi="宋体"/>
          <w:color w:val="auto"/>
          <w:highlight w:val="none"/>
          <w:u w:val="single"/>
          <w:lang w:val="en-US" w:eastAsia="zh-CN"/>
        </w:rPr>
        <w:t xml:space="preserve">                        </w:t>
      </w:r>
      <w:r>
        <w:rPr>
          <w:rFonts w:hint="eastAsia" w:ascii="宋体" w:hAnsi="宋体"/>
          <w:color w:val="auto"/>
          <w:highlight w:val="none"/>
        </w:rPr>
        <w:tab/>
      </w:r>
      <w:r>
        <w:rPr>
          <w:rFonts w:hint="eastAsia" w:ascii="宋体" w:hAnsi="宋体"/>
          <w:color w:val="auto"/>
          <w:highlight w:val="none"/>
        </w:rPr>
        <w:t>传真：</w:t>
      </w:r>
      <w:r>
        <w:rPr>
          <w:rFonts w:hint="eastAsia" w:ascii="宋体" w:hAnsi="宋体"/>
          <w:color w:val="auto"/>
          <w:highlight w:val="none"/>
          <w:u w:val="single"/>
          <w:lang w:val="en-US" w:eastAsia="zh-CN"/>
        </w:rPr>
        <w:t xml:space="preserve">                          </w:t>
      </w:r>
    </w:p>
    <w:p>
      <w:pPr>
        <w:tabs>
          <w:tab w:val="left" w:pos="4700"/>
        </w:tabs>
        <w:spacing w:line="480" w:lineRule="auto"/>
        <w:rPr>
          <w:rFonts w:hint="default" w:ascii="宋体" w:hAnsi="宋体" w:eastAsia="宋体"/>
          <w:color w:val="auto"/>
          <w:highlight w:val="none"/>
          <w:lang w:val="en-US" w:eastAsia="zh-CN"/>
        </w:rPr>
      </w:pPr>
      <w:r>
        <w:rPr>
          <w:rFonts w:hint="eastAsia" w:ascii="宋体" w:hAnsi="宋体"/>
          <w:color w:val="auto"/>
          <w:highlight w:val="none"/>
        </w:rPr>
        <w:t>电子邮箱：</w:t>
      </w:r>
      <w:r>
        <w:rPr>
          <w:rFonts w:hint="eastAsia"/>
          <w:color w:val="auto"/>
          <w:highlight w:val="none"/>
          <w:u w:val="single"/>
          <w:lang w:val="en-US" w:eastAsia="zh-CN"/>
        </w:rPr>
        <w:t xml:space="preserve">  </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 xml:space="preserve"> 电子邮箱：</w:t>
      </w:r>
      <w:r>
        <w:rPr>
          <w:rFonts w:hint="eastAsia" w:ascii="宋体" w:hAnsi="宋体"/>
          <w:color w:val="auto"/>
          <w:highlight w:val="none"/>
          <w:u w:val="single"/>
          <w:lang w:val="en-US" w:eastAsia="zh-CN"/>
        </w:rPr>
        <w:t xml:space="preserve">                    </w:t>
      </w:r>
    </w:p>
    <w:p>
      <w:pPr>
        <w:tabs>
          <w:tab w:val="left" w:pos="4495"/>
        </w:tabs>
        <w:spacing w:line="480" w:lineRule="auto"/>
        <w:rPr>
          <w:rFonts w:hint="default" w:ascii="宋体" w:hAnsi="宋体" w:eastAsia="宋体"/>
          <w:color w:val="auto"/>
          <w:highlight w:val="none"/>
          <w:lang w:val="en-US" w:eastAsia="zh-CN"/>
        </w:rPr>
      </w:pPr>
      <w:r>
        <w:rPr>
          <w:rFonts w:hint="eastAsia" w:ascii="宋体" w:hAnsi="宋体"/>
          <w:color w:val="auto"/>
          <w:highlight w:val="none"/>
        </w:rPr>
        <w:t>开户银行：</w:t>
      </w:r>
      <w:r>
        <w:rPr>
          <w:rFonts w:hint="eastAsia" w:ascii="宋体" w:hAnsi="宋体"/>
          <w:color w:val="auto"/>
          <w:highlight w:val="none"/>
          <w:u w:val="single"/>
          <w:lang w:val="en-US" w:eastAsia="zh-CN"/>
        </w:rPr>
        <w:t xml:space="preserve">                     </w:t>
      </w:r>
      <w:r>
        <w:rPr>
          <w:rFonts w:hint="eastAsia" w:ascii="宋体" w:hAnsi="宋体"/>
          <w:color w:val="auto"/>
          <w:highlight w:val="none"/>
        </w:rPr>
        <w:tab/>
      </w:r>
      <w:r>
        <w:rPr>
          <w:rFonts w:hint="eastAsia" w:ascii="宋体" w:hAnsi="宋体"/>
          <w:color w:val="auto"/>
          <w:highlight w:val="none"/>
        </w:rPr>
        <w:t>开户银行：</w:t>
      </w:r>
      <w:r>
        <w:rPr>
          <w:rFonts w:hint="eastAsia" w:ascii="宋体" w:hAnsi="宋体"/>
          <w:color w:val="auto"/>
          <w:highlight w:val="none"/>
          <w:lang w:val="en-US" w:eastAsia="zh-CN"/>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lang w:val="en-US" w:eastAsia="zh-CN"/>
        </w:rPr>
        <w:t xml:space="preserve">     </w:t>
      </w:r>
    </w:p>
    <w:p>
      <w:pPr>
        <w:tabs>
          <w:tab w:val="left" w:pos="4518"/>
        </w:tabs>
        <w:spacing w:line="480" w:lineRule="auto"/>
        <w:rPr>
          <w:rFonts w:hint="default" w:ascii="宋体" w:hAnsi="宋体" w:eastAsia="宋体"/>
          <w:color w:val="auto"/>
          <w:highlight w:val="none"/>
          <w:lang w:val="en-US" w:eastAsia="zh-CN"/>
        </w:rPr>
      </w:pPr>
      <w:r>
        <w:rPr>
          <w:rFonts w:hint="eastAsia" w:ascii="宋体" w:hAnsi="宋体"/>
          <w:color w:val="auto"/>
          <w:highlight w:val="none"/>
        </w:rPr>
        <w:t>帐号：</w:t>
      </w:r>
      <w:r>
        <w:rPr>
          <w:rFonts w:hint="eastAsia" w:ascii="宋体" w:hAnsi="宋体"/>
          <w:color w:val="auto"/>
          <w:highlight w:val="none"/>
          <w:u w:val="single"/>
          <w:lang w:val="en-US" w:eastAsia="zh-CN"/>
        </w:rPr>
        <w:t xml:space="preserve">                        </w:t>
      </w:r>
      <w:r>
        <w:rPr>
          <w:rFonts w:hint="eastAsia" w:ascii="宋体" w:hAnsi="宋体"/>
          <w:color w:val="auto"/>
          <w:highlight w:val="none"/>
        </w:rPr>
        <w:tab/>
      </w:r>
      <w:r>
        <w:rPr>
          <w:rFonts w:hint="eastAsia" w:ascii="宋体" w:hAnsi="宋体"/>
          <w:color w:val="auto"/>
          <w:highlight w:val="none"/>
        </w:rPr>
        <w:t>帐号：</w:t>
      </w:r>
      <w:r>
        <w:rPr>
          <w:rFonts w:hint="eastAsia" w:ascii="宋体" w:hAnsi="宋体"/>
          <w:color w:val="auto"/>
          <w:highlight w:val="none"/>
          <w:u w:val="single"/>
          <w:lang w:val="en-US" w:eastAsia="zh-CN"/>
        </w:rPr>
        <w:t xml:space="preserve">                  </w:t>
      </w:r>
    </w:p>
    <w:p>
      <w:pPr>
        <w:pStyle w:val="13"/>
        <w:spacing w:after="0" w:line="480" w:lineRule="auto"/>
        <w:ind w:left="0" w:leftChars="0"/>
        <w:rPr>
          <w:color w:val="auto"/>
          <w:highlight w:val="none"/>
        </w:rPr>
      </w:pPr>
      <w:r>
        <w:rPr>
          <w:rFonts w:hint="eastAsia" w:hAnsi="宋体"/>
          <w:color w:val="auto"/>
          <w:highlight w:val="none"/>
        </w:rPr>
        <w:t>邮政编码：</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           </w:t>
      </w:r>
      <w:r>
        <w:rPr>
          <w:rFonts w:hint="eastAsia" w:ascii="宋体" w:hAnsi="宋体"/>
          <w:i/>
          <w:color w:val="auto"/>
          <w:highlight w:val="none"/>
        </w:rPr>
        <w:t xml:space="preserve">   </w:t>
      </w:r>
      <w:r>
        <w:rPr>
          <w:rFonts w:hint="eastAsia" w:hAnsi="宋体"/>
          <w:color w:val="auto"/>
          <w:highlight w:val="none"/>
        </w:rPr>
        <w:t xml:space="preserve">       </w:t>
      </w:r>
      <w:r>
        <w:rPr>
          <w:rFonts w:hint="eastAsia" w:hAnsi="宋体"/>
          <w:color w:val="auto"/>
          <w:highlight w:val="none"/>
          <w:lang w:val="en-US" w:eastAsia="zh-CN"/>
        </w:rPr>
        <w:t xml:space="preserve">    </w:t>
      </w:r>
      <w:r>
        <w:rPr>
          <w:rFonts w:hint="eastAsia" w:hAnsi="宋体"/>
          <w:color w:val="auto"/>
          <w:highlight w:val="none"/>
        </w:rPr>
        <w:t xml:space="preserve"> 邮政编码</w:t>
      </w:r>
      <w:r>
        <w:rPr>
          <w:rFonts w:hint="eastAsia"/>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     </w:t>
      </w:r>
    </w:p>
    <w:p>
      <w:pPr>
        <w:pStyle w:val="49"/>
        <w:outlineLvl w:val="1"/>
        <w:rPr>
          <w:color w:val="auto"/>
          <w:highlight w:val="none"/>
        </w:rPr>
      </w:pPr>
      <w:r>
        <w:rPr>
          <w:color w:val="auto"/>
          <w:highlight w:val="none"/>
        </w:rPr>
        <w:br w:type="page"/>
      </w:r>
      <w:bookmarkStart w:id="561" w:name="_Toc342296517"/>
      <w:bookmarkStart w:id="562" w:name="_Toc241459758"/>
      <w:bookmarkStart w:id="563" w:name="_Toc111445503"/>
      <w:r>
        <w:rPr>
          <w:rFonts w:hint="eastAsia"/>
          <w:color w:val="auto"/>
          <w:highlight w:val="none"/>
        </w:rPr>
        <w:t>附件：廉政责任书格式</w:t>
      </w:r>
      <w:bookmarkEnd w:id="561"/>
      <w:bookmarkEnd w:id="562"/>
    </w:p>
    <w:p>
      <w:pPr>
        <w:jc w:val="center"/>
        <w:rPr>
          <w:rFonts w:ascii="黑体" w:hAnsi="宋体" w:eastAsia="黑体"/>
          <w:color w:val="auto"/>
          <w:sz w:val="28"/>
          <w:highlight w:val="none"/>
        </w:rPr>
      </w:pPr>
      <w:r>
        <w:rPr>
          <w:rFonts w:hint="eastAsia" w:ascii="黑体" w:hAnsi="宋体" w:eastAsia="黑体"/>
          <w:color w:val="auto"/>
          <w:sz w:val="28"/>
          <w:highlight w:val="none"/>
        </w:rPr>
        <w:t>建设工程廉政责任书</w:t>
      </w:r>
      <w:bookmarkEnd w:id="563"/>
    </w:p>
    <w:p>
      <w:pPr>
        <w:spacing w:line="400" w:lineRule="exact"/>
        <w:ind w:firstLine="440" w:firstLineChars="200"/>
        <w:rPr>
          <w:rFonts w:hint="eastAsia" w:ascii="Times" w:hAnsi="宋体" w:cs="MingLiU"/>
          <w:color w:val="auto"/>
          <w:kern w:val="0"/>
          <w:szCs w:val="21"/>
          <w:highlight w:val="none"/>
          <w:u w:val="none"/>
          <w:lang w:val="en-US" w:eastAsia="zh-CN"/>
        </w:rPr>
      </w:pPr>
      <w:r>
        <w:rPr>
          <w:rFonts w:hint="eastAsia" w:ascii="宋体" w:hAnsi="宋体"/>
          <w:color w:val="auto"/>
          <w:highlight w:val="none"/>
        </w:rPr>
        <w:t>发包人：</w:t>
      </w:r>
      <w:r>
        <w:rPr>
          <w:rFonts w:hint="eastAsia"/>
          <w:highlight w:val="none"/>
          <w:u w:val="single"/>
          <w:lang w:eastAsia="zh-CN"/>
        </w:rPr>
        <w:t>北京市顺义区教育资产管理服务中心</w:t>
      </w:r>
    </w:p>
    <w:p>
      <w:pPr>
        <w:spacing w:line="400" w:lineRule="exact"/>
        <w:ind w:firstLine="440" w:firstLineChars="200"/>
        <w:rPr>
          <w:rFonts w:hint="default" w:eastAsia="宋体"/>
          <w:color w:val="auto"/>
          <w:highlight w:val="none"/>
          <w:lang w:val="en-US" w:eastAsia="zh-CN"/>
        </w:rPr>
      </w:pPr>
      <w:r>
        <w:rPr>
          <w:rFonts w:hint="eastAsia" w:ascii="宋体" w:hAnsi="宋体"/>
          <w:color w:val="auto"/>
          <w:highlight w:val="none"/>
          <w:u w:val="none"/>
        </w:rPr>
        <w:t>承包人：</w:t>
      </w:r>
      <w:r>
        <w:rPr>
          <w:rFonts w:hint="eastAsia" w:ascii="宋体" w:hAnsi="宋体"/>
          <w:color w:val="auto"/>
          <w:highlight w:val="none"/>
          <w:u w:val="single"/>
          <w:lang w:val="en-US" w:eastAsia="zh-CN"/>
        </w:rPr>
        <w:t xml:space="preserve">                     </w:t>
      </w:r>
    </w:p>
    <w:p>
      <w:pPr>
        <w:spacing w:line="400" w:lineRule="exact"/>
        <w:ind w:firstLine="440" w:firstLineChars="200"/>
        <w:rPr>
          <w:rFonts w:ascii="宋体"/>
          <w:color w:val="auto"/>
          <w:szCs w:val="28"/>
          <w:highlight w:val="none"/>
        </w:rPr>
      </w:pPr>
      <w:r>
        <w:rPr>
          <w:rFonts w:ascii="宋体"/>
          <w:color w:val="auto"/>
          <w:szCs w:val="28"/>
          <w:highlight w:val="none"/>
        </w:rPr>
        <w:t>为加强建设工程廉政建设，规范</w:t>
      </w:r>
      <w:r>
        <w:rPr>
          <w:rFonts w:hint="eastAsia" w:ascii="宋体"/>
          <w:color w:val="auto"/>
          <w:szCs w:val="28"/>
          <w:highlight w:val="none"/>
        </w:rPr>
        <w:t>建设工程</w:t>
      </w:r>
      <w:r>
        <w:rPr>
          <w:rFonts w:ascii="宋体"/>
          <w:color w:val="auto"/>
          <w:szCs w:val="28"/>
          <w:highlight w:val="none"/>
        </w:rPr>
        <w:t>各项活动</w:t>
      </w:r>
      <w:r>
        <w:rPr>
          <w:rFonts w:hint="eastAsia" w:ascii="宋体"/>
          <w:color w:val="auto"/>
          <w:szCs w:val="28"/>
          <w:highlight w:val="none"/>
        </w:rPr>
        <w:t>中发包人承包人双方的行为</w:t>
      </w:r>
      <w:r>
        <w:rPr>
          <w:rFonts w:ascii="宋体"/>
          <w:color w:val="auto"/>
          <w:szCs w:val="28"/>
          <w:highlight w:val="none"/>
        </w:rPr>
        <w:t>，防止谋取不正当利益的违法违纪</w:t>
      </w:r>
      <w:r>
        <w:rPr>
          <w:rFonts w:hint="eastAsia" w:ascii="宋体"/>
          <w:color w:val="auto"/>
          <w:szCs w:val="28"/>
          <w:highlight w:val="none"/>
        </w:rPr>
        <w:t>现象的</w:t>
      </w:r>
      <w:r>
        <w:rPr>
          <w:rFonts w:ascii="宋体"/>
          <w:color w:val="auto"/>
          <w:szCs w:val="28"/>
          <w:highlight w:val="none"/>
        </w:rPr>
        <w:t>发生，保护国家、集体和当事人的合法权益，根据国家有关工程建设的法律法规和廉政建设</w:t>
      </w:r>
      <w:r>
        <w:rPr>
          <w:rFonts w:hint="eastAsia" w:ascii="宋体"/>
          <w:color w:val="auto"/>
          <w:szCs w:val="28"/>
          <w:highlight w:val="none"/>
        </w:rPr>
        <w:t>的有关规定</w:t>
      </w:r>
      <w:r>
        <w:rPr>
          <w:rFonts w:ascii="宋体"/>
          <w:color w:val="auto"/>
          <w:szCs w:val="28"/>
          <w:highlight w:val="none"/>
        </w:rPr>
        <w:t>，订立本廉政责任书。</w:t>
      </w:r>
    </w:p>
    <w:p>
      <w:pPr>
        <w:spacing w:line="400" w:lineRule="exact"/>
        <w:ind w:firstLine="440" w:firstLineChars="200"/>
        <w:rPr>
          <w:rFonts w:ascii="黑体" w:hAnsi="宋体" w:eastAsia="黑体"/>
          <w:color w:val="auto"/>
          <w:highlight w:val="none"/>
        </w:rPr>
      </w:pPr>
      <w:bookmarkStart w:id="564" w:name="_Toc111445504"/>
      <w:r>
        <w:rPr>
          <w:rFonts w:hint="eastAsia" w:ascii="黑体" w:hAnsi="宋体" w:eastAsia="黑体"/>
          <w:color w:val="auto"/>
          <w:highlight w:val="none"/>
        </w:rPr>
        <w:t>一、双方的责任</w:t>
      </w:r>
      <w:bookmarkEnd w:id="564"/>
    </w:p>
    <w:p>
      <w:pPr>
        <w:spacing w:line="400" w:lineRule="exact"/>
        <w:ind w:firstLine="440" w:firstLineChars="200"/>
        <w:rPr>
          <w:rFonts w:ascii="宋体"/>
          <w:color w:val="auto"/>
          <w:szCs w:val="28"/>
          <w:highlight w:val="none"/>
        </w:rPr>
      </w:pPr>
      <w:r>
        <w:rPr>
          <w:rFonts w:hint="eastAsia" w:ascii="宋体"/>
          <w:color w:val="auto"/>
          <w:szCs w:val="28"/>
          <w:highlight w:val="none"/>
        </w:rPr>
        <w:t>1</w:t>
      </w:r>
      <w:r>
        <w:rPr>
          <w:rFonts w:ascii="宋体"/>
          <w:color w:val="auto"/>
          <w:szCs w:val="28"/>
          <w:highlight w:val="none"/>
        </w:rPr>
        <w:t>.1应严格遵守国家关于</w:t>
      </w:r>
      <w:r>
        <w:rPr>
          <w:rFonts w:hint="eastAsia" w:ascii="宋体"/>
          <w:color w:val="auto"/>
          <w:szCs w:val="28"/>
          <w:highlight w:val="none"/>
        </w:rPr>
        <w:t>建设工程</w:t>
      </w:r>
      <w:r>
        <w:rPr>
          <w:rFonts w:ascii="宋体"/>
          <w:color w:val="auto"/>
          <w:szCs w:val="28"/>
          <w:highlight w:val="none"/>
        </w:rPr>
        <w:t>的有关法律、法规，相关政策，以及廉政建设的各项规定。</w:t>
      </w:r>
    </w:p>
    <w:p>
      <w:pPr>
        <w:spacing w:line="400" w:lineRule="exact"/>
        <w:ind w:firstLine="440" w:firstLineChars="200"/>
        <w:rPr>
          <w:rFonts w:ascii="宋体"/>
          <w:color w:val="auto"/>
          <w:szCs w:val="28"/>
          <w:highlight w:val="none"/>
        </w:rPr>
      </w:pPr>
      <w:r>
        <w:rPr>
          <w:rFonts w:hint="eastAsia" w:ascii="宋体"/>
          <w:color w:val="auto"/>
          <w:szCs w:val="28"/>
          <w:highlight w:val="none"/>
        </w:rPr>
        <w:t>1</w:t>
      </w:r>
      <w:r>
        <w:rPr>
          <w:rFonts w:ascii="宋体"/>
          <w:color w:val="auto"/>
          <w:szCs w:val="28"/>
          <w:highlight w:val="none"/>
        </w:rPr>
        <w:t>.</w:t>
      </w:r>
      <w:r>
        <w:rPr>
          <w:rFonts w:hint="eastAsia" w:ascii="宋体"/>
          <w:color w:val="auto"/>
          <w:szCs w:val="28"/>
          <w:highlight w:val="none"/>
        </w:rPr>
        <w:t xml:space="preserve">2 </w:t>
      </w:r>
      <w:r>
        <w:rPr>
          <w:rFonts w:ascii="宋体"/>
          <w:color w:val="auto"/>
          <w:szCs w:val="28"/>
          <w:highlight w:val="none"/>
        </w:rPr>
        <w:t>严格执行建设工程合同文件，自觉按合同办事。</w:t>
      </w:r>
    </w:p>
    <w:p>
      <w:pPr>
        <w:spacing w:line="400" w:lineRule="exact"/>
        <w:ind w:firstLine="440" w:firstLineChars="200"/>
        <w:rPr>
          <w:rFonts w:ascii="宋体"/>
          <w:color w:val="auto"/>
          <w:szCs w:val="28"/>
          <w:highlight w:val="none"/>
        </w:rPr>
      </w:pPr>
      <w:r>
        <w:rPr>
          <w:rFonts w:hint="eastAsia" w:ascii="宋体"/>
          <w:color w:val="auto"/>
          <w:szCs w:val="28"/>
          <w:highlight w:val="none"/>
        </w:rPr>
        <w:t>1</w:t>
      </w:r>
      <w:r>
        <w:rPr>
          <w:rFonts w:ascii="宋体"/>
          <w:color w:val="auto"/>
          <w:szCs w:val="28"/>
          <w:highlight w:val="none"/>
        </w:rPr>
        <w:t>.</w:t>
      </w:r>
      <w:r>
        <w:rPr>
          <w:rFonts w:hint="eastAsia" w:ascii="宋体"/>
          <w:color w:val="auto"/>
          <w:szCs w:val="28"/>
          <w:highlight w:val="none"/>
        </w:rPr>
        <w:t>3 各项</w:t>
      </w:r>
      <w:r>
        <w:rPr>
          <w:rFonts w:ascii="宋体"/>
          <w:color w:val="auto"/>
          <w:szCs w:val="28"/>
          <w:highlight w:val="none"/>
        </w:rPr>
        <w:t>活动必须坚持公开、公平、公正、诚信、透明的原则（除法律法规另有规定者外），不得为获取不正当的利益，损害国家、集体和对方利益，不得违反建设工程管理的规章制度。</w:t>
      </w:r>
    </w:p>
    <w:p>
      <w:pPr>
        <w:spacing w:line="400" w:lineRule="exact"/>
        <w:ind w:firstLine="440" w:firstLineChars="200"/>
        <w:rPr>
          <w:rFonts w:ascii="宋体"/>
          <w:color w:val="auto"/>
          <w:szCs w:val="28"/>
          <w:highlight w:val="none"/>
        </w:rPr>
      </w:pPr>
      <w:r>
        <w:rPr>
          <w:rFonts w:hint="eastAsia" w:ascii="宋体"/>
          <w:color w:val="auto"/>
          <w:szCs w:val="28"/>
          <w:highlight w:val="none"/>
        </w:rPr>
        <w:t>1</w:t>
      </w:r>
      <w:r>
        <w:rPr>
          <w:rFonts w:ascii="宋体"/>
          <w:color w:val="auto"/>
          <w:szCs w:val="28"/>
          <w:highlight w:val="none"/>
        </w:rPr>
        <w:t>.</w:t>
      </w:r>
      <w:r>
        <w:rPr>
          <w:rFonts w:hint="eastAsia" w:ascii="宋体"/>
          <w:color w:val="auto"/>
          <w:szCs w:val="28"/>
          <w:highlight w:val="none"/>
        </w:rPr>
        <w:t xml:space="preserve">4 </w:t>
      </w:r>
      <w:r>
        <w:rPr>
          <w:rFonts w:ascii="宋体"/>
          <w:color w:val="auto"/>
          <w:szCs w:val="28"/>
          <w:highlight w:val="none"/>
        </w:rPr>
        <w:t>发现对方在业务活动中有违规、违纪、违法行为的，应及时提醒对方，情节严重的，应向其上级主管部门或纪检监察、司法等有关机关举报。</w:t>
      </w:r>
    </w:p>
    <w:p>
      <w:pPr>
        <w:spacing w:line="400" w:lineRule="exact"/>
        <w:ind w:firstLine="440" w:firstLineChars="200"/>
        <w:rPr>
          <w:rFonts w:ascii="黑体" w:hAnsi="宋体" w:eastAsia="黑体"/>
          <w:color w:val="auto"/>
          <w:highlight w:val="none"/>
        </w:rPr>
      </w:pPr>
      <w:bookmarkStart w:id="565" w:name="_Toc111445505"/>
      <w:r>
        <w:rPr>
          <w:rFonts w:hint="eastAsia" w:ascii="黑体" w:hAnsi="宋体" w:eastAsia="黑体"/>
          <w:color w:val="auto"/>
          <w:highlight w:val="none"/>
        </w:rPr>
        <w:t>二、发包人责任</w:t>
      </w:r>
      <w:bookmarkEnd w:id="565"/>
    </w:p>
    <w:p>
      <w:pPr>
        <w:spacing w:line="400" w:lineRule="exact"/>
        <w:ind w:firstLine="440" w:firstLineChars="200"/>
        <w:rPr>
          <w:rFonts w:ascii="宋体"/>
          <w:color w:val="auto"/>
          <w:szCs w:val="28"/>
          <w:highlight w:val="none"/>
        </w:rPr>
      </w:pPr>
      <w:r>
        <w:rPr>
          <w:rFonts w:ascii="宋体"/>
          <w:color w:val="auto"/>
          <w:szCs w:val="28"/>
          <w:highlight w:val="none"/>
        </w:rPr>
        <w:t>发包人的领导和从事该建设工程项目的工作人员，在工程建设的事前、事中、事后应遵守以下规定：</w:t>
      </w:r>
    </w:p>
    <w:p>
      <w:pPr>
        <w:spacing w:line="400" w:lineRule="exact"/>
        <w:ind w:firstLine="440" w:firstLineChars="200"/>
        <w:rPr>
          <w:rFonts w:ascii="宋体"/>
          <w:color w:val="auto"/>
          <w:szCs w:val="28"/>
          <w:highlight w:val="none"/>
        </w:rPr>
      </w:pPr>
      <w:r>
        <w:rPr>
          <w:rFonts w:hint="eastAsia" w:ascii="宋体"/>
          <w:color w:val="auto"/>
          <w:szCs w:val="28"/>
          <w:highlight w:val="none"/>
        </w:rPr>
        <w:t>2</w:t>
      </w:r>
      <w:r>
        <w:rPr>
          <w:rFonts w:ascii="宋体"/>
          <w:color w:val="auto"/>
          <w:szCs w:val="28"/>
          <w:highlight w:val="none"/>
        </w:rPr>
        <w:t>.</w:t>
      </w:r>
      <w:r>
        <w:rPr>
          <w:rFonts w:hint="eastAsia" w:ascii="宋体"/>
          <w:color w:val="auto"/>
          <w:szCs w:val="28"/>
          <w:highlight w:val="none"/>
        </w:rPr>
        <w:t>1</w:t>
      </w:r>
      <w:r>
        <w:rPr>
          <w:rFonts w:ascii="宋体"/>
          <w:color w:val="auto"/>
          <w:szCs w:val="28"/>
          <w:highlight w:val="none"/>
        </w:rPr>
        <w:t>不得向承包人和相关单位索要或接受回扣、礼金、有价证券、贵重物品和好处费、感谢费等。</w:t>
      </w:r>
    </w:p>
    <w:p>
      <w:pPr>
        <w:spacing w:line="400" w:lineRule="exact"/>
        <w:ind w:firstLine="440" w:firstLineChars="200"/>
        <w:rPr>
          <w:rFonts w:ascii="宋体"/>
          <w:color w:val="auto"/>
          <w:szCs w:val="28"/>
          <w:highlight w:val="none"/>
        </w:rPr>
      </w:pPr>
      <w:r>
        <w:rPr>
          <w:rFonts w:hint="eastAsia" w:ascii="宋体"/>
          <w:color w:val="auto"/>
          <w:szCs w:val="28"/>
          <w:highlight w:val="none"/>
        </w:rPr>
        <w:t>2</w:t>
      </w:r>
      <w:r>
        <w:rPr>
          <w:rFonts w:ascii="宋体"/>
          <w:color w:val="auto"/>
          <w:szCs w:val="28"/>
          <w:highlight w:val="none"/>
        </w:rPr>
        <w:t>.</w:t>
      </w:r>
      <w:r>
        <w:rPr>
          <w:rFonts w:hint="eastAsia" w:ascii="宋体"/>
          <w:color w:val="auto"/>
          <w:szCs w:val="28"/>
          <w:highlight w:val="none"/>
        </w:rPr>
        <w:t xml:space="preserve">2 </w:t>
      </w:r>
      <w:r>
        <w:rPr>
          <w:rFonts w:ascii="宋体"/>
          <w:color w:val="auto"/>
          <w:szCs w:val="28"/>
          <w:highlight w:val="none"/>
        </w:rPr>
        <w:t>不得在承包人和相关单位报销任何应由发包人或个人支付的费用。</w:t>
      </w:r>
    </w:p>
    <w:p>
      <w:pPr>
        <w:spacing w:line="400" w:lineRule="exact"/>
        <w:ind w:firstLine="440" w:firstLineChars="200"/>
        <w:rPr>
          <w:rFonts w:ascii="宋体"/>
          <w:color w:val="auto"/>
          <w:szCs w:val="28"/>
          <w:highlight w:val="none"/>
        </w:rPr>
      </w:pPr>
      <w:r>
        <w:rPr>
          <w:rFonts w:hint="eastAsia" w:ascii="宋体"/>
          <w:color w:val="auto"/>
          <w:szCs w:val="28"/>
          <w:highlight w:val="none"/>
        </w:rPr>
        <w:t>2</w:t>
      </w:r>
      <w:r>
        <w:rPr>
          <w:rFonts w:ascii="宋体"/>
          <w:color w:val="auto"/>
          <w:szCs w:val="28"/>
          <w:highlight w:val="none"/>
        </w:rPr>
        <w:t>.</w:t>
      </w:r>
      <w:r>
        <w:rPr>
          <w:rFonts w:hint="eastAsia" w:ascii="宋体"/>
          <w:color w:val="auto"/>
          <w:szCs w:val="28"/>
          <w:highlight w:val="none"/>
        </w:rPr>
        <w:t xml:space="preserve">3 </w:t>
      </w:r>
      <w:r>
        <w:rPr>
          <w:rFonts w:ascii="宋体"/>
          <w:color w:val="auto"/>
          <w:szCs w:val="28"/>
          <w:highlight w:val="none"/>
        </w:rPr>
        <w:t>不得要求、暗示或接受承包人和相关单位为个人装修住房、婚丧嫁娶、配偶子女的工作安排以及出国（境）、旅游等提供方便。</w:t>
      </w:r>
    </w:p>
    <w:p>
      <w:pPr>
        <w:spacing w:line="400" w:lineRule="exact"/>
        <w:ind w:firstLine="440" w:firstLineChars="200"/>
        <w:rPr>
          <w:rFonts w:ascii="宋体"/>
          <w:color w:val="auto"/>
          <w:szCs w:val="28"/>
          <w:highlight w:val="none"/>
        </w:rPr>
      </w:pPr>
      <w:r>
        <w:rPr>
          <w:rFonts w:hint="eastAsia" w:ascii="宋体"/>
          <w:color w:val="auto"/>
          <w:szCs w:val="28"/>
          <w:highlight w:val="none"/>
        </w:rPr>
        <w:t>2</w:t>
      </w:r>
      <w:r>
        <w:rPr>
          <w:rFonts w:ascii="宋体"/>
          <w:color w:val="auto"/>
          <w:szCs w:val="28"/>
          <w:highlight w:val="none"/>
        </w:rPr>
        <w:t>.</w:t>
      </w:r>
      <w:r>
        <w:rPr>
          <w:rFonts w:hint="eastAsia" w:ascii="宋体"/>
          <w:color w:val="auto"/>
          <w:szCs w:val="28"/>
          <w:highlight w:val="none"/>
        </w:rPr>
        <w:t xml:space="preserve">4 </w:t>
      </w:r>
      <w:r>
        <w:rPr>
          <w:rFonts w:ascii="宋体"/>
          <w:color w:val="auto"/>
          <w:szCs w:val="28"/>
          <w:highlight w:val="none"/>
        </w:rPr>
        <w:t>不得参加有可能影响公正执行公务的承包人和相关单位的宴请、健身、娱乐等活动。</w:t>
      </w:r>
    </w:p>
    <w:p>
      <w:pPr>
        <w:spacing w:line="400" w:lineRule="exact"/>
        <w:ind w:firstLine="440" w:firstLineChars="200"/>
        <w:rPr>
          <w:rFonts w:ascii="宋体"/>
          <w:color w:val="auto"/>
          <w:szCs w:val="28"/>
          <w:highlight w:val="none"/>
        </w:rPr>
      </w:pPr>
      <w:r>
        <w:rPr>
          <w:rFonts w:hint="eastAsia" w:ascii="宋体"/>
          <w:color w:val="auto"/>
          <w:szCs w:val="28"/>
          <w:highlight w:val="none"/>
        </w:rPr>
        <w:t>2</w:t>
      </w:r>
      <w:r>
        <w:rPr>
          <w:rFonts w:ascii="宋体"/>
          <w:color w:val="auto"/>
          <w:szCs w:val="28"/>
          <w:highlight w:val="none"/>
        </w:rPr>
        <w:t>.</w:t>
      </w:r>
      <w:r>
        <w:rPr>
          <w:rFonts w:hint="eastAsia" w:ascii="宋体"/>
          <w:color w:val="auto"/>
          <w:szCs w:val="28"/>
          <w:highlight w:val="none"/>
        </w:rPr>
        <w:t xml:space="preserve">5 </w:t>
      </w:r>
      <w:r>
        <w:rPr>
          <w:rFonts w:ascii="宋体"/>
          <w:color w:val="auto"/>
          <w:szCs w:val="28"/>
          <w:highlight w:val="none"/>
        </w:rPr>
        <w:t>不得向承包人和相关单位介绍或为配偶、子女、亲属参与同发包人</w:t>
      </w:r>
      <w:r>
        <w:rPr>
          <w:rFonts w:hint="eastAsia" w:ascii="宋体"/>
          <w:color w:val="auto"/>
          <w:szCs w:val="28"/>
          <w:highlight w:val="none"/>
        </w:rPr>
        <w:t>工程建设管理</w:t>
      </w:r>
      <w:r>
        <w:rPr>
          <w:rFonts w:ascii="宋体"/>
          <w:color w:val="auto"/>
          <w:szCs w:val="28"/>
          <w:highlight w:val="none"/>
        </w:rPr>
        <w:t>合同有关的业务活动</w:t>
      </w:r>
      <w:r>
        <w:rPr>
          <w:rFonts w:hint="eastAsia" w:ascii="宋体"/>
          <w:color w:val="auto"/>
          <w:szCs w:val="28"/>
          <w:highlight w:val="none"/>
        </w:rPr>
        <w:t>；</w:t>
      </w:r>
      <w:r>
        <w:rPr>
          <w:rFonts w:ascii="宋体"/>
          <w:color w:val="auto"/>
          <w:szCs w:val="28"/>
          <w:highlight w:val="none"/>
        </w:rPr>
        <w:t>不得以任何理由要求承包人和相关单位使用某种产品、材料和设备。</w:t>
      </w:r>
    </w:p>
    <w:p>
      <w:pPr>
        <w:spacing w:line="400" w:lineRule="exact"/>
        <w:ind w:firstLine="440" w:firstLineChars="200"/>
        <w:rPr>
          <w:rFonts w:ascii="黑体" w:eastAsia="黑体"/>
          <w:color w:val="auto"/>
          <w:highlight w:val="none"/>
        </w:rPr>
      </w:pPr>
      <w:bookmarkStart w:id="566" w:name="_Toc111445506"/>
      <w:r>
        <w:rPr>
          <w:rFonts w:hint="eastAsia" w:ascii="黑体" w:hAnsi="宋体" w:eastAsia="黑体"/>
          <w:color w:val="auto"/>
          <w:highlight w:val="none"/>
        </w:rPr>
        <w:t>三、承包人责任</w:t>
      </w:r>
      <w:bookmarkEnd w:id="566"/>
    </w:p>
    <w:p>
      <w:pPr>
        <w:spacing w:line="400" w:lineRule="exact"/>
        <w:ind w:firstLine="440" w:firstLineChars="200"/>
        <w:rPr>
          <w:rFonts w:ascii="宋体"/>
          <w:color w:val="auto"/>
          <w:szCs w:val="28"/>
          <w:highlight w:val="none"/>
        </w:rPr>
      </w:pPr>
      <w:r>
        <w:rPr>
          <w:rFonts w:ascii="宋体"/>
          <w:color w:val="auto"/>
          <w:szCs w:val="28"/>
          <w:highlight w:val="none"/>
        </w:rPr>
        <w:t>应与发包人保持正常的业务交往，按照有关法律法规和程序开展业务工作，严格执行工程建设的有关方针、政策，</w:t>
      </w:r>
      <w:r>
        <w:rPr>
          <w:rFonts w:hint="eastAsia" w:ascii="宋体"/>
          <w:color w:val="auto"/>
          <w:szCs w:val="28"/>
          <w:highlight w:val="none"/>
        </w:rPr>
        <w:t>执行工程建设</w:t>
      </w:r>
      <w:r>
        <w:rPr>
          <w:rFonts w:ascii="宋体"/>
          <w:color w:val="auto"/>
          <w:szCs w:val="28"/>
          <w:highlight w:val="none"/>
        </w:rPr>
        <w:t>强制性标准，并遵守以下规定：</w:t>
      </w:r>
    </w:p>
    <w:p>
      <w:pPr>
        <w:spacing w:line="400" w:lineRule="exact"/>
        <w:ind w:firstLine="440" w:firstLineChars="200"/>
        <w:rPr>
          <w:rFonts w:ascii="宋体"/>
          <w:color w:val="auto"/>
          <w:szCs w:val="28"/>
          <w:highlight w:val="none"/>
        </w:rPr>
      </w:pPr>
      <w:r>
        <w:rPr>
          <w:rFonts w:hint="eastAsia" w:ascii="宋体"/>
          <w:color w:val="auto"/>
          <w:szCs w:val="28"/>
          <w:highlight w:val="none"/>
        </w:rPr>
        <w:t>3</w:t>
      </w:r>
      <w:r>
        <w:rPr>
          <w:rFonts w:ascii="宋体"/>
          <w:color w:val="auto"/>
          <w:szCs w:val="28"/>
          <w:highlight w:val="none"/>
        </w:rPr>
        <w:t>.</w:t>
      </w:r>
      <w:r>
        <w:rPr>
          <w:rFonts w:hint="eastAsia" w:ascii="宋体"/>
          <w:color w:val="auto"/>
          <w:szCs w:val="28"/>
          <w:highlight w:val="none"/>
        </w:rPr>
        <w:t xml:space="preserve">1 </w:t>
      </w:r>
      <w:r>
        <w:rPr>
          <w:rFonts w:ascii="宋体"/>
          <w:color w:val="auto"/>
          <w:szCs w:val="28"/>
          <w:highlight w:val="none"/>
        </w:rPr>
        <w:t>不得以任何理由向发包人及其工作人员索要、接受或赠送礼金、有价证券、贵重物品及回扣、好处费、感谢费等。</w:t>
      </w:r>
    </w:p>
    <w:p>
      <w:pPr>
        <w:spacing w:line="400" w:lineRule="exact"/>
        <w:ind w:firstLine="440" w:firstLineChars="200"/>
        <w:rPr>
          <w:rFonts w:ascii="宋体"/>
          <w:color w:val="auto"/>
          <w:szCs w:val="28"/>
          <w:highlight w:val="none"/>
        </w:rPr>
      </w:pPr>
      <w:r>
        <w:rPr>
          <w:rFonts w:hint="eastAsia" w:ascii="宋体"/>
          <w:color w:val="auto"/>
          <w:szCs w:val="28"/>
          <w:highlight w:val="none"/>
        </w:rPr>
        <w:t>3</w:t>
      </w:r>
      <w:r>
        <w:rPr>
          <w:rFonts w:ascii="宋体"/>
          <w:color w:val="auto"/>
          <w:szCs w:val="28"/>
          <w:highlight w:val="none"/>
        </w:rPr>
        <w:t>.</w:t>
      </w:r>
      <w:r>
        <w:rPr>
          <w:rFonts w:hint="eastAsia" w:ascii="宋体"/>
          <w:color w:val="auto"/>
          <w:szCs w:val="28"/>
          <w:highlight w:val="none"/>
        </w:rPr>
        <w:t>2</w:t>
      </w:r>
      <w:r>
        <w:rPr>
          <w:rFonts w:ascii="宋体"/>
          <w:color w:val="auto"/>
          <w:szCs w:val="28"/>
          <w:highlight w:val="none"/>
        </w:rPr>
        <w:t>不得以任何理由为发包人和相关单位报销应由对方或个人支付的费用。</w:t>
      </w:r>
    </w:p>
    <w:p>
      <w:pPr>
        <w:spacing w:line="400" w:lineRule="exact"/>
        <w:ind w:firstLine="440" w:firstLineChars="200"/>
        <w:rPr>
          <w:rFonts w:ascii="宋体"/>
          <w:color w:val="auto"/>
          <w:szCs w:val="28"/>
          <w:highlight w:val="none"/>
        </w:rPr>
      </w:pPr>
      <w:r>
        <w:rPr>
          <w:rFonts w:hint="eastAsia" w:ascii="宋体"/>
          <w:color w:val="auto"/>
          <w:szCs w:val="28"/>
          <w:highlight w:val="none"/>
        </w:rPr>
        <w:t>3</w:t>
      </w:r>
      <w:r>
        <w:rPr>
          <w:rFonts w:ascii="宋体"/>
          <w:color w:val="auto"/>
          <w:szCs w:val="28"/>
          <w:highlight w:val="none"/>
        </w:rPr>
        <w:t>.</w:t>
      </w:r>
      <w:r>
        <w:rPr>
          <w:rFonts w:hint="eastAsia" w:ascii="宋体"/>
          <w:color w:val="auto"/>
          <w:szCs w:val="28"/>
          <w:highlight w:val="none"/>
        </w:rPr>
        <w:t>3</w:t>
      </w:r>
      <w:r>
        <w:rPr>
          <w:rFonts w:ascii="宋体"/>
          <w:color w:val="auto"/>
          <w:szCs w:val="28"/>
          <w:highlight w:val="none"/>
        </w:rPr>
        <w:t>不得接受或暗示为发包人、相关单位或个人装修住房、婚丧嫁娶、配偶子女的工作安排以及出国（境）、旅游等提供方便。</w:t>
      </w:r>
    </w:p>
    <w:p>
      <w:pPr>
        <w:spacing w:line="400" w:lineRule="exact"/>
        <w:ind w:firstLine="440" w:firstLineChars="200"/>
        <w:rPr>
          <w:rFonts w:ascii="宋体"/>
          <w:color w:val="auto"/>
          <w:szCs w:val="28"/>
          <w:highlight w:val="none"/>
        </w:rPr>
      </w:pPr>
      <w:r>
        <w:rPr>
          <w:rFonts w:hint="eastAsia" w:ascii="宋体"/>
          <w:color w:val="auto"/>
          <w:szCs w:val="28"/>
          <w:highlight w:val="none"/>
        </w:rPr>
        <w:t>3</w:t>
      </w:r>
      <w:r>
        <w:rPr>
          <w:rFonts w:ascii="宋体"/>
          <w:color w:val="auto"/>
          <w:szCs w:val="28"/>
          <w:highlight w:val="none"/>
        </w:rPr>
        <w:t>.</w:t>
      </w:r>
      <w:r>
        <w:rPr>
          <w:rFonts w:hint="eastAsia" w:ascii="宋体"/>
          <w:color w:val="auto"/>
          <w:szCs w:val="28"/>
          <w:highlight w:val="none"/>
        </w:rPr>
        <w:t>4</w:t>
      </w:r>
      <w:r>
        <w:rPr>
          <w:rFonts w:ascii="宋体"/>
          <w:color w:val="auto"/>
          <w:szCs w:val="28"/>
          <w:highlight w:val="none"/>
        </w:rPr>
        <w:t>不得以任何理由为发包人、相关单位或个人组织有可能影响公正执行公务的宴请、健身、娱乐等活动。</w:t>
      </w:r>
    </w:p>
    <w:p>
      <w:pPr>
        <w:spacing w:line="400" w:lineRule="exact"/>
        <w:ind w:firstLine="440" w:firstLineChars="200"/>
        <w:rPr>
          <w:rFonts w:ascii="黑体" w:eastAsia="黑体"/>
          <w:color w:val="auto"/>
          <w:highlight w:val="none"/>
        </w:rPr>
      </w:pPr>
      <w:bookmarkStart w:id="567" w:name="_Toc111445507"/>
      <w:r>
        <w:rPr>
          <w:rFonts w:hint="eastAsia" w:ascii="黑体" w:eastAsia="黑体"/>
          <w:color w:val="auto"/>
          <w:highlight w:val="none"/>
        </w:rPr>
        <w:t>四、违约责任</w:t>
      </w:r>
      <w:bookmarkEnd w:id="567"/>
    </w:p>
    <w:p>
      <w:pPr>
        <w:spacing w:line="400" w:lineRule="exact"/>
        <w:ind w:firstLine="440" w:firstLineChars="200"/>
        <w:rPr>
          <w:rFonts w:ascii="宋体"/>
          <w:color w:val="auto"/>
          <w:szCs w:val="28"/>
          <w:highlight w:val="none"/>
        </w:rPr>
      </w:pPr>
      <w:r>
        <w:rPr>
          <w:rFonts w:hint="eastAsia" w:ascii="宋体"/>
          <w:color w:val="auto"/>
          <w:szCs w:val="28"/>
          <w:highlight w:val="none"/>
        </w:rPr>
        <w:t>4</w:t>
      </w:r>
      <w:r>
        <w:rPr>
          <w:rFonts w:ascii="宋体"/>
          <w:color w:val="auto"/>
          <w:szCs w:val="28"/>
          <w:highlight w:val="none"/>
        </w:rPr>
        <w:t>.</w:t>
      </w:r>
      <w:r>
        <w:rPr>
          <w:rFonts w:hint="eastAsia" w:ascii="宋体"/>
          <w:color w:val="auto"/>
          <w:szCs w:val="28"/>
          <w:highlight w:val="none"/>
        </w:rPr>
        <w:t>1</w:t>
      </w:r>
      <w:r>
        <w:rPr>
          <w:rFonts w:ascii="宋体"/>
          <w:color w:val="auto"/>
          <w:szCs w:val="28"/>
          <w:highlight w:val="none"/>
        </w:rPr>
        <w:t>发包人工作人员有违反本责任书第一、二条责任行为的，依据有关法律</w:t>
      </w:r>
      <w:r>
        <w:rPr>
          <w:rFonts w:hint="eastAsia" w:ascii="宋体"/>
          <w:color w:val="auto"/>
          <w:szCs w:val="28"/>
          <w:highlight w:val="none"/>
        </w:rPr>
        <w:t>、</w:t>
      </w:r>
      <w:r>
        <w:rPr>
          <w:rFonts w:ascii="宋体"/>
          <w:color w:val="auto"/>
          <w:szCs w:val="28"/>
          <w:highlight w:val="none"/>
        </w:rPr>
        <w:t>法规给予处理；涉嫌犯罪的，移交司法机关追究刑事责任；给承包人单位造成经济损失的，应予以赔偿。</w:t>
      </w:r>
    </w:p>
    <w:p>
      <w:pPr>
        <w:spacing w:line="400" w:lineRule="exact"/>
        <w:ind w:firstLine="440" w:firstLineChars="200"/>
        <w:rPr>
          <w:rFonts w:ascii="宋体"/>
          <w:color w:val="auto"/>
          <w:szCs w:val="28"/>
          <w:highlight w:val="none"/>
        </w:rPr>
      </w:pPr>
      <w:r>
        <w:rPr>
          <w:rFonts w:hint="eastAsia" w:ascii="宋体"/>
          <w:color w:val="auto"/>
          <w:szCs w:val="28"/>
          <w:highlight w:val="none"/>
        </w:rPr>
        <w:t>4</w:t>
      </w:r>
      <w:r>
        <w:rPr>
          <w:rFonts w:ascii="宋体"/>
          <w:color w:val="auto"/>
          <w:szCs w:val="28"/>
          <w:highlight w:val="none"/>
        </w:rPr>
        <w:t>.</w:t>
      </w:r>
      <w:r>
        <w:rPr>
          <w:rFonts w:hint="eastAsia" w:ascii="宋体"/>
          <w:color w:val="auto"/>
          <w:szCs w:val="28"/>
          <w:highlight w:val="none"/>
        </w:rPr>
        <w:t xml:space="preserve">2 </w:t>
      </w:r>
      <w:r>
        <w:rPr>
          <w:rFonts w:ascii="宋体"/>
          <w:color w:val="auto"/>
          <w:szCs w:val="28"/>
          <w:highlight w:val="none"/>
        </w:rPr>
        <w:t>承包人工作人员有违反本责任书第一、三条责任行为的，依据有关法律法规处理；涉嫌犯罪的，移交司法机关追究刑事责任；给发包人单位造成经济损失的，应予以赔偿。</w:t>
      </w:r>
    </w:p>
    <w:p>
      <w:pPr>
        <w:spacing w:line="400" w:lineRule="exact"/>
        <w:ind w:firstLine="440" w:firstLineChars="200"/>
        <w:rPr>
          <w:rFonts w:ascii="仿宋_GB2312" w:eastAsia="仿宋_GB2312"/>
          <w:color w:val="auto"/>
          <w:szCs w:val="28"/>
          <w:highlight w:val="none"/>
        </w:rPr>
      </w:pPr>
      <w:r>
        <w:rPr>
          <w:rFonts w:hint="eastAsia" w:ascii="宋体"/>
          <w:color w:val="auto"/>
          <w:szCs w:val="28"/>
          <w:highlight w:val="none"/>
        </w:rPr>
        <w:t>4</w:t>
      </w:r>
      <w:r>
        <w:rPr>
          <w:rFonts w:ascii="宋体"/>
          <w:color w:val="auto"/>
          <w:szCs w:val="28"/>
          <w:highlight w:val="none"/>
        </w:rPr>
        <w:t>.</w:t>
      </w:r>
      <w:r>
        <w:rPr>
          <w:rFonts w:hint="eastAsia" w:ascii="宋体"/>
          <w:color w:val="auto"/>
          <w:szCs w:val="28"/>
          <w:highlight w:val="none"/>
        </w:rPr>
        <w:t xml:space="preserve">3 </w:t>
      </w:r>
      <w:r>
        <w:rPr>
          <w:rFonts w:ascii="宋体"/>
          <w:color w:val="auto"/>
          <w:szCs w:val="28"/>
          <w:highlight w:val="none"/>
        </w:rPr>
        <w:t>本责任书作为</w:t>
      </w:r>
      <w:r>
        <w:rPr>
          <w:rFonts w:hint="eastAsia" w:ascii="宋体"/>
          <w:color w:val="auto"/>
          <w:szCs w:val="28"/>
          <w:highlight w:val="none"/>
        </w:rPr>
        <w:t>建设</w:t>
      </w:r>
      <w:r>
        <w:rPr>
          <w:rFonts w:ascii="宋体"/>
          <w:color w:val="auto"/>
          <w:szCs w:val="28"/>
          <w:highlight w:val="none"/>
        </w:rPr>
        <w:t>工程合同的</w:t>
      </w:r>
      <w:r>
        <w:rPr>
          <w:rFonts w:hint="eastAsia" w:ascii="宋体"/>
          <w:color w:val="auto"/>
          <w:szCs w:val="28"/>
          <w:highlight w:val="none"/>
        </w:rPr>
        <w:t>组成部分</w:t>
      </w:r>
      <w:r>
        <w:rPr>
          <w:rFonts w:ascii="宋体"/>
          <w:color w:val="auto"/>
          <w:szCs w:val="28"/>
          <w:highlight w:val="none"/>
        </w:rPr>
        <w:t>，与</w:t>
      </w:r>
      <w:r>
        <w:rPr>
          <w:rFonts w:hint="eastAsia" w:ascii="宋体"/>
          <w:color w:val="auto"/>
          <w:szCs w:val="28"/>
          <w:highlight w:val="none"/>
        </w:rPr>
        <w:t>建设</w:t>
      </w:r>
      <w:r>
        <w:rPr>
          <w:rFonts w:ascii="宋体"/>
          <w:color w:val="auto"/>
          <w:szCs w:val="28"/>
          <w:highlight w:val="none"/>
        </w:rPr>
        <w:t>工程合同具有同等法律效力。经双方签署后立即生效。</w:t>
      </w:r>
    </w:p>
    <w:p>
      <w:pPr>
        <w:spacing w:line="400" w:lineRule="exact"/>
        <w:ind w:firstLine="440" w:firstLineChars="200"/>
        <w:rPr>
          <w:rFonts w:ascii="黑体" w:eastAsia="黑体"/>
          <w:color w:val="auto"/>
          <w:highlight w:val="none"/>
        </w:rPr>
      </w:pPr>
      <w:bookmarkStart w:id="568" w:name="_Toc111445508"/>
      <w:r>
        <w:rPr>
          <w:rFonts w:hint="eastAsia" w:ascii="黑体" w:eastAsia="黑体"/>
          <w:color w:val="auto"/>
          <w:highlight w:val="none"/>
        </w:rPr>
        <w:t>五、责任书有效期</w:t>
      </w:r>
      <w:bookmarkEnd w:id="568"/>
    </w:p>
    <w:p>
      <w:pPr>
        <w:spacing w:line="400" w:lineRule="exact"/>
        <w:ind w:firstLine="440" w:firstLineChars="200"/>
        <w:rPr>
          <w:rFonts w:ascii="仿宋_GB2312" w:eastAsia="仿宋_GB2312"/>
          <w:color w:val="auto"/>
          <w:szCs w:val="28"/>
          <w:highlight w:val="none"/>
        </w:rPr>
      </w:pPr>
      <w:r>
        <w:rPr>
          <w:rFonts w:ascii="宋体"/>
          <w:color w:val="auto"/>
          <w:szCs w:val="28"/>
          <w:highlight w:val="none"/>
        </w:rPr>
        <w:t>本责任书的有效期为双方签署之日起至该工程项目竣工验收合格时止。</w:t>
      </w:r>
    </w:p>
    <w:p>
      <w:pPr>
        <w:spacing w:line="400" w:lineRule="exact"/>
        <w:ind w:firstLine="440" w:firstLineChars="200"/>
        <w:rPr>
          <w:rFonts w:ascii="黑体" w:eastAsia="黑体"/>
          <w:color w:val="auto"/>
          <w:highlight w:val="none"/>
        </w:rPr>
      </w:pPr>
      <w:bookmarkStart w:id="569" w:name="_Toc111445509"/>
      <w:r>
        <w:rPr>
          <w:rFonts w:hint="eastAsia" w:ascii="黑体" w:eastAsia="黑体"/>
          <w:color w:val="auto"/>
          <w:highlight w:val="none"/>
        </w:rPr>
        <w:t>六、责任书份数</w:t>
      </w:r>
      <w:bookmarkEnd w:id="569"/>
    </w:p>
    <w:p>
      <w:pPr>
        <w:spacing w:line="400" w:lineRule="exact"/>
        <w:ind w:firstLine="440" w:firstLineChars="200"/>
        <w:rPr>
          <w:rFonts w:ascii="宋体"/>
          <w:color w:val="auto"/>
          <w:szCs w:val="28"/>
          <w:highlight w:val="none"/>
        </w:rPr>
      </w:pPr>
      <w:r>
        <w:rPr>
          <w:rFonts w:ascii="宋体"/>
          <w:color w:val="auto"/>
          <w:szCs w:val="28"/>
          <w:highlight w:val="none"/>
        </w:rPr>
        <w:t>本责任书一式</w:t>
      </w:r>
      <w:r>
        <w:rPr>
          <w:rFonts w:hint="eastAsia" w:ascii="宋体"/>
          <w:color w:val="auto"/>
          <w:szCs w:val="28"/>
          <w:highlight w:val="none"/>
        </w:rPr>
        <w:t>二</w:t>
      </w:r>
      <w:r>
        <w:rPr>
          <w:rFonts w:ascii="宋体"/>
          <w:color w:val="auto"/>
          <w:szCs w:val="28"/>
          <w:highlight w:val="none"/>
        </w:rPr>
        <w:t>份，</w:t>
      </w:r>
      <w:r>
        <w:rPr>
          <w:rFonts w:hint="eastAsia" w:ascii="宋体"/>
          <w:color w:val="auto"/>
          <w:szCs w:val="28"/>
          <w:highlight w:val="none"/>
        </w:rPr>
        <w:t>发包人承包人</w:t>
      </w:r>
      <w:r>
        <w:rPr>
          <w:rFonts w:ascii="宋体"/>
          <w:color w:val="auto"/>
          <w:szCs w:val="28"/>
          <w:highlight w:val="none"/>
        </w:rPr>
        <w:t>各执一份，</w:t>
      </w:r>
      <w:r>
        <w:rPr>
          <w:rFonts w:hint="eastAsia" w:ascii="宋体"/>
          <w:color w:val="auto"/>
          <w:szCs w:val="28"/>
          <w:highlight w:val="none"/>
        </w:rPr>
        <w:t>具有同等效力</w:t>
      </w:r>
      <w:r>
        <w:rPr>
          <w:rFonts w:ascii="宋体"/>
          <w:color w:val="auto"/>
          <w:szCs w:val="28"/>
          <w:highlight w:val="none"/>
        </w:rPr>
        <w:t>。</w:t>
      </w:r>
    </w:p>
    <w:p>
      <w:pPr>
        <w:spacing w:line="400" w:lineRule="exact"/>
        <w:ind w:firstLine="440" w:firstLineChars="200"/>
        <w:rPr>
          <w:rFonts w:ascii="仿宋_GB2312" w:eastAsia="仿宋_GB2312"/>
          <w:color w:val="auto"/>
          <w:szCs w:val="28"/>
          <w:highlight w:val="none"/>
        </w:rPr>
      </w:pPr>
    </w:p>
    <w:p>
      <w:pPr>
        <w:spacing w:line="400" w:lineRule="exact"/>
        <w:rPr>
          <w:rFonts w:ascii="仿宋_GB2312" w:eastAsia="仿宋_GB2312"/>
          <w:color w:val="auto"/>
          <w:szCs w:val="28"/>
          <w:highlight w:val="none"/>
        </w:rPr>
      </w:pPr>
      <w:r>
        <w:rPr>
          <w:rFonts w:hint="eastAsia" w:ascii="宋体" w:hAnsi="宋体"/>
          <w:color w:val="auto"/>
          <w:highlight w:val="none"/>
        </w:rPr>
        <w:t>发包人：</w:t>
      </w:r>
      <w:r>
        <w:rPr>
          <w:rFonts w:hint="eastAsia" w:ascii="Times" w:hAnsi="宋体" w:cs="MingLiU"/>
          <w:color w:val="auto"/>
          <w:kern w:val="0"/>
          <w:szCs w:val="21"/>
          <w:highlight w:val="none"/>
          <w:u w:val="single"/>
          <w:lang w:val="en-US" w:eastAsia="zh-CN"/>
        </w:rPr>
        <w:t xml:space="preserve">                 </w:t>
      </w:r>
      <w:r>
        <w:rPr>
          <w:rFonts w:hint="eastAsia" w:ascii="宋体" w:hAnsi="宋体"/>
          <w:color w:val="auto"/>
          <w:highlight w:val="none"/>
        </w:rPr>
        <w:t>（公章）      承包人：</w:t>
      </w:r>
      <w:r>
        <w:rPr>
          <w:rFonts w:hint="eastAsia" w:ascii="宋体" w:hAnsi="宋体"/>
          <w:color w:val="auto"/>
          <w:highlight w:val="none"/>
          <w:u w:val="single"/>
          <w:lang w:val="en-US" w:eastAsia="zh-CN"/>
        </w:rPr>
        <w:t xml:space="preserve">                      </w:t>
      </w:r>
      <w:r>
        <w:rPr>
          <w:rFonts w:hint="eastAsia" w:ascii="宋体" w:hAnsi="宋体"/>
          <w:color w:val="auto"/>
          <w:highlight w:val="none"/>
        </w:rPr>
        <w:t xml:space="preserve">（公章） </w:t>
      </w:r>
    </w:p>
    <w:p>
      <w:pPr>
        <w:spacing w:line="400" w:lineRule="exact"/>
        <w:ind w:left="5355" w:hanging="5610" w:hangingChars="2550"/>
        <w:rPr>
          <w:rFonts w:hint="default" w:ascii="宋体" w:hAnsi="宋体" w:eastAsia="宋体" w:cs="Arial"/>
          <w:color w:val="auto"/>
          <w:szCs w:val="21"/>
          <w:highlight w:val="none"/>
          <w:u w:val="single"/>
          <w:lang w:val="en-US" w:eastAsia="zh-CN"/>
        </w:rPr>
      </w:pPr>
      <w:r>
        <w:rPr>
          <w:rFonts w:hint="eastAsia" w:ascii="宋体" w:hAnsi="宋体"/>
          <w:color w:val="auto"/>
          <w:highlight w:val="none"/>
        </w:rPr>
        <w:t>法定地址：</w:t>
      </w:r>
      <w:r>
        <w:rPr>
          <w:rFonts w:hint="eastAsia" w:ascii="宋体" w:hAnsi="宋体" w:cs="Arial"/>
          <w:color w:val="auto"/>
          <w:szCs w:val="21"/>
          <w:highlight w:val="none"/>
          <w:u w:val="single"/>
          <w:lang w:val="en-US" w:eastAsia="zh-CN"/>
        </w:rPr>
        <w:t xml:space="preserve">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u w:val="single"/>
          <w:lang w:val="en-US" w:eastAsia="zh-CN"/>
        </w:rPr>
        <w:t xml:space="preserve">      </w:t>
      </w:r>
      <w:r>
        <w:rPr>
          <w:rFonts w:hint="eastAsia" w:ascii="宋体" w:hAnsi="宋体"/>
          <w:color w:val="auto"/>
          <w:highlight w:val="none"/>
        </w:rPr>
        <w:t>法定地址：</w:t>
      </w:r>
      <w:r>
        <w:rPr>
          <w:rFonts w:hint="eastAsia"/>
          <w:color w:val="auto"/>
          <w:highlight w:val="none"/>
          <w:u w:val="single"/>
          <w:lang w:val="en-US" w:eastAsia="zh-CN"/>
        </w:rPr>
        <w:t xml:space="preserve">                       </w:t>
      </w:r>
    </w:p>
    <w:p>
      <w:pPr>
        <w:tabs>
          <w:tab w:val="left" w:pos="4275"/>
        </w:tabs>
        <w:spacing w:line="400" w:lineRule="exact"/>
        <w:rPr>
          <w:rFonts w:ascii="宋体" w:hAnsi="宋体"/>
          <w:color w:val="auto"/>
          <w:highlight w:val="none"/>
        </w:rPr>
      </w:pPr>
      <w:r>
        <w:rPr>
          <w:rFonts w:hint="eastAsia" w:ascii="宋体" w:hAnsi="宋体"/>
          <w:color w:val="auto"/>
          <w:highlight w:val="none"/>
        </w:rPr>
        <w:t>法定代表人或其                              法定代表人或其</w:t>
      </w:r>
    </w:p>
    <w:p>
      <w:pPr>
        <w:tabs>
          <w:tab w:val="left" w:pos="4605"/>
        </w:tabs>
        <w:spacing w:afterLines="100" w:line="400" w:lineRule="exact"/>
        <w:rPr>
          <w:rFonts w:ascii="宋体" w:hAnsi="宋体"/>
          <w:color w:val="auto"/>
          <w:highlight w:val="none"/>
        </w:rPr>
      </w:pPr>
      <w:r>
        <w:rPr>
          <w:rFonts w:hint="eastAsia" w:ascii="宋体" w:hAnsi="宋体"/>
          <w:color w:val="auto"/>
          <w:highlight w:val="none"/>
        </w:rPr>
        <w:t>委托代理人：（签字）</w:t>
      </w:r>
      <w:r>
        <w:rPr>
          <w:rFonts w:hint="eastAsia" w:ascii="宋体" w:hAnsi="宋体"/>
          <w:color w:val="auto"/>
          <w:highlight w:val="none"/>
        </w:rPr>
        <w:tab/>
      </w:r>
      <w:r>
        <w:rPr>
          <w:rFonts w:hint="eastAsia" w:ascii="宋体" w:hAnsi="宋体"/>
          <w:color w:val="auto"/>
          <w:highlight w:val="none"/>
        </w:rPr>
        <w:t>委托代理人：（签字）</w:t>
      </w:r>
    </w:p>
    <w:p>
      <w:pPr>
        <w:tabs>
          <w:tab w:val="left" w:pos="4605"/>
        </w:tabs>
        <w:spacing w:line="480" w:lineRule="auto"/>
        <w:rPr>
          <w:rFonts w:hint="eastAsia" w:ascii="宋体" w:hAnsi="宋体"/>
          <w:color w:val="auto"/>
          <w:highlight w:val="none"/>
          <w:u w:val="single"/>
          <w:lang w:val="en-US" w:eastAsia="zh-CN"/>
        </w:rPr>
      </w:pPr>
      <w:r>
        <w:rPr>
          <w:rFonts w:hint="eastAsia" w:ascii="宋体" w:hAnsi="宋体"/>
          <w:color w:val="auto"/>
          <w:highlight w:val="none"/>
        </w:rPr>
        <w:t>电话：</w:t>
      </w:r>
      <w:r>
        <w:rPr>
          <w:rFonts w:hint="eastAsia" w:ascii="宋体" w:hAnsi="宋体"/>
          <w:color w:val="auto"/>
          <w:highlight w:val="none"/>
          <w:u w:val="single"/>
          <w:lang w:val="en-US" w:eastAsia="zh-CN"/>
        </w:rPr>
        <w:t xml:space="preserve">          </w:t>
      </w:r>
      <w:r>
        <w:rPr>
          <w:rFonts w:hint="eastAsia" w:ascii="宋体" w:hAnsi="宋体"/>
          <w:color w:val="auto"/>
          <w:highlight w:val="none"/>
        </w:rPr>
        <w:tab/>
      </w:r>
      <w:r>
        <w:rPr>
          <w:rFonts w:hint="eastAsia" w:ascii="宋体" w:hAnsi="宋体"/>
          <w:color w:val="auto"/>
          <w:highlight w:val="none"/>
        </w:rPr>
        <w:t>电话：</w:t>
      </w:r>
      <w:r>
        <w:rPr>
          <w:rFonts w:hint="eastAsia" w:ascii="宋体" w:hAnsi="宋体"/>
          <w:color w:val="auto"/>
          <w:highlight w:val="none"/>
          <w:u w:val="single"/>
          <w:lang w:val="en-US" w:eastAsia="zh-CN"/>
        </w:rPr>
        <w:t xml:space="preserve">              </w:t>
      </w:r>
    </w:p>
    <w:p>
      <w:pPr>
        <w:tabs>
          <w:tab w:val="left" w:pos="4605"/>
        </w:tabs>
        <w:spacing w:line="480" w:lineRule="auto"/>
        <w:rPr>
          <w:rFonts w:hint="default" w:ascii="宋体" w:hAnsi="宋体" w:eastAsia="宋体"/>
          <w:color w:val="auto"/>
          <w:highlight w:val="none"/>
          <w:u w:val="single"/>
          <w:lang w:val="en-US" w:eastAsia="zh-CN"/>
        </w:rPr>
      </w:pPr>
      <w:r>
        <w:rPr>
          <w:rFonts w:hint="eastAsia" w:ascii="宋体" w:hAnsi="宋体"/>
          <w:color w:val="auto"/>
          <w:highlight w:val="none"/>
        </w:rPr>
        <w:t>传真：</w:t>
      </w:r>
      <w:r>
        <w:rPr>
          <w:rFonts w:hint="eastAsia" w:ascii="宋体" w:hAnsi="宋体"/>
          <w:color w:val="auto"/>
          <w:highlight w:val="none"/>
          <w:u w:val="single"/>
          <w:lang w:val="en-US" w:eastAsia="zh-CN"/>
        </w:rPr>
        <w:t xml:space="preserve">           </w:t>
      </w:r>
      <w:r>
        <w:rPr>
          <w:rFonts w:hint="eastAsia" w:ascii="宋体" w:hAnsi="宋体"/>
          <w:color w:val="auto"/>
          <w:highlight w:val="none"/>
        </w:rPr>
        <w:tab/>
      </w:r>
      <w:r>
        <w:rPr>
          <w:rFonts w:hint="eastAsia" w:ascii="宋体" w:hAnsi="宋体"/>
          <w:color w:val="auto"/>
          <w:highlight w:val="none"/>
        </w:rPr>
        <w:t>传真：</w:t>
      </w:r>
      <w:r>
        <w:rPr>
          <w:rFonts w:hint="eastAsia" w:ascii="宋体" w:hAnsi="宋体"/>
          <w:color w:val="auto"/>
          <w:highlight w:val="none"/>
          <w:u w:val="single"/>
          <w:lang w:val="en-US" w:eastAsia="zh-CN"/>
        </w:rPr>
        <w:t xml:space="preserve">                 </w:t>
      </w:r>
    </w:p>
    <w:p>
      <w:pPr>
        <w:tabs>
          <w:tab w:val="left" w:pos="4700"/>
        </w:tabs>
        <w:spacing w:line="480" w:lineRule="auto"/>
        <w:rPr>
          <w:rFonts w:hint="default" w:ascii="宋体" w:hAnsi="宋体" w:eastAsia="宋体"/>
          <w:color w:val="auto"/>
          <w:highlight w:val="none"/>
          <w:u w:val="single"/>
          <w:lang w:val="en-US" w:eastAsia="zh-CN"/>
        </w:rPr>
      </w:pPr>
      <w:r>
        <w:rPr>
          <w:rFonts w:hint="eastAsia" w:ascii="宋体" w:hAnsi="宋体"/>
          <w:color w:val="auto"/>
          <w:highlight w:val="none"/>
        </w:rPr>
        <w:t>电子邮箱：</w:t>
      </w:r>
      <w:r>
        <w:rPr>
          <w:rFonts w:hint="eastAsia"/>
          <w:color w:val="auto"/>
          <w:highlight w:val="none"/>
          <w:u w:val="single"/>
          <w:lang w:val="en-US" w:eastAsia="zh-CN"/>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 xml:space="preserve"> 电子邮箱：</w:t>
      </w:r>
      <w:r>
        <w:rPr>
          <w:rFonts w:hint="eastAsia" w:ascii="宋体" w:hAnsi="宋体"/>
          <w:color w:val="auto"/>
          <w:highlight w:val="none"/>
          <w:u w:val="single"/>
          <w:lang w:val="en-US" w:eastAsia="zh-CN"/>
        </w:rPr>
        <w:t xml:space="preserve">                   </w:t>
      </w:r>
    </w:p>
    <w:p>
      <w:pPr>
        <w:tabs>
          <w:tab w:val="left" w:pos="4605"/>
        </w:tabs>
        <w:spacing w:line="480" w:lineRule="auto"/>
        <w:rPr>
          <w:rFonts w:hint="eastAsia" w:ascii="宋体" w:hAnsi="宋体"/>
          <w:color w:val="auto"/>
          <w:highlight w:val="none"/>
          <w:u w:val="single"/>
          <w:lang w:val="en-US" w:eastAsia="zh-CN"/>
        </w:rPr>
      </w:pPr>
      <w:r>
        <w:rPr>
          <w:rFonts w:hint="eastAsia" w:ascii="宋体" w:hAnsi="宋体"/>
          <w:color w:val="auto"/>
          <w:highlight w:val="none"/>
        </w:rPr>
        <w:t>开户银行：</w:t>
      </w:r>
      <w:r>
        <w:rPr>
          <w:rFonts w:hint="eastAsia" w:ascii="宋体" w:hAnsi="宋体"/>
          <w:color w:val="auto"/>
          <w:highlight w:val="none"/>
          <w:u w:val="single"/>
          <w:lang w:val="en-US" w:eastAsia="zh-CN"/>
        </w:rPr>
        <w:t xml:space="preserve">                      </w:t>
      </w:r>
      <w:r>
        <w:rPr>
          <w:rFonts w:hint="eastAsia" w:ascii="宋体" w:hAnsi="宋体"/>
          <w:color w:val="auto"/>
          <w:highlight w:val="none"/>
        </w:rPr>
        <w:tab/>
      </w:r>
      <w:r>
        <w:rPr>
          <w:rFonts w:hint="eastAsia" w:ascii="宋体" w:hAnsi="宋体"/>
          <w:color w:val="auto"/>
          <w:highlight w:val="none"/>
        </w:rPr>
        <w:t>开户银行：</w:t>
      </w:r>
      <w:r>
        <w:rPr>
          <w:rFonts w:hint="eastAsia" w:ascii="宋体" w:hAnsi="宋体"/>
          <w:color w:val="auto"/>
          <w:highlight w:val="none"/>
          <w:u w:val="single"/>
          <w:lang w:val="en-US" w:eastAsia="zh-CN"/>
        </w:rPr>
        <w:t xml:space="preserve">                    </w:t>
      </w:r>
    </w:p>
    <w:p>
      <w:pPr>
        <w:tabs>
          <w:tab w:val="left" w:pos="4605"/>
        </w:tabs>
        <w:spacing w:line="480" w:lineRule="auto"/>
        <w:rPr>
          <w:rFonts w:hint="default" w:ascii="宋体" w:hAnsi="宋体" w:eastAsia="宋体"/>
          <w:color w:val="auto"/>
          <w:highlight w:val="none"/>
          <w:u w:val="single"/>
          <w:lang w:val="en-US" w:eastAsia="zh-CN"/>
        </w:rPr>
      </w:pPr>
      <w:r>
        <w:rPr>
          <w:rFonts w:hint="eastAsia" w:ascii="宋体" w:hAnsi="宋体"/>
          <w:color w:val="auto"/>
          <w:highlight w:val="none"/>
        </w:rPr>
        <w:t>帐号：</w:t>
      </w:r>
      <w:r>
        <w:rPr>
          <w:rFonts w:hint="eastAsia" w:ascii="宋体" w:hAnsi="宋体"/>
          <w:color w:val="auto"/>
          <w:highlight w:val="none"/>
          <w:u w:val="single"/>
          <w:lang w:val="en-US" w:eastAsia="zh-CN"/>
        </w:rPr>
        <w:t xml:space="preserve">                       </w:t>
      </w:r>
      <w:r>
        <w:rPr>
          <w:rFonts w:hint="eastAsia" w:ascii="宋体" w:hAnsi="宋体"/>
          <w:color w:val="auto"/>
          <w:highlight w:val="none"/>
        </w:rPr>
        <w:tab/>
      </w:r>
      <w:r>
        <w:rPr>
          <w:rFonts w:hint="eastAsia" w:ascii="宋体" w:hAnsi="宋体"/>
          <w:color w:val="auto"/>
          <w:highlight w:val="none"/>
        </w:rPr>
        <w:t>帐号：</w:t>
      </w:r>
      <w:r>
        <w:rPr>
          <w:rFonts w:hint="eastAsia" w:ascii="宋体" w:hAnsi="宋体"/>
          <w:color w:val="auto"/>
          <w:highlight w:val="none"/>
          <w:u w:val="single"/>
          <w:lang w:val="en-US" w:eastAsia="zh-CN"/>
        </w:rPr>
        <w:t xml:space="preserve">                     </w:t>
      </w:r>
    </w:p>
    <w:p>
      <w:pPr>
        <w:pStyle w:val="2"/>
        <w:rPr>
          <w:highlight w:val="none"/>
        </w:rPr>
      </w:pPr>
      <w:r>
        <w:rPr>
          <w:rFonts w:hint="eastAsia" w:hAnsi="宋体"/>
          <w:color w:val="auto"/>
          <w:highlight w:val="none"/>
        </w:rPr>
        <w:t>邮政编码：</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         </w:t>
      </w:r>
      <w:r>
        <w:rPr>
          <w:rFonts w:hint="eastAsia" w:ascii="宋体" w:hAnsi="宋体"/>
          <w:color w:val="auto"/>
          <w:highlight w:val="none"/>
        </w:rPr>
        <w:t xml:space="preserve">            </w:t>
      </w:r>
      <w:r>
        <w:rPr>
          <w:rFonts w:hint="eastAsia" w:hAnsi="宋体"/>
          <w:color w:val="auto"/>
          <w:highlight w:val="none"/>
        </w:rPr>
        <w:t>邮政编码</w:t>
      </w:r>
      <w:r>
        <w:rPr>
          <w:rFonts w:hint="eastAsia"/>
          <w:color w:val="auto"/>
          <w:highlight w:val="none"/>
        </w:rPr>
        <w:t>：</w:t>
      </w:r>
      <w:r>
        <w:rPr>
          <w:rFonts w:hint="eastAsia" w:ascii="宋体" w:hAnsi="宋体"/>
          <w:color w:val="auto"/>
          <w:highlight w:val="none"/>
          <w:u w:val="single"/>
          <w:lang w:val="en-US" w:eastAsia="zh-CN"/>
        </w:rPr>
        <w:t xml:space="preserve">        </w:t>
      </w:r>
    </w:p>
    <w:p>
      <w:pPr>
        <w:pStyle w:val="2"/>
        <w:rPr>
          <w:highlight w:val="none"/>
        </w:rPr>
      </w:pPr>
    </w:p>
    <w:p>
      <w:pPr>
        <w:spacing w:line="338" w:lineRule="auto"/>
        <w:rPr>
          <w:rFonts w:asciiTheme="minorEastAsia" w:hAnsiTheme="minorEastAsia" w:eastAsiaTheme="minorEastAsia"/>
          <w:lang w:eastAsia="zh-CN"/>
        </w:rPr>
      </w:pPr>
    </w:p>
    <w:p>
      <w:pPr>
        <w:spacing w:line="338" w:lineRule="auto"/>
        <w:rPr>
          <w:rFonts w:asciiTheme="minorEastAsia" w:hAnsiTheme="minorEastAsia" w:eastAsiaTheme="minorEastAsia"/>
          <w:lang w:eastAsia="zh-CN"/>
        </w:rPr>
        <w:sectPr>
          <w:pgSz w:w="11910" w:h="16840"/>
          <w:pgMar w:top="1440" w:right="1797" w:bottom="1440" w:left="1797" w:header="879" w:footer="892" w:gutter="0"/>
          <w:cols w:space="720" w:num="1"/>
        </w:sectPr>
      </w:pPr>
    </w:p>
    <w:p>
      <w:pPr>
        <w:pStyle w:val="3"/>
        <w:tabs>
          <w:tab w:val="left" w:pos="1670"/>
        </w:tabs>
        <w:spacing w:before="246"/>
        <w:ind w:left="48"/>
        <w:jc w:val="center"/>
        <w:rPr>
          <w:rFonts w:asciiTheme="minorEastAsia" w:hAnsiTheme="minorEastAsia" w:eastAsiaTheme="minorEastAsia"/>
          <w:b/>
          <w:lang w:eastAsia="zh-CN"/>
        </w:rPr>
      </w:pPr>
      <w:bookmarkStart w:id="570" w:name="_TOC_250000"/>
      <w:bookmarkEnd w:id="570"/>
      <w:bookmarkStart w:id="571" w:name="_Toc164263465"/>
      <w:r>
        <w:rPr>
          <w:rFonts w:asciiTheme="minorEastAsia" w:hAnsiTheme="minorEastAsia" w:eastAsiaTheme="minorEastAsia"/>
          <w:b/>
          <w:lang w:eastAsia="zh-CN"/>
        </w:rPr>
        <w:t>第六章响应文件格式</w:t>
      </w:r>
      <w:bookmarkEnd w:id="571"/>
    </w:p>
    <w:p>
      <w:pPr>
        <w:pStyle w:val="12"/>
        <w:ind w:left="121"/>
        <w:rPr>
          <w:rFonts w:asciiTheme="minorEastAsia" w:hAnsiTheme="minorEastAsia" w:eastAsiaTheme="minorEastAsia"/>
          <w:lang w:eastAsia="zh-CN"/>
        </w:rPr>
      </w:pPr>
    </w:p>
    <w:p>
      <w:pPr>
        <w:pStyle w:val="12"/>
        <w:rPr>
          <w:rFonts w:asciiTheme="minorEastAsia" w:hAnsiTheme="minorEastAsia" w:eastAsiaTheme="minorEastAsia"/>
          <w:b/>
          <w:lang w:eastAsia="zh-CN"/>
        </w:rPr>
      </w:pPr>
      <w:r>
        <w:rPr>
          <w:rFonts w:asciiTheme="minorEastAsia" w:hAnsiTheme="minorEastAsia" w:eastAsiaTheme="minorEastAsia"/>
          <w:b/>
          <w:lang w:eastAsia="zh-CN"/>
        </w:rPr>
        <w:t>供应商编制文件须知</w:t>
      </w:r>
    </w:p>
    <w:p>
      <w:pPr>
        <w:pStyle w:val="12"/>
        <w:spacing w:before="154" w:line="340" w:lineRule="auto"/>
        <w:ind w:right="228"/>
        <w:rPr>
          <w:rFonts w:asciiTheme="minorEastAsia" w:hAnsiTheme="minorEastAsia" w:eastAsiaTheme="minorEastAsia"/>
          <w:lang w:eastAsia="zh-CN"/>
        </w:rPr>
      </w:pPr>
      <w:r>
        <w:rPr>
          <w:rFonts w:asciiTheme="minorEastAsia" w:hAnsiTheme="minorEastAsia" w:eastAsiaTheme="minorEastAsia"/>
          <w:spacing w:val="-2"/>
          <w:lang w:eastAsia="zh-CN"/>
        </w:rPr>
        <w:t>1</w:t>
      </w:r>
      <w:r>
        <w:rPr>
          <w:rFonts w:asciiTheme="minorEastAsia" w:hAnsiTheme="minorEastAsia" w:eastAsiaTheme="minorEastAsia"/>
          <w:spacing w:val="-34"/>
          <w:lang w:eastAsia="zh-CN"/>
        </w:rPr>
        <w:t>、</w:t>
      </w:r>
      <w:r>
        <w:rPr>
          <w:rFonts w:asciiTheme="minorEastAsia" w:hAnsiTheme="minorEastAsia" w:eastAsiaTheme="minorEastAsia"/>
          <w:lang w:eastAsia="zh-CN"/>
        </w:rPr>
        <w:t>供应商按照本部分的顺序编制响</w:t>
      </w:r>
      <w:r>
        <w:rPr>
          <w:rFonts w:asciiTheme="minorEastAsia" w:hAnsiTheme="minorEastAsia" w:eastAsiaTheme="minorEastAsia"/>
          <w:spacing w:val="2"/>
          <w:lang w:eastAsia="zh-CN"/>
        </w:rPr>
        <w:t>应</w:t>
      </w:r>
      <w:r>
        <w:rPr>
          <w:rFonts w:asciiTheme="minorEastAsia" w:hAnsiTheme="minorEastAsia" w:eastAsiaTheme="minorEastAsia"/>
          <w:lang w:eastAsia="zh-CN"/>
        </w:rPr>
        <w:t>文件</w:t>
      </w:r>
      <w:r>
        <w:rPr>
          <w:rFonts w:asciiTheme="minorEastAsia" w:hAnsiTheme="minorEastAsia" w:eastAsiaTheme="minorEastAsia"/>
          <w:spacing w:val="-36"/>
          <w:lang w:eastAsia="zh-CN"/>
        </w:rPr>
        <w:t>，</w:t>
      </w:r>
      <w:r>
        <w:rPr>
          <w:rFonts w:asciiTheme="minorEastAsia" w:hAnsiTheme="minorEastAsia" w:eastAsiaTheme="minorEastAsia"/>
          <w:lang w:eastAsia="zh-CN"/>
        </w:rPr>
        <w:t>编制中涉及格式资料</w:t>
      </w:r>
      <w:r>
        <w:rPr>
          <w:rFonts w:asciiTheme="minorEastAsia" w:hAnsiTheme="minorEastAsia" w:eastAsiaTheme="minorEastAsia"/>
          <w:spacing w:val="2"/>
          <w:lang w:eastAsia="zh-CN"/>
        </w:rPr>
        <w:t>的</w:t>
      </w:r>
      <w:r>
        <w:rPr>
          <w:rFonts w:asciiTheme="minorEastAsia" w:hAnsiTheme="minorEastAsia" w:eastAsiaTheme="minorEastAsia"/>
          <w:spacing w:val="-34"/>
          <w:lang w:eastAsia="zh-CN"/>
        </w:rPr>
        <w:t>，</w:t>
      </w:r>
      <w:r>
        <w:rPr>
          <w:rFonts w:asciiTheme="minorEastAsia" w:hAnsiTheme="minorEastAsia" w:eastAsiaTheme="minorEastAsia"/>
          <w:lang w:eastAsia="zh-CN"/>
        </w:rPr>
        <w:t>应按照本部分提供的内容和格式（所有表格的格式可扩展）填写提交。</w:t>
      </w:r>
    </w:p>
    <w:p>
      <w:pPr>
        <w:pStyle w:val="12"/>
        <w:spacing w:before="50" w:line="348" w:lineRule="auto"/>
        <w:ind w:right="106"/>
        <w:rPr>
          <w:rFonts w:asciiTheme="minorEastAsia" w:hAnsiTheme="minorEastAsia" w:eastAsiaTheme="minorEastAsia"/>
          <w:lang w:eastAsia="zh-CN"/>
        </w:rPr>
      </w:pPr>
      <w:r>
        <w:rPr>
          <w:rFonts w:asciiTheme="minorEastAsia" w:hAnsiTheme="minorEastAsia" w:eastAsiaTheme="minorEastAsia"/>
          <w:spacing w:val="-2"/>
          <w:lang w:eastAsia="zh-CN"/>
        </w:rPr>
        <w:t>2</w:t>
      </w:r>
      <w:r>
        <w:rPr>
          <w:rFonts w:asciiTheme="minorEastAsia" w:hAnsiTheme="minorEastAsia" w:eastAsiaTheme="minorEastAsia"/>
          <w:spacing w:val="-56"/>
          <w:lang w:eastAsia="zh-CN"/>
        </w:rPr>
        <w:t>、</w:t>
      </w:r>
      <w:r>
        <w:rPr>
          <w:rFonts w:asciiTheme="minorEastAsia" w:hAnsiTheme="minorEastAsia" w:eastAsiaTheme="minorEastAsia"/>
          <w:lang w:eastAsia="zh-CN"/>
        </w:rPr>
        <w:t>对于竞争性磋商文件中标记</w:t>
      </w:r>
      <w:r>
        <w:rPr>
          <w:rFonts w:asciiTheme="minorEastAsia" w:hAnsiTheme="minorEastAsia" w:eastAsiaTheme="minorEastAsia"/>
          <w:spacing w:val="-1"/>
          <w:lang w:eastAsia="zh-CN"/>
        </w:rPr>
        <w:t>了</w:t>
      </w:r>
      <w:r>
        <w:rPr>
          <w:rFonts w:asciiTheme="minorEastAsia" w:hAnsiTheme="minorEastAsia" w:eastAsiaTheme="minorEastAsia"/>
          <w:w w:val="112"/>
          <w:lang w:eastAsia="zh-CN"/>
        </w:rPr>
        <w:t>“</w:t>
      </w:r>
      <w:r>
        <w:rPr>
          <w:rFonts w:asciiTheme="minorEastAsia" w:hAnsiTheme="minorEastAsia" w:eastAsiaTheme="minorEastAsia"/>
          <w:lang w:eastAsia="zh-CN"/>
        </w:rPr>
        <w:t>实质性格</w:t>
      </w:r>
      <w:r>
        <w:rPr>
          <w:rFonts w:asciiTheme="minorEastAsia" w:hAnsiTheme="minorEastAsia" w:eastAsiaTheme="minorEastAsia"/>
          <w:spacing w:val="-1"/>
          <w:lang w:eastAsia="zh-CN"/>
        </w:rPr>
        <w:t>式</w:t>
      </w:r>
      <w:r>
        <w:rPr>
          <w:rFonts w:asciiTheme="minorEastAsia" w:hAnsiTheme="minorEastAsia" w:eastAsiaTheme="minorEastAsia"/>
          <w:w w:val="112"/>
          <w:lang w:eastAsia="zh-CN"/>
        </w:rPr>
        <w:t>”</w:t>
      </w:r>
      <w:r>
        <w:rPr>
          <w:rFonts w:asciiTheme="minorEastAsia" w:hAnsiTheme="minorEastAsia" w:eastAsiaTheme="minorEastAsia"/>
          <w:lang w:eastAsia="zh-CN"/>
        </w:rPr>
        <w:t>文件的</w:t>
      </w:r>
      <w:r>
        <w:rPr>
          <w:rFonts w:asciiTheme="minorEastAsia" w:hAnsiTheme="minorEastAsia" w:eastAsiaTheme="minorEastAsia"/>
          <w:spacing w:val="-56"/>
          <w:lang w:eastAsia="zh-CN"/>
        </w:rPr>
        <w:t>，</w:t>
      </w:r>
      <w:r>
        <w:rPr>
          <w:rFonts w:asciiTheme="minorEastAsia" w:hAnsiTheme="minorEastAsia" w:eastAsiaTheme="minorEastAsia"/>
          <w:lang w:eastAsia="zh-CN"/>
        </w:rPr>
        <w:t>供应商不得改变格式中给定的</w:t>
      </w:r>
      <w:r>
        <w:rPr>
          <w:rFonts w:asciiTheme="minorEastAsia" w:hAnsiTheme="minorEastAsia" w:eastAsiaTheme="minorEastAsia"/>
          <w:spacing w:val="2"/>
          <w:lang w:eastAsia="zh-CN"/>
        </w:rPr>
        <w:t>文</w:t>
      </w:r>
      <w:r>
        <w:rPr>
          <w:rFonts w:asciiTheme="minorEastAsia" w:hAnsiTheme="minorEastAsia" w:eastAsiaTheme="minorEastAsia"/>
          <w:lang w:eastAsia="zh-CN"/>
        </w:rPr>
        <w:t>字</w:t>
      </w:r>
      <w:r>
        <w:rPr>
          <w:rFonts w:asciiTheme="minorEastAsia" w:hAnsiTheme="minorEastAsia" w:eastAsiaTheme="minorEastAsia"/>
          <w:spacing w:val="2"/>
          <w:lang w:eastAsia="zh-CN"/>
        </w:rPr>
        <w:t>所</w:t>
      </w:r>
      <w:r>
        <w:rPr>
          <w:rFonts w:asciiTheme="minorEastAsia" w:hAnsiTheme="minorEastAsia" w:eastAsiaTheme="minorEastAsia"/>
          <w:lang w:eastAsia="zh-CN"/>
        </w:rPr>
        <w:t>表</w:t>
      </w:r>
      <w:r>
        <w:rPr>
          <w:rFonts w:asciiTheme="minorEastAsia" w:hAnsiTheme="minorEastAsia" w:eastAsiaTheme="minorEastAsia"/>
          <w:spacing w:val="2"/>
          <w:lang w:eastAsia="zh-CN"/>
        </w:rPr>
        <w:t>达</w:t>
      </w:r>
      <w:r>
        <w:rPr>
          <w:rFonts w:asciiTheme="minorEastAsia" w:hAnsiTheme="minorEastAsia" w:eastAsiaTheme="minorEastAsia"/>
          <w:lang w:eastAsia="zh-CN"/>
        </w:rPr>
        <w:t>的</w:t>
      </w:r>
      <w:r>
        <w:rPr>
          <w:rFonts w:asciiTheme="minorEastAsia" w:hAnsiTheme="minorEastAsia" w:eastAsiaTheme="minorEastAsia"/>
          <w:spacing w:val="2"/>
          <w:lang w:eastAsia="zh-CN"/>
        </w:rPr>
        <w:t>含义</w:t>
      </w:r>
      <w:r>
        <w:rPr>
          <w:rFonts w:asciiTheme="minorEastAsia" w:hAnsiTheme="minorEastAsia" w:eastAsiaTheme="minorEastAsia"/>
          <w:lang w:eastAsia="zh-CN"/>
        </w:rPr>
        <w:t>，</w:t>
      </w:r>
      <w:r>
        <w:rPr>
          <w:rFonts w:asciiTheme="minorEastAsia" w:hAnsiTheme="minorEastAsia" w:eastAsiaTheme="minorEastAsia"/>
          <w:spacing w:val="2"/>
          <w:lang w:eastAsia="zh-CN"/>
        </w:rPr>
        <w:t>不</w:t>
      </w:r>
      <w:r>
        <w:rPr>
          <w:rFonts w:asciiTheme="minorEastAsia" w:hAnsiTheme="minorEastAsia" w:eastAsiaTheme="minorEastAsia"/>
          <w:lang w:eastAsia="zh-CN"/>
        </w:rPr>
        <w:t>得</w:t>
      </w:r>
      <w:r>
        <w:rPr>
          <w:rFonts w:asciiTheme="minorEastAsia" w:hAnsiTheme="minorEastAsia" w:eastAsiaTheme="minorEastAsia"/>
          <w:spacing w:val="2"/>
          <w:lang w:eastAsia="zh-CN"/>
        </w:rPr>
        <w:t>删减</w:t>
      </w:r>
      <w:r>
        <w:rPr>
          <w:rFonts w:asciiTheme="minorEastAsia" w:hAnsiTheme="minorEastAsia" w:eastAsiaTheme="minorEastAsia"/>
          <w:lang w:eastAsia="zh-CN"/>
        </w:rPr>
        <w:t>格</w:t>
      </w:r>
      <w:r>
        <w:rPr>
          <w:rFonts w:asciiTheme="minorEastAsia" w:hAnsiTheme="minorEastAsia" w:eastAsiaTheme="minorEastAsia"/>
          <w:spacing w:val="2"/>
          <w:lang w:eastAsia="zh-CN"/>
        </w:rPr>
        <w:t>式</w:t>
      </w:r>
      <w:r>
        <w:rPr>
          <w:rFonts w:asciiTheme="minorEastAsia" w:hAnsiTheme="minorEastAsia" w:eastAsiaTheme="minorEastAsia"/>
          <w:lang w:eastAsia="zh-CN"/>
        </w:rPr>
        <w:t>中</w:t>
      </w:r>
      <w:r>
        <w:rPr>
          <w:rFonts w:asciiTheme="minorEastAsia" w:hAnsiTheme="minorEastAsia" w:eastAsiaTheme="minorEastAsia"/>
          <w:spacing w:val="2"/>
          <w:lang w:eastAsia="zh-CN"/>
        </w:rPr>
        <w:t>的</w:t>
      </w:r>
      <w:r>
        <w:rPr>
          <w:rFonts w:asciiTheme="minorEastAsia" w:hAnsiTheme="minorEastAsia" w:eastAsiaTheme="minorEastAsia"/>
          <w:lang w:eastAsia="zh-CN"/>
        </w:rPr>
        <w:t>实</w:t>
      </w:r>
      <w:r>
        <w:rPr>
          <w:rFonts w:asciiTheme="minorEastAsia" w:hAnsiTheme="minorEastAsia" w:eastAsiaTheme="minorEastAsia"/>
          <w:spacing w:val="2"/>
          <w:lang w:eastAsia="zh-CN"/>
        </w:rPr>
        <w:t>质性</w:t>
      </w:r>
      <w:r>
        <w:rPr>
          <w:rFonts w:asciiTheme="minorEastAsia" w:hAnsiTheme="minorEastAsia" w:eastAsiaTheme="minorEastAsia"/>
          <w:lang w:eastAsia="zh-CN"/>
        </w:rPr>
        <w:t>内</w:t>
      </w:r>
      <w:r>
        <w:rPr>
          <w:rFonts w:asciiTheme="minorEastAsia" w:hAnsiTheme="minorEastAsia" w:eastAsiaTheme="minorEastAsia"/>
          <w:spacing w:val="2"/>
          <w:lang w:eastAsia="zh-CN"/>
        </w:rPr>
        <w:t>容</w:t>
      </w:r>
      <w:r>
        <w:rPr>
          <w:rFonts w:asciiTheme="minorEastAsia" w:hAnsiTheme="minorEastAsia" w:eastAsiaTheme="minorEastAsia"/>
          <w:lang w:eastAsia="zh-CN"/>
        </w:rPr>
        <w:t>，</w:t>
      </w:r>
      <w:r>
        <w:rPr>
          <w:rFonts w:asciiTheme="minorEastAsia" w:hAnsiTheme="minorEastAsia" w:eastAsiaTheme="minorEastAsia"/>
          <w:spacing w:val="2"/>
          <w:lang w:eastAsia="zh-CN"/>
        </w:rPr>
        <w:t>不</w:t>
      </w:r>
      <w:r>
        <w:rPr>
          <w:rFonts w:asciiTheme="minorEastAsia" w:hAnsiTheme="minorEastAsia" w:eastAsiaTheme="minorEastAsia"/>
          <w:lang w:eastAsia="zh-CN"/>
        </w:rPr>
        <w:t>得</w:t>
      </w:r>
      <w:r>
        <w:rPr>
          <w:rFonts w:asciiTheme="minorEastAsia" w:hAnsiTheme="minorEastAsia" w:eastAsiaTheme="minorEastAsia"/>
          <w:spacing w:val="2"/>
          <w:lang w:eastAsia="zh-CN"/>
        </w:rPr>
        <w:t>自行</w:t>
      </w:r>
      <w:r>
        <w:rPr>
          <w:rFonts w:asciiTheme="minorEastAsia" w:hAnsiTheme="minorEastAsia" w:eastAsiaTheme="minorEastAsia"/>
          <w:lang w:eastAsia="zh-CN"/>
        </w:rPr>
        <w:t>添</w:t>
      </w:r>
      <w:r>
        <w:rPr>
          <w:rFonts w:asciiTheme="minorEastAsia" w:hAnsiTheme="minorEastAsia" w:eastAsiaTheme="minorEastAsia"/>
          <w:spacing w:val="2"/>
          <w:lang w:eastAsia="zh-CN"/>
        </w:rPr>
        <w:t>加</w:t>
      </w:r>
      <w:r>
        <w:rPr>
          <w:rFonts w:asciiTheme="minorEastAsia" w:hAnsiTheme="minorEastAsia" w:eastAsiaTheme="minorEastAsia"/>
          <w:lang w:eastAsia="zh-CN"/>
        </w:rPr>
        <w:t>与</w:t>
      </w:r>
      <w:r>
        <w:rPr>
          <w:rFonts w:asciiTheme="minorEastAsia" w:hAnsiTheme="minorEastAsia" w:eastAsiaTheme="minorEastAsia"/>
          <w:spacing w:val="2"/>
          <w:lang w:eastAsia="zh-CN"/>
        </w:rPr>
        <w:t>格式</w:t>
      </w:r>
      <w:r>
        <w:rPr>
          <w:rFonts w:asciiTheme="minorEastAsia" w:hAnsiTheme="minorEastAsia" w:eastAsiaTheme="minorEastAsia"/>
          <w:lang w:eastAsia="zh-CN"/>
        </w:rPr>
        <w:t>中</w:t>
      </w:r>
      <w:r>
        <w:rPr>
          <w:rFonts w:asciiTheme="minorEastAsia" w:hAnsiTheme="minorEastAsia" w:eastAsiaTheme="minorEastAsia"/>
          <w:spacing w:val="2"/>
          <w:lang w:eastAsia="zh-CN"/>
        </w:rPr>
        <w:t>给</w:t>
      </w:r>
      <w:r>
        <w:rPr>
          <w:rFonts w:asciiTheme="minorEastAsia" w:hAnsiTheme="minorEastAsia" w:eastAsiaTheme="minorEastAsia"/>
          <w:lang w:eastAsia="zh-CN"/>
        </w:rPr>
        <w:t>定</w:t>
      </w:r>
      <w:r>
        <w:rPr>
          <w:rFonts w:asciiTheme="minorEastAsia" w:hAnsiTheme="minorEastAsia" w:eastAsiaTheme="minorEastAsia"/>
          <w:spacing w:val="2"/>
          <w:lang w:eastAsia="zh-CN"/>
        </w:rPr>
        <w:t>的</w:t>
      </w:r>
      <w:r>
        <w:rPr>
          <w:rFonts w:asciiTheme="minorEastAsia" w:hAnsiTheme="minorEastAsia" w:eastAsiaTheme="minorEastAsia"/>
          <w:lang w:eastAsia="zh-CN"/>
        </w:rPr>
        <w:t>文字内容相矛盾的</w:t>
      </w:r>
      <w:r>
        <w:rPr>
          <w:rFonts w:asciiTheme="minorEastAsia" w:hAnsiTheme="minorEastAsia" w:eastAsiaTheme="minorEastAsia"/>
          <w:spacing w:val="2"/>
          <w:lang w:eastAsia="zh-CN"/>
        </w:rPr>
        <w:t>内</w:t>
      </w:r>
      <w:r>
        <w:rPr>
          <w:rFonts w:asciiTheme="minorEastAsia" w:hAnsiTheme="minorEastAsia" w:eastAsiaTheme="minorEastAsia"/>
          <w:spacing w:val="-3"/>
          <w:lang w:eastAsia="zh-CN"/>
        </w:rPr>
        <w:t>容</w:t>
      </w:r>
      <w:r>
        <w:rPr>
          <w:rFonts w:asciiTheme="minorEastAsia" w:hAnsiTheme="minorEastAsia" w:eastAsiaTheme="minorEastAsia"/>
          <w:spacing w:val="-39"/>
          <w:lang w:eastAsia="zh-CN"/>
        </w:rPr>
        <w:t>，</w:t>
      </w:r>
      <w:r>
        <w:rPr>
          <w:rFonts w:asciiTheme="minorEastAsia" w:hAnsiTheme="minorEastAsia" w:eastAsiaTheme="minorEastAsia"/>
          <w:lang w:eastAsia="zh-CN"/>
        </w:rPr>
        <w:t>不得对应当填写</w:t>
      </w:r>
      <w:r>
        <w:rPr>
          <w:rFonts w:asciiTheme="minorEastAsia" w:hAnsiTheme="minorEastAsia" w:eastAsiaTheme="minorEastAsia"/>
          <w:spacing w:val="2"/>
          <w:lang w:eastAsia="zh-CN"/>
        </w:rPr>
        <w:t>的</w:t>
      </w:r>
      <w:r>
        <w:rPr>
          <w:rFonts w:asciiTheme="minorEastAsia" w:hAnsiTheme="minorEastAsia" w:eastAsiaTheme="minorEastAsia"/>
          <w:lang w:eastAsia="zh-CN"/>
        </w:rPr>
        <w:t>空格不填写或不实质性响</w:t>
      </w:r>
      <w:r>
        <w:rPr>
          <w:rFonts w:asciiTheme="minorEastAsia" w:hAnsiTheme="minorEastAsia" w:eastAsiaTheme="minorEastAsia"/>
          <w:spacing w:val="2"/>
          <w:lang w:eastAsia="zh-CN"/>
        </w:rPr>
        <w:t>应</w:t>
      </w:r>
      <w:r>
        <w:rPr>
          <w:rFonts w:asciiTheme="minorEastAsia" w:hAnsiTheme="minorEastAsia" w:eastAsiaTheme="minorEastAsia"/>
          <w:spacing w:val="-40"/>
          <w:lang w:eastAsia="zh-CN"/>
        </w:rPr>
        <w:t>，</w:t>
      </w:r>
      <w:r>
        <w:rPr>
          <w:rFonts w:asciiTheme="minorEastAsia" w:hAnsiTheme="minorEastAsia" w:eastAsiaTheme="minorEastAsia"/>
          <w:lang w:eastAsia="zh-CN"/>
        </w:rPr>
        <w:t>否</w:t>
      </w:r>
      <w:r>
        <w:rPr>
          <w:rFonts w:asciiTheme="minorEastAsia" w:hAnsiTheme="minorEastAsia" w:eastAsiaTheme="minorEastAsia"/>
          <w:spacing w:val="2"/>
          <w:lang w:eastAsia="zh-CN"/>
        </w:rPr>
        <w:t>则</w:t>
      </w:r>
      <w:r>
        <w:rPr>
          <w:rFonts w:asciiTheme="minorEastAsia" w:hAnsiTheme="minorEastAsia" w:eastAsiaTheme="minorEastAsia"/>
          <w:lang w:eastAsia="zh-CN"/>
        </w:rPr>
        <w:t>响</w:t>
      </w:r>
      <w:r>
        <w:rPr>
          <w:rFonts w:asciiTheme="minorEastAsia" w:hAnsiTheme="minorEastAsia" w:eastAsiaTheme="minorEastAsia"/>
          <w:spacing w:val="2"/>
          <w:lang w:eastAsia="zh-CN"/>
        </w:rPr>
        <w:t>应</w:t>
      </w:r>
      <w:r>
        <w:rPr>
          <w:rFonts w:asciiTheme="minorEastAsia" w:hAnsiTheme="minorEastAsia" w:eastAsiaTheme="minorEastAsia"/>
          <w:lang w:eastAsia="zh-CN"/>
        </w:rPr>
        <w:t>无</w:t>
      </w:r>
      <w:r>
        <w:rPr>
          <w:rFonts w:asciiTheme="minorEastAsia" w:hAnsiTheme="minorEastAsia" w:eastAsiaTheme="minorEastAsia"/>
          <w:spacing w:val="2"/>
          <w:lang w:eastAsia="zh-CN"/>
        </w:rPr>
        <w:t>效</w:t>
      </w:r>
      <w:r>
        <w:rPr>
          <w:rFonts w:asciiTheme="minorEastAsia" w:hAnsiTheme="minorEastAsia" w:eastAsiaTheme="minorEastAsia"/>
          <w:lang w:eastAsia="zh-CN"/>
        </w:rPr>
        <w:t>。未</w:t>
      </w:r>
      <w:r>
        <w:rPr>
          <w:rFonts w:asciiTheme="minorEastAsia" w:hAnsiTheme="minorEastAsia" w:eastAsiaTheme="minorEastAsia"/>
          <w:spacing w:val="2"/>
          <w:lang w:eastAsia="zh-CN"/>
        </w:rPr>
        <w:t>标</w:t>
      </w:r>
      <w:r>
        <w:rPr>
          <w:rFonts w:asciiTheme="minorEastAsia" w:hAnsiTheme="minorEastAsia" w:eastAsiaTheme="minorEastAsia"/>
          <w:spacing w:val="-1"/>
          <w:lang w:eastAsia="zh-CN"/>
        </w:rPr>
        <w:t>记</w:t>
      </w:r>
      <w:r>
        <w:rPr>
          <w:rFonts w:asciiTheme="minorEastAsia" w:hAnsiTheme="minorEastAsia" w:eastAsiaTheme="minorEastAsia"/>
          <w:w w:val="112"/>
          <w:lang w:eastAsia="zh-CN"/>
        </w:rPr>
        <w:t>“</w:t>
      </w:r>
      <w:r>
        <w:rPr>
          <w:rFonts w:asciiTheme="minorEastAsia" w:hAnsiTheme="minorEastAsia" w:eastAsiaTheme="minorEastAsia"/>
          <w:lang w:eastAsia="zh-CN"/>
        </w:rPr>
        <w:t>实</w:t>
      </w:r>
      <w:r>
        <w:rPr>
          <w:rFonts w:asciiTheme="minorEastAsia" w:hAnsiTheme="minorEastAsia" w:eastAsiaTheme="minorEastAsia"/>
          <w:spacing w:val="2"/>
          <w:lang w:eastAsia="zh-CN"/>
        </w:rPr>
        <w:t>质</w:t>
      </w:r>
      <w:r>
        <w:rPr>
          <w:rFonts w:asciiTheme="minorEastAsia" w:hAnsiTheme="minorEastAsia" w:eastAsiaTheme="minorEastAsia"/>
          <w:lang w:eastAsia="zh-CN"/>
        </w:rPr>
        <w:t>性</w:t>
      </w:r>
      <w:r>
        <w:rPr>
          <w:rFonts w:asciiTheme="minorEastAsia" w:hAnsiTheme="minorEastAsia" w:eastAsiaTheme="minorEastAsia"/>
          <w:spacing w:val="2"/>
          <w:lang w:eastAsia="zh-CN"/>
        </w:rPr>
        <w:t>格式</w:t>
      </w:r>
      <w:r>
        <w:rPr>
          <w:rFonts w:asciiTheme="minorEastAsia" w:hAnsiTheme="minorEastAsia" w:eastAsiaTheme="minorEastAsia"/>
          <w:w w:val="112"/>
          <w:lang w:eastAsia="zh-CN"/>
        </w:rPr>
        <w:t>”</w:t>
      </w:r>
      <w:r>
        <w:rPr>
          <w:rFonts w:asciiTheme="minorEastAsia" w:hAnsiTheme="minorEastAsia" w:eastAsiaTheme="minorEastAsia"/>
          <w:lang w:eastAsia="zh-CN"/>
        </w:rPr>
        <w:t>的</w:t>
      </w:r>
      <w:r>
        <w:rPr>
          <w:rFonts w:asciiTheme="minorEastAsia" w:hAnsiTheme="minorEastAsia" w:eastAsiaTheme="minorEastAsia"/>
          <w:spacing w:val="2"/>
          <w:lang w:eastAsia="zh-CN"/>
        </w:rPr>
        <w:t>文</w:t>
      </w:r>
      <w:r>
        <w:rPr>
          <w:rFonts w:asciiTheme="minorEastAsia" w:hAnsiTheme="minorEastAsia" w:eastAsiaTheme="minorEastAsia"/>
          <w:lang w:eastAsia="zh-CN"/>
        </w:rPr>
        <w:t>件</w:t>
      </w:r>
      <w:r>
        <w:rPr>
          <w:rFonts w:asciiTheme="minorEastAsia" w:hAnsiTheme="minorEastAsia" w:eastAsiaTheme="minorEastAsia"/>
          <w:spacing w:val="2"/>
          <w:lang w:eastAsia="zh-CN"/>
        </w:rPr>
        <w:t>和</w:t>
      </w:r>
      <w:r>
        <w:rPr>
          <w:rFonts w:asciiTheme="minorEastAsia" w:hAnsiTheme="minorEastAsia" w:eastAsiaTheme="minorEastAsia"/>
          <w:lang w:eastAsia="zh-CN"/>
        </w:rPr>
        <w:t>竞</w:t>
      </w:r>
      <w:r>
        <w:rPr>
          <w:rFonts w:asciiTheme="minorEastAsia" w:hAnsiTheme="minorEastAsia" w:eastAsiaTheme="minorEastAsia"/>
          <w:spacing w:val="2"/>
          <w:lang w:eastAsia="zh-CN"/>
        </w:rPr>
        <w:t>争</w:t>
      </w:r>
      <w:r>
        <w:rPr>
          <w:rFonts w:asciiTheme="minorEastAsia" w:hAnsiTheme="minorEastAsia" w:eastAsiaTheme="minorEastAsia"/>
          <w:lang w:eastAsia="zh-CN"/>
        </w:rPr>
        <w:t>性</w:t>
      </w:r>
      <w:r>
        <w:rPr>
          <w:rFonts w:asciiTheme="minorEastAsia" w:hAnsiTheme="minorEastAsia" w:eastAsiaTheme="minorEastAsia"/>
          <w:spacing w:val="2"/>
          <w:lang w:eastAsia="zh-CN"/>
        </w:rPr>
        <w:t>磋</w:t>
      </w:r>
      <w:r>
        <w:rPr>
          <w:rFonts w:asciiTheme="minorEastAsia" w:hAnsiTheme="minorEastAsia" w:eastAsiaTheme="minorEastAsia"/>
          <w:lang w:eastAsia="zh-CN"/>
        </w:rPr>
        <w:t>商</w:t>
      </w:r>
      <w:r>
        <w:rPr>
          <w:rFonts w:asciiTheme="minorEastAsia" w:hAnsiTheme="minorEastAsia" w:eastAsiaTheme="minorEastAsia"/>
          <w:spacing w:val="2"/>
          <w:lang w:eastAsia="zh-CN"/>
        </w:rPr>
        <w:t>文</w:t>
      </w:r>
      <w:r>
        <w:rPr>
          <w:rFonts w:asciiTheme="minorEastAsia" w:hAnsiTheme="minorEastAsia" w:eastAsiaTheme="minorEastAsia"/>
          <w:lang w:eastAsia="zh-CN"/>
        </w:rPr>
        <w:t>件</w:t>
      </w:r>
      <w:r>
        <w:rPr>
          <w:rFonts w:asciiTheme="minorEastAsia" w:hAnsiTheme="minorEastAsia" w:eastAsiaTheme="minorEastAsia"/>
          <w:spacing w:val="2"/>
          <w:lang w:eastAsia="zh-CN"/>
        </w:rPr>
        <w:t>未</w:t>
      </w:r>
      <w:r>
        <w:rPr>
          <w:rFonts w:asciiTheme="minorEastAsia" w:hAnsiTheme="minorEastAsia" w:eastAsiaTheme="minorEastAsia"/>
          <w:lang w:eastAsia="zh-CN"/>
        </w:rPr>
        <w:t>提</w:t>
      </w:r>
      <w:r>
        <w:rPr>
          <w:rFonts w:asciiTheme="minorEastAsia" w:hAnsiTheme="minorEastAsia" w:eastAsiaTheme="minorEastAsia"/>
          <w:spacing w:val="2"/>
          <w:lang w:eastAsia="zh-CN"/>
        </w:rPr>
        <w:t>供</w:t>
      </w:r>
      <w:r>
        <w:rPr>
          <w:rFonts w:asciiTheme="minorEastAsia" w:hAnsiTheme="minorEastAsia" w:eastAsiaTheme="minorEastAsia"/>
          <w:lang w:eastAsia="zh-CN"/>
        </w:rPr>
        <w:t>格</w:t>
      </w:r>
      <w:r>
        <w:rPr>
          <w:rFonts w:asciiTheme="minorEastAsia" w:hAnsiTheme="minorEastAsia" w:eastAsiaTheme="minorEastAsia"/>
          <w:spacing w:val="2"/>
          <w:lang w:eastAsia="zh-CN"/>
        </w:rPr>
        <w:t>式</w:t>
      </w:r>
      <w:r>
        <w:rPr>
          <w:rFonts w:asciiTheme="minorEastAsia" w:hAnsiTheme="minorEastAsia" w:eastAsiaTheme="minorEastAsia"/>
          <w:lang w:eastAsia="zh-CN"/>
        </w:rPr>
        <w:t>的</w:t>
      </w:r>
      <w:r>
        <w:rPr>
          <w:rFonts w:asciiTheme="minorEastAsia" w:hAnsiTheme="minorEastAsia" w:eastAsiaTheme="minorEastAsia"/>
          <w:spacing w:val="2"/>
          <w:lang w:eastAsia="zh-CN"/>
        </w:rPr>
        <w:t>内</w:t>
      </w:r>
      <w:r>
        <w:rPr>
          <w:rFonts w:asciiTheme="minorEastAsia" w:hAnsiTheme="minorEastAsia" w:eastAsiaTheme="minorEastAsia"/>
          <w:lang w:eastAsia="zh-CN"/>
        </w:rPr>
        <w:t>容，</w:t>
      </w:r>
      <w:r>
        <w:rPr>
          <w:rFonts w:asciiTheme="minorEastAsia" w:hAnsiTheme="minorEastAsia" w:eastAsiaTheme="minorEastAsia"/>
          <w:spacing w:val="2"/>
          <w:lang w:eastAsia="zh-CN"/>
        </w:rPr>
        <w:t>可</w:t>
      </w:r>
      <w:r>
        <w:rPr>
          <w:rFonts w:asciiTheme="minorEastAsia" w:hAnsiTheme="minorEastAsia" w:eastAsiaTheme="minorEastAsia"/>
          <w:lang w:eastAsia="zh-CN"/>
        </w:rPr>
        <w:t>由</w:t>
      </w:r>
      <w:r>
        <w:rPr>
          <w:rFonts w:asciiTheme="minorEastAsia" w:hAnsiTheme="minorEastAsia" w:eastAsiaTheme="minorEastAsia"/>
          <w:spacing w:val="2"/>
          <w:lang w:eastAsia="zh-CN"/>
        </w:rPr>
        <w:t>供</w:t>
      </w:r>
      <w:r>
        <w:rPr>
          <w:rFonts w:asciiTheme="minorEastAsia" w:hAnsiTheme="minorEastAsia" w:eastAsiaTheme="minorEastAsia"/>
          <w:lang w:eastAsia="zh-CN"/>
        </w:rPr>
        <w:t>应</w:t>
      </w:r>
      <w:r>
        <w:rPr>
          <w:rFonts w:asciiTheme="minorEastAsia" w:hAnsiTheme="minorEastAsia" w:eastAsiaTheme="minorEastAsia"/>
          <w:spacing w:val="2"/>
          <w:lang w:eastAsia="zh-CN"/>
        </w:rPr>
        <w:t>商</w:t>
      </w:r>
      <w:r>
        <w:rPr>
          <w:rFonts w:asciiTheme="minorEastAsia" w:hAnsiTheme="minorEastAsia" w:eastAsiaTheme="minorEastAsia"/>
          <w:lang w:eastAsia="zh-CN"/>
        </w:rPr>
        <w:t>自</w:t>
      </w:r>
      <w:r>
        <w:rPr>
          <w:rFonts w:asciiTheme="minorEastAsia" w:hAnsiTheme="minorEastAsia" w:eastAsiaTheme="minorEastAsia"/>
          <w:spacing w:val="2"/>
          <w:lang w:eastAsia="zh-CN"/>
        </w:rPr>
        <w:t>行</w:t>
      </w:r>
      <w:r>
        <w:rPr>
          <w:rFonts w:asciiTheme="minorEastAsia" w:hAnsiTheme="minorEastAsia" w:eastAsiaTheme="minorEastAsia"/>
          <w:lang w:eastAsia="zh-CN"/>
        </w:rPr>
        <w:t>编写。</w:t>
      </w:r>
    </w:p>
    <w:p>
      <w:pPr>
        <w:pStyle w:val="12"/>
        <w:spacing w:before="46"/>
        <w:rPr>
          <w:rFonts w:asciiTheme="minorEastAsia" w:hAnsiTheme="minorEastAsia" w:eastAsiaTheme="minorEastAsia"/>
          <w:lang w:eastAsia="zh-CN"/>
        </w:rPr>
      </w:pPr>
      <w:r>
        <w:rPr>
          <w:rFonts w:asciiTheme="minorEastAsia" w:hAnsiTheme="minorEastAsia" w:eastAsiaTheme="minorEastAsia"/>
          <w:lang w:eastAsia="zh-CN"/>
        </w:rPr>
        <w:t>3、全部声明和问题的回答及所附材料必须是真实的、准确的和完整的。</w:t>
      </w:r>
    </w:p>
    <w:p>
      <w:pPr>
        <w:widowControl/>
        <w:autoSpaceDE/>
        <w:autoSpaceDN/>
        <w:rPr>
          <w:rFonts w:asciiTheme="minorEastAsia" w:hAnsiTheme="minorEastAsia" w:eastAsiaTheme="minorEastAsia"/>
          <w:sz w:val="24"/>
          <w:szCs w:val="24"/>
          <w:lang w:eastAsia="zh-CN"/>
        </w:rPr>
      </w:pPr>
      <w:r>
        <w:rPr>
          <w:rFonts w:asciiTheme="minorEastAsia" w:hAnsiTheme="minorEastAsia" w:eastAsiaTheme="minorEastAsia"/>
          <w:lang w:eastAsia="zh-CN"/>
        </w:rPr>
        <w:br w:type="page"/>
      </w:r>
    </w:p>
    <w:p>
      <w:pPr>
        <w:rPr>
          <w:rFonts w:asciiTheme="minorEastAsia" w:hAnsiTheme="minorEastAsia" w:eastAsiaTheme="minorEastAsia"/>
          <w:lang w:eastAsia="zh-CN"/>
        </w:rPr>
        <w:sectPr>
          <w:pgSz w:w="11910" w:h="16840"/>
          <w:pgMar w:top="1440" w:right="1797" w:bottom="1440" w:left="1797" w:header="879" w:footer="892" w:gutter="0"/>
          <w:cols w:space="720" w:num="1"/>
        </w:sectPr>
      </w:pPr>
    </w:p>
    <w:p>
      <w:pPr>
        <w:pStyle w:val="12"/>
        <w:spacing w:before="26"/>
        <w:ind w:left="9" w:right="94"/>
        <w:rPr>
          <w:rFonts w:asciiTheme="minorEastAsia" w:hAnsiTheme="minorEastAsia" w:eastAsiaTheme="minorEastAsia"/>
          <w:b/>
          <w:lang w:eastAsia="zh-CN"/>
        </w:rPr>
      </w:pPr>
      <w:r>
        <w:rPr>
          <w:rFonts w:asciiTheme="minorEastAsia" w:hAnsiTheme="minorEastAsia" w:eastAsiaTheme="minorEastAsia"/>
          <w:b/>
          <w:lang w:eastAsia="zh-CN"/>
        </w:rPr>
        <w:t>响应文件封面（非实质性格式）</w:t>
      </w:r>
    </w:p>
    <w:p>
      <w:pPr>
        <w:spacing w:before="146"/>
        <w:jc w:val="center"/>
        <w:rPr>
          <w:rFonts w:asciiTheme="minorEastAsia" w:hAnsiTheme="minorEastAsia" w:eastAsiaTheme="minorEastAsia"/>
          <w:sz w:val="84"/>
          <w:szCs w:val="84"/>
          <w:lang w:eastAsia="zh-CN"/>
        </w:rPr>
      </w:pPr>
      <w:r>
        <w:rPr>
          <w:rFonts w:asciiTheme="minorEastAsia" w:hAnsiTheme="minorEastAsia" w:eastAsiaTheme="minorEastAsia"/>
          <w:sz w:val="84"/>
          <w:szCs w:val="84"/>
          <w:lang w:eastAsia="zh-CN"/>
        </w:rPr>
        <w:t>响应文件</w:t>
      </w:r>
    </w:p>
    <w:p>
      <w:pPr>
        <w:pStyle w:val="12"/>
        <w:spacing w:before="10"/>
        <w:rPr>
          <w:rFonts w:asciiTheme="minorEastAsia" w:hAnsiTheme="minorEastAsia" w:eastAsiaTheme="minorEastAsia"/>
          <w:sz w:val="108"/>
          <w:lang w:eastAsia="zh-CN"/>
        </w:rPr>
      </w:pPr>
    </w:p>
    <w:p>
      <w:pPr>
        <w:rPr>
          <w:b/>
          <w:sz w:val="28"/>
          <w:szCs w:val="28"/>
          <w:lang w:eastAsia="zh-CN"/>
        </w:rPr>
      </w:pPr>
      <w:r>
        <w:rPr>
          <w:b/>
          <w:sz w:val="28"/>
          <w:szCs w:val="28"/>
          <w:lang w:eastAsia="zh-CN"/>
        </w:rPr>
        <w:t>项目名称:</w:t>
      </w:r>
    </w:p>
    <w:p>
      <w:pPr>
        <w:rPr>
          <w:b/>
          <w:sz w:val="28"/>
          <w:szCs w:val="28"/>
          <w:lang w:eastAsia="zh-CN"/>
        </w:rPr>
      </w:pPr>
    </w:p>
    <w:p>
      <w:pPr>
        <w:rPr>
          <w:b/>
          <w:sz w:val="28"/>
          <w:szCs w:val="28"/>
          <w:lang w:eastAsia="zh-CN"/>
        </w:rPr>
      </w:pPr>
      <w:r>
        <w:rPr>
          <w:b/>
          <w:sz w:val="28"/>
          <w:szCs w:val="28"/>
          <w:lang w:eastAsia="zh-CN"/>
        </w:rPr>
        <w:t>项目编号/包号：</w:t>
      </w:r>
    </w:p>
    <w:p>
      <w:pPr>
        <w:rPr>
          <w:b/>
          <w:sz w:val="28"/>
          <w:szCs w:val="28"/>
          <w:lang w:eastAsia="zh-CN"/>
        </w:rPr>
      </w:pPr>
    </w:p>
    <w:p>
      <w:pPr>
        <w:rPr>
          <w:b/>
          <w:sz w:val="28"/>
          <w:szCs w:val="28"/>
          <w:lang w:eastAsia="zh-CN"/>
        </w:rPr>
      </w:pPr>
    </w:p>
    <w:p>
      <w:pPr>
        <w:rPr>
          <w:b/>
          <w:sz w:val="28"/>
          <w:szCs w:val="28"/>
          <w:lang w:eastAsia="zh-CN"/>
        </w:rPr>
      </w:pPr>
    </w:p>
    <w:p>
      <w:pPr>
        <w:rPr>
          <w:b/>
          <w:sz w:val="28"/>
          <w:szCs w:val="28"/>
          <w:lang w:eastAsia="zh-CN"/>
        </w:rPr>
      </w:pPr>
    </w:p>
    <w:p>
      <w:pPr>
        <w:rPr>
          <w:b/>
          <w:sz w:val="28"/>
          <w:szCs w:val="28"/>
          <w:lang w:eastAsia="zh-CN"/>
        </w:rPr>
      </w:pPr>
    </w:p>
    <w:p>
      <w:pPr>
        <w:rPr>
          <w:b/>
          <w:sz w:val="28"/>
          <w:szCs w:val="28"/>
          <w:lang w:eastAsia="zh-CN"/>
        </w:rPr>
      </w:pPr>
    </w:p>
    <w:p>
      <w:pPr>
        <w:ind w:firstLine="562" w:firstLineChars="200"/>
        <w:rPr>
          <w:b/>
          <w:sz w:val="28"/>
          <w:szCs w:val="28"/>
        </w:rPr>
      </w:pPr>
      <w:r>
        <w:rPr>
          <w:b/>
          <w:sz w:val="28"/>
          <w:szCs w:val="28"/>
        </w:rPr>
        <w:t>供应商名称：</w:t>
      </w:r>
    </w:p>
    <w:p>
      <w:pPr>
        <w:widowControl/>
        <w:autoSpaceDE/>
        <w:autoSpaceDN/>
        <w:rPr>
          <w:lang w:eastAsia="zh-CN"/>
        </w:rPr>
      </w:pPr>
      <w:r>
        <w:rPr>
          <w:lang w:eastAsia="zh-CN"/>
        </w:rPr>
        <w:br w:type="page"/>
      </w:r>
    </w:p>
    <w:p>
      <w:pPr>
        <w:pStyle w:val="6"/>
        <w:numPr>
          <w:ilvl w:val="0"/>
          <w:numId w:val="122"/>
        </w:numPr>
        <w:rPr>
          <w:i w:val="0"/>
          <w:lang w:eastAsia="zh-CN"/>
        </w:rPr>
      </w:pPr>
      <w:r>
        <w:rPr>
          <w:i w:val="0"/>
          <w:lang w:eastAsia="zh-CN"/>
        </w:rPr>
        <w:t>满足《中华人民共和国政府采购法》第二十二条规定</w:t>
      </w:r>
    </w:p>
    <w:p>
      <w:pPr>
        <w:pStyle w:val="7"/>
        <w:rPr>
          <w:sz w:val="24"/>
          <w:lang w:eastAsia="zh-CN"/>
        </w:rPr>
      </w:pPr>
      <w:r>
        <w:rPr>
          <w:rFonts w:hint="eastAsia"/>
          <w:sz w:val="24"/>
          <w:lang w:eastAsia="zh-CN"/>
        </w:rPr>
        <w:t xml:space="preserve">1-1 </w:t>
      </w:r>
      <w:r>
        <w:rPr>
          <w:sz w:val="24"/>
          <w:lang w:eastAsia="zh-CN"/>
        </w:rPr>
        <w:t>营业执照等证明文件</w:t>
      </w:r>
    </w:p>
    <w:p>
      <w:pPr>
        <w:widowControl/>
        <w:autoSpaceDE/>
        <w:autoSpaceDN/>
        <w:rPr>
          <w:rFonts w:asciiTheme="minorEastAsia" w:hAnsiTheme="minorEastAsia" w:eastAsiaTheme="minorEastAsia"/>
          <w:sz w:val="24"/>
          <w:lang w:eastAsia="zh-CN"/>
        </w:rPr>
      </w:pPr>
      <w:r>
        <w:rPr>
          <w:rFonts w:asciiTheme="minorEastAsia" w:hAnsiTheme="minorEastAsia" w:eastAsiaTheme="minorEastAsia"/>
          <w:sz w:val="24"/>
          <w:lang w:eastAsia="zh-CN"/>
        </w:rPr>
        <w:br w:type="page"/>
      </w:r>
    </w:p>
    <w:p>
      <w:pPr>
        <w:pStyle w:val="7"/>
        <w:rPr>
          <w:sz w:val="24"/>
          <w:lang w:eastAsia="zh-CN"/>
        </w:rPr>
      </w:pPr>
      <w:r>
        <w:rPr>
          <w:rFonts w:hint="eastAsia"/>
          <w:sz w:val="24"/>
          <w:lang w:eastAsia="zh-CN"/>
        </w:rPr>
        <w:t xml:space="preserve">1-2 </w:t>
      </w:r>
      <w:r>
        <w:rPr>
          <w:sz w:val="24"/>
          <w:lang w:eastAsia="zh-CN"/>
        </w:rPr>
        <w:t>供应商资格声明书</w:t>
      </w:r>
    </w:p>
    <w:p>
      <w:pPr>
        <w:ind w:left="121"/>
        <w:jc w:val="center"/>
        <w:rPr>
          <w:rFonts w:asciiTheme="minorEastAsia" w:hAnsiTheme="minorEastAsia" w:eastAsiaTheme="minorEastAsia"/>
          <w:b/>
          <w:sz w:val="36"/>
          <w:lang w:eastAsia="zh-CN"/>
        </w:rPr>
      </w:pPr>
      <w:r>
        <w:rPr>
          <w:rFonts w:asciiTheme="minorEastAsia" w:hAnsiTheme="minorEastAsia" w:eastAsiaTheme="minorEastAsia"/>
          <w:b/>
          <w:sz w:val="36"/>
          <w:lang w:eastAsia="zh-CN"/>
        </w:rPr>
        <w:t>供应商资格声明书</w:t>
      </w:r>
    </w:p>
    <w:p>
      <w:pPr>
        <w:pStyle w:val="12"/>
        <w:rPr>
          <w:rFonts w:asciiTheme="minorEastAsia" w:hAnsiTheme="minorEastAsia" w:eastAsiaTheme="minorEastAsia"/>
          <w:sz w:val="20"/>
          <w:lang w:eastAsia="zh-CN"/>
        </w:rPr>
      </w:pPr>
    </w:p>
    <w:p>
      <w:pPr>
        <w:pStyle w:val="12"/>
        <w:spacing w:before="173" w:line="360" w:lineRule="auto"/>
        <w:ind w:left="121"/>
        <w:rPr>
          <w:rFonts w:asciiTheme="minorEastAsia" w:hAnsiTheme="minorEastAsia" w:eastAsiaTheme="minorEastAsia"/>
          <w:lang w:eastAsia="zh-CN"/>
        </w:rPr>
      </w:pPr>
      <w:r>
        <w:rPr>
          <w:rFonts w:asciiTheme="minorEastAsia" w:hAnsiTheme="minorEastAsia" w:eastAsiaTheme="minorEastAsia"/>
          <w:lang w:eastAsia="zh-CN"/>
        </w:rPr>
        <w:t>致：</w:t>
      </w:r>
      <w:r>
        <w:rPr>
          <w:rFonts w:asciiTheme="minorEastAsia" w:hAnsiTheme="minorEastAsia" w:eastAsiaTheme="minorEastAsia"/>
          <w:u w:val="single"/>
          <w:lang w:eastAsia="zh-CN"/>
        </w:rPr>
        <w:t>采购人或采购代理机构</w:t>
      </w:r>
    </w:p>
    <w:p>
      <w:pPr>
        <w:pStyle w:val="12"/>
        <w:spacing w:before="154" w:line="360" w:lineRule="auto"/>
        <w:ind w:left="601"/>
        <w:rPr>
          <w:rFonts w:asciiTheme="minorEastAsia" w:hAnsiTheme="minorEastAsia" w:eastAsiaTheme="minorEastAsia"/>
          <w:lang w:eastAsia="zh-CN"/>
        </w:rPr>
      </w:pPr>
      <w:r>
        <w:rPr>
          <w:rFonts w:asciiTheme="minorEastAsia" w:hAnsiTheme="minorEastAsia" w:eastAsiaTheme="minorEastAsia"/>
          <w:lang w:eastAsia="zh-CN"/>
        </w:rPr>
        <w:t>在参与本次项目磋商中，我单位承诺：</w:t>
      </w:r>
    </w:p>
    <w:p>
      <w:pPr>
        <w:spacing w:line="360" w:lineRule="auto"/>
        <w:ind w:left="565" w:leftChars="257"/>
        <w:rPr>
          <w:sz w:val="24"/>
          <w:szCs w:val="24"/>
          <w:lang w:eastAsia="zh-CN"/>
        </w:rPr>
      </w:pPr>
      <w:r>
        <w:rPr>
          <w:sz w:val="24"/>
          <w:szCs w:val="24"/>
          <w:lang w:eastAsia="zh-CN"/>
        </w:rPr>
        <w:t>（一）具有良好的商业信誉和健全的财务会计制度；</w:t>
      </w:r>
    </w:p>
    <w:p>
      <w:pPr>
        <w:spacing w:line="360" w:lineRule="auto"/>
        <w:ind w:left="565" w:leftChars="257"/>
        <w:rPr>
          <w:sz w:val="24"/>
          <w:szCs w:val="24"/>
          <w:lang w:eastAsia="zh-CN"/>
        </w:rPr>
      </w:pPr>
      <w:r>
        <w:rPr>
          <w:sz w:val="24"/>
          <w:szCs w:val="24"/>
          <w:lang w:eastAsia="zh-CN"/>
        </w:rPr>
        <w:t>（二）具有履行合同所必需的设备和专业技术能力；</w:t>
      </w:r>
    </w:p>
    <w:p>
      <w:pPr>
        <w:spacing w:line="360" w:lineRule="auto"/>
        <w:ind w:left="565" w:leftChars="257"/>
        <w:rPr>
          <w:sz w:val="24"/>
          <w:szCs w:val="24"/>
          <w:lang w:eastAsia="zh-CN"/>
        </w:rPr>
      </w:pPr>
      <w:r>
        <w:rPr>
          <w:sz w:val="24"/>
          <w:szCs w:val="24"/>
          <w:lang w:eastAsia="zh-CN"/>
        </w:rPr>
        <w:t>（三）有依法缴纳税收和社会保障资金的良好记录；</w:t>
      </w:r>
    </w:p>
    <w:p>
      <w:pPr>
        <w:spacing w:line="360" w:lineRule="auto"/>
        <w:ind w:left="1276" w:leftChars="258" w:hanging="708" w:hangingChars="295"/>
        <w:rPr>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left="1276" w:leftChars="258" w:hanging="708" w:hangingChars="295"/>
        <w:rPr>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pPr>
        <w:spacing w:line="360" w:lineRule="auto"/>
        <w:ind w:left="1276" w:leftChars="258" w:hanging="708" w:hangingChars="295"/>
        <w:rPr>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pPr>
        <w:spacing w:line="360" w:lineRule="auto"/>
        <w:ind w:left="1276" w:leftChars="258" w:hanging="708" w:hangingChars="295"/>
        <w:rPr>
          <w:sz w:val="24"/>
          <w:szCs w:val="24"/>
          <w:lang w:eastAsia="zh-CN"/>
        </w:rPr>
      </w:pPr>
      <w:r>
        <w:rPr>
          <w:sz w:val="24"/>
          <w:szCs w:val="24"/>
          <w:lang w:eastAsia="zh-CN"/>
        </w:rPr>
        <w:t>（七）与我单位存在“单位负责人为同一人或者存在直接控股、管理关系”的其他法人单位信息如下（如有，不论其是否参加同一合同项下的政府采购活动均须填写）：</w:t>
      </w:r>
    </w:p>
    <w:p>
      <w:pPr>
        <w:pStyle w:val="12"/>
        <w:spacing w:before="7"/>
        <w:rPr>
          <w:rFonts w:asciiTheme="minorEastAsia" w:hAnsiTheme="minorEastAsia" w:eastAsiaTheme="minorEastAsia"/>
          <w:sz w:val="6"/>
          <w:lang w:eastAsia="zh-CN"/>
        </w:rPr>
      </w:pPr>
    </w:p>
    <w:tbl>
      <w:tblPr>
        <w:tblStyle w:val="28"/>
        <w:tblW w:w="0" w:type="auto"/>
        <w:tblInd w:w="4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exact"/>
        </w:trPr>
        <w:tc>
          <w:tcPr>
            <w:tcW w:w="950" w:type="dxa"/>
          </w:tcPr>
          <w:p>
            <w:pPr>
              <w:pStyle w:val="27"/>
              <w:spacing w:before="22"/>
              <w:ind w:left="210" w:right="210"/>
              <w:jc w:val="center"/>
              <w:rPr>
                <w:rFonts w:asciiTheme="minorEastAsia" w:hAnsiTheme="minorEastAsia" w:eastAsiaTheme="minorEastAsia"/>
                <w:sz w:val="24"/>
              </w:rPr>
            </w:pPr>
            <w:r>
              <w:rPr>
                <w:rFonts w:asciiTheme="minorEastAsia" w:hAnsiTheme="minorEastAsia" w:eastAsiaTheme="minorEastAsia"/>
                <w:sz w:val="24"/>
              </w:rPr>
              <w:t>序号</w:t>
            </w:r>
          </w:p>
        </w:tc>
        <w:tc>
          <w:tcPr>
            <w:tcW w:w="4574" w:type="dxa"/>
          </w:tcPr>
          <w:p>
            <w:pPr>
              <w:pStyle w:val="27"/>
              <w:spacing w:before="22"/>
              <w:ind w:left="1782" w:right="1781"/>
              <w:jc w:val="center"/>
              <w:rPr>
                <w:rFonts w:asciiTheme="minorEastAsia" w:hAnsiTheme="minorEastAsia" w:eastAsiaTheme="minorEastAsia"/>
                <w:sz w:val="24"/>
              </w:rPr>
            </w:pPr>
            <w:r>
              <w:rPr>
                <w:rFonts w:asciiTheme="minorEastAsia" w:hAnsiTheme="minorEastAsia" w:eastAsiaTheme="minorEastAsia"/>
                <w:sz w:val="24"/>
              </w:rPr>
              <w:t>单位名称</w:t>
            </w:r>
          </w:p>
        </w:tc>
        <w:tc>
          <w:tcPr>
            <w:tcW w:w="2976" w:type="dxa"/>
          </w:tcPr>
          <w:p>
            <w:pPr>
              <w:pStyle w:val="27"/>
              <w:spacing w:before="22"/>
              <w:ind w:left="984" w:right="982"/>
              <w:jc w:val="center"/>
              <w:rPr>
                <w:rFonts w:asciiTheme="minorEastAsia" w:hAnsiTheme="minorEastAsia" w:eastAsiaTheme="minorEastAsia"/>
                <w:sz w:val="24"/>
              </w:rPr>
            </w:pPr>
            <w:r>
              <w:rPr>
                <w:rFonts w:asciiTheme="minorEastAsia" w:hAnsiTheme="minorEastAsia" w:eastAsiaTheme="minorEastAsia"/>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exact"/>
        </w:trPr>
        <w:tc>
          <w:tcPr>
            <w:tcW w:w="950" w:type="dxa"/>
          </w:tcPr>
          <w:p>
            <w:pPr>
              <w:pStyle w:val="27"/>
              <w:spacing w:before="71"/>
              <w:jc w:val="center"/>
              <w:rPr>
                <w:rFonts w:asciiTheme="minorEastAsia" w:hAnsiTheme="minorEastAsia" w:eastAsiaTheme="minorEastAsia"/>
                <w:sz w:val="24"/>
              </w:rPr>
            </w:pPr>
            <w:r>
              <w:rPr>
                <w:rFonts w:asciiTheme="minorEastAsia" w:hAnsiTheme="minorEastAsia" w:eastAsiaTheme="minorEastAsia"/>
                <w:w w:val="102"/>
                <w:sz w:val="24"/>
              </w:rPr>
              <w:t>1</w:t>
            </w:r>
          </w:p>
        </w:tc>
        <w:tc>
          <w:tcPr>
            <w:tcW w:w="4574" w:type="dxa"/>
          </w:tcPr>
          <w:p>
            <w:pPr>
              <w:rPr>
                <w:rFonts w:asciiTheme="minorEastAsia" w:hAnsiTheme="minorEastAsia" w:eastAsiaTheme="minorEastAsia"/>
              </w:rPr>
            </w:pPr>
          </w:p>
        </w:tc>
        <w:tc>
          <w:tcPr>
            <w:tcW w:w="2976" w:type="dxa"/>
          </w:tcPr>
          <w:p>
            <w:pPr>
              <w:rPr>
                <w:rFonts w:asciiTheme="minorEastAsia" w:hAnsiTheme="minorEastAsia"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exact"/>
        </w:trPr>
        <w:tc>
          <w:tcPr>
            <w:tcW w:w="950" w:type="dxa"/>
          </w:tcPr>
          <w:p>
            <w:pPr>
              <w:pStyle w:val="27"/>
              <w:spacing w:before="72"/>
              <w:jc w:val="center"/>
              <w:rPr>
                <w:rFonts w:asciiTheme="minorEastAsia" w:hAnsiTheme="minorEastAsia" w:eastAsiaTheme="minorEastAsia"/>
                <w:sz w:val="24"/>
              </w:rPr>
            </w:pPr>
            <w:r>
              <w:rPr>
                <w:rFonts w:asciiTheme="minorEastAsia" w:hAnsiTheme="minorEastAsia" w:eastAsiaTheme="minorEastAsia"/>
                <w:w w:val="102"/>
                <w:sz w:val="24"/>
              </w:rPr>
              <w:t>2</w:t>
            </w:r>
          </w:p>
        </w:tc>
        <w:tc>
          <w:tcPr>
            <w:tcW w:w="4574" w:type="dxa"/>
          </w:tcPr>
          <w:p>
            <w:pPr>
              <w:rPr>
                <w:rFonts w:asciiTheme="minorEastAsia" w:hAnsiTheme="minorEastAsia" w:eastAsiaTheme="minorEastAsia"/>
              </w:rPr>
            </w:pPr>
          </w:p>
        </w:tc>
        <w:tc>
          <w:tcPr>
            <w:tcW w:w="2976" w:type="dxa"/>
          </w:tcPr>
          <w:p>
            <w:pPr>
              <w:rPr>
                <w:rFonts w:asciiTheme="minorEastAsia" w:hAnsiTheme="minorEastAsia"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40" w:hRule="exact"/>
        </w:trPr>
        <w:tc>
          <w:tcPr>
            <w:tcW w:w="950" w:type="dxa"/>
          </w:tcPr>
          <w:p>
            <w:pPr>
              <w:pStyle w:val="27"/>
              <w:spacing w:before="71"/>
              <w:jc w:val="center"/>
              <w:rPr>
                <w:rFonts w:asciiTheme="minorEastAsia" w:hAnsiTheme="minorEastAsia" w:eastAsiaTheme="minorEastAsia"/>
                <w:sz w:val="24"/>
              </w:rPr>
            </w:pPr>
            <w:r>
              <w:rPr>
                <w:rFonts w:asciiTheme="minorEastAsia" w:hAnsiTheme="minorEastAsia" w:eastAsiaTheme="minorEastAsia"/>
                <w:sz w:val="24"/>
              </w:rPr>
              <w:t>…</w:t>
            </w:r>
          </w:p>
        </w:tc>
        <w:tc>
          <w:tcPr>
            <w:tcW w:w="4574" w:type="dxa"/>
          </w:tcPr>
          <w:p>
            <w:pPr>
              <w:rPr>
                <w:rFonts w:asciiTheme="minorEastAsia" w:hAnsiTheme="minorEastAsia" w:eastAsiaTheme="minorEastAsia"/>
              </w:rPr>
            </w:pPr>
          </w:p>
        </w:tc>
        <w:tc>
          <w:tcPr>
            <w:tcW w:w="2976" w:type="dxa"/>
          </w:tcPr>
          <w:p>
            <w:pPr>
              <w:rPr>
                <w:rFonts w:asciiTheme="minorEastAsia" w:hAnsiTheme="minorEastAsia" w:eastAsiaTheme="minorEastAsia"/>
              </w:rPr>
            </w:pPr>
          </w:p>
        </w:tc>
      </w:tr>
    </w:tbl>
    <w:p>
      <w:pPr>
        <w:pStyle w:val="12"/>
        <w:spacing w:before="10"/>
        <w:rPr>
          <w:rFonts w:asciiTheme="minorEastAsia" w:hAnsiTheme="minorEastAsia" w:eastAsiaTheme="minorEastAsia"/>
          <w:sz w:val="13"/>
        </w:rPr>
      </w:pPr>
    </w:p>
    <w:p>
      <w:pPr>
        <w:pStyle w:val="12"/>
        <w:spacing w:before="26"/>
        <w:ind w:left="601"/>
        <w:rPr>
          <w:rFonts w:asciiTheme="minorEastAsia" w:hAnsiTheme="minorEastAsia" w:eastAsiaTheme="minorEastAsia"/>
          <w:lang w:eastAsia="zh-CN"/>
        </w:rPr>
      </w:pPr>
      <w:r>
        <w:rPr>
          <w:rFonts w:asciiTheme="minorEastAsia" w:hAnsiTheme="minorEastAsia" w:eastAsiaTheme="minorEastAsia"/>
          <w:lang w:eastAsia="zh-CN"/>
        </w:rPr>
        <w:t>上述声明真实有效，否则我方负全部责任。</w:t>
      </w:r>
    </w:p>
    <w:p>
      <w:pPr>
        <w:pStyle w:val="12"/>
        <w:spacing w:before="10"/>
        <w:rPr>
          <w:rFonts w:asciiTheme="minorEastAsia" w:hAnsiTheme="minorEastAsia" w:eastAsiaTheme="minorEastAsia"/>
          <w:sz w:val="33"/>
          <w:lang w:eastAsia="zh-CN"/>
        </w:rPr>
      </w:pPr>
    </w:p>
    <w:p>
      <w:pPr>
        <w:pStyle w:val="12"/>
        <w:tabs>
          <w:tab w:val="left" w:pos="7153"/>
          <w:tab w:val="left" w:pos="8364"/>
          <w:tab w:val="left" w:pos="8593"/>
          <w:tab w:val="left" w:pos="8886"/>
        </w:tabs>
        <w:spacing w:line="376" w:lineRule="auto"/>
        <w:ind w:left="4678" w:right="-48"/>
        <w:rPr>
          <w:lang w:eastAsia="zh-CN"/>
        </w:rPr>
      </w:pPr>
      <w:r>
        <w:rPr>
          <w:lang w:eastAsia="zh-CN"/>
        </w:rPr>
        <w:t>供应商名称（加盖公章）：</w:t>
      </w:r>
      <w:r>
        <w:rPr>
          <w:rFonts w:hint="eastAsia"/>
          <w:u w:val="single"/>
          <w:lang w:eastAsia="zh-CN"/>
        </w:rPr>
        <w:t xml:space="preserve">     </w:t>
      </w:r>
    </w:p>
    <w:p>
      <w:pPr>
        <w:pStyle w:val="12"/>
        <w:tabs>
          <w:tab w:val="left" w:pos="7153"/>
          <w:tab w:val="left" w:pos="7873"/>
          <w:tab w:val="left" w:pos="8593"/>
          <w:tab w:val="left" w:pos="8886"/>
        </w:tabs>
        <w:spacing w:line="376" w:lineRule="auto"/>
        <w:ind w:left="4678" w:right="418"/>
        <w:rPr>
          <w:rFonts w:asciiTheme="minorEastAsia" w:hAnsiTheme="minorEastAsia" w:eastAsiaTheme="minorEastAsia"/>
          <w:lang w:eastAsia="zh-CN"/>
        </w:rPr>
      </w:pPr>
      <w:r>
        <w:rPr>
          <w:rFonts w:asciiTheme="minorEastAsia" w:hAnsiTheme="minorEastAsia" w:eastAsiaTheme="minorEastAsia"/>
          <w:lang w:eastAsia="zh-CN"/>
        </w:rPr>
        <w:t>日期：</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年</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月</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日</w:t>
      </w:r>
    </w:p>
    <w:p>
      <w:pPr>
        <w:pStyle w:val="12"/>
        <w:spacing w:before="14" w:line="333" w:lineRule="auto"/>
        <w:ind w:left="121" w:right="111"/>
        <w:rPr>
          <w:rFonts w:asciiTheme="minorEastAsia" w:hAnsiTheme="minorEastAsia" w:eastAsiaTheme="minorEastAsia"/>
          <w:lang w:eastAsia="zh-CN"/>
        </w:rPr>
      </w:pPr>
      <w:r>
        <w:rPr>
          <w:rFonts w:asciiTheme="minorEastAsia" w:hAnsiTheme="minorEastAsia" w:eastAsiaTheme="minorEastAsia"/>
          <w:spacing w:val="2"/>
          <w:lang w:eastAsia="zh-CN"/>
        </w:rPr>
        <w:t>说明</w:t>
      </w:r>
      <w:r>
        <w:rPr>
          <w:rFonts w:asciiTheme="minorEastAsia" w:hAnsiTheme="minorEastAsia" w:eastAsiaTheme="minorEastAsia"/>
          <w:lang w:eastAsia="zh-CN"/>
        </w:rPr>
        <w:t>：</w:t>
      </w:r>
      <w:r>
        <w:rPr>
          <w:rFonts w:asciiTheme="minorEastAsia" w:hAnsiTheme="minorEastAsia" w:eastAsiaTheme="minorEastAsia"/>
          <w:spacing w:val="2"/>
          <w:lang w:eastAsia="zh-CN"/>
        </w:rPr>
        <w:t>供应商</w:t>
      </w:r>
      <w:r>
        <w:rPr>
          <w:rFonts w:asciiTheme="minorEastAsia" w:hAnsiTheme="minorEastAsia" w:eastAsiaTheme="minorEastAsia"/>
          <w:lang w:eastAsia="zh-CN"/>
        </w:rPr>
        <w:t>承</w:t>
      </w:r>
      <w:r>
        <w:rPr>
          <w:rFonts w:asciiTheme="minorEastAsia" w:hAnsiTheme="minorEastAsia" w:eastAsiaTheme="minorEastAsia"/>
          <w:spacing w:val="2"/>
          <w:lang w:eastAsia="zh-CN"/>
        </w:rPr>
        <w:t>诺不实</w:t>
      </w:r>
      <w:r>
        <w:rPr>
          <w:rFonts w:asciiTheme="minorEastAsia" w:hAnsiTheme="minorEastAsia" w:eastAsiaTheme="minorEastAsia"/>
          <w:lang w:eastAsia="zh-CN"/>
        </w:rPr>
        <w:t>的</w:t>
      </w:r>
      <w:r>
        <w:rPr>
          <w:rFonts w:asciiTheme="minorEastAsia" w:hAnsiTheme="minorEastAsia" w:eastAsiaTheme="minorEastAsia"/>
          <w:spacing w:val="2"/>
          <w:lang w:eastAsia="zh-CN"/>
        </w:rPr>
        <w:t>，依据</w:t>
      </w:r>
      <w:r>
        <w:rPr>
          <w:rFonts w:asciiTheme="minorEastAsia" w:hAnsiTheme="minorEastAsia" w:eastAsiaTheme="minorEastAsia"/>
          <w:lang w:eastAsia="zh-CN"/>
        </w:rPr>
        <w:t>《</w:t>
      </w:r>
      <w:r>
        <w:rPr>
          <w:rFonts w:asciiTheme="minorEastAsia" w:hAnsiTheme="minorEastAsia" w:eastAsiaTheme="minorEastAsia"/>
          <w:spacing w:val="2"/>
          <w:lang w:eastAsia="zh-CN"/>
        </w:rPr>
        <w:t>政府采购</w:t>
      </w:r>
      <w:r>
        <w:rPr>
          <w:rFonts w:asciiTheme="minorEastAsia" w:hAnsiTheme="minorEastAsia" w:eastAsiaTheme="minorEastAsia"/>
          <w:lang w:eastAsia="zh-CN"/>
        </w:rPr>
        <w:t>法</w:t>
      </w:r>
      <w:r>
        <w:rPr>
          <w:rFonts w:asciiTheme="minorEastAsia" w:hAnsiTheme="minorEastAsia" w:eastAsiaTheme="minorEastAsia"/>
          <w:spacing w:val="2"/>
          <w:lang w:eastAsia="zh-CN"/>
        </w:rPr>
        <w:t>》第七</w:t>
      </w:r>
      <w:r>
        <w:rPr>
          <w:rFonts w:asciiTheme="minorEastAsia" w:hAnsiTheme="minorEastAsia" w:eastAsiaTheme="minorEastAsia"/>
          <w:lang w:eastAsia="zh-CN"/>
        </w:rPr>
        <w:t>十</w:t>
      </w:r>
      <w:r>
        <w:rPr>
          <w:rFonts w:asciiTheme="minorEastAsia" w:hAnsiTheme="minorEastAsia" w:eastAsiaTheme="minorEastAsia"/>
          <w:spacing w:val="2"/>
          <w:lang w:eastAsia="zh-CN"/>
        </w:rPr>
        <w:t>七</w:t>
      </w:r>
      <w:r>
        <w:rPr>
          <w:rFonts w:asciiTheme="minorEastAsia" w:hAnsiTheme="minorEastAsia" w:eastAsiaTheme="minorEastAsia"/>
          <w:spacing w:val="-1"/>
          <w:lang w:eastAsia="zh-CN"/>
        </w:rPr>
        <w:t>条</w:t>
      </w:r>
      <w:r>
        <w:rPr>
          <w:rFonts w:asciiTheme="minorEastAsia" w:hAnsiTheme="minorEastAsia" w:eastAsiaTheme="minorEastAsia"/>
          <w:spacing w:val="2"/>
          <w:w w:val="129"/>
          <w:lang w:eastAsia="zh-CN"/>
        </w:rPr>
        <w:t>“</w:t>
      </w:r>
      <w:r>
        <w:rPr>
          <w:rFonts w:asciiTheme="minorEastAsia" w:hAnsiTheme="minorEastAsia" w:eastAsiaTheme="minorEastAsia"/>
          <w:spacing w:val="2"/>
          <w:lang w:eastAsia="zh-CN"/>
        </w:rPr>
        <w:t>提供</w:t>
      </w:r>
      <w:r>
        <w:rPr>
          <w:rFonts w:asciiTheme="minorEastAsia" w:hAnsiTheme="minorEastAsia" w:eastAsiaTheme="minorEastAsia"/>
          <w:lang w:eastAsia="zh-CN"/>
        </w:rPr>
        <w:t>虚</w:t>
      </w:r>
      <w:r>
        <w:rPr>
          <w:rFonts w:asciiTheme="minorEastAsia" w:hAnsiTheme="minorEastAsia" w:eastAsiaTheme="minorEastAsia"/>
          <w:spacing w:val="2"/>
          <w:lang w:eastAsia="zh-CN"/>
        </w:rPr>
        <w:t>假材料</w:t>
      </w:r>
      <w:r>
        <w:rPr>
          <w:rFonts w:asciiTheme="minorEastAsia" w:hAnsiTheme="minorEastAsia" w:eastAsiaTheme="minorEastAsia"/>
          <w:lang w:eastAsia="zh-CN"/>
        </w:rPr>
        <w:t>谋</w:t>
      </w:r>
      <w:r>
        <w:rPr>
          <w:rFonts w:asciiTheme="minorEastAsia" w:hAnsiTheme="minorEastAsia" w:eastAsiaTheme="minorEastAsia"/>
          <w:spacing w:val="2"/>
          <w:lang w:eastAsia="zh-CN"/>
        </w:rPr>
        <w:t>取中标</w:t>
      </w:r>
      <w:r>
        <w:rPr>
          <w:rFonts w:asciiTheme="minorEastAsia" w:hAnsiTheme="minorEastAsia" w:eastAsiaTheme="minorEastAsia"/>
          <w:lang w:eastAsia="zh-CN"/>
        </w:rPr>
        <w:t>、成交</w:t>
      </w:r>
      <w:r>
        <w:rPr>
          <w:rFonts w:asciiTheme="minorEastAsia" w:hAnsiTheme="minorEastAsia" w:eastAsiaTheme="minorEastAsia"/>
          <w:spacing w:val="-1"/>
          <w:lang w:eastAsia="zh-CN"/>
        </w:rPr>
        <w:t>的</w:t>
      </w:r>
      <w:r>
        <w:rPr>
          <w:rFonts w:asciiTheme="minorEastAsia" w:hAnsiTheme="minorEastAsia" w:eastAsiaTheme="minorEastAsia"/>
          <w:spacing w:val="-2"/>
          <w:w w:val="129"/>
          <w:lang w:eastAsia="zh-CN"/>
        </w:rPr>
        <w:t>”</w:t>
      </w:r>
      <w:r>
        <w:rPr>
          <w:rFonts w:asciiTheme="minorEastAsia" w:hAnsiTheme="minorEastAsia" w:eastAsiaTheme="minorEastAsia"/>
          <w:lang w:eastAsia="zh-CN"/>
        </w:rPr>
        <w:t>有关规定予以处理。</w:t>
      </w:r>
    </w:p>
    <w:p>
      <w:pPr>
        <w:widowControl/>
        <w:autoSpaceDE/>
        <w:autoSpaceDN/>
        <w:rPr>
          <w:rFonts w:asciiTheme="minorEastAsia" w:hAnsiTheme="minorEastAsia" w:eastAsiaTheme="minorEastAsia"/>
          <w:sz w:val="24"/>
          <w:szCs w:val="24"/>
          <w:lang w:eastAsia="zh-CN"/>
        </w:rPr>
      </w:pPr>
      <w:r>
        <w:rPr>
          <w:rFonts w:asciiTheme="minorEastAsia" w:hAnsiTheme="minorEastAsia" w:eastAsiaTheme="minorEastAsia"/>
          <w:lang w:eastAsia="zh-CN"/>
        </w:rPr>
        <w:br w:type="page"/>
      </w:r>
    </w:p>
    <w:p>
      <w:pPr>
        <w:pStyle w:val="6"/>
        <w:numPr>
          <w:ilvl w:val="0"/>
          <w:numId w:val="122"/>
        </w:numPr>
        <w:rPr>
          <w:i w:val="0"/>
          <w:lang w:eastAsia="zh-CN"/>
        </w:rPr>
      </w:pPr>
      <w:r>
        <w:rPr>
          <w:i w:val="0"/>
          <w:lang w:eastAsia="zh-CN"/>
        </w:rPr>
        <w:t>落实政府采购政策需满足的资格要求（如有）</w:t>
      </w:r>
    </w:p>
    <w:p>
      <w:pPr>
        <w:pStyle w:val="7"/>
        <w:rPr>
          <w:sz w:val="24"/>
          <w:lang w:eastAsia="zh-CN"/>
        </w:rPr>
      </w:pPr>
      <w:r>
        <w:rPr>
          <w:rFonts w:hint="eastAsia"/>
          <w:sz w:val="24"/>
          <w:lang w:eastAsia="zh-CN"/>
        </w:rPr>
        <w:t xml:space="preserve">2-1 </w:t>
      </w:r>
      <w:r>
        <w:rPr>
          <w:sz w:val="24"/>
          <w:lang w:eastAsia="zh-CN"/>
        </w:rPr>
        <w:t>中小企业证明文件说明：</w:t>
      </w:r>
    </w:p>
    <w:p>
      <w:pPr>
        <w:spacing w:line="420" w:lineRule="exact"/>
        <w:rPr>
          <w:sz w:val="24"/>
          <w:szCs w:val="24"/>
          <w:lang w:eastAsia="zh-CN"/>
        </w:rPr>
      </w:pPr>
      <w:r>
        <w:rPr>
          <w:sz w:val="24"/>
          <w:szCs w:val="24"/>
          <w:lang w:eastAsia="zh-CN"/>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pPr>
        <w:spacing w:line="420" w:lineRule="exact"/>
        <w:rPr>
          <w:sz w:val="24"/>
          <w:szCs w:val="24"/>
          <w:lang w:eastAsia="zh-CN"/>
        </w:rPr>
      </w:pPr>
      <w:r>
        <w:rPr>
          <w:sz w:val="24"/>
          <w:szCs w:val="24"/>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pPr>
        <w:spacing w:line="420" w:lineRule="exact"/>
        <w:rPr>
          <w:sz w:val="24"/>
          <w:szCs w:val="24"/>
          <w:lang w:eastAsia="zh-CN"/>
        </w:rPr>
      </w:pPr>
      <w:r>
        <w:rPr>
          <w:sz w:val="24"/>
          <w:szCs w:val="24"/>
          <w:lang w:eastAsia="zh-CN"/>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spacing w:line="420" w:lineRule="exact"/>
        <w:rPr>
          <w:sz w:val="24"/>
          <w:szCs w:val="24"/>
          <w:lang w:eastAsia="zh-CN"/>
        </w:rPr>
      </w:pPr>
      <w:r>
        <w:rPr>
          <w:sz w:val="24"/>
          <w:szCs w:val="24"/>
          <w:lang w:eastAsia="zh-CN"/>
        </w:rPr>
        <w:t>（4）中小企业声明函填写注意事项</w:t>
      </w:r>
    </w:p>
    <w:p>
      <w:pPr>
        <w:spacing w:line="420" w:lineRule="exact"/>
        <w:rPr>
          <w:sz w:val="24"/>
          <w:szCs w:val="24"/>
          <w:lang w:eastAsia="zh-CN"/>
        </w:rPr>
      </w:pPr>
      <w:r>
        <w:rPr>
          <w:sz w:val="24"/>
          <w:szCs w:val="24"/>
          <w:lang w:eastAsia="zh-CN"/>
        </w:rPr>
        <w:t>1）《中小企业声明函》由参加政府采购活动的供应商出具。联合体参与的，《中小企业声明函》可由牵头人出具。</w:t>
      </w:r>
    </w:p>
    <w:p>
      <w:pPr>
        <w:pStyle w:val="12"/>
        <w:spacing w:before="53" w:line="420" w:lineRule="exact"/>
        <w:ind w:right="211"/>
        <w:jc w:val="both"/>
        <w:rPr>
          <w:lang w:eastAsia="zh-CN"/>
        </w:rPr>
      </w:pPr>
      <w:r>
        <w:rPr>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pStyle w:val="12"/>
        <w:spacing w:before="55" w:line="420" w:lineRule="exact"/>
        <w:ind w:right="213"/>
        <w:jc w:val="both"/>
        <w:rPr>
          <w:lang w:eastAsia="zh-CN"/>
        </w:rPr>
      </w:pPr>
      <w:r>
        <w:rPr>
          <w:lang w:eastAsia="zh-CN"/>
        </w:rPr>
        <w:t>3）对于多标的采购项目，供应商应充分、准确地了解所提供货物的制造企业、提供服务的承接企业信息。对相关情况了解不清楚的，不建议填报本声明函。</w:t>
      </w:r>
    </w:p>
    <w:p>
      <w:pPr>
        <w:spacing w:line="420" w:lineRule="exact"/>
        <w:rPr>
          <w:sz w:val="24"/>
          <w:szCs w:val="24"/>
          <w:lang w:eastAsia="zh-CN"/>
        </w:rPr>
      </w:pPr>
      <w:r>
        <w:rPr>
          <w:sz w:val="24"/>
          <w:szCs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号）》及本项目文件规定的中小企业划分标准所属行业执行。</w:t>
      </w:r>
    </w:p>
    <w:p>
      <w:pPr>
        <w:spacing w:line="352" w:lineRule="auto"/>
        <w:jc w:val="both"/>
        <w:rPr>
          <w:rFonts w:asciiTheme="minorEastAsia" w:hAnsiTheme="minorEastAsia" w:eastAsiaTheme="minorEastAsia"/>
          <w:lang w:eastAsia="zh-CN"/>
        </w:rPr>
      </w:pPr>
    </w:p>
    <w:p>
      <w:pPr>
        <w:spacing w:line="352" w:lineRule="auto"/>
        <w:jc w:val="both"/>
        <w:rPr>
          <w:rFonts w:asciiTheme="minorEastAsia" w:hAnsiTheme="minorEastAsia" w:eastAsiaTheme="minorEastAsia"/>
          <w:lang w:eastAsia="zh-CN"/>
        </w:rPr>
        <w:sectPr>
          <w:pgSz w:w="11910" w:h="16840"/>
          <w:pgMar w:top="1440" w:right="1797" w:bottom="1440" w:left="1797" w:header="879" w:footer="892" w:gutter="0"/>
          <w:cols w:space="720" w:num="1"/>
        </w:sectPr>
      </w:pPr>
    </w:p>
    <w:p>
      <w:pPr>
        <w:pStyle w:val="7"/>
        <w:rPr>
          <w:sz w:val="24"/>
          <w:lang w:eastAsia="zh-CN"/>
        </w:rPr>
      </w:pPr>
      <w:r>
        <w:rPr>
          <w:sz w:val="24"/>
          <w:lang w:eastAsia="zh-CN"/>
        </w:rPr>
        <w:t>2-1-1  中小企业声明函及残疾人福利性单位声明函格式</w:t>
      </w:r>
    </w:p>
    <w:p>
      <w:pPr>
        <w:spacing w:before="248"/>
        <w:ind w:left="51"/>
        <w:jc w:val="center"/>
        <w:rPr>
          <w:rFonts w:asciiTheme="minorEastAsia" w:hAnsiTheme="minorEastAsia" w:eastAsiaTheme="minorEastAsia"/>
          <w:b/>
          <w:sz w:val="36"/>
          <w:lang w:eastAsia="zh-CN"/>
        </w:rPr>
      </w:pPr>
      <w:r>
        <w:rPr>
          <w:rFonts w:asciiTheme="minorEastAsia" w:hAnsiTheme="minorEastAsia" w:eastAsiaTheme="minorEastAsia"/>
          <w:b/>
          <w:sz w:val="36"/>
          <w:lang w:eastAsia="zh-CN"/>
        </w:rPr>
        <w:t>中小企业声明函（货物）格式</w:t>
      </w:r>
    </w:p>
    <w:p>
      <w:pPr>
        <w:pStyle w:val="12"/>
        <w:spacing w:before="1"/>
        <w:rPr>
          <w:rFonts w:asciiTheme="minorEastAsia" w:hAnsiTheme="minorEastAsia" w:eastAsiaTheme="minorEastAsia"/>
          <w:sz w:val="47"/>
          <w:lang w:eastAsia="zh-CN"/>
        </w:rPr>
      </w:pPr>
    </w:p>
    <w:p>
      <w:pPr>
        <w:spacing w:line="360" w:lineRule="auto"/>
        <w:ind w:firstLine="480" w:firstLineChars="20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480" w:firstLineChars="20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，从业人员______人，营业收入为______万元，资产总额为_____万元</w:t>
      </w:r>
      <w:r>
        <w:rPr>
          <w:sz w:val="24"/>
          <w:szCs w:val="24"/>
          <w:vertAlign w:val="superscript"/>
          <w:lang w:eastAsia="zh-CN"/>
        </w:rPr>
        <w:t>1</w:t>
      </w:r>
      <w:r>
        <w:rPr>
          <w:sz w:val="24"/>
          <w:szCs w:val="24"/>
          <w:lang w:eastAsia="zh-CN"/>
        </w:rPr>
        <w:t>，属于（中型企业、小型企业、微型企业）；</w:t>
      </w:r>
    </w:p>
    <w:p>
      <w:pPr>
        <w:spacing w:line="360" w:lineRule="auto"/>
        <w:ind w:firstLine="480" w:firstLineChars="20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，从业人员______人，营业收入为______万元，资产总额为______万元，属于（中型企业、小型企业、微型企业）；</w:t>
      </w:r>
    </w:p>
    <w:p>
      <w:pPr>
        <w:spacing w:line="360" w:lineRule="auto"/>
        <w:ind w:firstLine="484" w:firstLineChars="200"/>
        <w:rPr>
          <w:rFonts w:asciiTheme="minorEastAsia" w:hAnsiTheme="minorEastAsia" w:eastAsiaTheme="minorEastAsia"/>
          <w:lang w:eastAsia="zh-CN"/>
        </w:rPr>
      </w:pPr>
      <w:r>
        <w:rPr>
          <w:rFonts w:asciiTheme="minorEastAsia" w:hAnsiTheme="minorEastAsia" w:eastAsiaTheme="minorEastAsia"/>
          <w:w w:val="110"/>
          <w:lang w:eastAsia="zh-CN"/>
        </w:rPr>
        <w:t>……</w:t>
      </w:r>
    </w:p>
    <w:p>
      <w:pPr>
        <w:spacing w:line="360" w:lineRule="auto"/>
        <w:ind w:firstLine="480" w:firstLineChars="200"/>
        <w:rPr>
          <w:sz w:val="24"/>
          <w:szCs w:val="24"/>
          <w:lang w:eastAsia="zh-CN"/>
        </w:rPr>
      </w:pPr>
      <w:r>
        <w:rPr>
          <w:sz w:val="24"/>
          <w:szCs w:val="24"/>
          <w:lang w:eastAsia="zh-CN"/>
        </w:rPr>
        <w:t>以上企业，不属于大企业的分支机构，不存在控股股东为大企业的情形，也不存在与大企业的负责人为同一人的情形。</w:t>
      </w:r>
    </w:p>
    <w:p>
      <w:pPr>
        <w:spacing w:line="360" w:lineRule="auto"/>
        <w:ind w:firstLine="480" w:firstLineChars="200"/>
        <w:rPr>
          <w:sz w:val="24"/>
          <w:szCs w:val="24"/>
          <w:lang w:eastAsia="zh-CN"/>
        </w:rPr>
      </w:pPr>
      <w:r>
        <w:rPr>
          <w:sz w:val="24"/>
          <w:szCs w:val="24"/>
          <w:lang w:eastAsia="zh-CN"/>
        </w:rPr>
        <w:t>本企业对上述声明内容的真实性负责。如有虚假，将依法承担相应责任。</w:t>
      </w:r>
    </w:p>
    <w:p>
      <w:pPr>
        <w:pStyle w:val="12"/>
        <w:rPr>
          <w:rFonts w:asciiTheme="minorEastAsia" w:hAnsiTheme="minorEastAsia" w:eastAsiaTheme="minorEastAsia"/>
          <w:lang w:eastAsia="zh-CN"/>
        </w:rPr>
      </w:pPr>
    </w:p>
    <w:p>
      <w:pPr>
        <w:pStyle w:val="12"/>
        <w:spacing w:before="8"/>
        <w:rPr>
          <w:rFonts w:asciiTheme="minorEastAsia" w:hAnsiTheme="minorEastAsia" w:eastAsiaTheme="minorEastAsia"/>
          <w:sz w:val="19"/>
          <w:lang w:eastAsia="zh-CN"/>
        </w:rPr>
      </w:pPr>
    </w:p>
    <w:p>
      <w:pPr>
        <w:pStyle w:val="12"/>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pPr>
        <w:pStyle w:val="12"/>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pPr>
        <w:pStyle w:val="12"/>
        <w:rPr>
          <w:rFonts w:asciiTheme="minorEastAsia" w:hAnsiTheme="minorEastAsia" w:eastAsiaTheme="minorEastAsia"/>
          <w:sz w:val="26"/>
          <w:lang w:eastAsia="zh-CN"/>
        </w:rPr>
      </w:pPr>
      <w:r>
        <w:rPr>
          <w:rFonts w:asciiTheme="minorEastAsia" w:hAnsiTheme="minorEastAsia" w:eastAsiaTheme="minorEastAsia"/>
          <w:lang w:eastAsia="zh-CN"/>
        </w:rPr>
        <mc:AlternateContent>
          <mc:Choice Requires="wps">
            <w:drawing>
              <wp:anchor distT="0" distB="0" distL="0" distR="0" simplePos="0" relativeHeight="251661312"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w:pict>
              <v:line id="Line 13" o:spid="_x0000_s1026" o:spt="20" style="position:absolute;left:0pt;margin-left:79.65pt;margin-top:17.2pt;height:0pt;width:447.3pt;mso-position-horizontal-relative:page;mso-wrap-distance-bottom:0pt;mso-wrap-distance-top:0pt;z-index:251661312;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net1f2QAAAAoBAAAPAAAAAAAAAAEA&#10;IAAAACIAAABkcnMvZG93bnJldi54bWxQSwECFAAUAAAACACHTuJAPw9Ch9UBAAC6AwAADgAAAAAA&#10;AAABACAAAAAoAQAAZHJzL2Uyb0RvYy54bWxQSwUGAAAAAAYABgBZAQAAbwUAAAAA&#10;">
                <v:fill on="f" focussize="0,0"/>
                <v:stroke weight="0.48pt" color="#000000" joinstyle="round"/>
                <v:imagedata o:title=""/>
                <o:lock v:ext="edit" aspectratio="f"/>
                <w10:wrap type="topAndBottom"/>
              </v:line>
            </w:pict>
          </mc:Fallback>
        </mc:AlternateContent>
      </w:r>
    </w:p>
    <w:p>
      <w:pPr>
        <w:spacing w:line="383" w:lineRule="exact"/>
        <w:ind w:left="221"/>
        <w:rPr>
          <w:rFonts w:asciiTheme="minorEastAsia" w:hAnsiTheme="minorEastAsia" w:eastAsiaTheme="minorEastAsia"/>
          <w:sz w:val="21"/>
          <w:lang w:eastAsia="zh-CN"/>
        </w:rPr>
      </w:pPr>
      <w:r>
        <w:rPr>
          <w:rFonts w:asciiTheme="minorEastAsia" w:hAnsiTheme="minorEastAsia" w:eastAsiaTheme="minorEastAsia"/>
          <w:position w:val="6"/>
          <w:sz w:val="14"/>
          <w:lang w:eastAsia="zh-CN"/>
        </w:rPr>
        <w:t xml:space="preserve">1 </w:t>
      </w:r>
      <w:r>
        <w:rPr>
          <w:rFonts w:asciiTheme="minorEastAsia" w:hAnsiTheme="minorEastAsia" w:eastAsiaTheme="minorEastAsia"/>
          <w:sz w:val="21"/>
          <w:lang w:eastAsia="zh-CN"/>
        </w:rPr>
        <w:t>从业人员、营业收入、资产总额填报上一年度数据，无上一年度数据的新成立企业可不填报。</w:t>
      </w:r>
    </w:p>
    <w:p>
      <w:pPr>
        <w:spacing w:line="383" w:lineRule="exact"/>
        <w:rPr>
          <w:rFonts w:asciiTheme="minorEastAsia" w:hAnsiTheme="minorEastAsia" w:eastAsiaTheme="minorEastAsia"/>
          <w:sz w:val="21"/>
          <w:lang w:eastAsia="zh-CN"/>
        </w:rPr>
        <w:sectPr>
          <w:pgSz w:w="11910" w:h="16840"/>
          <w:pgMar w:top="1440" w:right="1797" w:bottom="1440" w:left="1797" w:header="879" w:footer="892" w:gutter="0"/>
          <w:cols w:space="720" w:num="1"/>
        </w:sectPr>
      </w:pPr>
    </w:p>
    <w:p>
      <w:pPr>
        <w:pStyle w:val="12"/>
        <w:spacing w:before="8"/>
        <w:rPr>
          <w:rFonts w:asciiTheme="minorEastAsia" w:hAnsiTheme="minorEastAsia" w:eastAsiaTheme="minorEastAsia"/>
          <w:sz w:val="17"/>
          <w:lang w:eastAsia="zh-CN"/>
        </w:rPr>
      </w:pPr>
    </w:p>
    <w:p>
      <w:pPr>
        <w:spacing w:line="461" w:lineRule="exact"/>
        <w:ind w:left="51"/>
        <w:jc w:val="center"/>
        <w:rPr>
          <w:rFonts w:asciiTheme="minorEastAsia" w:hAnsiTheme="minorEastAsia" w:eastAsiaTheme="minorEastAsia"/>
          <w:b/>
          <w:sz w:val="36"/>
          <w:lang w:eastAsia="zh-CN"/>
        </w:rPr>
      </w:pPr>
      <w:r>
        <w:rPr>
          <w:rFonts w:asciiTheme="minorEastAsia" w:hAnsiTheme="minorEastAsia" w:eastAsiaTheme="minorEastAsia"/>
          <w:b/>
          <w:sz w:val="36"/>
          <w:lang w:eastAsia="zh-CN"/>
        </w:rPr>
        <w:t>中小企业声明函（工程、服务）格式</w:t>
      </w:r>
    </w:p>
    <w:p>
      <w:pPr>
        <w:pStyle w:val="12"/>
        <w:spacing w:before="6"/>
        <w:rPr>
          <w:rFonts w:asciiTheme="minorEastAsia" w:hAnsiTheme="minorEastAsia" w:eastAsiaTheme="minorEastAsia"/>
          <w:sz w:val="47"/>
          <w:lang w:eastAsia="zh-CN"/>
        </w:rPr>
      </w:pPr>
    </w:p>
    <w:p>
      <w:pPr>
        <w:spacing w:line="360" w:lineRule="auto"/>
        <w:ind w:firstLine="480" w:firstLineChars="20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480" w:firstLineChars="20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pPr>
        <w:spacing w:line="360" w:lineRule="auto"/>
        <w:ind w:firstLine="480" w:firstLineChars="20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pPr>
        <w:spacing w:line="360" w:lineRule="auto"/>
        <w:ind w:firstLine="480" w:firstLineChars="200"/>
        <w:rPr>
          <w:sz w:val="24"/>
          <w:szCs w:val="24"/>
          <w:lang w:eastAsia="zh-CN"/>
        </w:rPr>
      </w:pPr>
      <w:r>
        <w:rPr>
          <w:sz w:val="24"/>
          <w:szCs w:val="24"/>
          <w:lang w:eastAsia="zh-CN"/>
        </w:rPr>
        <w:t>……</w:t>
      </w:r>
    </w:p>
    <w:p>
      <w:pPr>
        <w:spacing w:line="360" w:lineRule="auto"/>
        <w:ind w:firstLine="480" w:firstLineChars="200"/>
        <w:rPr>
          <w:sz w:val="24"/>
          <w:szCs w:val="24"/>
          <w:lang w:eastAsia="zh-CN"/>
        </w:rPr>
      </w:pPr>
      <w:r>
        <w:rPr>
          <w:sz w:val="24"/>
          <w:szCs w:val="24"/>
          <w:lang w:eastAsia="zh-CN"/>
        </w:rPr>
        <w:t>以上企业，不属于大企业的分支机构，不存在控股股东为大企业的情形，也不存在与大企业的负责人为同一人的情形。</w:t>
      </w:r>
    </w:p>
    <w:p>
      <w:pPr>
        <w:spacing w:line="360" w:lineRule="auto"/>
        <w:ind w:firstLine="480" w:firstLineChars="200"/>
        <w:rPr>
          <w:sz w:val="24"/>
          <w:szCs w:val="24"/>
          <w:lang w:eastAsia="zh-CN"/>
        </w:rPr>
      </w:pPr>
      <w:r>
        <w:rPr>
          <w:sz w:val="24"/>
          <w:szCs w:val="24"/>
          <w:lang w:eastAsia="zh-CN"/>
        </w:rPr>
        <w:t>本企业对上述声明内容的真实性负责。如有虚假，将依法承担相应责任。</w:t>
      </w:r>
    </w:p>
    <w:p>
      <w:pPr>
        <w:pStyle w:val="12"/>
        <w:rPr>
          <w:rFonts w:asciiTheme="minorEastAsia" w:hAnsiTheme="minorEastAsia" w:eastAsiaTheme="minorEastAsia"/>
          <w:lang w:eastAsia="zh-CN"/>
        </w:rPr>
      </w:pPr>
    </w:p>
    <w:p>
      <w:pPr>
        <w:pStyle w:val="12"/>
        <w:spacing w:before="8"/>
        <w:rPr>
          <w:rFonts w:asciiTheme="minorEastAsia" w:hAnsiTheme="minorEastAsia" w:eastAsiaTheme="minorEastAsia"/>
          <w:sz w:val="19"/>
          <w:lang w:eastAsia="zh-CN"/>
        </w:rPr>
      </w:pPr>
    </w:p>
    <w:p>
      <w:pPr>
        <w:pStyle w:val="12"/>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pPr>
        <w:pStyle w:val="12"/>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pPr>
        <w:pStyle w:val="12"/>
        <w:spacing w:before="7"/>
        <w:rPr>
          <w:rFonts w:asciiTheme="minorEastAsia" w:hAnsiTheme="minorEastAsia" w:eastAsiaTheme="minorEastAsia"/>
          <w:sz w:val="21"/>
          <w:lang w:eastAsia="zh-CN"/>
        </w:rPr>
      </w:pPr>
      <w:r>
        <w:rPr>
          <w:rFonts w:asciiTheme="minorEastAsia" w:hAnsiTheme="minorEastAsia" w:eastAsiaTheme="minorEastAsia"/>
          <w:lang w:eastAsia="zh-CN"/>
        </w:rPr>
        <mc:AlternateContent>
          <mc:Choice Requires="wps">
            <w:drawing>
              <wp:anchor distT="0" distB="0" distL="0" distR="0" simplePos="0" relativeHeight="251662336"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w:pict>
              <v:line id="Line 12" o:spid="_x0000_s1026" o:spt="20" style="position:absolute;left:0pt;margin-left:79.65pt;margin-top:14.65pt;height:0pt;width:447.3pt;mso-position-horizontal-relative:page;mso-wrap-distance-bottom:0pt;mso-wrap-distance-top:0pt;z-index:251662336;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bsiifYAAAACgEAAA8AAAAAAAAAAQAg&#10;AAAAIgAAAGRycy9kb3ducmV2LnhtbFBLAQIUABQAAAAIAIdO4kA8W02c1QEAALoDAAAOAAAAAAAA&#10;AAEAIAAAACcBAABkcnMvZTJvRG9jLnhtbFBLBQYAAAAABgAGAFkBAABuBQAAAAA=&#10;">
                <v:fill on="f" focussize="0,0"/>
                <v:stroke weight="0.48pt" color="#000000" joinstyle="round"/>
                <v:imagedata o:title=""/>
                <o:lock v:ext="edit" aspectratio="f"/>
                <w10:wrap type="topAndBottom"/>
              </v:line>
            </w:pict>
          </mc:Fallback>
        </mc:AlternateContent>
      </w:r>
    </w:p>
    <w:p>
      <w:pPr>
        <w:spacing w:line="383" w:lineRule="exact"/>
        <w:ind w:left="221"/>
        <w:rPr>
          <w:rFonts w:asciiTheme="minorEastAsia" w:hAnsiTheme="minorEastAsia" w:eastAsiaTheme="minorEastAsia"/>
          <w:sz w:val="21"/>
          <w:lang w:eastAsia="zh-CN"/>
        </w:rPr>
      </w:pPr>
      <w:r>
        <w:rPr>
          <w:rFonts w:asciiTheme="minorEastAsia" w:hAnsiTheme="minorEastAsia" w:eastAsiaTheme="minorEastAsia"/>
          <w:position w:val="6"/>
          <w:sz w:val="14"/>
          <w:lang w:eastAsia="zh-CN"/>
        </w:rPr>
        <w:t xml:space="preserve">1 </w:t>
      </w:r>
      <w:r>
        <w:rPr>
          <w:rFonts w:asciiTheme="minorEastAsia" w:hAnsiTheme="minorEastAsia" w:eastAsiaTheme="minorEastAsia"/>
          <w:sz w:val="21"/>
          <w:lang w:eastAsia="zh-CN"/>
        </w:rPr>
        <w:t>从业人员、营业收入、资产总额填报上一年度数据，无上一年度数据的新成立企业可不填报。</w:t>
      </w:r>
    </w:p>
    <w:p>
      <w:pPr>
        <w:spacing w:line="383" w:lineRule="exact"/>
        <w:rPr>
          <w:rFonts w:asciiTheme="minorEastAsia" w:hAnsiTheme="minorEastAsia" w:eastAsiaTheme="minorEastAsia"/>
          <w:sz w:val="21"/>
          <w:lang w:eastAsia="zh-CN"/>
        </w:rPr>
        <w:sectPr>
          <w:pgSz w:w="11910" w:h="16840"/>
          <w:pgMar w:top="1440" w:right="1797" w:bottom="1440" w:left="1797" w:header="879" w:footer="892" w:gutter="0"/>
          <w:cols w:space="720" w:num="1"/>
        </w:sectPr>
      </w:pPr>
    </w:p>
    <w:p>
      <w:pPr>
        <w:spacing w:line="460" w:lineRule="exact"/>
        <w:ind w:left="2310"/>
        <w:rPr>
          <w:rFonts w:asciiTheme="minorEastAsia" w:hAnsiTheme="minorEastAsia" w:eastAsiaTheme="minorEastAsia"/>
          <w:b/>
          <w:sz w:val="36"/>
          <w:lang w:eastAsia="zh-CN"/>
        </w:rPr>
      </w:pPr>
      <w:r>
        <w:rPr>
          <w:rFonts w:asciiTheme="minorEastAsia" w:hAnsiTheme="minorEastAsia" w:eastAsiaTheme="minorEastAsia"/>
          <w:b/>
          <w:sz w:val="36"/>
          <w:lang w:eastAsia="zh-CN"/>
        </w:rPr>
        <w:t>残疾人福利性单位声明函格式</w:t>
      </w:r>
    </w:p>
    <w:p>
      <w:pPr>
        <w:pStyle w:val="12"/>
        <w:rPr>
          <w:rFonts w:asciiTheme="minorEastAsia" w:hAnsiTheme="minorEastAsia" w:eastAsiaTheme="minorEastAsia"/>
          <w:sz w:val="36"/>
          <w:lang w:eastAsia="zh-CN"/>
        </w:rPr>
      </w:pPr>
    </w:p>
    <w:p>
      <w:pPr>
        <w:spacing w:line="360" w:lineRule="auto"/>
        <w:ind w:firstLine="480" w:firstLineChars="200"/>
        <w:rPr>
          <w:sz w:val="24"/>
          <w:lang w:eastAsia="zh-CN"/>
        </w:rPr>
      </w:pPr>
      <w:r>
        <w:rPr>
          <w:sz w:val="24"/>
          <w:lang w:eastAsia="zh-CN"/>
        </w:rPr>
        <w:t>本单位郑重声明，根据《财政部 民政部 中国残疾人联合会关于促进残疾人就业政府采购政策的通知》（财库〔2017〕141号）的规定，本单位（</w:t>
      </w:r>
      <w:r>
        <w:rPr>
          <w:b/>
          <w:sz w:val="24"/>
          <w:lang w:eastAsia="zh-CN"/>
        </w:rPr>
        <w:t>请进行选择）</w:t>
      </w:r>
      <w:r>
        <w:rPr>
          <w:sz w:val="24"/>
          <w:lang w:eastAsia="zh-CN"/>
        </w:rPr>
        <w:t>：</w:t>
      </w:r>
    </w:p>
    <w:p>
      <w:pPr>
        <w:spacing w:line="360" w:lineRule="auto"/>
        <w:ind w:firstLine="480" w:firstLineChars="200"/>
        <w:rPr>
          <w:sz w:val="24"/>
          <w:lang w:eastAsia="zh-CN"/>
        </w:rPr>
      </w:pPr>
      <w:r>
        <w:rPr>
          <w:sz w:val="24"/>
          <w:lang w:eastAsia="zh-CN"/>
        </w:rPr>
        <w:t>□</w:t>
      </w:r>
      <w:r>
        <w:rPr>
          <w:b/>
          <w:sz w:val="24"/>
          <w:lang w:eastAsia="zh-CN"/>
        </w:rPr>
        <w:t>不属于符合条件的残疾人福利性单位。</w:t>
      </w:r>
    </w:p>
    <w:p>
      <w:pPr>
        <w:spacing w:line="360" w:lineRule="auto"/>
        <w:ind w:firstLine="480" w:firstLineChars="200"/>
        <w:rPr>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b/>
          <w:sz w:val="24"/>
          <w:lang w:eastAsia="zh-CN"/>
        </w:rPr>
      </w:pPr>
      <w:r>
        <w:rPr>
          <w:b/>
          <w:sz w:val="24"/>
          <w:lang w:eastAsia="zh-CN"/>
        </w:rPr>
        <w:t>本单位对上述声明的真实性负责。如有虚假，将依法承担相应责任。</w:t>
      </w:r>
    </w:p>
    <w:p>
      <w:pPr>
        <w:pStyle w:val="12"/>
        <w:rPr>
          <w:rFonts w:asciiTheme="minorEastAsia" w:hAnsiTheme="minorEastAsia" w:eastAsiaTheme="minorEastAsia"/>
          <w:lang w:eastAsia="zh-CN"/>
        </w:rPr>
      </w:pPr>
    </w:p>
    <w:p>
      <w:pPr>
        <w:pStyle w:val="12"/>
        <w:rPr>
          <w:rFonts w:asciiTheme="minorEastAsia" w:hAnsiTheme="minorEastAsia" w:eastAsiaTheme="minorEastAsia"/>
          <w:lang w:eastAsia="zh-CN"/>
        </w:rPr>
      </w:pPr>
    </w:p>
    <w:p>
      <w:pPr>
        <w:pStyle w:val="12"/>
        <w:rPr>
          <w:rFonts w:asciiTheme="minorEastAsia" w:hAnsiTheme="minorEastAsia" w:eastAsiaTheme="minorEastAsia"/>
          <w:lang w:eastAsia="zh-CN"/>
        </w:rPr>
      </w:pPr>
    </w:p>
    <w:p>
      <w:pPr>
        <w:pStyle w:val="12"/>
        <w:rPr>
          <w:rFonts w:asciiTheme="minorEastAsia" w:hAnsiTheme="minorEastAsia" w:eastAsiaTheme="minorEastAsia"/>
          <w:lang w:eastAsia="zh-CN"/>
        </w:rPr>
      </w:pPr>
    </w:p>
    <w:p>
      <w:pPr>
        <w:pStyle w:val="12"/>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pPr>
        <w:pStyle w:val="12"/>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pPr>
        <w:widowControl/>
        <w:autoSpaceDE/>
        <w:autoSpaceDN/>
        <w:rPr>
          <w:sz w:val="24"/>
          <w:szCs w:val="24"/>
          <w:u w:val="single"/>
          <w:lang w:eastAsia="zh-CN"/>
        </w:rPr>
      </w:pPr>
      <w:r>
        <w:rPr>
          <w:u w:val="single"/>
          <w:lang w:eastAsia="zh-CN"/>
        </w:rPr>
        <w:br w:type="page"/>
      </w:r>
    </w:p>
    <w:p>
      <w:pPr>
        <w:pStyle w:val="7"/>
        <w:rPr>
          <w:sz w:val="24"/>
          <w:lang w:eastAsia="zh-CN"/>
        </w:rPr>
      </w:pPr>
      <w:r>
        <w:rPr>
          <w:rFonts w:hint="eastAsia"/>
          <w:sz w:val="24"/>
          <w:lang w:eastAsia="zh-CN"/>
        </w:rPr>
        <w:t xml:space="preserve">2-1-2  </w:t>
      </w:r>
      <w:r>
        <w:rPr>
          <w:sz w:val="24"/>
          <w:lang w:eastAsia="zh-CN"/>
        </w:rPr>
        <w:t>拟分包情况说明及分包意向协议说明：</w:t>
      </w:r>
    </w:p>
    <w:p>
      <w:pPr>
        <w:spacing w:line="360" w:lineRule="auto"/>
        <w:rPr>
          <w:sz w:val="24"/>
          <w:lang w:eastAsia="zh-CN"/>
        </w:rPr>
      </w:pPr>
      <w:r>
        <w:rPr>
          <w:sz w:val="24"/>
          <w:lang w:eastAsia="zh-CN"/>
        </w:rPr>
        <w:t>如本项目（包）允许分包，且供应商拟进行分包时，</w:t>
      </w:r>
    </w:p>
    <w:p>
      <w:pPr>
        <w:spacing w:line="360" w:lineRule="auto"/>
        <w:rPr>
          <w:sz w:val="24"/>
          <w:lang w:eastAsia="zh-CN"/>
        </w:rPr>
      </w:pPr>
      <w:r>
        <w:rPr>
          <w:sz w:val="24"/>
          <w:lang w:eastAsia="zh-CN"/>
        </w:rPr>
        <w:t>（1）响应文件中须提供《拟分包情况说明》，否则</w:t>
      </w:r>
      <w:r>
        <w:rPr>
          <w:b/>
          <w:sz w:val="24"/>
          <w:lang w:eastAsia="zh-CN"/>
        </w:rPr>
        <w:t>响应无效</w:t>
      </w:r>
      <w:r>
        <w:rPr>
          <w:sz w:val="24"/>
          <w:lang w:eastAsia="zh-CN"/>
        </w:rPr>
        <w:t>；</w:t>
      </w:r>
    </w:p>
    <w:p>
      <w:pPr>
        <w:spacing w:line="360" w:lineRule="auto"/>
        <w:rPr>
          <w:sz w:val="24"/>
          <w:lang w:eastAsia="zh-CN"/>
        </w:rPr>
      </w:pPr>
      <w:r>
        <w:rPr>
          <w:sz w:val="24"/>
          <w:lang w:eastAsia="zh-CN"/>
        </w:rPr>
        <w:t>（2）当同时符合下列情形时，响应文件还须提供《分包意向协议》，否则</w:t>
      </w:r>
      <w:r>
        <w:rPr>
          <w:b/>
          <w:sz w:val="24"/>
          <w:lang w:eastAsia="zh-CN"/>
        </w:rPr>
        <w:t>响应无效</w:t>
      </w:r>
      <w:r>
        <w:rPr>
          <w:sz w:val="24"/>
          <w:lang w:eastAsia="zh-CN"/>
        </w:rPr>
        <w:t>：</w:t>
      </w:r>
    </w:p>
    <w:p>
      <w:pPr>
        <w:spacing w:line="360" w:lineRule="auto"/>
        <w:ind w:left="565" w:leftChars="257"/>
        <w:rPr>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pPr>
        <w:spacing w:line="360" w:lineRule="auto"/>
        <w:ind w:left="565" w:leftChars="257"/>
        <w:rPr>
          <w:sz w:val="24"/>
          <w:lang w:eastAsia="zh-CN"/>
        </w:rPr>
      </w:pPr>
      <w:r>
        <w:rPr>
          <w:rFonts w:hint="eastAsia"/>
          <w:b/>
          <w:sz w:val="24"/>
          <w:lang w:eastAsia="zh-CN"/>
        </w:rPr>
        <w:t>B.</w:t>
      </w:r>
      <w:r>
        <w:rPr>
          <w:sz w:val="24"/>
          <w:lang w:eastAsia="zh-CN"/>
        </w:rPr>
        <w:t>供应商通过分包方式满足中小企业政策要求的。</w:t>
      </w:r>
    </w:p>
    <w:p>
      <w:pPr>
        <w:spacing w:line="360" w:lineRule="auto"/>
        <w:rPr>
          <w:sz w:val="24"/>
          <w:lang w:eastAsia="zh-CN"/>
        </w:rPr>
      </w:pPr>
      <w:r>
        <w:rPr>
          <w:sz w:val="24"/>
          <w:lang w:eastAsia="zh-CN"/>
        </w:rPr>
        <w:t>（3）不属于上述情形时，无须提供《拟分包情况说明》及《分包意向协议》。</w:t>
      </w:r>
    </w:p>
    <w:p>
      <w:pPr>
        <w:spacing w:line="360" w:lineRule="auto"/>
        <w:ind w:firstLine="480" w:firstLineChars="200"/>
        <w:rPr>
          <w:sz w:val="24"/>
          <w:lang w:eastAsia="zh-CN"/>
        </w:rPr>
      </w:pPr>
    </w:p>
    <w:p>
      <w:pPr>
        <w:rPr>
          <w:rFonts w:asciiTheme="minorEastAsia" w:hAnsiTheme="minorEastAsia" w:eastAsiaTheme="minorEastAsia"/>
          <w:lang w:eastAsia="zh-CN"/>
        </w:rPr>
        <w:sectPr>
          <w:footerReference r:id="rId17" w:type="default"/>
          <w:pgSz w:w="11910" w:h="16840"/>
          <w:pgMar w:top="1440" w:right="1797" w:bottom="1440" w:left="1797" w:header="879" w:footer="892" w:gutter="0"/>
          <w:cols w:space="720" w:num="1"/>
        </w:sectPr>
      </w:pPr>
    </w:p>
    <w:p>
      <w:pPr>
        <w:spacing w:line="460" w:lineRule="exact"/>
        <w:jc w:val="center"/>
        <w:rPr>
          <w:rFonts w:asciiTheme="minorEastAsia" w:hAnsiTheme="minorEastAsia" w:eastAsiaTheme="minorEastAsia"/>
          <w:b/>
          <w:sz w:val="36"/>
          <w:lang w:eastAsia="zh-CN"/>
        </w:rPr>
      </w:pPr>
      <w:r>
        <w:rPr>
          <w:rFonts w:asciiTheme="minorEastAsia" w:hAnsiTheme="minorEastAsia" w:eastAsiaTheme="minorEastAsia"/>
          <w:b/>
          <w:sz w:val="36"/>
          <w:lang w:eastAsia="zh-CN"/>
        </w:rPr>
        <w:t>拟分包情况说明</w:t>
      </w:r>
    </w:p>
    <w:p>
      <w:pPr>
        <w:spacing w:line="360" w:lineRule="auto"/>
        <w:rPr>
          <w:sz w:val="24"/>
          <w:lang w:eastAsia="zh-CN"/>
        </w:rPr>
      </w:pPr>
      <w:r>
        <w:rPr>
          <w:sz w:val="24"/>
          <w:lang w:eastAsia="zh-CN"/>
        </w:rPr>
        <w:t>致：</w:t>
      </w:r>
      <w:r>
        <w:rPr>
          <w:sz w:val="24"/>
          <w:u w:val="single"/>
          <w:lang w:eastAsia="zh-CN"/>
        </w:rPr>
        <w:t>（采购人或采购代理机构）</w:t>
      </w:r>
    </w:p>
    <w:p>
      <w:pPr>
        <w:spacing w:line="360" w:lineRule="auto"/>
        <w:ind w:firstLine="424" w:firstLineChars="177"/>
        <w:rPr>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包（填写包号）的磋商。拟签订分包合同的单位情况如下表所示，我单位承诺一旦在该项目中获得采购合同将按下表所列情况进行分包，同时承诺分包承担主体不再次分包。</w:t>
      </w:r>
    </w:p>
    <w:p>
      <w:pPr>
        <w:pStyle w:val="12"/>
        <w:spacing w:before="7"/>
        <w:rPr>
          <w:rFonts w:asciiTheme="minorEastAsia" w:hAnsiTheme="minorEastAsia" w:eastAsiaTheme="minorEastAsia"/>
          <w:sz w:val="5"/>
          <w:lang w:eastAsia="zh-CN"/>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23"/>
        <w:gridCol w:w="1189"/>
        <w:gridCol w:w="1399"/>
        <w:gridCol w:w="1041"/>
        <w:gridCol w:w="1444"/>
        <w:gridCol w:w="1385"/>
        <w:gridCol w:w="14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exact"/>
        </w:trPr>
        <w:tc>
          <w:tcPr>
            <w:tcW w:w="254" w:type="pct"/>
            <w:vAlign w:val="center"/>
          </w:tcPr>
          <w:p>
            <w:pPr>
              <w:jc w:val="center"/>
            </w:pPr>
            <w:r>
              <w:t>序号</w:t>
            </w:r>
          </w:p>
        </w:tc>
        <w:tc>
          <w:tcPr>
            <w:tcW w:w="714" w:type="pct"/>
            <w:vAlign w:val="center"/>
          </w:tcPr>
          <w:p>
            <w:pPr>
              <w:jc w:val="center"/>
              <w:rPr>
                <w:lang w:eastAsia="zh-CN"/>
              </w:rPr>
            </w:pPr>
            <w:r>
              <w:t>分包承担</w:t>
            </w:r>
          </w:p>
          <w:p>
            <w:pPr>
              <w:jc w:val="center"/>
            </w:pPr>
            <w:r>
              <w:t>主体名称</w:t>
            </w:r>
          </w:p>
        </w:tc>
        <w:tc>
          <w:tcPr>
            <w:tcW w:w="840" w:type="pct"/>
            <w:vAlign w:val="center"/>
          </w:tcPr>
          <w:p>
            <w:pPr>
              <w:jc w:val="center"/>
              <w:rPr>
                <w:lang w:eastAsia="zh-CN"/>
              </w:rPr>
            </w:pPr>
            <w:r>
              <w:rPr>
                <w:lang w:eastAsia="zh-CN"/>
              </w:rPr>
              <w:t>分包承担</w:t>
            </w:r>
          </w:p>
          <w:p>
            <w:pPr>
              <w:jc w:val="center"/>
              <w:rPr>
                <w:lang w:eastAsia="zh-CN"/>
              </w:rPr>
            </w:pPr>
            <w:r>
              <w:rPr>
                <w:lang w:eastAsia="zh-CN"/>
              </w:rPr>
              <w:t>主体类型</w:t>
            </w:r>
          </w:p>
          <w:p>
            <w:pPr>
              <w:jc w:val="center"/>
              <w:rPr>
                <w:lang w:eastAsia="zh-CN"/>
              </w:rPr>
            </w:pPr>
            <w:r>
              <w:rPr>
                <w:lang w:eastAsia="zh-CN"/>
              </w:rPr>
              <w:t>（选择）</w:t>
            </w:r>
          </w:p>
        </w:tc>
        <w:tc>
          <w:tcPr>
            <w:tcW w:w="625" w:type="pct"/>
            <w:vAlign w:val="center"/>
          </w:tcPr>
          <w:p>
            <w:pPr>
              <w:jc w:val="center"/>
            </w:pPr>
            <w:r>
              <w:t>资质等级</w:t>
            </w:r>
          </w:p>
        </w:tc>
        <w:tc>
          <w:tcPr>
            <w:tcW w:w="867" w:type="pct"/>
            <w:vAlign w:val="center"/>
          </w:tcPr>
          <w:p>
            <w:pPr>
              <w:jc w:val="center"/>
              <w:rPr>
                <w:lang w:eastAsia="zh-CN"/>
              </w:rPr>
            </w:pPr>
            <w:r>
              <w:t>拟分包</w:t>
            </w:r>
          </w:p>
          <w:p>
            <w:pPr>
              <w:jc w:val="center"/>
            </w:pPr>
            <w:r>
              <w:t>合同内容</w:t>
            </w:r>
          </w:p>
        </w:tc>
        <w:tc>
          <w:tcPr>
            <w:tcW w:w="832" w:type="pct"/>
            <w:vAlign w:val="center"/>
          </w:tcPr>
          <w:p>
            <w:pPr>
              <w:jc w:val="center"/>
              <w:rPr>
                <w:lang w:eastAsia="zh-CN"/>
              </w:rPr>
            </w:pPr>
            <w:r>
              <w:rPr>
                <w:lang w:eastAsia="zh-CN"/>
              </w:rPr>
              <w:t>拟分包</w:t>
            </w:r>
          </w:p>
          <w:p>
            <w:pPr>
              <w:jc w:val="center"/>
              <w:rPr>
                <w:lang w:eastAsia="zh-CN"/>
              </w:rPr>
            </w:pPr>
            <w:r>
              <w:rPr>
                <w:lang w:eastAsia="zh-CN"/>
              </w:rPr>
              <w:t>合同金额</w:t>
            </w:r>
          </w:p>
          <w:p>
            <w:pPr>
              <w:jc w:val="center"/>
              <w:rPr>
                <w:lang w:eastAsia="zh-CN"/>
              </w:rPr>
            </w:pPr>
            <w:r>
              <w:rPr>
                <w:lang w:eastAsia="zh-CN"/>
              </w:rPr>
              <w:t>（人民币元）</w:t>
            </w:r>
          </w:p>
        </w:tc>
        <w:tc>
          <w:tcPr>
            <w:tcW w:w="868" w:type="pct"/>
            <w:vAlign w:val="center"/>
          </w:tcPr>
          <w:p>
            <w:pPr>
              <w:jc w:val="center"/>
              <w:rPr>
                <w:lang w:eastAsia="zh-CN"/>
              </w:rPr>
            </w:pPr>
            <w:r>
              <w:rPr>
                <w:lang w:eastAsia="zh-CN"/>
              </w:rPr>
              <w:t>占该采购包</w:t>
            </w:r>
          </w:p>
          <w:p>
            <w:pPr>
              <w:jc w:val="center"/>
              <w:rPr>
                <w:b/>
                <w:lang w:eastAsia="zh-CN"/>
              </w:rPr>
            </w:pPr>
            <w:r>
              <w:rPr>
                <w:b/>
                <w:lang w:eastAsia="zh-CN"/>
              </w:rPr>
              <w:t>合同金额的</w:t>
            </w:r>
          </w:p>
          <w:p>
            <w:pPr>
              <w:jc w:val="center"/>
              <w:rPr>
                <w:lang w:eastAsia="zh-CN"/>
              </w:rPr>
            </w:pPr>
            <w:r>
              <w:rPr>
                <w:lang w:eastAsia="zh-CN"/>
              </w:rPr>
              <w:t>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254" w:type="pct"/>
            <w:vAlign w:val="center"/>
          </w:tcPr>
          <w:p>
            <w:pPr>
              <w:jc w:val="center"/>
            </w:pPr>
            <w:r>
              <w:t>1</w:t>
            </w:r>
          </w:p>
        </w:tc>
        <w:tc>
          <w:tcPr>
            <w:tcW w:w="714" w:type="pct"/>
            <w:vAlign w:val="center"/>
          </w:tcPr>
          <w:p>
            <w:pPr>
              <w:jc w:val="center"/>
            </w:pPr>
          </w:p>
        </w:tc>
        <w:tc>
          <w:tcPr>
            <w:tcW w:w="840" w:type="pct"/>
            <w:vAlign w:val="center"/>
          </w:tcPr>
          <w:p>
            <w:pPr>
              <w:jc w:val="center"/>
              <w:rPr>
                <w:lang w:eastAsia="zh-CN"/>
              </w:rPr>
            </w:pPr>
            <w:r>
              <w:rPr>
                <w:lang w:eastAsia="zh-CN"/>
              </w:rPr>
              <w:t>□中型企业</w:t>
            </w:r>
          </w:p>
          <w:p>
            <w:pPr>
              <w:jc w:val="center"/>
              <w:rPr>
                <w:lang w:eastAsia="zh-CN"/>
              </w:rPr>
            </w:pPr>
            <w:r>
              <w:rPr>
                <w:lang w:eastAsia="zh-CN"/>
              </w:rPr>
              <w:t>□小微企业</w:t>
            </w:r>
          </w:p>
          <w:p>
            <w:pPr>
              <w:jc w:val="center"/>
              <w:rPr>
                <w:lang w:eastAsia="zh-CN"/>
              </w:rPr>
            </w:pPr>
            <w:r>
              <w:rPr>
                <w:lang w:eastAsia="zh-CN"/>
              </w:rPr>
              <w:t>□其他</w:t>
            </w:r>
          </w:p>
        </w:tc>
        <w:tc>
          <w:tcPr>
            <w:tcW w:w="625" w:type="pct"/>
            <w:vAlign w:val="center"/>
          </w:tcPr>
          <w:p>
            <w:pPr>
              <w:jc w:val="center"/>
              <w:rPr>
                <w:lang w:eastAsia="zh-CN"/>
              </w:rPr>
            </w:pPr>
          </w:p>
        </w:tc>
        <w:tc>
          <w:tcPr>
            <w:tcW w:w="867" w:type="pct"/>
            <w:vAlign w:val="center"/>
          </w:tcPr>
          <w:p>
            <w:pPr>
              <w:jc w:val="center"/>
              <w:rPr>
                <w:lang w:eastAsia="zh-CN"/>
              </w:rPr>
            </w:pPr>
          </w:p>
        </w:tc>
        <w:tc>
          <w:tcPr>
            <w:tcW w:w="832" w:type="pct"/>
            <w:vAlign w:val="center"/>
          </w:tcPr>
          <w:p>
            <w:pPr>
              <w:jc w:val="center"/>
              <w:rPr>
                <w:lang w:eastAsia="zh-CN"/>
              </w:rPr>
            </w:pPr>
          </w:p>
        </w:tc>
        <w:tc>
          <w:tcPr>
            <w:tcW w:w="868" w:type="pct"/>
            <w:vAlign w:val="center"/>
          </w:tcPr>
          <w:p>
            <w:pPr>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254" w:type="pct"/>
            <w:vAlign w:val="center"/>
          </w:tcPr>
          <w:p>
            <w:pPr>
              <w:jc w:val="center"/>
            </w:pPr>
            <w:r>
              <w:t>2</w:t>
            </w:r>
          </w:p>
        </w:tc>
        <w:tc>
          <w:tcPr>
            <w:tcW w:w="714" w:type="pct"/>
            <w:vAlign w:val="center"/>
          </w:tcPr>
          <w:p>
            <w:pPr>
              <w:jc w:val="center"/>
            </w:pPr>
          </w:p>
        </w:tc>
        <w:tc>
          <w:tcPr>
            <w:tcW w:w="840" w:type="pct"/>
            <w:vAlign w:val="center"/>
          </w:tcPr>
          <w:p>
            <w:pPr>
              <w:jc w:val="center"/>
              <w:rPr>
                <w:lang w:eastAsia="zh-CN"/>
              </w:rPr>
            </w:pPr>
            <w:r>
              <w:rPr>
                <w:lang w:eastAsia="zh-CN"/>
              </w:rPr>
              <w:t>□中型企业</w:t>
            </w:r>
          </w:p>
          <w:p>
            <w:pPr>
              <w:jc w:val="center"/>
              <w:rPr>
                <w:lang w:eastAsia="zh-CN"/>
              </w:rPr>
            </w:pPr>
            <w:r>
              <w:rPr>
                <w:lang w:eastAsia="zh-CN"/>
              </w:rPr>
              <w:t>□小微企业</w:t>
            </w:r>
          </w:p>
          <w:p>
            <w:pPr>
              <w:jc w:val="center"/>
              <w:rPr>
                <w:lang w:eastAsia="zh-CN"/>
              </w:rPr>
            </w:pPr>
            <w:r>
              <w:rPr>
                <w:lang w:eastAsia="zh-CN"/>
              </w:rPr>
              <w:t>□其他</w:t>
            </w:r>
          </w:p>
        </w:tc>
        <w:tc>
          <w:tcPr>
            <w:tcW w:w="625" w:type="pct"/>
            <w:vAlign w:val="center"/>
          </w:tcPr>
          <w:p>
            <w:pPr>
              <w:jc w:val="center"/>
              <w:rPr>
                <w:lang w:eastAsia="zh-CN"/>
              </w:rPr>
            </w:pPr>
          </w:p>
        </w:tc>
        <w:tc>
          <w:tcPr>
            <w:tcW w:w="867" w:type="pct"/>
            <w:vAlign w:val="center"/>
          </w:tcPr>
          <w:p>
            <w:pPr>
              <w:jc w:val="center"/>
              <w:rPr>
                <w:lang w:eastAsia="zh-CN"/>
              </w:rPr>
            </w:pPr>
          </w:p>
        </w:tc>
        <w:tc>
          <w:tcPr>
            <w:tcW w:w="832" w:type="pct"/>
            <w:vAlign w:val="center"/>
          </w:tcPr>
          <w:p>
            <w:pPr>
              <w:jc w:val="center"/>
              <w:rPr>
                <w:lang w:eastAsia="zh-CN"/>
              </w:rPr>
            </w:pPr>
          </w:p>
        </w:tc>
        <w:tc>
          <w:tcPr>
            <w:tcW w:w="868" w:type="pct"/>
            <w:vAlign w:val="center"/>
          </w:tcPr>
          <w:p>
            <w:pPr>
              <w:jc w:val="center"/>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254" w:type="pct"/>
            <w:vAlign w:val="center"/>
          </w:tcPr>
          <w:p>
            <w:pPr>
              <w:jc w:val="center"/>
            </w:pPr>
            <w:r>
              <w:t>…</w:t>
            </w:r>
          </w:p>
        </w:tc>
        <w:tc>
          <w:tcPr>
            <w:tcW w:w="714" w:type="pct"/>
            <w:vAlign w:val="center"/>
          </w:tcPr>
          <w:p>
            <w:pPr>
              <w:jc w:val="center"/>
            </w:pPr>
          </w:p>
        </w:tc>
        <w:tc>
          <w:tcPr>
            <w:tcW w:w="840" w:type="pct"/>
            <w:vAlign w:val="center"/>
          </w:tcPr>
          <w:p>
            <w:pPr>
              <w:jc w:val="center"/>
            </w:pPr>
          </w:p>
        </w:tc>
        <w:tc>
          <w:tcPr>
            <w:tcW w:w="625" w:type="pct"/>
            <w:vAlign w:val="center"/>
          </w:tcPr>
          <w:p>
            <w:pPr>
              <w:jc w:val="center"/>
            </w:pPr>
          </w:p>
        </w:tc>
        <w:tc>
          <w:tcPr>
            <w:tcW w:w="867" w:type="pct"/>
            <w:vAlign w:val="center"/>
          </w:tcPr>
          <w:p>
            <w:pPr>
              <w:jc w:val="center"/>
            </w:pPr>
          </w:p>
        </w:tc>
        <w:tc>
          <w:tcPr>
            <w:tcW w:w="832" w:type="pct"/>
            <w:vAlign w:val="center"/>
          </w:tcPr>
          <w:p>
            <w:pPr>
              <w:jc w:val="center"/>
            </w:pPr>
          </w:p>
        </w:tc>
        <w:tc>
          <w:tcPr>
            <w:tcW w:w="868" w:type="pct"/>
            <w:vAlign w:val="center"/>
          </w:tcPr>
          <w:p>
            <w:pPr>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3300" w:type="pct"/>
            <w:gridSpan w:val="5"/>
            <w:vAlign w:val="center"/>
          </w:tcPr>
          <w:p>
            <w:pPr>
              <w:jc w:val="center"/>
            </w:pPr>
            <w:r>
              <w:t>合计：</w:t>
            </w:r>
          </w:p>
        </w:tc>
        <w:tc>
          <w:tcPr>
            <w:tcW w:w="832" w:type="pct"/>
            <w:vAlign w:val="center"/>
          </w:tcPr>
          <w:p>
            <w:pPr>
              <w:jc w:val="center"/>
            </w:pPr>
          </w:p>
        </w:tc>
        <w:tc>
          <w:tcPr>
            <w:tcW w:w="868" w:type="pct"/>
            <w:vAlign w:val="center"/>
          </w:tcPr>
          <w:p>
            <w:pPr>
              <w:jc w:val="center"/>
            </w:pPr>
          </w:p>
        </w:tc>
      </w:tr>
    </w:tbl>
    <w:p>
      <w:pPr>
        <w:pStyle w:val="12"/>
        <w:spacing w:before="8"/>
        <w:rPr>
          <w:rFonts w:asciiTheme="minorEastAsia" w:hAnsiTheme="minorEastAsia" w:eastAsiaTheme="minorEastAsia"/>
          <w:sz w:val="28"/>
        </w:rPr>
      </w:pPr>
    </w:p>
    <w:p>
      <w:pPr>
        <w:pStyle w:val="12"/>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pPr>
        <w:pStyle w:val="12"/>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pPr>
        <w:spacing w:line="360" w:lineRule="auto"/>
        <w:ind w:firstLine="424" w:firstLineChars="177"/>
        <w:rPr>
          <w:sz w:val="24"/>
          <w:lang w:eastAsia="zh-CN"/>
        </w:rPr>
      </w:pPr>
      <w:r>
        <w:rPr>
          <w:sz w:val="24"/>
          <w:lang w:eastAsia="zh-CN"/>
        </w:rPr>
        <w:t>注：</w:t>
      </w:r>
    </w:p>
    <w:p>
      <w:pPr>
        <w:spacing w:line="360" w:lineRule="auto"/>
        <w:ind w:firstLine="424" w:firstLineChars="177"/>
        <w:rPr>
          <w:sz w:val="24"/>
          <w:lang w:eastAsia="zh-CN"/>
        </w:rPr>
      </w:pPr>
      <w:r>
        <w:rPr>
          <w:sz w:val="24"/>
          <w:lang w:eastAsia="zh-CN"/>
        </w:rPr>
        <w:t>（1）当供应商属于本部分说明中第（1）类情形，如未提供《拟分包情况说明》，或提供了《拟分包情况说明》但未填写分包承担主体名称、拟分包合同内容、拟分包合同金额，其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pPr>
        <w:spacing w:line="360" w:lineRule="auto"/>
        <w:ind w:firstLine="424" w:firstLineChars="177"/>
        <w:rPr>
          <w:sz w:val="24"/>
          <w:lang w:eastAsia="zh-CN"/>
        </w:rPr>
      </w:pPr>
      <w:r>
        <w:rPr>
          <w:sz w:val="24"/>
          <w:lang w:eastAsia="zh-CN"/>
        </w:rPr>
        <w:t>（2）当供应商属于本部分说明中第（2）类情形，如未提供《拟分包情况说明》，或提供了《拟分包情况说明》但未填写分包承担主体名称、分包承担主体类型、拟分包合同内容、拟分包合同金额，其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pPr>
        <w:spacing w:line="360" w:lineRule="auto"/>
        <w:ind w:firstLine="424" w:firstLineChars="177"/>
        <w:rPr>
          <w:sz w:val="24"/>
          <w:lang w:eastAsia="zh-CN"/>
        </w:rPr>
      </w:pPr>
      <w:r>
        <w:rPr>
          <w:sz w:val="24"/>
          <w:lang w:eastAsia="zh-CN"/>
        </w:rPr>
        <w:t>（3）如本采购文件《供应商须知资料表》载明本项目分包承担主体应具备的相应资质条件，则供应商须在本表中列明分包承担主体的资质等级，并后附资质证书电子件，否则</w:t>
      </w:r>
      <w:r>
        <w:rPr>
          <w:b/>
          <w:sz w:val="24"/>
          <w:lang w:eastAsia="zh-CN"/>
        </w:rPr>
        <w:t>响应无效</w:t>
      </w:r>
      <w:r>
        <w:rPr>
          <w:sz w:val="24"/>
          <w:lang w:eastAsia="zh-CN"/>
        </w:rPr>
        <w:t>。</w:t>
      </w:r>
    </w:p>
    <w:p>
      <w:pPr>
        <w:rPr>
          <w:rFonts w:asciiTheme="minorEastAsia" w:hAnsiTheme="minorEastAsia" w:eastAsiaTheme="minorEastAsia"/>
          <w:lang w:eastAsia="zh-CN"/>
        </w:rPr>
        <w:sectPr>
          <w:pgSz w:w="11910" w:h="16840"/>
          <w:pgMar w:top="1440" w:right="1797" w:bottom="1440" w:left="1797" w:header="879" w:footer="892" w:gutter="0"/>
          <w:cols w:space="720" w:num="1"/>
        </w:sectPr>
      </w:pPr>
    </w:p>
    <w:p>
      <w:pPr>
        <w:spacing w:line="460" w:lineRule="exact"/>
        <w:ind w:left="2310"/>
        <w:rPr>
          <w:rFonts w:asciiTheme="minorEastAsia" w:hAnsiTheme="minorEastAsia" w:eastAsiaTheme="minorEastAsia"/>
          <w:b/>
          <w:sz w:val="36"/>
          <w:lang w:eastAsia="zh-CN"/>
        </w:rPr>
      </w:pPr>
      <w:r>
        <w:rPr>
          <w:rFonts w:asciiTheme="minorEastAsia" w:hAnsiTheme="minorEastAsia" w:eastAsiaTheme="minorEastAsia"/>
          <w:b/>
          <w:sz w:val="36"/>
          <w:lang w:eastAsia="zh-CN"/>
        </w:rPr>
        <w:t>分包意向协议（实质性格式）</w:t>
      </w:r>
    </w:p>
    <w:p>
      <w:pPr>
        <w:spacing w:line="360" w:lineRule="auto"/>
        <w:rPr>
          <w:sz w:val="24"/>
          <w:lang w:eastAsia="zh-CN"/>
        </w:rPr>
      </w:pPr>
      <w:r>
        <w:rPr>
          <w:sz w:val="24"/>
          <w:lang w:eastAsia="zh-CN"/>
        </w:rPr>
        <w:t>甲方（供应商）：</w:t>
      </w:r>
      <w:r>
        <w:rPr>
          <w:rFonts w:hint="eastAsia"/>
          <w:sz w:val="24"/>
          <w:u w:val="single"/>
          <w:lang w:eastAsia="zh-CN"/>
        </w:rPr>
        <w:t xml:space="preserve">             </w:t>
      </w:r>
    </w:p>
    <w:p>
      <w:pPr>
        <w:spacing w:line="360" w:lineRule="auto"/>
        <w:rPr>
          <w:sz w:val="24"/>
          <w:lang w:eastAsia="zh-CN"/>
        </w:rPr>
      </w:pPr>
      <w:r>
        <w:rPr>
          <w:sz w:val="24"/>
          <w:lang w:eastAsia="zh-CN"/>
        </w:rPr>
        <w:t>乙方（拟分包单位）</w:t>
      </w:r>
      <w:r>
        <w:rPr>
          <w:rFonts w:hint="eastAsia"/>
          <w:sz w:val="24"/>
          <w:u w:val="single"/>
          <w:lang w:eastAsia="zh-CN"/>
        </w:rPr>
        <w:t xml:space="preserve">             </w:t>
      </w:r>
    </w:p>
    <w:p>
      <w:pPr>
        <w:spacing w:line="360" w:lineRule="auto"/>
        <w:rPr>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（采购项目名称）（项目编号/包号为：</w:t>
      </w:r>
      <w:r>
        <w:rPr>
          <w:rFonts w:hint="eastAsia"/>
          <w:sz w:val="24"/>
          <w:u w:val="single"/>
          <w:lang w:eastAsia="zh-CN"/>
        </w:rPr>
        <w:t xml:space="preserve">       </w:t>
      </w:r>
      <w:r>
        <w:rPr>
          <w:sz w:val="24"/>
          <w:lang w:eastAsia="zh-CN"/>
        </w:rPr>
        <w:t>）采购项目中获得采购合同，将按照下述约定将合同项下部分内容分包给乙方：</w:t>
      </w:r>
    </w:p>
    <w:p>
      <w:pPr>
        <w:spacing w:line="360" w:lineRule="auto"/>
        <w:rPr>
          <w:sz w:val="24"/>
          <w:lang w:eastAsia="zh-CN"/>
        </w:rPr>
      </w:pPr>
      <w:r>
        <w:rPr>
          <w:sz w:val="24"/>
          <w:lang w:eastAsia="zh-CN"/>
        </w:rPr>
        <w:t>1.分包内容：</w:t>
      </w:r>
      <w:r>
        <w:rPr>
          <w:rFonts w:hint="eastAsia"/>
          <w:sz w:val="24"/>
          <w:u w:val="single"/>
          <w:lang w:eastAsia="zh-CN"/>
        </w:rPr>
        <w:t xml:space="preserve">       </w:t>
      </w:r>
      <w:r>
        <w:rPr>
          <w:sz w:val="24"/>
          <w:lang w:eastAsia="zh-CN"/>
        </w:rPr>
        <w:t>。</w:t>
      </w:r>
    </w:p>
    <w:p>
      <w:pPr>
        <w:spacing w:line="360" w:lineRule="auto"/>
        <w:rPr>
          <w:sz w:val="24"/>
          <w:lang w:eastAsia="zh-CN"/>
        </w:rPr>
      </w:pPr>
      <w:r>
        <w:rPr>
          <w:sz w:val="24"/>
          <w:lang w:eastAsia="zh-CN"/>
        </w:rPr>
        <w:t>2.分包金额：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%。乙方承诺将在上述情况下与甲方签订分包合同。</w:t>
      </w:r>
    </w:p>
    <w:p>
      <w:pPr>
        <w:spacing w:line="360" w:lineRule="auto"/>
        <w:rPr>
          <w:sz w:val="24"/>
          <w:lang w:eastAsia="zh-CN"/>
        </w:rPr>
      </w:pPr>
      <w:r>
        <w:rPr>
          <w:sz w:val="24"/>
          <w:lang w:eastAsia="zh-CN"/>
        </w:rPr>
        <w:t>本协议自各方盖章之日起生效，如甲方未在该项目（采购包）成交，本协议自动终止。</w:t>
      </w:r>
    </w:p>
    <w:p>
      <w:pPr>
        <w:pStyle w:val="12"/>
        <w:rPr>
          <w:rFonts w:asciiTheme="minorEastAsia" w:hAnsiTheme="minorEastAsia" w:eastAsiaTheme="minorEastAsia"/>
          <w:sz w:val="20"/>
          <w:lang w:eastAsia="zh-CN"/>
        </w:rPr>
      </w:pPr>
    </w:p>
    <w:p>
      <w:pPr>
        <w:pStyle w:val="12"/>
        <w:tabs>
          <w:tab w:val="left" w:pos="2924"/>
          <w:tab w:val="left" w:pos="5391"/>
          <w:tab w:val="left" w:pos="7724"/>
        </w:tabs>
        <w:spacing w:before="194"/>
        <w:ind w:left="591"/>
        <w:rPr>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pPr>
        <w:pStyle w:val="12"/>
        <w:rPr>
          <w:rFonts w:asciiTheme="minorEastAsia" w:hAnsiTheme="minorEastAsia" w:eastAsiaTheme="minorEastAsia"/>
          <w:sz w:val="20"/>
          <w:lang w:eastAsia="zh-CN"/>
        </w:rPr>
      </w:pPr>
    </w:p>
    <w:p>
      <w:pPr>
        <w:pStyle w:val="12"/>
        <w:spacing w:before="9"/>
        <w:rPr>
          <w:rFonts w:asciiTheme="minorEastAsia" w:hAnsiTheme="minorEastAsia" w:eastAsiaTheme="minorEastAsia"/>
          <w:sz w:val="26"/>
          <w:lang w:eastAsia="zh-CN"/>
        </w:rPr>
      </w:pPr>
    </w:p>
    <w:p>
      <w:pPr>
        <w:pStyle w:val="12"/>
        <w:tabs>
          <w:tab w:val="left" w:pos="6673"/>
          <w:tab w:val="left" w:pos="7633"/>
          <w:tab w:val="left" w:pos="8593"/>
        </w:tabs>
        <w:spacing w:before="33"/>
        <w:ind w:left="5233"/>
        <w:rPr>
          <w:rFonts w:asciiTheme="minorEastAsia" w:hAnsiTheme="minorEastAsia" w:eastAsiaTheme="minorEastAsia"/>
          <w:lang w:eastAsia="zh-CN"/>
        </w:rPr>
      </w:pPr>
      <w:r>
        <w:rPr>
          <w:lang w:eastAsia="zh-CN"/>
        </w:rPr>
        <w:t>日 期：</w:t>
      </w:r>
      <w:r>
        <w:rPr>
          <w:rFonts w:hint="eastAsia"/>
          <w:u w:val="single"/>
          <w:lang w:eastAsia="zh-CN"/>
        </w:rPr>
        <w:t xml:space="preserve">               </w:t>
      </w:r>
    </w:p>
    <w:p>
      <w:pPr>
        <w:pStyle w:val="12"/>
        <w:rPr>
          <w:rFonts w:asciiTheme="minorEastAsia" w:hAnsiTheme="minorEastAsia" w:eastAsiaTheme="minorEastAsia"/>
          <w:sz w:val="26"/>
          <w:lang w:eastAsia="zh-CN"/>
        </w:rPr>
      </w:pPr>
    </w:p>
    <w:p>
      <w:pPr>
        <w:spacing w:line="360" w:lineRule="auto"/>
        <w:ind w:firstLine="424" w:firstLineChars="177"/>
        <w:rPr>
          <w:sz w:val="24"/>
          <w:lang w:eastAsia="zh-CN"/>
        </w:rPr>
      </w:pPr>
      <w:r>
        <w:rPr>
          <w:sz w:val="24"/>
          <w:lang w:eastAsia="zh-CN"/>
        </w:rPr>
        <w:t>注：</w:t>
      </w:r>
    </w:p>
    <w:p>
      <w:pPr>
        <w:spacing w:line="360" w:lineRule="auto"/>
        <w:ind w:firstLine="424" w:firstLineChars="177"/>
        <w:rPr>
          <w:sz w:val="24"/>
          <w:lang w:eastAsia="zh-CN"/>
        </w:rPr>
      </w:pPr>
      <w:r>
        <w:rPr>
          <w:sz w:val="24"/>
          <w:lang w:eastAsia="zh-CN"/>
        </w:rPr>
        <w:t>（1）当供应商属于本部分说明中第（2）类情形，必须提供，否则</w:t>
      </w:r>
      <w:r>
        <w:rPr>
          <w:b/>
          <w:sz w:val="24"/>
          <w:lang w:eastAsia="zh-CN"/>
        </w:rPr>
        <w:t>响应无效</w:t>
      </w:r>
      <w:r>
        <w:rPr>
          <w:sz w:val="24"/>
          <w:lang w:eastAsia="zh-CN"/>
        </w:rPr>
        <w:t>；其他情形无须提供；</w:t>
      </w:r>
    </w:p>
    <w:p>
      <w:pPr>
        <w:spacing w:line="360" w:lineRule="auto"/>
        <w:ind w:firstLine="424" w:firstLineChars="177"/>
        <w:rPr>
          <w:sz w:val="24"/>
          <w:lang w:eastAsia="zh-CN"/>
        </w:rPr>
      </w:pPr>
      <w:r>
        <w:rPr>
          <w:sz w:val="24"/>
          <w:lang w:eastAsia="zh-CN"/>
        </w:rPr>
        <w:t>（2）供应商须与所有拟分包单位分别签订《分包意向协议》，每单位签订一份，并在响应文件中提交全部协议原件的电子件，否则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pPr>
        <w:spacing w:line="338" w:lineRule="auto"/>
        <w:rPr>
          <w:rFonts w:asciiTheme="minorEastAsia" w:hAnsiTheme="minorEastAsia" w:eastAsiaTheme="minorEastAsia"/>
          <w:lang w:eastAsia="zh-CN"/>
        </w:rPr>
        <w:sectPr>
          <w:pgSz w:w="11910" w:h="16840"/>
          <w:pgMar w:top="1440" w:right="1797" w:bottom="1440" w:left="1797" w:header="879" w:footer="892" w:gutter="0"/>
          <w:cols w:space="720" w:num="1"/>
        </w:sectPr>
      </w:pPr>
    </w:p>
    <w:p>
      <w:pPr>
        <w:pStyle w:val="7"/>
        <w:rPr>
          <w:sz w:val="24"/>
          <w:lang w:eastAsia="zh-CN"/>
        </w:rPr>
      </w:pPr>
      <w:r>
        <w:rPr>
          <w:rFonts w:hint="eastAsia"/>
          <w:sz w:val="24"/>
          <w:lang w:eastAsia="zh-CN"/>
        </w:rPr>
        <w:t xml:space="preserve">2-2 </w:t>
      </w:r>
      <w:r>
        <w:rPr>
          <w:sz w:val="24"/>
          <w:lang w:eastAsia="zh-CN"/>
        </w:rPr>
        <w:t>其它落实政府采购政策的资格要求（如有）</w:t>
      </w:r>
    </w:p>
    <w:p>
      <w:pPr>
        <w:pStyle w:val="7"/>
        <w:rPr>
          <w:sz w:val="24"/>
          <w:lang w:eastAsia="zh-CN"/>
        </w:rPr>
        <w:sectPr>
          <w:pgSz w:w="11910" w:h="16840"/>
          <w:pgMar w:top="1440" w:right="1797" w:bottom="1440" w:left="1797" w:header="879" w:footer="892" w:gutter="0"/>
          <w:cols w:space="720" w:num="1"/>
        </w:sectPr>
      </w:pPr>
    </w:p>
    <w:p>
      <w:pPr>
        <w:pStyle w:val="6"/>
        <w:numPr>
          <w:ilvl w:val="0"/>
          <w:numId w:val="122"/>
        </w:numPr>
        <w:rPr>
          <w:i w:val="0"/>
          <w:lang w:eastAsia="zh-CN"/>
        </w:rPr>
      </w:pPr>
      <w:r>
        <w:rPr>
          <w:i w:val="0"/>
          <w:lang w:eastAsia="zh-CN"/>
        </w:rPr>
        <w:t>本项目的特定资格要求（如有）</w:t>
      </w:r>
    </w:p>
    <w:p>
      <w:pPr>
        <w:pStyle w:val="7"/>
        <w:spacing w:after="240" w:afterLines="100" w:line="377" w:lineRule="auto"/>
        <w:rPr>
          <w:sz w:val="24"/>
          <w:lang w:eastAsia="zh-CN"/>
        </w:rPr>
      </w:pPr>
      <w:r>
        <w:rPr>
          <w:rFonts w:hint="eastAsia"/>
          <w:sz w:val="24"/>
          <w:lang w:eastAsia="zh-CN"/>
        </w:rPr>
        <w:t xml:space="preserve">3-1 </w:t>
      </w:r>
      <w:r>
        <w:rPr>
          <w:sz w:val="24"/>
          <w:lang w:eastAsia="zh-CN"/>
        </w:rPr>
        <w:t>联合协议（如有）</w:t>
      </w:r>
    </w:p>
    <w:p>
      <w:pPr>
        <w:jc w:val="center"/>
        <w:rPr>
          <w:b/>
          <w:sz w:val="36"/>
          <w:lang w:eastAsia="zh-CN"/>
        </w:rPr>
      </w:pPr>
      <w:r>
        <w:rPr>
          <w:b/>
          <w:sz w:val="32"/>
          <w:lang w:eastAsia="zh-CN"/>
        </w:rPr>
        <w:t>联合协议</w:t>
      </w:r>
    </w:p>
    <w:p>
      <w:pPr>
        <w:pStyle w:val="12"/>
        <w:spacing w:before="11"/>
        <w:rPr>
          <w:rFonts w:asciiTheme="minorEastAsia" w:hAnsiTheme="minorEastAsia" w:eastAsiaTheme="minorEastAsia"/>
          <w:sz w:val="15"/>
          <w:lang w:eastAsia="zh-CN"/>
        </w:rPr>
      </w:pPr>
    </w:p>
    <w:p>
      <w:pPr>
        <w:pStyle w:val="12"/>
        <w:tabs>
          <w:tab w:val="left" w:pos="1722"/>
          <w:tab w:val="left" w:pos="2763"/>
          <w:tab w:val="left" w:pos="3735"/>
          <w:tab w:val="left" w:pos="4830"/>
          <w:tab w:val="left" w:pos="7234"/>
        </w:tabs>
        <w:spacing w:before="42" w:line="338" w:lineRule="auto"/>
        <w:ind w:left="121" w:right="111" w:firstLine="828"/>
        <w:rPr>
          <w:rFonts w:asciiTheme="minorEastAsia" w:hAnsiTheme="minorEastAsia" w:eastAsiaTheme="minorEastAsia"/>
          <w:lang w:eastAsia="zh-CN"/>
        </w:rPr>
      </w:pPr>
      <w:r>
        <w:rPr>
          <w:rFonts w:asciiTheme="minorEastAsia" w:hAnsiTheme="minorEastAsia" w:eastAsiaTheme="minorEastAsia"/>
          <w:u w:val="single"/>
          <w:lang w:eastAsia="zh-CN"/>
        </w:rPr>
        <w:t xml:space="preserve"> </w:t>
      </w:r>
      <w:r>
        <w:rPr>
          <w:rFonts w:hint="eastAsia" w:asciiTheme="minorEastAsia" w:hAnsiTheme="minorEastAsia" w:eastAsiaTheme="minorEastAsia"/>
          <w:spacing w:val="12"/>
          <w:u w:val="single"/>
          <w:lang w:eastAsia="zh-CN"/>
        </w:rPr>
        <w:t xml:space="preserve">   </w:t>
      </w:r>
      <w:r>
        <w:rPr>
          <w:rFonts w:asciiTheme="minorEastAsia" w:hAnsiTheme="minorEastAsia" w:eastAsiaTheme="minorEastAsia"/>
          <w:spacing w:val="4"/>
          <w:w w:val="105"/>
          <w:lang w:eastAsia="zh-CN"/>
        </w:rPr>
        <w:t>、</w:t>
      </w:r>
      <w:r>
        <w:rPr>
          <w:rFonts w:asciiTheme="minorEastAsia" w:hAnsiTheme="minorEastAsia" w:eastAsiaTheme="minorEastAsia"/>
          <w:u w:val="single"/>
          <w:lang w:eastAsia="zh-CN"/>
        </w:rPr>
        <w:t xml:space="preserve"> </w:t>
      </w:r>
      <w:r>
        <w:rPr>
          <w:rFonts w:hint="eastAsia" w:asciiTheme="minorEastAsia" w:hAnsiTheme="minorEastAsia" w:eastAsiaTheme="minorEastAsia"/>
          <w:spacing w:val="12"/>
          <w:u w:val="single"/>
          <w:lang w:eastAsia="zh-CN"/>
        </w:rPr>
        <w:t xml:space="preserve">   </w:t>
      </w:r>
      <w:r>
        <w:rPr>
          <w:rFonts w:asciiTheme="minorEastAsia" w:hAnsiTheme="minorEastAsia" w:eastAsiaTheme="minorEastAsia"/>
          <w:spacing w:val="4"/>
          <w:w w:val="105"/>
          <w:lang w:eastAsia="zh-CN"/>
        </w:rPr>
        <w:t>及</w:t>
      </w:r>
      <w:r>
        <w:rPr>
          <w:rFonts w:asciiTheme="minorEastAsia" w:hAnsiTheme="minorEastAsia" w:eastAsiaTheme="minorEastAsia"/>
          <w:spacing w:val="4"/>
          <w:w w:val="105"/>
          <w:u w:val="single"/>
          <w:lang w:eastAsia="zh-CN"/>
        </w:rPr>
        <w:t xml:space="preserve"> </w:t>
      </w:r>
      <w:r>
        <w:rPr>
          <w:rFonts w:asciiTheme="minorEastAsia" w:hAnsiTheme="minorEastAsia" w:eastAsiaTheme="minorEastAsia"/>
          <w:w w:val="105"/>
          <w:lang w:eastAsia="zh-CN"/>
        </w:rPr>
        <w:t>就“</w:t>
      </w:r>
      <w:r>
        <w:rPr>
          <w:rFonts w:asciiTheme="minorEastAsia" w:hAnsiTheme="minorEastAsia" w:eastAsiaTheme="minorEastAsia"/>
          <w:u w:val="single"/>
          <w:lang w:eastAsia="zh-CN"/>
        </w:rPr>
        <w:t xml:space="preserve"> </w:t>
      </w:r>
      <w:r>
        <w:rPr>
          <w:rFonts w:hint="eastAsia" w:asciiTheme="minorEastAsia" w:hAnsiTheme="minorEastAsia" w:eastAsiaTheme="minorEastAsia"/>
          <w:spacing w:val="12"/>
          <w:u w:val="single"/>
          <w:lang w:eastAsia="zh-CN"/>
        </w:rPr>
        <w:t xml:space="preserve">   </w:t>
      </w:r>
      <w:r>
        <w:rPr>
          <w:rFonts w:asciiTheme="minorEastAsia" w:hAnsiTheme="minorEastAsia" w:eastAsiaTheme="minorEastAsia"/>
          <w:spacing w:val="4"/>
          <w:w w:val="105"/>
          <w:lang w:eastAsia="zh-CN"/>
        </w:rPr>
        <w:t>（项目名称）”</w:t>
      </w:r>
      <w:r>
        <w:rPr>
          <w:rFonts w:asciiTheme="minorEastAsia" w:hAnsiTheme="minorEastAsia" w:eastAsiaTheme="minorEastAsia"/>
          <w:u w:val="single"/>
          <w:lang w:eastAsia="zh-CN"/>
        </w:rPr>
        <w:t xml:space="preserve"> </w:t>
      </w:r>
      <w:r>
        <w:rPr>
          <w:rFonts w:hint="eastAsia" w:asciiTheme="minorEastAsia" w:hAnsiTheme="minorEastAsia" w:eastAsiaTheme="minorEastAsia"/>
          <w:spacing w:val="12"/>
          <w:u w:val="single"/>
          <w:lang w:eastAsia="zh-CN"/>
        </w:rPr>
        <w:t xml:space="preserve">   </w:t>
      </w:r>
      <w:r>
        <w:rPr>
          <w:rFonts w:asciiTheme="minorEastAsia" w:hAnsiTheme="minorEastAsia" w:eastAsiaTheme="minorEastAsia"/>
          <w:w w:val="105"/>
          <w:lang w:eastAsia="zh-CN"/>
        </w:rPr>
        <w:t>包采购项目的磋商事宜，经各方充分协商一致，达成如下协议：</w:t>
      </w:r>
    </w:p>
    <w:p>
      <w:pPr>
        <w:pStyle w:val="12"/>
        <w:tabs>
          <w:tab w:val="left" w:pos="2101"/>
          <w:tab w:val="left" w:pos="3745"/>
          <w:tab w:val="left" w:pos="4909"/>
        </w:tabs>
        <w:spacing w:before="55" w:line="355" w:lineRule="auto"/>
        <w:ind w:left="901" w:right="111" w:hanging="600"/>
        <w:rPr>
          <w:rFonts w:asciiTheme="minorEastAsia" w:hAnsiTheme="minorEastAsia" w:eastAsiaTheme="minorEastAsia"/>
          <w:lang w:eastAsia="zh-CN"/>
        </w:rPr>
      </w:pPr>
      <w:r>
        <w:rPr>
          <w:rFonts w:asciiTheme="minorEastAsia" w:hAnsiTheme="minorEastAsia" w:eastAsiaTheme="minorEastAsia"/>
          <w:lang w:eastAsia="zh-CN"/>
        </w:rPr>
        <w:t>一、由</w:t>
      </w:r>
      <w:r>
        <w:rPr>
          <w:rFonts w:asciiTheme="minorEastAsia" w:hAnsiTheme="minorEastAsia" w:eastAsiaTheme="minorEastAsia"/>
          <w:u w:val="single"/>
          <w:lang w:eastAsia="zh-CN"/>
        </w:rPr>
        <w:t xml:space="preserve"> </w:t>
      </w:r>
      <w:r>
        <w:rPr>
          <w:rFonts w:hint="eastAsia" w:asciiTheme="minorEastAsia" w:hAnsiTheme="minorEastAsia" w:eastAsiaTheme="minorEastAsia"/>
          <w:spacing w:val="12"/>
          <w:u w:val="single"/>
          <w:lang w:eastAsia="zh-CN"/>
        </w:rPr>
        <w:t xml:space="preserve">     </w:t>
      </w:r>
      <w:r>
        <w:rPr>
          <w:rFonts w:asciiTheme="minorEastAsia" w:hAnsiTheme="minorEastAsia" w:eastAsiaTheme="minorEastAsia"/>
          <w:spacing w:val="-13"/>
          <w:lang w:eastAsia="zh-CN"/>
        </w:rPr>
        <w:t>牵头，</w:t>
      </w:r>
      <w:r>
        <w:rPr>
          <w:rFonts w:asciiTheme="minorEastAsia" w:hAnsiTheme="minorEastAsia" w:eastAsiaTheme="minorEastAsia"/>
          <w:u w:val="single"/>
          <w:lang w:eastAsia="zh-CN"/>
        </w:rPr>
        <w:t xml:space="preserve"> </w:t>
      </w:r>
      <w:r>
        <w:rPr>
          <w:rFonts w:hint="eastAsia" w:asciiTheme="minorEastAsia" w:hAnsiTheme="minorEastAsia" w:eastAsiaTheme="minorEastAsia"/>
          <w:spacing w:val="12"/>
          <w:u w:val="single"/>
          <w:lang w:eastAsia="zh-CN"/>
        </w:rPr>
        <w:t xml:space="preserve">     </w:t>
      </w:r>
      <w:r>
        <w:rPr>
          <w:rFonts w:asciiTheme="minorEastAsia" w:hAnsiTheme="minorEastAsia" w:eastAsiaTheme="minorEastAsia"/>
          <w:spacing w:val="-36"/>
          <w:lang w:eastAsia="zh-CN"/>
        </w:rPr>
        <w:t>、</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hint="eastAsia" w:asciiTheme="minorEastAsia" w:hAnsiTheme="minorEastAsia" w:eastAsiaTheme="minorEastAsia"/>
          <w:spacing w:val="12"/>
          <w:u w:val="single"/>
          <w:lang w:eastAsia="zh-CN"/>
        </w:rPr>
        <w:t xml:space="preserve">   </w:t>
      </w:r>
      <w:r>
        <w:rPr>
          <w:rFonts w:asciiTheme="minorEastAsia" w:hAnsiTheme="minorEastAsia" w:eastAsiaTheme="minorEastAsia"/>
          <w:lang w:eastAsia="zh-CN"/>
        </w:rPr>
        <w:t>参加，组成联合体共同进行采购项目的磋商工作。</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二、</w:t>
      </w:r>
      <w:r>
        <w:rPr>
          <w:lang w:eastAsia="zh-CN"/>
        </w:rPr>
        <w:t>联合体成交后，联合体各方共同与采购人签订合同，就采购合同约定的事项对采购人承担连带责任。</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三、联合体各方均同意由牵头人代表其他联合体成员单位按竞争性磋商文件要求出具《授权委托书》。</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四、牵头人为项目的总负责单位；组织各参加方进行项目实施工作。</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五、负责，具体工作范围、内容以响应文件及合同为准。</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六、负责，具体工作范围、内容以响应文件及合同为准。</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七、负责（如有），具体工作范围、内容以响应文件及合同为准。</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八、本项目联合协议合同总额为 元，联合体各成员按照如下比例分摊（按联合体成员分别列明）：</w:t>
      </w:r>
    </w:p>
    <w:p>
      <w:pPr>
        <w:pStyle w:val="12"/>
        <w:spacing w:before="38" w:line="357" w:lineRule="auto"/>
        <w:ind w:left="715" w:leftChars="107" w:right="110" w:hanging="480" w:hangingChars="200"/>
        <w:rPr>
          <w:rFonts w:asciiTheme="minorEastAsia" w:hAnsiTheme="minorEastAsia" w:eastAsiaTheme="minorEastAsia"/>
          <w:lang w:eastAsia="zh-CN"/>
        </w:rPr>
      </w:pPr>
      <w:r>
        <w:rPr>
          <w:rFonts w:hint="eastAsia" w:asciiTheme="minorEastAsia" w:hAnsiTheme="minorEastAsia" w:eastAsiaTheme="minorEastAsia"/>
          <w:lang w:eastAsia="zh-CN"/>
        </w:rPr>
        <w:t>（1）</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为□大型企业□中型企业、□小微企业（包含监狱企业、残疾人福利性单位）、□其他，合同金额为</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元；</w:t>
      </w:r>
    </w:p>
    <w:p>
      <w:pPr>
        <w:pStyle w:val="12"/>
        <w:spacing w:before="38" w:line="357" w:lineRule="auto"/>
        <w:ind w:left="715" w:leftChars="107" w:right="110" w:hanging="480" w:hangingChars="200"/>
        <w:rPr>
          <w:rFonts w:asciiTheme="minorEastAsia" w:hAnsiTheme="minorEastAsia" w:eastAsiaTheme="minorEastAsia"/>
          <w:lang w:eastAsia="zh-CN"/>
        </w:rPr>
      </w:pPr>
      <w:r>
        <w:rPr>
          <w:rFonts w:hint="eastAsia" w:asciiTheme="minorEastAsia" w:hAnsiTheme="minorEastAsia" w:eastAsiaTheme="minorEastAsia"/>
          <w:lang w:eastAsia="zh-CN"/>
        </w:rPr>
        <w:t>（2）</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为□大型企业□中型企业、□小微企业（包含监狱企业、残疾人福利性单位）、□其他，合同金额为</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元；</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为□大型企业□中型企业、□小微企业（包含监狱企业、残疾人福利性单位）、□其他，合同金额为</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元。</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九、以联合体形式参加政府采购活动的，联合体各方不得再单独参加或者与其他供应商另外组成联合体参加同一合同项下的政府采购活动。</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十、其他约定（如有）：</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w:t>
      </w: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本协议自各方盖章后生效，采购合同履行完毕后自动失效。如未成交，本协议自动终止。</w:t>
      </w:r>
    </w:p>
    <w:p>
      <w:pPr>
        <w:spacing w:line="357" w:lineRule="auto"/>
        <w:rPr>
          <w:rFonts w:asciiTheme="minorEastAsia" w:hAnsiTheme="minorEastAsia" w:eastAsiaTheme="minorEastAsia"/>
          <w:lang w:eastAsia="zh-CN"/>
        </w:rPr>
        <w:sectPr>
          <w:pgSz w:w="11910" w:h="16840"/>
          <w:pgMar w:top="1440" w:right="1797" w:bottom="1440" w:left="1797" w:header="879" w:footer="892" w:gutter="0"/>
          <w:cols w:space="720" w:num="1"/>
        </w:sectPr>
      </w:pPr>
    </w:p>
    <w:p>
      <w:pPr>
        <w:pStyle w:val="12"/>
        <w:spacing w:before="5"/>
        <w:rPr>
          <w:rFonts w:asciiTheme="minorEastAsia" w:hAnsiTheme="minorEastAsia" w:eastAsiaTheme="minorEastAsia"/>
          <w:sz w:val="17"/>
          <w:lang w:eastAsia="zh-CN"/>
        </w:rPr>
      </w:pPr>
    </w:p>
    <w:p>
      <w:pPr>
        <w:pStyle w:val="12"/>
        <w:tabs>
          <w:tab w:val="left" w:pos="2084"/>
          <w:tab w:val="left" w:pos="3524"/>
        </w:tabs>
        <w:spacing w:before="34" w:line="355" w:lineRule="auto"/>
        <w:ind w:left="591"/>
        <w:rPr>
          <w:rFonts w:asciiTheme="minorEastAsia" w:hAnsiTheme="minorEastAsia" w:eastAsiaTheme="minorEastAsia"/>
          <w:u w:val="single"/>
          <w:lang w:eastAsia="zh-CN"/>
        </w:rPr>
      </w:pPr>
      <w:r>
        <w:rPr>
          <w:rFonts w:asciiTheme="minorEastAsia" w:hAnsiTheme="minorEastAsia" w:eastAsiaTheme="minorEastAsia"/>
          <w:lang w:eastAsia="zh-CN"/>
        </w:rPr>
        <w:t>联合体牵头人名称：</w:t>
      </w:r>
      <w:r>
        <w:rPr>
          <w:rFonts w:hint="eastAsia" w:asciiTheme="minorEastAsia" w:hAnsiTheme="minorEastAsia" w:eastAsiaTheme="minorEastAsia"/>
          <w:u w:val="single"/>
          <w:lang w:eastAsia="zh-CN"/>
        </w:rPr>
        <w:t xml:space="preserve">        </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联合体成员名称：</w:t>
      </w:r>
      <w:r>
        <w:rPr>
          <w:rFonts w:hint="eastAsia" w:asciiTheme="minorEastAsia" w:hAnsiTheme="minorEastAsia" w:eastAsiaTheme="minorEastAsia"/>
          <w:u w:val="single"/>
          <w:lang w:eastAsia="zh-CN"/>
        </w:rPr>
        <w:t xml:space="preserve">     </w:t>
      </w:r>
    </w:p>
    <w:p>
      <w:pPr>
        <w:pStyle w:val="12"/>
        <w:tabs>
          <w:tab w:val="left" w:pos="2084"/>
          <w:tab w:val="left" w:pos="3294"/>
        </w:tabs>
        <w:spacing w:before="34" w:line="355" w:lineRule="auto"/>
        <w:ind w:left="591" w:right="1330" w:firstLine="9"/>
        <w:rPr>
          <w:rFonts w:asciiTheme="minorEastAsia" w:hAnsiTheme="minorEastAsia" w:eastAsiaTheme="minorEastAsia"/>
          <w:lang w:eastAsia="zh-CN"/>
        </w:rPr>
      </w:pPr>
      <w:r>
        <w:rPr>
          <w:rFonts w:asciiTheme="minorEastAsia" w:hAnsiTheme="minorEastAsia" w:eastAsiaTheme="minorEastAsia"/>
          <w:lang w:eastAsia="zh-CN"/>
        </w:rPr>
        <w:t>盖章：</w:t>
      </w:r>
      <w:r>
        <w:rPr>
          <w:rFonts w:hint="eastAsia" w:asciiTheme="minorEastAsia" w:hAnsiTheme="minorEastAsia" w:eastAsiaTheme="minorEastAsia"/>
          <w:u w:val="single"/>
          <w:lang w:eastAsia="zh-CN"/>
        </w:rPr>
        <w:t xml:space="preserve">              </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盖章：</w:t>
      </w:r>
      <w:r>
        <w:rPr>
          <w:rFonts w:hint="eastAsia" w:asciiTheme="minorEastAsia" w:hAnsiTheme="minorEastAsia" w:eastAsiaTheme="minorEastAsia"/>
          <w:u w:val="single"/>
          <w:lang w:eastAsia="zh-CN"/>
        </w:rPr>
        <w:t xml:space="preserve">            </w:t>
      </w:r>
    </w:p>
    <w:p>
      <w:pPr>
        <w:pStyle w:val="12"/>
        <w:tabs>
          <w:tab w:val="left" w:pos="2084"/>
          <w:tab w:val="left" w:pos="3524"/>
        </w:tabs>
        <w:spacing w:before="34" w:line="355" w:lineRule="auto"/>
        <w:ind w:left="591"/>
        <w:rPr>
          <w:rFonts w:asciiTheme="minorEastAsia" w:hAnsiTheme="minorEastAsia" w:eastAsiaTheme="minorEastAsia"/>
          <w:lang w:eastAsia="zh-CN"/>
        </w:rPr>
      </w:pPr>
    </w:p>
    <w:p>
      <w:pPr>
        <w:pStyle w:val="12"/>
        <w:tabs>
          <w:tab w:val="left" w:pos="2094"/>
          <w:tab w:val="left" w:pos="3284"/>
        </w:tabs>
        <w:spacing w:before="186" w:line="357" w:lineRule="auto"/>
        <w:ind w:left="601" w:right="3354" w:hanging="10"/>
        <w:rPr>
          <w:rFonts w:asciiTheme="minorEastAsia" w:hAnsiTheme="minorEastAsia" w:eastAsiaTheme="minorEastAsia"/>
          <w:u w:val="single"/>
          <w:lang w:eastAsia="zh-CN"/>
        </w:rPr>
      </w:pPr>
      <w:r>
        <w:rPr>
          <w:rFonts w:asciiTheme="minorEastAsia" w:hAnsiTheme="minorEastAsia" w:eastAsiaTheme="minorEastAsia"/>
          <w:lang w:eastAsia="zh-CN"/>
        </w:rPr>
        <w:t>联合体成员名称：</w:t>
      </w:r>
      <w:r>
        <w:rPr>
          <w:rFonts w:hint="eastAsia" w:asciiTheme="minorEastAsia" w:hAnsiTheme="minorEastAsia" w:eastAsiaTheme="minorEastAsia"/>
          <w:u w:val="single"/>
          <w:lang w:eastAsia="zh-CN"/>
        </w:rPr>
        <w:t xml:space="preserve">         </w:t>
      </w:r>
    </w:p>
    <w:p>
      <w:pPr>
        <w:pStyle w:val="12"/>
        <w:tabs>
          <w:tab w:val="left" w:pos="2094"/>
          <w:tab w:val="left" w:pos="3284"/>
        </w:tabs>
        <w:spacing w:before="186" w:line="357" w:lineRule="auto"/>
        <w:ind w:left="601" w:right="3354" w:hanging="10"/>
        <w:rPr>
          <w:rFonts w:asciiTheme="minorEastAsia" w:hAnsiTheme="minorEastAsia" w:eastAsiaTheme="minorEastAsia"/>
          <w:lang w:eastAsia="zh-CN"/>
        </w:rPr>
      </w:pPr>
      <w:r>
        <w:rPr>
          <w:rFonts w:asciiTheme="minorEastAsia" w:hAnsiTheme="minorEastAsia" w:eastAsiaTheme="minorEastAsia"/>
          <w:lang w:eastAsia="zh-CN"/>
        </w:rPr>
        <w:t>盖章：</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p>
    <w:p>
      <w:pPr>
        <w:pStyle w:val="12"/>
        <w:spacing w:before="11"/>
        <w:rPr>
          <w:rFonts w:asciiTheme="minorEastAsia" w:hAnsiTheme="minorEastAsia" w:eastAsiaTheme="minorEastAsia"/>
          <w:sz w:val="22"/>
          <w:lang w:eastAsia="zh-CN"/>
        </w:rPr>
      </w:pPr>
    </w:p>
    <w:p>
      <w:pPr>
        <w:pStyle w:val="12"/>
        <w:tabs>
          <w:tab w:val="left" w:pos="7033"/>
          <w:tab w:val="left" w:pos="7993"/>
          <w:tab w:val="left" w:pos="8953"/>
        </w:tabs>
        <w:spacing w:before="34"/>
        <w:jc w:val="right"/>
        <w:rPr>
          <w:rFonts w:asciiTheme="minorEastAsia" w:hAnsiTheme="minorEastAsia" w:eastAsiaTheme="minorEastAsia"/>
          <w:lang w:eastAsia="zh-CN"/>
        </w:rPr>
      </w:pPr>
      <w:r>
        <w:rPr>
          <w:rFonts w:asciiTheme="minorEastAsia" w:hAnsiTheme="minorEastAsia" w:eastAsiaTheme="minorEastAsia"/>
          <w:lang w:eastAsia="zh-CN"/>
        </w:rPr>
        <w:t>日期：</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年</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月</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日</w:t>
      </w:r>
    </w:p>
    <w:p>
      <w:pPr>
        <w:pStyle w:val="12"/>
        <w:rPr>
          <w:rFonts w:asciiTheme="minorEastAsia" w:hAnsiTheme="minorEastAsia" w:eastAsiaTheme="minorEastAsia"/>
          <w:sz w:val="26"/>
          <w:lang w:eastAsia="zh-CN"/>
        </w:rPr>
      </w:pPr>
    </w:p>
    <w:p>
      <w:pPr>
        <w:pStyle w:val="12"/>
        <w:rPr>
          <w:rFonts w:asciiTheme="minorEastAsia" w:hAnsiTheme="minorEastAsia" w:eastAsiaTheme="minorEastAsia"/>
          <w:sz w:val="26"/>
          <w:lang w:eastAsia="zh-CN"/>
        </w:rPr>
      </w:pPr>
    </w:p>
    <w:p>
      <w:pPr>
        <w:pStyle w:val="12"/>
        <w:rPr>
          <w:rFonts w:asciiTheme="minorEastAsia" w:hAnsiTheme="minorEastAsia" w:eastAsiaTheme="minorEastAsia"/>
          <w:sz w:val="26"/>
          <w:lang w:eastAsia="zh-CN"/>
        </w:rPr>
      </w:pPr>
    </w:p>
    <w:p>
      <w:pPr>
        <w:pStyle w:val="12"/>
        <w:spacing w:before="11"/>
        <w:rPr>
          <w:rFonts w:asciiTheme="minorEastAsia" w:hAnsiTheme="minorEastAsia" w:eastAsiaTheme="minorEastAsia"/>
          <w:sz w:val="29"/>
          <w:lang w:eastAsia="zh-CN"/>
        </w:rPr>
      </w:pPr>
    </w:p>
    <w:p>
      <w:pPr>
        <w:pStyle w:val="12"/>
        <w:spacing w:before="38" w:line="357" w:lineRule="auto"/>
        <w:ind w:left="715" w:leftChars="107" w:right="110" w:hanging="480" w:hangingChars="200"/>
        <w:rPr>
          <w:rFonts w:asciiTheme="minorEastAsia" w:hAnsiTheme="minorEastAsia" w:eastAsiaTheme="minorEastAsia"/>
          <w:lang w:eastAsia="zh-CN"/>
        </w:rPr>
      </w:pPr>
      <w:r>
        <w:rPr>
          <w:rFonts w:asciiTheme="minorEastAsia" w:hAnsiTheme="minorEastAsia" w:eastAsiaTheme="minorEastAsia"/>
          <w:lang w:eastAsia="zh-CN"/>
        </w:rPr>
        <w:t>注：</w:t>
      </w:r>
    </w:p>
    <w:p>
      <w:pPr>
        <w:pStyle w:val="12"/>
        <w:spacing w:before="38" w:line="357" w:lineRule="auto"/>
        <w:ind w:left="422" w:leftChars="106" w:right="110" w:hanging="189" w:hangingChars="79"/>
        <w:rPr>
          <w:rFonts w:asciiTheme="minorEastAsia" w:hAnsiTheme="minorEastAsia" w:eastAsiaTheme="minorEastAsia"/>
          <w:lang w:eastAsia="zh-CN"/>
        </w:rPr>
      </w:pPr>
      <w:r>
        <w:rPr>
          <w:rFonts w:hint="eastAsia" w:asciiTheme="minorEastAsia" w:hAnsiTheme="minorEastAsia" w:eastAsiaTheme="minorEastAsia"/>
          <w:lang w:eastAsia="zh-CN"/>
        </w:rPr>
        <w:t>1.</w:t>
      </w:r>
      <w:r>
        <w:rPr>
          <w:rFonts w:asciiTheme="minorEastAsia" w:hAnsiTheme="minorEastAsia" w:eastAsiaTheme="minorEastAsia"/>
          <w:lang w:eastAsia="zh-CN"/>
        </w:rPr>
        <w:t>如本项目（包）接受供应商以联合体形式参加采购活动，且供应商以联合体形式参与时，须提供《联合协议》，否则响应无效。</w:t>
      </w:r>
    </w:p>
    <w:p>
      <w:pPr>
        <w:pStyle w:val="12"/>
        <w:spacing w:before="38" w:line="357" w:lineRule="auto"/>
        <w:ind w:left="715" w:leftChars="107" w:right="110" w:hanging="480" w:hangingChars="200"/>
        <w:rPr>
          <w:rFonts w:asciiTheme="minorEastAsia" w:hAnsiTheme="minorEastAsia" w:eastAsiaTheme="minorEastAsia"/>
          <w:lang w:eastAsia="zh-CN"/>
        </w:rPr>
      </w:pPr>
      <w:r>
        <w:rPr>
          <w:rFonts w:hint="eastAsia" w:asciiTheme="minorEastAsia" w:hAnsiTheme="minorEastAsia" w:eastAsiaTheme="minorEastAsia"/>
          <w:lang w:eastAsia="zh-CN"/>
        </w:rPr>
        <w:t>2.</w:t>
      </w:r>
      <w:r>
        <w:rPr>
          <w:rFonts w:asciiTheme="minorEastAsia" w:hAnsiTheme="minorEastAsia" w:eastAsiaTheme="minorEastAsia"/>
          <w:lang w:eastAsia="zh-CN"/>
        </w:rPr>
        <w:t>联合体各方成员需在本协议上共同盖章。</w:t>
      </w:r>
    </w:p>
    <w:p>
      <w:pPr>
        <w:spacing w:line="889" w:lineRule="exact"/>
        <w:rPr>
          <w:rFonts w:asciiTheme="minorEastAsia" w:hAnsiTheme="minorEastAsia" w:eastAsiaTheme="minorEastAsia"/>
          <w:sz w:val="24"/>
          <w:lang w:eastAsia="zh-CN"/>
        </w:rPr>
        <w:sectPr>
          <w:type w:val="continuous"/>
          <w:pgSz w:w="11910" w:h="16840"/>
          <w:pgMar w:top="1440" w:right="1797" w:bottom="1440" w:left="1797" w:header="720" w:footer="720" w:gutter="0"/>
          <w:cols w:space="720" w:num="1"/>
        </w:sectPr>
      </w:pPr>
    </w:p>
    <w:p>
      <w:pPr>
        <w:pStyle w:val="7"/>
        <w:spacing w:after="240" w:afterLines="100" w:line="377" w:lineRule="auto"/>
        <w:rPr>
          <w:sz w:val="24"/>
          <w:lang w:eastAsia="zh-CN"/>
        </w:rPr>
      </w:pPr>
      <w:r>
        <w:rPr>
          <w:rFonts w:hint="eastAsia"/>
          <w:sz w:val="24"/>
          <w:lang w:eastAsia="zh-CN"/>
        </w:rPr>
        <w:t xml:space="preserve">3-2 </w:t>
      </w:r>
      <w:r>
        <w:rPr>
          <w:sz w:val="24"/>
          <w:lang w:eastAsia="zh-CN"/>
        </w:rPr>
        <w:t>其他特定资格要求</w:t>
      </w:r>
    </w:p>
    <w:p>
      <w:pPr>
        <w:widowControl/>
        <w:autoSpaceDE/>
        <w:autoSpaceDN/>
        <w:rPr>
          <w:lang w:eastAsia="zh-CN"/>
        </w:rPr>
      </w:pPr>
      <w:r>
        <w:rPr>
          <w:lang w:eastAsia="zh-CN"/>
        </w:rPr>
        <w:br w:type="page"/>
      </w:r>
    </w:p>
    <w:p>
      <w:pPr>
        <w:pStyle w:val="6"/>
        <w:numPr>
          <w:ilvl w:val="0"/>
          <w:numId w:val="122"/>
        </w:numPr>
        <w:rPr>
          <w:i w:val="0"/>
          <w:lang w:eastAsia="zh-CN"/>
        </w:rPr>
      </w:pPr>
      <w:r>
        <w:rPr>
          <w:i w:val="0"/>
          <w:lang w:eastAsia="zh-CN"/>
        </w:rPr>
        <w:t>磋商保证金凭证/交款单据电子件</w:t>
      </w:r>
      <w:r>
        <w:rPr>
          <w:rFonts w:hint="eastAsia"/>
          <w:color w:val="000000"/>
          <w:sz w:val="24"/>
          <w:szCs w:val="20"/>
          <w:lang w:eastAsia="zh-CN"/>
        </w:rPr>
        <w:t>（不适用时无须提交）</w:t>
      </w:r>
    </w:p>
    <w:p>
      <w:pPr>
        <w:widowControl/>
        <w:autoSpaceDE/>
        <w:autoSpaceDN/>
        <w:rPr>
          <w:lang w:eastAsia="zh-CN"/>
        </w:rPr>
      </w:pPr>
      <w:r>
        <w:rPr>
          <w:lang w:eastAsia="zh-CN"/>
        </w:rPr>
        <w:br w:type="page"/>
      </w:r>
    </w:p>
    <w:p>
      <w:pPr>
        <w:pStyle w:val="6"/>
        <w:numPr>
          <w:ilvl w:val="0"/>
          <w:numId w:val="122"/>
        </w:numPr>
        <w:rPr>
          <w:i w:val="0"/>
          <w:lang w:eastAsia="zh-CN"/>
        </w:rPr>
      </w:pPr>
      <w:r>
        <w:rPr>
          <w:i w:val="0"/>
          <w:lang w:eastAsia="zh-CN"/>
        </w:rPr>
        <w:t>响应书（实质性格式）</w:t>
      </w:r>
    </w:p>
    <w:p>
      <w:pPr>
        <w:pStyle w:val="12"/>
        <w:spacing w:before="5"/>
        <w:rPr>
          <w:rFonts w:asciiTheme="minorEastAsia" w:hAnsiTheme="minorEastAsia" w:eastAsiaTheme="minorEastAsia"/>
          <w:sz w:val="21"/>
          <w:lang w:eastAsia="zh-CN"/>
        </w:rPr>
      </w:pPr>
    </w:p>
    <w:p>
      <w:pPr>
        <w:jc w:val="center"/>
        <w:rPr>
          <w:b/>
          <w:sz w:val="32"/>
          <w:lang w:eastAsia="zh-CN"/>
        </w:rPr>
      </w:pPr>
      <w:r>
        <w:rPr>
          <w:b/>
          <w:sz w:val="32"/>
          <w:lang w:eastAsia="zh-CN"/>
        </w:rPr>
        <w:t>响应书</w:t>
      </w:r>
    </w:p>
    <w:p>
      <w:pPr>
        <w:pStyle w:val="12"/>
        <w:spacing w:before="1"/>
        <w:rPr>
          <w:rFonts w:asciiTheme="minorEastAsia" w:hAnsiTheme="minorEastAsia" w:eastAsiaTheme="minorEastAsia"/>
          <w:sz w:val="17"/>
          <w:lang w:eastAsia="zh-CN"/>
        </w:rPr>
      </w:pPr>
    </w:p>
    <w:p>
      <w:pPr>
        <w:pStyle w:val="12"/>
        <w:spacing w:before="38" w:line="357" w:lineRule="auto"/>
        <w:ind w:right="110"/>
        <w:rPr>
          <w:rFonts w:asciiTheme="minorEastAsia" w:hAnsiTheme="minorEastAsia" w:eastAsiaTheme="minorEastAsia"/>
          <w:lang w:eastAsia="zh-CN"/>
        </w:rPr>
      </w:pPr>
      <w:r>
        <w:rPr>
          <w:rFonts w:asciiTheme="minorEastAsia" w:hAnsiTheme="minorEastAsia" w:eastAsiaTheme="minorEastAsia"/>
          <w:lang w:eastAsia="zh-CN"/>
        </w:rPr>
        <w:t>致：</w:t>
      </w:r>
      <w:r>
        <w:rPr>
          <w:rFonts w:asciiTheme="minorEastAsia" w:hAnsiTheme="minorEastAsia" w:eastAsiaTheme="minorEastAsia"/>
          <w:u w:val="single"/>
          <w:lang w:eastAsia="zh-CN"/>
        </w:rPr>
        <w:t>（采购人或采购代理机构）</w:t>
      </w:r>
    </w:p>
    <w:p>
      <w:pPr>
        <w:pStyle w:val="12"/>
        <w:spacing w:before="38" w:line="357" w:lineRule="auto"/>
        <w:ind w:right="110" w:firstLine="424" w:firstLineChars="177"/>
        <w:rPr>
          <w:rFonts w:asciiTheme="minorEastAsia" w:hAnsiTheme="minorEastAsia" w:eastAsiaTheme="minorEastAsia"/>
          <w:lang w:eastAsia="zh-CN"/>
        </w:rPr>
      </w:pPr>
      <w:r>
        <w:rPr>
          <w:rFonts w:asciiTheme="minorEastAsia" w:hAnsiTheme="minorEastAsia" w:eastAsiaTheme="minorEastAsia"/>
          <w:lang w:eastAsia="zh-CN"/>
        </w:rPr>
        <w:t>我方参加你方就</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（项目名称，项目编号/包号）组织的采购活动，并对此项目进行磋商。</w:t>
      </w:r>
    </w:p>
    <w:p>
      <w:pPr>
        <w:pStyle w:val="29"/>
        <w:numPr>
          <w:ilvl w:val="0"/>
          <w:numId w:val="123"/>
        </w:numPr>
        <w:rPr>
          <w:sz w:val="24"/>
          <w:szCs w:val="24"/>
          <w:lang w:eastAsia="zh-CN"/>
        </w:rPr>
      </w:pPr>
      <w:r>
        <w:rPr>
          <w:sz w:val="24"/>
          <w:szCs w:val="24"/>
          <w:lang w:eastAsia="zh-CN"/>
        </w:rPr>
        <w:t>我方已详细审查全部竞争性磋商文件，自愿参与磋商并承诺如下：</w:t>
      </w:r>
    </w:p>
    <w:p>
      <w:pPr>
        <w:pStyle w:val="12"/>
        <w:tabs>
          <w:tab w:val="left" w:pos="6464"/>
        </w:tabs>
        <w:spacing w:before="133"/>
        <w:ind w:left="284"/>
        <w:rPr>
          <w:rFonts w:asciiTheme="minorEastAsia" w:hAnsiTheme="minorEastAsia" w:eastAsiaTheme="minorEastAsia"/>
          <w:lang w:eastAsia="zh-CN"/>
        </w:rPr>
      </w:pPr>
      <w:r>
        <w:rPr>
          <w:rFonts w:asciiTheme="minorEastAsia" w:hAnsiTheme="minorEastAsia" w:eastAsiaTheme="minorEastAsia"/>
          <w:lang w:eastAsia="zh-CN"/>
        </w:rPr>
        <w:t>（1）本响应有效期为自响应文件提交截止之日起</w:t>
      </w:r>
      <w:r>
        <w:rPr>
          <w:rFonts w:asciiTheme="minorEastAsia" w:hAnsiTheme="minorEastAsia" w:eastAsiaTheme="minorEastAsia"/>
          <w:u w:val="single"/>
          <w:lang w:eastAsia="zh-CN"/>
        </w:rPr>
        <w:t xml:space="preserve"> </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个日历日。</w:t>
      </w:r>
    </w:p>
    <w:p>
      <w:pPr>
        <w:pStyle w:val="12"/>
        <w:spacing w:before="131" w:line="336" w:lineRule="auto"/>
        <w:ind w:left="284" w:right="111"/>
        <w:rPr>
          <w:rFonts w:asciiTheme="minorEastAsia" w:hAnsiTheme="minorEastAsia" w:eastAsiaTheme="minorEastAsia"/>
          <w:lang w:eastAsia="zh-CN"/>
        </w:rPr>
      </w:pPr>
      <w:r>
        <w:rPr>
          <w:rFonts w:asciiTheme="minorEastAsia" w:hAnsiTheme="minorEastAsia" w:eastAsiaTheme="minorEastAsia"/>
          <w:spacing w:val="2"/>
          <w:lang w:eastAsia="zh-CN"/>
        </w:rPr>
        <w:t>（</w:t>
      </w:r>
      <w:r>
        <w:rPr>
          <w:rFonts w:asciiTheme="minorEastAsia" w:hAnsiTheme="minorEastAsia" w:eastAsiaTheme="minorEastAsia"/>
          <w:w w:val="114"/>
          <w:lang w:eastAsia="zh-CN"/>
        </w:rPr>
        <w:t>2</w:t>
      </w:r>
      <w:r>
        <w:rPr>
          <w:rFonts w:asciiTheme="minorEastAsia" w:hAnsiTheme="minorEastAsia" w:eastAsiaTheme="minorEastAsia"/>
          <w:spacing w:val="2"/>
          <w:lang w:eastAsia="zh-CN"/>
        </w:rPr>
        <w:t>）除合同条款及采购需</w:t>
      </w:r>
      <w:r>
        <w:rPr>
          <w:rFonts w:asciiTheme="minorEastAsia" w:hAnsiTheme="minorEastAsia" w:eastAsiaTheme="minorEastAsia"/>
          <w:spacing w:val="4"/>
          <w:lang w:eastAsia="zh-CN"/>
        </w:rPr>
        <w:t>求</w:t>
      </w:r>
      <w:r>
        <w:rPr>
          <w:rFonts w:asciiTheme="minorEastAsia" w:hAnsiTheme="minorEastAsia" w:eastAsiaTheme="minorEastAsia"/>
          <w:spacing w:val="2"/>
          <w:lang w:eastAsia="zh-CN"/>
        </w:rPr>
        <w:t>偏离表列出的偏离外，我方响应竞争性磋商文</w:t>
      </w:r>
      <w:r>
        <w:rPr>
          <w:rFonts w:asciiTheme="minorEastAsia" w:hAnsiTheme="minorEastAsia" w:eastAsiaTheme="minorEastAsia"/>
          <w:spacing w:val="4"/>
          <w:lang w:eastAsia="zh-CN"/>
        </w:rPr>
        <w:t>件</w:t>
      </w:r>
      <w:r>
        <w:rPr>
          <w:rFonts w:asciiTheme="minorEastAsia" w:hAnsiTheme="minorEastAsia" w:eastAsiaTheme="minorEastAsia"/>
          <w:spacing w:val="2"/>
          <w:lang w:eastAsia="zh-CN"/>
        </w:rPr>
        <w:t>的</w:t>
      </w:r>
      <w:r>
        <w:rPr>
          <w:rFonts w:asciiTheme="minorEastAsia" w:hAnsiTheme="minorEastAsia" w:eastAsiaTheme="minorEastAsia"/>
          <w:lang w:eastAsia="zh-CN"/>
        </w:rPr>
        <w:t>全部要求。</w:t>
      </w:r>
    </w:p>
    <w:p>
      <w:pPr>
        <w:pStyle w:val="12"/>
        <w:spacing w:before="55"/>
        <w:ind w:left="284"/>
        <w:rPr>
          <w:rFonts w:asciiTheme="minorEastAsia" w:hAnsiTheme="minorEastAsia" w:eastAsiaTheme="minorEastAsia"/>
          <w:lang w:eastAsia="zh-CN"/>
        </w:rPr>
      </w:pPr>
      <w:r>
        <w:rPr>
          <w:rFonts w:asciiTheme="minorEastAsia" w:hAnsiTheme="minorEastAsia" w:eastAsiaTheme="minorEastAsia"/>
          <w:lang w:eastAsia="zh-CN"/>
        </w:rPr>
        <w:t>（3）我方已提供的全部文件资料是真实、准确的，并对此承担一切法律后果。</w:t>
      </w:r>
    </w:p>
    <w:p>
      <w:pPr>
        <w:pStyle w:val="12"/>
        <w:spacing w:before="133" w:line="333" w:lineRule="auto"/>
        <w:ind w:left="284" w:right="111"/>
        <w:rPr>
          <w:rFonts w:asciiTheme="minorEastAsia" w:hAnsiTheme="minorEastAsia" w:eastAsiaTheme="minorEastAsia"/>
          <w:lang w:eastAsia="zh-CN"/>
        </w:rPr>
      </w:pPr>
      <w:r>
        <w:rPr>
          <w:rFonts w:asciiTheme="minorEastAsia" w:hAnsiTheme="minorEastAsia" w:eastAsiaTheme="minorEastAsia"/>
          <w:spacing w:val="2"/>
          <w:lang w:eastAsia="zh-CN"/>
        </w:rPr>
        <w:t>（</w:t>
      </w:r>
      <w:r>
        <w:rPr>
          <w:rFonts w:asciiTheme="minorEastAsia" w:hAnsiTheme="minorEastAsia" w:eastAsiaTheme="minorEastAsia"/>
          <w:spacing w:val="3"/>
          <w:w w:val="114"/>
          <w:lang w:eastAsia="zh-CN"/>
        </w:rPr>
        <w:t>4</w:t>
      </w:r>
      <w:r>
        <w:rPr>
          <w:rFonts w:asciiTheme="minorEastAsia" w:hAnsiTheme="minorEastAsia" w:eastAsiaTheme="minorEastAsia"/>
          <w:spacing w:val="2"/>
          <w:lang w:eastAsia="zh-CN"/>
        </w:rPr>
        <w:t>）如</w:t>
      </w:r>
      <w:r>
        <w:rPr>
          <w:rFonts w:asciiTheme="minorEastAsia" w:hAnsiTheme="minorEastAsia" w:eastAsiaTheme="minorEastAsia"/>
          <w:spacing w:val="4"/>
          <w:lang w:eastAsia="zh-CN"/>
        </w:rPr>
        <w:t>我</w:t>
      </w:r>
      <w:r>
        <w:rPr>
          <w:rFonts w:asciiTheme="minorEastAsia" w:hAnsiTheme="minorEastAsia" w:eastAsiaTheme="minorEastAsia"/>
          <w:spacing w:val="2"/>
          <w:lang w:eastAsia="zh-CN"/>
        </w:rPr>
        <w:t>方成交，</w:t>
      </w:r>
      <w:r>
        <w:rPr>
          <w:rFonts w:asciiTheme="minorEastAsia" w:hAnsiTheme="minorEastAsia" w:eastAsiaTheme="minorEastAsia"/>
          <w:spacing w:val="4"/>
          <w:lang w:eastAsia="zh-CN"/>
        </w:rPr>
        <w:t>我</w:t>
      </w:r>
      <w:r>
        <w:rPr>
          <w:rFonts w:asciiTheme="minorEastAsia" w:hAnsiTheme="minorEastAsia" w:eastAsiaTheme="minorEastAsia"/>
          <w:spacing w:val="2"/>
          <w:lang w:eastAsia="zh-CN"/>
        </w:rPr>
        <w:t>方将在法律</w:t>
      </w:r>
      <w:r>
        <w:rPr>
          <w:rFonts w:asciiTheme="minorEastAsia" w:hAnsiTheme="minorEastAsia" w:eastAsiaTheme="minorEastAsia"/>
          <w:spacing w:val="4"/>
          <w:lang w:eastAsia="zh-CN"/>
        </w:rPr>
        <w:t>规</w:t>
      </w:r>
      <w:r>
        <w:rPr>
          <w:rFonts w:asciiTheme="minorEastAsia" w:hAnsiTheme="minorEastAsia" w:eastAsiaTheme="minorEastAsia"/>
          <w:spacing w:val="2"/>
          <w:lang w:eastAsia="zh-CN"/>
        </w:rPr>
        <w:t>定的期限</w:t>
      </w:r>
      <w:r>
        <w:rPr>
          <w:rFonts w:asciiTheme="minorEastAsia" w:hAnsiTheme="minorEastAsia" w:eastAsiaTheme="minorEastAsia"/>
          <w:spacing w:val="4"/>
          <w:lang w:eastAsia="zh-CN"/>
        </w:rPr>
        <w:t>内</w:t>
      </w:r>
      <w:r>
        <w:rPr>
          <w:rFonts w:asciiTheme="minorEastAsia" w:hAnsiTheme="minorEastAsia" w:eastAsiaTheme="minorEastAsia"/>
          <w:spacing w:val="2"/>
          <w:lang w:eastAsia="zh-CN"/>
        </w:rPr>
        <w:t>与你方签</w:t>
      </w:r>
      <w:r>
        <w:rPr>
          <w:rFonts w:asciiTheme="minorEastAsia" w:hAnsiTheme="minorEastAsia" w:eastAsiaTheme="minorEastAsia"/>
          <w:spacing w:val="4"/>
          <w:lang w:eastAsia="zh-CN"/>
        </w:rPr>
        <w:t>订</w:t>
      </w:r>
      <w:r>
        <w:rPr>
          <w:rFonts w:asciiTheme="minorEastAsia" w:hAnsiTheme="minorEastAsia" w:eastAsiaTheme="minorEastAsia"/>
          <w:spacing w:val="2"/>
          <w:lang w:eastAsia="zh-CN"/>
        </w:rPr>
        <w:t>合同，按</w:t>
      </w:r>
      <w:r>
        <w:rPr>
          <w:rFonts w:asciiTheme="minorEastAsia" w:hAnsiTheme="minorEastAsia" w:eastAsiaTheme="minorEastAsia"/>
          <w:spacing w:val="4"/>
          <w:lang w:eastAsia="zh-CN"/>
        </w:rPr>
        <w:t>照</w:t>
      </w:r>
      <w:r>
        <w:rPr>
          <w:rFonts w:asciiTheme="minorEastAsia" w:hAnsiTheme="minorEastAsia" w:eastAsiaTheme="minorEastAsia"/>
          <w:spacing w:val="2"/>
          <w:lang w:eastAsia="zh-CN"/>
        </w:rPr>
        <w:t>竞争性磋</w:t>
      </w:r>
      <w:r>
        <w:rPr>
          <w:rFonts w:asciiTheme="minorEastAsia" w:hAnsiTheme="minorEastAsia" w:eastAsiaTheme="minorEastAsia"/>
          <w:lang w:eastAsia="zh-CN"/>
        </w:rPr>
        <w:t>商文件要求提交履约保证金，并在合同约定的期限内完成合同规定的全部义务。</w:t>
      </w:r>
    </w:p>
    <w:p>
      <w:pPr>
        <w:pStyle w:val="29"/>
        <w:numPr>
          <w:ilvl w:val="0"/>
          <w:numId w:val="123"/>
        </w:numPr>
        <w:rPr>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pPr>
        <w:pStyle w:val="12"/>
        <w:spacing w:before="131"/>
        <w:rPr>
          <w:rFonts w:asciiTheme="minorEastAsia" w:hAnsiTheme="minorEastAsia" w:eastAsiaTheme="minorEastAsia"/>
          <w:lang w:eastAsia="zh-CN"/>
        </w:rPr>
      </w:pPr>
      <w:r>
        <w:rPr>
          <w:rFonts w:asciiTheme="minorEastAsia" w:hAnsiTheme="minorEastAsia" w:eastAsiaTheme="minorEastAsia"/>
          <w:lang w:eastAsia="zh-CN"/>
        </w:rPr>
        <w:t>与本磋商有关的一切正式往来信函请寄：</w:t>
      </w:r>
    </w:p>
    <w:p>
      <w:pPr>
        <w:pStyle w:val="12"/>
        <w:rPr>
          <w:rFonts w:asciiTheme="minorEastAsia" w:hAnsiTheme="minorEastAsia" w:eastAsiaTheme="minorEastAsia"/>
          <w:lang w:eastAsia="zh-CN"/>
        </w:rPr>
      </w:pPr>
    </w:p>
    <w:p>
      <w:pPr>
        <w:pStyle w:val="12"/>
        <w:spacing w:before="8"/>
        <w:rPr>
          <w:rFonts w:asciiTheme="minorEastAsia" w:hAnsiTheme="minorEastAsia" w:eastAsiaTheme="minorEastAsia"/>
          <w:sz w:val="19"/>
          <w:lang w:eastAsia="zh-CN"/>
        </w:rPr>
      </w:pPr>
    </w:p>
    <w:p>
      <w:pPr>
        <w:pStyle w:val="12"/>
        <w:tabs>
          <w:tab w:val="left" w:pos="4741"/>
          <w:tab w:val="left" w:pos="5341"/>
          <w:tab w:val="left" w:pos="8634"/>
        </w:tabs>
        <w:spacing w:before="1"/>
        <w:ind w:left="541"/>
        <w:rPr>
          <w:rFonts w:asciiTheme="minorEastAsia" w:hAnsiTheme="minorEastAsia" w:eastAsiaTheme="minorEastAsia"/>
          <w:lang w:eastAsia="zh-CN"/>
        </w:rPr>
      </w:pPr>
      <w:r>
        <w:rPr>
          <w:rFonts w:asciiTheme="minorEastAsia" w:hAnsiTheme="minorEastAsia" w:eastAsiaTheme="minorEastAsia"/>
          <w:lang w:eastAsia="zh-CN"/>
        </w:rPr>
        <w:t>地址</w:t>
      </w:r>
      <w:r>
        <w:rPr>
          <w:rFonts w:hint="eastAsia"/>
          <w:u w:val="single"/>
          <w:lang w:eastAsia="zh-CN"/>
        </w:rPr>
        <w:t xml:space="preserve">                   </w:t>
      </w:r>
      <w:r>
        <w:rPr>
          <w:rFonts w:hint="eastAsia"/>
          <w:lang w:eastAsia="zh-CN"/>
        </w:rPr>
        <w:t xml:space="preserve">  </w:t>
      </w:r>
      <w:r>
        <w:rPr>
          <w:rFonts w:asciiTheme="minorEastAsia" w:hAnsiTheme="minorEastAsia" w:eastAsiaTheme="minorEastAsia"/>
          <w:lang w:eastAsia="zh-CN"/>
        </w:rPr>
        <w:t>传真</w:t>
      </w:r>
      <w:r>
        <w:rPr>
          <w:rFonts w:hint="eastAsia"/>
          <w:u w:val="single"/>
          <w:lang w:eastAsia="zh-CN"/>
        </w:rPr>
        <w:t xml:space="preserve">                    </w:t>
      </w:r>
    </w:p>
    <w:p>
      <w:pPr>
        <w:pStyle w:val="12"/>
        <w:tabs>
          <w:tab w:val="left" w:pos="4741"/>
          <w:tab w:val="left" w:pos="8754"/>
        </w:tabs>
        <w:spacing w:before="154"/>
        <w:ind w:left="541"/>
        <w:rPr>
          <w:rFonts w:asciiTheme="minorEastAsia" w:hAnsiTheme="minorEastAsia" w:eastAsiaTheme="minorEastAsia"/>
          <w:lang w:eastAsia="zh-CN"/>
        </w:rPr>
      </w:pPr>
      <w:r>
        <w:rPr>
          <w:rFonts w:asciiTheme="minorEastAsia" w:hAnsiTheme="minorEastAsia" w:eastAsiaTheme="minorEastAsia"/>
          <w:lang w:eastAsia="zh-CN"/>
        </w:rPr>
        <w:t>电话</w:t>
      </w:r>
      <w:r>
        <w:rPr>
          <w:rFonts w:hint="eastAsia"/>
          <w:u w:val="single"/>
          <w:lang w:eastAsia="zh-CN"/>
        </w:rPr>
        <w:t xml:space="preserve">                   </w:t>
      </w:r>
      <w:r>
        <w:rPr>
          <w:rFonts w:hint="eastAsia"/>
          <w:lang w:eastAsia="zh-CN"/>
        </w:rPr>
        <w:t xml:space="preserve">  </w:t>
      </w:r>
      <w:r>
        <w:rPr>
          <w:rFonts w:asciiTheme="minorEastAsia" w:hAnsiTheme="minorEastAsia" w:eastAsiaTheme="minorEastAsia"/>
          <w:lang w:eastAsia="zh-CN"/>
        </w:rPr>
        <w:t>电子函件</w:t>
      </w:r>
      <w:r>
        <w:rPr>
          <w:rFonts w:hint="eastAsia"/>
          <w:u w:val="single"/>
          <w:lang w:eastAsia="zh-CN"/>
        </w:rPr>
        <w:t xml:space="preserve">                </w:t>
      </w:r>
    </w:p>
    <w:p>
      <w:pPr>
        <w:pStyle w:val="12"/>
        <w:rPr>
          <w:rFonts w:asciiTheme="minorEastAsia" w:hAnsiTheme="minorEastAsia" w:eastAsiaTheme="minorEastAsia"/>
          <w:sz w:val="20"/>
          <w:lang w:eastAsia="zh-CN"/>
        </w:rPr>
      </w:pPr>
    </w:p>
    <w:p>
      <w:pPr>
        <w:pStyle w:val="12"/>
        <w:rPr>
          <w:rFonts w:asciiTheme="minorEastAsia" w:hAnsiTheme="minorEastAsia" w:eastAsiaTheme="minorEastAsia"/>
          <w:sz w:val="20"/>
          <w:lang w:eastAsia="zh-CN"/>
        </w:rPr>
      </w:pPr>
    </w:p>
    <w:p>
      <w:pPr>
        <w:pStyle w:val="12"/>
        <w:rPr>
          <w:rFonts w:asciiTheme="minorEastAsia" w:hAnsiTheme="minorEastAsia" w:eastAsiaTheme="minorEastAsia"/>
          <w:sz w:val="20"/>
          <w:lang w:eastAsia="zh-CN"/>
        </w:rPr>
      </w:pPr>
    </w:p>
    <w:p>
      <w:pPr>
        <w:pStyle w:val="12"/>
        <w:rPr>
          <w:rFonts w:asciiTheme="minorEastAsia" w:hAnsiTheme="minorEastAsia" w:eastAsiaTheme="minorEastAsia"/>
          <w:sz w:val="20"/>
          <w:lang w:eastAsia="zh-CN"/>
        </w:rPr>
      </w:pPr>
    </w:p>
    <w:p>
      <w:pPr>
        <w:pStyle w:val="12"/>
        <w:rPr>
          <w:rFonts w:asciiTheme="minorEastAsia" w:hAnsiTheme="minorEastAsia" w:eastAsiaTheme="minorEastAsia"/>
          <w:sz w:val="20"/>
          <w:lang w:eastAsia="zh-CN"/>
        </w:rPr>
      </w:pPr>
    </w:p>
    <w:p>
      <w:pPr>
        <w:pStyle w:val="12"/>
        <w:spacing w:before="10"/>
        <w:rPr>
          <w:rFonts w:asciiTheme="minorEastAsia" w:hAnsiTheme="minorEastAsia" w:eastAsiaTheme="minorEastAsia"/>
          <w:sz w:val="20"/>
          <w:lang w:eastAsia="zh-CN"/>
        </w:rPr>
      </w:pPr>
    </w:p>
    <w:p>
      <w:pPr>
        <w:pStyle w:val="12"/>
        <w:tabs>
          <w:tab w:val="left" w:pos="1681"/>
          <w:tab w:val="left" w:pos="2401"/>
          <w:tab w:val="left" w:pos="3121"/>
          <w:tab w:val="left" w:pos="4014"/>
        </w:tabs>
        <w:spacing w:before="45" w:line="376" w:lineRule="auto"/>
        <w:ind w:left="481" w:right="945"/>
        <w:rPr>
          <w:u w:val="single"/>
          <w:lang w:eastAsia="zh-CN"/>
        </w:rPr>
      </w:pPr>
      <w:r>
        <w:rPr>
          <w:lang w:eastAsia="zh-CN"/>
        </w:rPr>
        <w:t>供应商名称（加盖公章）：</w:t>
      </w:r>
      <w:r>
        <w:rPr>
          <w:rFonts w:hint="eastAsia"/>
          <w:u w:val="single"/>
          <w:lang w:eastAsia="zh-CN"/>
        </w:rPr>
        <w:t xml:space="preserve">                    </w:t>
      </w:r>
    </w:p>
    <w:p>
      <w:pPr>
        <w:pStyle w:val="12"/>
        <w:tabs>
          <w:tab w:val="left" w:pos="1681"/>
          <w:tab w:val="left" w:pos="2401"/>
          <w:tab w:val="left" w:pos="3121"/>
          <w:tab w:val="left" w:pos="4014"/>
        </w:tabs>
        <w:spacing w:before="45" w:line="376" w:lineRule="auto"/>
        <w:ind w:left="481" w:right="945"/>
        <w:rPr>
          <w:rFonts w:asciiTheme="minorEastAsia" w:hAnsiTheme="minorEastAsia" w:eastAsiaTheme="minorEastAsia"/>
          <w:lang w:eastAsia="zh-CN"/>
        </w:rPr>
      </w:pPr>
      <w:r>
        <w:rPr>
          <w:rFonts w:asciiTheme="minorEastAsia" w:hAnsiTheme="minorEastAsia" w:eastAsiaTheme="minorEastAsia"/>
          <w:lang w:eastAsia="zh-CN"/>
        </w:rPr>
        <w:t>日期：</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年</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月</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日</w:t>
      </w:r>
    </w:p>
    <w:p>
      <w:pPr>
        <w:widowControl/>
        <w:autoSpaceDE/>
        <w:autoSpaceDN/>
        <w:rPr>
          <w:rFonts w:asciiTheme="minorEastAsia" w:hAnsiTheme="minorEastAsia" w:eastAsiaTheme="minorEastAsia"/>
          <w:sz w:val="24"/>
          <w:szCs w:val="24"/>
          <w:lang w:eastAsia="zh-CN"/>
        </w:rPr>
      </w:pPr>
      <w:r>
        <w:rPr>
          <w:rFonts w:asciiTheme="minorEastAsia" w:hAnsiTheme="minorEastAsia" w:eastAsiaTheme="minorEastAsia"/>
          <w:lang w:eastAsia="zh-CN"/>
        </w:rPr>
        <w:br w:type="page"/>
      </w:r>
    </w:p>
    <w:p>
      <w:pPr>
        <w:pStyle w:val="6"/>
        <w:numPr>
          <w:ilvl w:val="0"/>
          <w:numId w:val="122"/>
        </w:numPr>
        <w:rPr>
          <w:i w:val="0"/>
          <w:lang w:eastAsia="zh-CN"/>
        </w:rPr>
      </w:pPr>
      <w:r>
        <w:rPr>
          <w:i w:val="0"/>
          <w:lang w:eastAsia="zh-CN"/>
        </w:rPr>
        <w:t>授权委托书（实质性格式）</w:t>
      </w:r>
    </w:p>
    <w:p>
      <w:pPr>
        <w:jc w:val="center"/>
        <w:rPr>
          <w:b/>
          <w:sz w:val="32"/>
          <w:lang w:eastAsia="zh-CN"/>
        </w:rPr>
      </w:pPr>
      <w:r>
        <w:rPr>
          <w:b/>
          <w:sz w:val="32"/>
          <w:lang w:eastAsia="zh-CN"/>
        </w:rPr>
        <w:t>授权委托书</w:t>
      </w:r>
    </w:p>
    <w:p>
      <w:pPr>
        <w:spacing w:line="360" w:lineRule="auto"/>
        <w:ind w:firstLine="440" w:firstLineChars="200"/>
        <w:rPr>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pPr>
        <w:spacing w:line="360" w:lineRule="auto"/>
        <w:ind w:firstLine="440" w:firstLineChars="200"/>
        <w:rPr>
          <w:lang w:eastAsia="zh-CN"/>
        </w:rPr>
      </w:pPr>
      <w:r>
        <w:rPr>
          <w:lang w:eastAsia="zh-CN"/>
        </w:rPr>
        <w:t>委托期限：自本授权委托书签署之日起至响应有效期届满之日止。</w:t>
      </w:r>
    </w:p>
    <w:p>
      <w:pPr>
        <w:spacing w:line="360" w:lineRule="auto"/>
        <w:ind w:firstLine="440" w:firstLineChars="200"/>
        <w:rPr>
          <w:lang w:eastAsia="zh-CN"/>
        </w:rPr>
      </w:pPr>
      <w:r>
        <w:rPr>
          <w:lang w:eastAsia="zh-CN"/>
        </w:rPr>
        <w:t>代理人无转委托权。</w:t>
      </w:r>
    </w:p>
    <w:p>
      <w:pPr>
        <w:pStyle w:val="12"/>
        <w:rPr>
          <w:rFonts w:asciiTheme="minorEastAsia" w:hAnsiTheme="minorEastAsia" w:eastAsiaTheme="minorEastAsia"/>
          <w:sz w:val="35"/>
          <w:lang w:eastAsia="zh-CN"/>
        </w:rPr>
      </w:pPr>
    </w:p>
    <w:p>
      <w:pPr>
        <w:spacing w:line="360" w:lineRule="auto"/>
        <w:ind w:firstLine="440" w:firstLineChars="200"/>
        <w:rPr>
          <w:lang w:eastAsia="zh-CN"/>
        </w:rPr>
      </w:pPr>
      <w:r>
        <w:rPr>
          <w:lang w:eastAsia="zh-CN"/>
        </w:rPr>
        <w:t>供应商名称（加盖公章）：</w:t>
      </w:r>
      <w:r>
        <w:rPr>
          <w:rFonts w:hint="eastAsia"/>
          <w:u w:val="single"/>
          <w:lang w:eastAsia="zh-CN"/>
        </w:rPr>
        <w:t xml:space="preserve">                </w:t>
      </w:r>
    </w:p>
    <w:p>
      <w:pPr>
        <w:spacing w:line="360" w:lineRule="auto"/>
        <w:ind w:firstLine="440" w:firstLineChars="200"/>
        <w:rPr>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pPr>
        <w:spacing w:line="360" w:lineRule="auto"/>
        <w:ind w:firstLine="440" w:firstLineChars="200"/>
        <w:rPr>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pPr>
        <w:spacing w:line="360" w:lineRule="auto"/>
        <w:ind w:firstLine="440" w:firstLineChars="200"/>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pPr>
        <w:pStyle w:val="12"/>
        <w:spacing w:before="231"/>
        <w:ind w:left="221"/>
        <w:rPr>
          <w:rFonts w:asciiTheme="minorEastAsia" w:hAnsiTheme="minorEastAsia" w:eastAsiaTheme="minorEastAsia"/>
          <w:lang w:eastAsia="zh-CN"/>
        </w:rPr>
      </w:pPr>
      <w:r>
        <w:rPr>
          <w:sz w:val="22"/>
          <w:szCs w:val="22"/>
          <w:lang w:eastAsia="zh-CN"/>
        </w:rPr>
        <w:t>附：法定代表人及委托代理人身份证明文件电子件</w:t>
      </w:r>
      <w:r>
        <w:rPr>
          <w:rFonts w:asciiTheme="minorEastAsia" w:hAnsiTheme="minorEastAsia" w:eastAsiaTheme="minorEastAsia"/>
          <w:lang w:eastAsia="zh-CN"/>
        </w:rPr>
        <w:t>：</w:t>
      </w:r>
    </w:p>
    <w:p>
      <w:pPr>
        <w:pStyle w:val="12"/>
        <w:spacing w:before="3"/>
        <w:rPr>
          <w:rFonts w:asciiTheme="minorEastAsia" w:hAnsiTheme="minorEastAsia" w:eastAsiaTheme="minorEastAsia"/>
          <w:sz w:val="11"/>
          <w:lang w:eastAsia="zh-CN"/>
        </w:rPr>
      </w:pPr>
      <w:r>
        <w:rPr>
          <w:rFonts w:asciiTheme="minorEastAsia" w:hAnsiTheme="minorEastAsia" w:eastAsiaTheme="minorEastAsia"/>
          <w:lang w:eastAsia="zh-CN"/>
        </w:rPr>
        <mc:AlternateContent>
          <mc:Choice Requires="wpg">
            <w:drawing>
              <wp:anchor distT="0" distB="0" distL="0" distR="0" simplePos="0" relativeHeight="251663360" behindDoc="0" locked="0" layoutInCell="1" allowOverlap="1">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w:pict>
              <v:group id="Group 7" o:spid="_x0000_s1026" o:spt="203" style="position:absolute;left:0pt;margin-left:79.15pt;margin-top:9.3pt;height:118.7pt;width:415.8pt;mso-position-horizontal-relative:page;mso-wrap-distance-bottom:0pt;mso-wrap-distance-top:0pt;z-index:251663360;mso-width-relative:page;mso-height-relative:page;" coordorigin="1583,186" coordsize="8316,2374" o:gfxdata="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AAml6Z2gAAAAoBAAAP&#10;AAAAAAAAAAEAIAAAACIAAABkcnMvZG93bnJldi54bWxQSwECFAAUAAAACACHTuJAodFpf4gCAAC9&#10;CQAADgAAAAAAAAABACAAAAApAQAAZHJzL2Uyb0RvYy54bWxQSwUGAAAAAAYABgBZAQAAIwYAAAAA&#10;">
                <o:lock v:ext="edit" aspectratio="f"/>
                <v:line id="Line 11" o:spid="_x0000_s1026" o:spt="20" style="position:absolute;left:1588;top:196;height:0;width:8306;" filled="f" stroked="t" coordsize="21600,21600" o:gfxdata="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9PA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Line 10" o:spid="_x0000_s1026" o:spt="20" style="position:absolute;left:1588;top:2555;height:0;width:8306;" filled="f" stroked="t" coordsize="21600,21600" o:gfxdata="UEsDBAoAAAAAAIdO4kAAAAAAAAAAAAAAAAAEAAAAZHJzL1BLAwQUAAAACACHTuJAazbXdL8AAADb&#10;AAAADwAAAGRycy9kb3ducmV2LnhtbEWPQWvCQBSE74L/YXlCb83GttQ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13S/&#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9" o:spid="_x0000_s1026" o:spt="20" style="position:absolute;left:1593;top:191;height:2359;width:0;" filled="f" stroked="t" coordsize="21600,21600" o:gfxdata="UEsDBAoAAAAAAIdO4kAAAAAAAAAAAAAAAAAEAAAAZHJzL1BLAwQUAAAACACHTuJABHpy778AAADb&#10;AAAADwAAAGRycy9kb3ducmV2LnhtbEWPQWvCQBSE74L/YXlCb83GltY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6cu+/&#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8" o:spid="_x0000_s1026" o:spt="20" style="position:absolute;left:9889;top:191;height:2359;width:0;" filled="f" stroked="t" coordsize="21600,21600" o:gfxdata="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qOy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pPr>
        <w:pStyle w:val="12"/>
        <w:spacing w:before="231"/>
        <w:ind w:left="221"/>
        <w:rPr>
          <w:sz w:val="22"/>
          <w:szCs w:val="22"/>
          <w:lang w:eastAsia="zh-CN"/>
        </w:rPr>
      </w:pPr>
      <w:r>
        <w:rPr>
          <w:sz w:val="22"/>
          <w:szCs w:val="22"/>
          <w:lang w:eastAsia="zh-CN"/>
        </w:rPr>
        <w:t>说明：</w:t>
      </w:r>
    </w:p>
    <w:p>
      <w:pPr>
        <w:pStyle w:val="12"/>
        <w:spacing w:before="231" w:line="360" w:lineRule="auto"/>
        <w:ind w:left="221"/>
        <w:rPr>
          <w:sz w:val="22"/>
          <w:szCs w:val="22"/>
          <w:lang w:eastAsia="zh-CN"/>
        </w:rPr>
      </w:pPr>
      <w:r>
        <w:rPr>
          <w:sz w:val="22"/>
          <w:szCs w:val="22"/>
          <w:lang w:eastAsia="zh-CN"/>
        </w:rPr>
        <w:t>1.若供应商为事业单位或其他组织或分支机构，则法定代表人（单位负责人）处的签署人可为单位负责人。</w:t>
      </w:r>
    </w:p>
    <w:p>
      <w:pPr>
        <w:pStyle w:val="12"/>
        <w:spacing w:before="231" w:line="360" w:lineRule="auto"/>
        <w:ind w:left="221"/>
        <w:rPr>
          <w:sz w:val="22"/>
          <w:szCs w:val="22"/>
          <w:lang w:eastAsia="zh-CN"/>
        </w:rPr>
      </w:pPr>
      <w:r>
        <w:rPr>
          <w:sz w:val="22"/>
          <w:szCs w:val="22"/>
          <w:lang w:eastAsia="zh-CN"/>
        </w:rPr>
        <w:t>2.若响应文件中签字之处均为法定代表人（单位负责人）本人签署，则可不提供本《授权委托书》，但须提供《法定代表人（单位负责人）身份证明》；否则，不需要提供《法定代表人（单位负责人）身份证明》。</w:t>
      </w:r>
    </w:p>
    <w:p>
      <w:pPr>
        <w:pStyle w:val="12"/>
        <w:spacing w:before="231" w:line="360" w:lineRule="auto"/>
        <w:ind w:left="221"/>
        <w:rPr>
          <w:sz w:val="22"/>
          <w:szCs w:val="22"/>
          <w:lang w:eastAsia="zh-CN"/>
        </w:rPr>
      </w:pPr>
      <w:r>
        <w:rPr>
          <w:sz w:val="22"/>
          <w:szCs w:val="22"/>
          <w:lang w:eastAsia="zh-CN"/>
        </w:rPr>
        <w:t>3.供应商为自然人的情形，可不提供本《授权委托书》。</w:t>
      </w:r>
    </w:p>
    <w:p>
      <w:pPr>
        <w:pStyle w:val="12"/>
        <w:spacing w:before="231" w:line="360" w:lineRule="auto"/>
        <w:ind w:left="221"/>
        <w:rPr>
          <w:rFonts w:asciiTheme="minorEastAsia" w:hAnsiTheme="minorEastAsia" w:eastAsiaTheme="minorEastAsia"/>
          <w:sz w:val="19"/>
          <w:lang w:eastAsia="zh-CN"/>
        </w:rPr>
      </w:pPr>
      <w:r>
        <w:rPr>
          <w:sz w:val="22"/>
          <w:szCs w:val="22"/>
          <w:lang w:eastAsia="zh-CN"/>
        </w:rPr>
        <w:t>4.供应商应随本《授权委托书》同时提供法定代表人（单位负责人）及委托代理人的有效的身份证、护照等身份证明文件电子件。提供身份证的，应同时提供身份证双面电子件。</w:t>
      </w:r>
      <w:r>
        <w:rPr>
          <w:rFonts w:asciiTheme="minorEastAsia" w:hAnsiTheme="minorEastAsia" w:eastAsiaTheme="minorEastAsia"/>
          <w:sz w:val="19"/>
          <w:lang w:eastAsia="zh-CN"/>
        </w:rPr>
        <w:br w:type="page"/>
      </w:r>
    </w:p>
    <w:p>
      <w:pPr>
        <w:jc w:val="center"/>
        <w:rPr>
          <w:b/>
          <w:sz w:val="32"/>
          <w:lang w:eastAsia="zh-CN"/>
        </w:rPr>
      </w:pPr>
      <w:r>
        <w:rPr>
          <w:b/>
          <w:sz w:val="32"/>
          <w:lang w:eastAsia="zh-CN"/>
        </w:rPr>
        <w:t>法定代表人（单位负责人）身份证明</w:t>
      </w:r>
    </w:p>
    <w:p>
      <w:pPr>
        <w:spacing w:line="360" w:lineRule="auto"/>
        <w:ind w:firstLine="480" w:firstLineChars="200"/>
        <w:rPr>
          <w:sz w:val="24"/>
          <w:lang w:eastAsia="zh-CN"/>
        </w:rPr>
      </w:pPr>
    </w:p>
    <w:p>
      <w:pPr>
        <w:spacing w:line="360" w:lineRule="auto"/>
        <w:ind w:firstLine="480" w:firstLineChars="200"/>
        <w:rPr>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pPr>
        <w:spacing w:line="360" w:lineRule="auto"/>
        <w:ind w:firstLine="480" w:firstLineChars="200"/>
        <w:rPr>
          <w:sz w:val="24"/>
          <w:lang w:eastAsia="zh-CN"/>
        </w:rPr>
      </w:pPr>
      <w:r>
        <w:rPr>
          <w:sz w:val="24"/>
          <w:lang w:eastAsia="zh-CN"/>
        </w:rPr>
        <w:t>兹证明，</w:t>
      </w:r>
    </w:p>
    <w:p>
      <w:pPr>
        <w:spacing w:line="360" w:lineRule="auto"/>
        <w:ind w:firstLine="480" w:firstLineChars="200"/>
        <w:rPr>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pPr>
        <w:spacing w:line="360" w:lineRule="auto"/>
        <w:ind w:firstLine="480" w:firstLineChars="200"/>
        <w:rPr>
          <w:sz w:val="24"/>
          <w:lang w:eastAsia="zh-CN"/>
        </w:rPr>
      </w:pPr>
    </w:p>
    <w:p>
      <w:pPr>
        <w:spacing w:line="360" w:lineRule="auto"/>
        <w:ind w:firstLine="480" w:firstLineChars="200"/>
        <w:rPr>
          <w:sz w:val="24"/>
          <w:lang w:eastAsia="zh-CN"/>
        </w:rPr>
      </w:pPr>
    </w:p>
    <w:p>
      <w:pPr>
        <w:spacing w:line="360" w:lineRule="auto"/>
        <w:ind w:firstLine="480" w:firstLineChars="200"/>
        <w:rPr>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pPr>
        <w:spacing w:line="360" w:lineRule="auto"/>
        <w:ind w:firstLine="480" w:firstLineChars="200"/>
        <w:rPr>
          <w:sz w:val="24"/>
          <w:lang w:eastAsia="zh-CN"/>
        </w:rPr>
      </w:pPr>
    </w:p>
    <w:p>
      <w:pPr>
        <w:spacing w:line="360" w:lineRule="auto"/>
        <w:ind w:firstLine="480" w:firstLineChars="200"/>
        <w:rPr>
          <w:sz w:val="24"/>
          <w:lang w:eastAsia="zh-CN"/>
        </w:rPr>
      </w:pPr>
    </w:p>
    <w:p>
      <w:pPr>
        <w:spacing w:line="360" w:lineRule="auto"/>
        <w:ind w:firstLine="480" w:firstLineChars="200"/>
        <w:rPr>
          <w:sz w:val="24"/>
          <w:lang w:eastAsia="zh-CN"/>
        </w:rPr>
      </w:pPr>
      <w:r>
        <w:rPr>
          <w:sz w:val="24"/>
          <w:lang w:eastAsia="zh-CN"/>
        </w:rPr>
        <w:t>附：法定代表人（单位负责人）身份证、护照等身份证明文件电子件：</w:t>
      </w:r>
    </w:p>
    <w:p>
      <w:pPr>
        <w:pStyle w:val="12"/>
        <w:rPr>
          <w:rFonts w:asciiTheme="minorEastAsia" w:hAnsiTheme="minorEastAsia" w:eastAsiaTheme="minorEastAsia"/>
          <w:sz w:val="20"/>
          <w:lang w:eastAsia="zh-CN"/>
        </w:rPr>
      </w:pPr>
    </w:p>
    <w:p>
      <w:pPr>
        <w:pStyle w:val="12"/>
        <w:spacing w:before="4"/>
        <w:rPr>
          <w:rFonts w:asciiTheme="minorEastAsia" w:hAnsiTheme="minorEastAsia" w:eastAsiaTheme="minorEastAsia"/>
          <w:sz w:val="13"/>
          <w:lang w:eastAsia="zh-CN"/>
        </w:rPr>
      </w:pPr>
      <w:r>
        <w:rPr>
          <w:rFonts w:asciiTheme="minorEastAsia" w:hAnsiTheme="minorEastAsia" w:eastAsiaTheme="minorEastAsia"/>
          <w:lang w:eastAsia="zh-CN"/>
        </w:rPr>
        <mc:AlternateContent>
          <mc:Choice Requires="wpg">
            <w:drawing>
              <wp:anchor distT="0" distB="0" distL="0" distR="0" simplePos="0" relativeHeight="251664384" behindDoc="0" locked="0" layoutInCell="1" allowOverlap="1">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w:pict>
              <v:group id="Group 2" o:spid="_x0000_s1026" o:spt="203" style="position:absolute;left:0pt;margin-left:79pt;margin-top:10.85pt;height:114.6pt;width:426.5pt;mso-position-horizontal-relative:page;mso-wrap-distance-bottom:0pt;mso-wrap-distance-top:0pt;z-index:251664384;mso-width-relative:page;mso-height-relative:page;" coordorigin="1583,213" coordsize="9083,2292" o:gfxdata="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DwiS4i2QAAAAsBAAAP&#10;AAAAAAAAAAEAIAAAACIAAABkcnMvZG93bnJldi54bWxQSwECFAAUAAAACACHTuJAMVAIbokCAAC8&#10;CQAADgAAAAAAAAABACAAAAAoAQAAZHJzL2Uyb0RvYy54bWxQSwUGAAAAAAYABgBZAQAAIwYAAAAA&#10;">
                <o:lock v:ext="edit" aspectratio="f"/>
                <v:line id="Line 6" o:spid="_x0000_s1026" o:spt="20" style="position:absolute;left:1588;top:223;height:0;width:9072;" filled="f" stroked="t" coordsize="21600,21600" o:gfxdata="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okus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5" o:spid="_x0000_s1026" o:spt="20" style="position:absolute;left:1588;top:2500;height:0;width:9072;" filled="f" stroked="t" coordsize="21600,21600" o:gfxdata="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7u43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Line 4" o:spid="_x0000_s1026" o:spt="20" style="position:absolute;left:1593;top:218;height:2277;width:0;" filled="f" stroked="t" coordsize="21600,21600" o:gfxdata="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DdF3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3" o:spid="_x0000_s1026" o:spt="20" style="position:absolute;left:10655;top:218;height:2277;width:0;" filled="f" stroked="t" coordsize="21600,21600" o:gfxdata="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0F07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pPr>
        <w:pStyle w:val="12"/>
        <w:rPr>
          <w:rFonts w:asciiTheme="minorEastAsia" w:hAnsiTheme="minorEastAsia" w:eastAsiaTheme="minorEastAsia"/>
          <w:sz w:val="20"/>
          <w:lang w:eastAsia="zh-CN"/>
        </w:rPr>
      </w:pPr>
    </w:p>
    <w:p>
      <w:pPr>
        <w:pStyle w:val="12"/>
        <w:rPr>
          <w:rFonts w:asciiTheme="minorEastAsia" w:hAnsiTheme="minorEastAsia" w:eastAsiaTheme="minorEastAsia"/>
          <w:sz w:val="20"/>
          <w:lang w:eastAsia="zh-CN"/>
        </w:rPr>
      </w:pPr>
    </w:p>
    <w:p>
      <w:pPr>
        <w:pStyle w:val="12"/>
        <w:tabs>
          <w:tab w:val="left" w:pos="3754"/>
        </w:tabs>
        <w:spacing w:before="209"/>
        <w:ind w:left="221"/>
        <w:rPr>
          <w:szCs w:val="22"/>
          <w:lang w:eastAsia="zh-CN"/>
        </w:rPr>
      </w:pPr>
      <w:r>
        <w:rPr>
          <w:szCs w:val="22"/>
          <w:lang w:eastAsia="zh-CN"/>
        </w:rPr>
        <w:t>供应商名称（加盖公章）：</w:t>
      </w:r>
      <w:r>
        <w:rPr>
          <w:rFonts w:hint="eastAsia"/>
          <w:u w:val="single"/>
          <w:lang w:eastAsia="zh-CN"/>
        </w:rPr>
        <w:t xml:space="preserve">          </w:t>
      </w:r>
    </w:p>
    <w:p>
      <w:pPr>
        <w:pStyle w:val="12"/>
        <w:tabs>
          <w:tab w:val="left" w:pos="1421"/>
          <w:tab w:val="left" w:pos="2141"/>
          <w:tab w:val="left" w:pos="2861"/>
          <w:tab w:val="left" w:pos="5486"/>
        </w:tabs>
        <w:spacing w:before="151" w:line="357" w:lineRule="auto"/>
        <w:ind w:left="221" w:right="378"/>
        <w:rPr>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pPr>
        <w:pStyle w:val="12"/>
        <w:tabs>
          <w:tab w:val="left" w:pos="1421"/>
          <w:tab w:val="left" w:pos="2141"/>
          <w:tab w:val="left" w:pos="2861"/>
          <w:tab w:val="left" w:pos="5486"/>
        </w:tabs>
        <w:spacing w:before="151" w:line="357" w:lineRule="auto"/>
        <w:ind w:left="221" w:right="378"/>
        <w:rPr>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pPr>
        <w:widowControl/>
        <w:autoSpaceDE/>
        <w:autoSpaceDN/>
        <w:rPr>
          <w:sz w:val="24"/>
          <w:lang w:eastAsia="zh-CN"/>
        </w:rPr>
        <w:sectPr>
          <w:headerReference r:id="rId18" w:type="default"/>
          <w:footerReference r:id="rId19" w:type="default"/>
          <w:pgSz w:w="11910" w:h="16840"/>
          <w:pgMar w:top="1797" w:right="1440" w:bottom="1797" w:left="1440" w:header="878" w:footer="891" w:gutter="0"/>
          <w:cols w:space="720" w:num="1"/>
          <w:docGrid w:linePitch="299" w:charSpace="0"/>
        </w:sectPr>
      </w:pPr>
    </w:p>
    <w:p>
      <w:pPr>
        <w:pStyle w:val="6"/>
        <w:numPr>
          <w:ilvl w:val="0"/>
          <w:numId w:val="122"/>
        </w:numPr>
        <w:rPr>
          <w:i w:val="0"/>
          <w:lang w:eastAsia="zh-CN"/>
        </w:rPr>
      </w:pPr>
      <w:r>
        <w:rPr>
          <w:i w:val="0"/>
          <w:lang w:eastAsia="zh-CN"/>
        </w:rPr>
        <w:t>报价一览表</w:t>
      </w:r>
    </w:p>
    <w:p>
      <w:pPr>
        <w:jc w:val="center"/>
        <w:rPr>
          <w:b/>
          <w:sz w:val="32"/>
          <w:lang w:eastAsia="zh-CN"/>
        </w:rPr>
      </w:pPr>
      <w:r>
        <w:rPr>
          <w:b/>
          <w:sz w:val="32"/>
          <w:lang w:eastAsia="zh-CN"/>
        </w:rPr>
        <w:t>报价一览表</w:t>
      </w:r>
    </w:p>
    <w:p>
      <w:pPr>
        <w:pStyle w:val="12"/>
        <w:spacing w:before="8"/>
        <w:rPr>
          <w:rFonts w:asciiTheme="minorEastAsia" w:hAnsiTheme="minorEastAsia" w:eastAsiaTheme="minorEastAsia"/>
          <w:sz w:val="28"/>
          <w:lang w:eastAsia="zh-CN"/>
        </w:rPr>
      </w:pPr>
    </w:p>
    <w:p>
      <w:pPr>
        <w:rPr>
          <w:i/>
          <w:color w:val="FF0000"/>
          <w:sz w:val="24"/>
          <w:lang w:eastAsia="zh-CN"/>
        </w:rPr>
      </w:pPr>
      <w:r>
        <w:rPr>
          <w:i/>
          <w:color w:val="FF0000"/>
          <w:sz w:val="24"/>
          <w:lang w:eastAsia="zh-CN"/>
        </w:rPr>
        <w:t>（格式示例：适用于投报总价的项目）</w:t>
      </w:r>
    </w:p>
    <w:p>
      <w:pPr>
        <w:rPr>
          <w:rFonts w:asciiTheme="minorEastAsia" w:hAnsiTheme="minorEastAsia" w:eastAsiaTheme="minorEastAsia"/>
          <w:lang w:eastAsia="zh-CN"/>
        </w:rPr>
      </w:pPr>
      <w:r>
        <w:rPr>
          <w:rFonts w:asciiTheme="minorEastAsia" w:hAnsiTheme="minorEastAsia" w:eastAsiaTheme="minorEastAsia"/>
          <w:lang w:eastAsia="zh-CN"/>
        </w:rPr>
        <w:t>项目编号：</w:t>
      </w:r>
      <w:r>
        <w:rPr>
          <w:rFonts w:hint="eastAsia" w:asciiTheme="minorEastAsia" w:hAnsiTheme="minorEastAsia" w:eastAsiaTheme="minorEastAsia"/>
          <w:u w:val="single"/>
          <w:lang w:eastAsia="zh-CN"/>
        </w:rPr>
        <w:t xml:space="preserve">           </w:t>
      </w:r>
      <w:r>
        <w:rPr>
          <w:rFonts w:asciiTheme="minorEastAsia" w:hAnsiTheme="minorEastAsia" w:eastAsiaTheme="minorEastAsia"/>
          <w:lang w:eastAsia="zh-CN"/>
        </w:rPr>
        <w:t>项目名称：</w:t>
      </w:r>
      <w:r>
        <w:rPr>
          <w:rFonts w:hint="eastAsia" w:asciiTheme="minorEastAsia" w:hAnsiTheme="minorEastAsia" w:eastAsiaTheme="minorEastAsia"/>
          <w:u w:val="single"/>
          <w:lang w:eastAsia="zh-CN"/>
        </w:rPr>
        <w:t xml:space="preserve">          </w:t>
      </w:r>
    </w:p>
    <w:p>
      <w:pPr>
        <w:pStyle w:val="12"/>
        <w:spacing w:before="6"/>
        <w:rPr>
          <w:rFonts w:asciiTheme="minorEastAsia" w:hAnsiTheme="minorEastAsia" w:eastAsiaTheme="minorEastAsia"/>
          <w:sz w:val="16"/>
          <w:lang w:eastAsia="zh-CN"/>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96"/>
        <w:gridCol w:w="3544"/>
        <w:gridCol w:w="2242"/>
        <w:gridCol w:w="23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exact"/>
        </w:trPr>
        <w:tc>
          <w:tcPr>
            <w:tcW w:w="496" w:type="pct"/>
            <w:vMerge w:val="restart"/>
            <w:vAlign w:val="center"/>
          </w:tcPr>
          <w:p>
            <w:pPr>
              <w:pStyle w:val="27"/>
              <w:ind w:left="160"/>
              <w:jc w:val="center"/>
              <w:rPr>
                <w:rFonts w:asciiTheme="minorEastAsia" w:hAnsiTheme="minorEastAsia" w:eastAsiaTheme="minorEastAsia"/>
                <w:sz w:val="24"/>
              </w:rPr>
            </w:pPr>
            <w:r>
              <w:rPr>
                <w:rFonts w:asciiTheme="minorEastAsia" w:hAnsiTheme="minorEastAsia" w:eastAsiaTheme="minorEastAsia"/>
                <w:sz w:val="24"/>
              </w:rPr>
              <w:t>包号</w:t>
            </w:r>
          </w:p>
        </w:tc>
        <w:tc>
          <w:tcPr>
            <w:tcW w:w="1960" w:type="pct"/>
            <w:vMerge w:val="restart"/>
            <w:vAlign w:val="center"/>
          </w:tcPr>
          <w:p>
            <w:pPr>
              <w:pStyle w:val="27"/>
              <w:ind w:left="996"/>
              <w:jc w:val="center"/>
              <w:rPr>
                <w:rFonts w:asciiTheme="minorEastAsia" w:hAnsiTheme="minorEastAsia" w:eastAsiaTheme="minorEastAsia"/>
                <w:sz w:val="24"/>
              </w:rPr>
            </w:pPr>
            <w:r>
              <w:rPr>
                <w:rFonts w:asciiTheme="minorEastAsia" w:hAnsiTheme="minorEastAsia" w:eastAsiaTheme="minorEastAsia"/>
                <w:sz w:val="24"/>
              </w:rPr>
              <w:t>供应商名称</w:t>
            </w:r>
          </w:p>
        </w:tc>
        <w:tc>
          <w:tcPr>
            <w:tcW w:w="2544" w:type="pct"/>
            <w:gridSpan w:val="2"/>
            <w:vAlign w:val="center"/>
          </w:tcPr>
          <w:p>
            <w:pPr>
              <w:pStyle w:val="27"/>
              <w:spacing w:before="71"/>
              <w:ind w:left="1814" w:right="1814"/>
              <w:jc w:val="center"/>
              <w:rPr>
                <w:rFonts w:asciiTheme="minorEastAsia" w:hAnsiTheme="minorEastAsia" w:eastAsiaTheme="minorEastAsia"/>
                <w:sz w:val="24"/>
              </w:rPr>
            </w:pPr>
            <w:r>
              <w:rPr>
                <w:rFonts w:asciiTheme="minorEastAsia" w:hAnsiTheme="minorEastAsia" w:eastAsiaTheme="minorEastAsia"/>
                <w:sz w:val="24"/>
              </w:rPr>
              <w:t>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exact"/>
        </w:trPr>
        <w:tc>
          <w:tcPr>
            <w:tcW w:w="496" w:type="pct"/>
            <w:vMerge w:val="continue"/>
            <w:vAlign w:val="center"/>
          </w:tcPr>
          <w:p>
            <w:pPr>
              <w:jc w:val="center"/>
              <w:rPr>
                <w:rFonts w:asciiTheme="minorEastAsia" w:hAnsiTheme="minorEastAsia" w:eastAsiaTheme="minorEastAsia"/>
              </w:rPr>
            </w:pPr>
          </w:p>
        </w:tc>
        <w:tc>
          <w:tcPr>
            <w:tcW w:w="1960" w:type="pct"/>
            <w:vMerge w:val="continue"/>
            <w:vAlign w:val="center"/>
          </w:tcPr>
          <w:p>
            <w:pPr>
              <w:jc w:val="center"/>
              <w:rPr>
                <w:rFonts w:asciiTheme="minorEastAsia" w:hAnsiTheme="minorEastAsia" w:eastAsiaTheme="minorEastAsia"/>
              </w:rPr>
            </w:pPr>
          </w:p>
        </w:tc>
        <w:tc>
          <w:tcPr>
            <w:tcW w:w="1240" w:type="pct"/>
            <w:vAlign w:val="center"/>
          </w:tcPr>
          <w:p>
            <w:pPr>
              <w:pStyle w:val="27"/>
              <w:spacing w:before="142"/>
              <w:ind w:left="748" w:right="748"/>
              <w:jc w:val="center"/>
              <w:rPr>
                <w:rFonts w:asciiTheme="minorEastAsia" w:hAnsiTheme="minorEastAsia" w:eastAsiaTheme="minorEastAsia"/>
                <w:sz w:val="24"/>
              </w:rPr>
            </w:pPr>
            <w:r>
              <w:rPr>
                <w:rFonts w:asciiTheme="minorEastAsia" w:hAnsiTheme="minorEastAsia" w:eastAsiaTheme="minorEastAsia"/>
                <w:sz w:val="24"/>
              </w:rPr>
              <w:t>大写</w:t>
            </w:r>
          </w:p>
        </w:tc>
        <w:tc>
          <w:tcPr>
            <w:tcW w:w="1304" w:type="pct"/>
            <w:vAlign w:val="center"/>
          </w:tcPr>
          <w:p>
            <w:pPr>
              <w:pStyle w:val="27"/>
              <w:spacing w:before="142"/>
              <w:ind w:left="801" w:right="801"/>
              <w:jc w:val="center"/>
              <w:rPr>
                <w:rFonts w:asciiTheme="minorEastAsia" w:hAnsiTheme="minorEastAsia" w:eastAsiaTheme="minorEastAsia"/>
                <w:sz w:val="24"/>
              </w:rPr>
            </w:pPr>
            <w:r>
              <w:rPr>
                <w:rFonts w:asciiTheme="minorEastAsia" w:hAnsiTheme="minorEastAsia" w:eastAsiaTheme="minorEastAsia"/>
                <w:sz w:val="24"/>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6" w:hRule="exact"/>
        </w:trPr>
        <w:tc>
          <w:tcPr>
            <w:tcW w:w="496" w:type="pct"/>
            <w:vAlign w:val="center"/>
          </w:tcPr>
          <w:p>
            <w:pPr>
              <w:jc w:val="center"/>
              <w:rPr>
                <w:rFonts w:asciiTheme="minorEastAsia" w:hAnsiTheme="minorEastAsia" w:eastAsiaTheme="minorEastAsia"/>
              </w:rPr>
            </w:pPr>
          </w:p>
        </w:tc>
        <w:tc>
          <w:tcPr>
            <w:tcW w:w="1960" w:type="pct"/>
            <w:vAlign w:val="center"/>
          </w:tcPr>
          <w:p>
            <w:pPr>
              <w:jc w:val="center"/>
              <w:rPr>
                <w:rFonts w:asciiTheme="minorEastAsia" w:hAnsiTheme="minorEastAsia" w:eastAsiaTheme="minorEastAsia"/>
              </w:rPr>
            </w:pPr>
          </w:p>
        </w:tc>
        <w:tc>
          <w:tcPr>
            <w:tcW w:w="1240" w:type="pct"/>
            <w:vAlign w:val="center"/>
          </w:tcPr>
          <w:p>
            <w:pPr>
              <w:jc w:val="center"/>
              <w:rPr>
                <w:rFonts w:asciiTheme="minorEastAsia" w:hAnsiTheme="minorEastAsia" w:eastAsiaTheme="minorEastAsia"/>
              </w:rPr>
            </w:pPr>
          </w:p>
        </w:tc>
        <w:tc>
          <w:tcPr>
            <w:tcW w:w="1304" w:type="pct"/>
            <w:vAlign w:val="center"/>
          </w:tcPr>
          <w:p>
            <w:pPr>
              <w:jc w:val="center"/>
              <w:rPr>
                <w:rFonts w:asciiTheme="minorEastAsia" w:hAnsiTheme="minorEastAsia" w:eastAsiaTheme="minorEastAsia"/>
              </w:rPr>
            </w:pPr>
          </w:p>
        </w:tc>
      </w:tr>
    </w:tbl>
    <w:p>
      <w:pPr>
        <w:pStyle w:val="12"/>
        <w:spacing w:before="3"/>
        <w:rPr>
          <w:rFonts w:asciiTheme="minorEastAsia" w:hAnsiTheme="minorEastAsia" w:eastAsiaTheme="minorEastAsia"/>
          <w:sz w:val="17"/>
        </w:rPr>
      </w:pPr>
    </w:p>
    <w:p>
      <w:pPr>
        <w:pStyle w:val="12"/>
        <w:spacing w:before="43" w:line="321" w:lineRule="exact"/>
        <w:ind w:left="121"/>
        <w:rPr>
          <w:rFonts w:asciiTheme="minorEastAsia" w:hAnsiTheme="minorEastAsia" w:eastAsiaTheme="minorEastAsia"/>
          <w:lang w:eastAsia="zh-CN"/>
        </w:rPr>
      </w:pPr>
      <w:r>
        <w:rPr>
          <w:rFonts w:asciiTheme="minorEastAsia" w:hAnsiTheme="minorEastAsia" w:eastAsiaTheme="minorEastAsia"/>
          <w:lang w:eastAsia="zh-CN"/>
        </w:rPr>
        <w:t>注：1.此表中，每包的报价应和《分项报价表》中的总价相一致。</w:t>
      </w:r>
    </w:p>
    <w:p>
      <w:pPr>
        <w:pStyle w:val="12"/>
        <w:spacing w:line="321" w:lineRule="exact"/>
        <w:ind w:left="601"/>
        <w:rPr>
          <w:rFonts w:asciiTheme="minorEastAsia" w:hAnsiTheme="minorEastAsia" w:eastAsiaTheme="minorEastAsia"/>
          <w:lang w:eastAsia="zh-CN"/>
        </w:rPr>
      </w:pPr>
      <w:r>
        <w:rPr>
          <w:rFonts w:asciiTheme="minorEastAsia" w:hAnsiTheme="minorEastAsia" w:eastAsiaTheme="minorEastAsia"/>
          <w:lang w:eastAsia="zh-CN"/>
        </w:rPr>
        <w:t>2.本表必须按包分别填写。</w:t>
      </w:r>
    </w:p>
    <w:p>
      <w:pPr>
        <w:pStyle w:val="12"/>
        <w:rPr>
          <w:rFonts w:asciiTheme="minorEastAsia" w:hAnsiTheme="minorEastAsia" w:eastAsiaTheme="minorEastAsia"/>
          <w:sz w:val="28"/>
          <w:lang w:eastAsia="zh-CN"/>
        </w:rPr>
      </w:pPr>
    </w:p>
    <w:p>
      <w:pPr>
        <w:pStyle w:val="12"/>
        <w:rPr>
          <w:rFonts w:asciiTheme="minorEastAsia" w:hAnsiTheme="minorEastAsia" w:eastAsiaTheme="minorEastAsia"/>
          <w:sz w:val="28"/>
          <w:lang w:eastAsia="zh-CN"/>
        </w:rPr>
      </w:pPr>
    </w:p>
    <w:p>
      <w:pPr>
        <w:pStyle w:val="12"/>
        <w:spacing w:before="6"/>
        <w:rPr>
          <w:rFonts w:asciiTheme="minorEastAsia" w:hAnsiTheme="minorEastAsia" w:eastAsiaTheme="minorEastAsia"/>
          <w:sz w:val="33"/>
          <w:lang w:eastAsia="zh-CN"/>
        </w:rPr>
      </w:pPr>
    </w:p>
    <w:p>
      <w:pPr>
        <w:spacing w:line="360" w:lineRule="auto"/>
        <w:rPr>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pPr>
        <w:spacing w:line="360" w:lineRule="auto"/>
        <w:rPr>
          <w:sz w:val="24"/>
        </w:rPr>
      </w:pPr>
      <w:r>
        <w:rPr>
          <w:sz w:val="24"/>
        </w:rPr>
        <w:t>日期：</w:t>
      </w:r>
      <w:r>
        <w:rPr>
          <w:rFonts w:hint="eastAsia"/>
          <w:sz w:val="24"/>
          <w:u w:val="single"/>
        </w:rPr>
        <w:t xml:space="preserve">          </w:t>
      </w:r>
      <w:r>
        <w:rPr>
          <w:sz w:val="24"/>
        </w:rPr>
        <w:t>年</w:t>
      </w:r>
      <w:r>
        <w:rPr>
          <w:rFonts w:hint="eastAsia"/>
          <w:sz w:val="24"/>
          <w:u w:val="single"/>
        </w:rPr>
        <w:t xml:space="preserve">     </w:t>
      </w:r>
      <w:r>
        <w:rPr>
          <w:sz w:val="24"/>
        </w:rPr>
        <w:t>月</w:t>
      </w:r>
      <w:r>
        <w:rPr>
          <w:rFonts w:hint="eastAsia"/>
          <w:sz w:val="24"/>
          <w:u w:val="single"/>
        </w:rPr>
        <w:t xml:space="preserve">    </w:t>
      </w:r>
      <w:r>
        <w:rPr>
          <w:sz w:val="24"/>
        </w:rPr>
        <w:t>日</w:t>
      </w:r>
    </w:p>
    <w:p>
      <w:pPr>
        <w:pStyle w:val="12"/>
        <w:spacing w:before="4"/>
        <w:rPr>
          <w:rFonts w:asciiTheme="minorEastAsia" w:hAnsiTheme="minorEastAsia" w:eastAsiaTheme="minorEastAsia"/>
          <w:sz w:val="18"/>
          <w:lang w:eastAsia="zh-CN"/>
        </w:rPr>
      </w:pPr>
    </w:p>
    <w:p>
      <w:pPr>
        <w:rPr>
          <w:rFonts w:asciiTheme="minorEastAsia" w:hAnsiTheme="minorEastAsia" w:eastAsiaTheme="minorEastAsia"/>
          <w:sz w:val="18"/>
          <w:lang w:eastAsia="zh-CN"/>
        </w:rPr>
        <w:sectPr>
          <w:pgSz w:w="11910" w:h="16840"/>
          <w:pgMar w:top="1797" w:right="1440" w:bottom="1797" w:left="1440" w:header="878" w:footer="891" w:gutter="0"/>
          <w:cols w:space="720" w:num="1"/>
          <w:docGrid w:linePitch="299" w:charSpace="0"/>
        </w:sectPr>
      </w:pPr>
    </w:p>
    <w:p>
      <w:pPr>
        <w:pStyle w:val="6"/>
        <w:numPr>
          <w:ilvl w:val="0"/>
          <w:numId w:val="122"/>
        </w:numPr>
        <w:rPr>
          <w:i w:val="0"/>
          <w:lang w:eastAsia="zh-CN"/>
        </w:rPr>
      </w:pPr>
      <w:r>
        <w:rPr>
          <w:rFonts w:hint="eastAsia"/>
          <w:i w:val="0"/>
          <w:lang w:eastAsia="zh-CN"/>
        </w:rPr>
        <w:t>已标价的工程量清单</w:t>
      </w:r>
    </w:p>
    <w:p>
      <w:pPr>
        <w:pStyle w:val="12"/>
        <w:rPr>
          <w:rFonts w:asciiTheme="minorEastAsia" w:hAnsiTheme="minorEastAsia" w:eastAsiaTheme="minorEastAsia"/>
          <w:sz w:val="20"/>
        </w:rPr>
      </w:pPr>
    </w:p>
    <w:p>
      <w:pPr>
        <w:spacing w:line="360" w:lineRule="exact"/>
        <w:jc w:val="center"/>
        <w:rPr>
          <w:rFonts w:hint="eastAsia" w:eastAsia="宋体"/>
          <w:b/>
          <w:color w:val="000000"/>
          <w:sz w:val="36"/>
          <w:szCs w:val="36"/>
          <w:lang w:eastAsia="zh-CN"/>
        </w:rPr>
      </w:pPr>
      <w:r>
        <w:rPr>
          <w:rFonts w:hint="eastAsia"/>
          <w:b/>
          <w:color w:val="000000"/>
          <w:sz w:val="36"/>
          <w:szCs w:val="36"/>
          <w:lang w:eastAsia="zh-CN"/>
        </w:rPr>
        <w:t>已标价的工程量清单</w:t>
      </w:r>
    </w:p>
    <w:p>
      <w:pPr>
        <w:pStyle w:val="12"/>
        <w:spacing w:before="10"/>
        <w:rPr>
          <w:rFonts w:asciiTheme="minorEastAsia" w:hAnsiTheme="minorEastAsia" w:eastAsiaTheme="minorEastAsia"/>
          <w:sz w:val="17"/>
        </w:rPr>
      </w:pPr>
    </w:p>
    <w:p>
      <w:pPr>
        <w:spacing w:line="260" w:lineRule="exact"/>
        <w:jc w:val="center"/>
        <w:rPr>
          <w:color w:val="000000"/>
          <w:sz w:val="36"/>
          <w:szCs w:val="36"/>
        </w:rPr>
      </w:pPr>
    </w:p>
    <w:p>
      <w:pPr>
        <w:adjustRightInd w:val="0"/>
        <w:snapToGrid w:val="0"/>
        <w:spacing w:before="240" w:beforeLines="100" w:after="240" w:afterLines="100"/>
        <w:jc w:val="left"/>
        <w:rPr>
          <w:b/>
          <w:i/>
          <w:color w:val="FF0000"/>
          <w:sz w:val="24"/>
        </w:rPr>
      </w:pPr>
    </w:p>
    <w:p>
      <w:pPr>
        <w:tabs>
          <w:tab w:val="left" w:pos="1800"/>
          <w:tab w:val="left" w:pos="5580"/>
        </w:tabs>
        <w:rPr>
          <w:color w:val="000000"/>
          <w:sz w:val="24"/>
        </w:rPr>
      </w:pPr>
      <w:r>
        <w:rPr>
          <w:color w:val="000000"/>
          <w:sz w:val="24"/>
        </w:rPr>
        <w:t>项目编号/包号：_________ 项目名称：_________报价单位：人民币元</w:t>
      </w:r>
    </w:p>
    <w:tbl>
      <w:tblPr>
        <w:tblStyle w:val="2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3400"/>
        <w:gridCol w:w="2950"/>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4" w:type="dxa"/>
            <w:vAlign w:val="center"/>
          </w:tcPr>
          <w:p>
            <w:pPr>
              <w:adjustRightInd w:val="0"/>
              <w:snapToGrid w:val="0"/>
              <w:jc w:val="left"/>
              <w:rPr>
                <w:b/>
                <w:color w:val="000000"/>
                <w:sz w:val="24"/>
              </w:rPr>
            </w:pPr>
            <w:r>
              <w:rPr>
                <w:b/>
                <w:color w:val="000000"/>
                <w:sz w:val="24"/>
              </w:rPr>
              <w:t>序号</w:t>
            </w:r>
          </w:p>
        </w:tc>
        <w:tc>
          <w:tcPr>
            <w:tcW w:w="3400" w:type="dxa"/>
            <w:vAlign w:val="center"/>
          </w:tcPr>
          <w:p>
            <w:pPr>
              <w:adjustRightInd w:val="0"/>
              <w:snapToGrid w:val="0"/>
              <w:jc w:val="left"/>
              <w:rPr>
                <w:b/>
                <w:color w:val="000000"/>
                <w:sz w:val="24"/>
              </w:rPr>
            </w:pPr>
            <w:r>
              <w:rPr>
                <w:b/>
                <w:color w:val="000000"/>
                <w:sz w:val="24"/>
              </w:rPr>
              <w:t>分项名称</w:t>
            </w:r>
          </w:p>
        </w:tc>
        <w:tc>
          <w:tcPr>
            <w:tcW w:w="2950" w:type="dxa"/>
            <w:vAlign w:val="center"/>
          </w:tcPr>
          <w:p>
            <w:pPr>
              <w:adjustRightInd w:val="0"/>
              <w:snapToGrid w:val="0"/>
              <w:jc w:val="left"/>
              <w:rPr>
                <w:b/>
                <w:color w:val="000000"/>
                <w:sz w:val="24"/>
              </w:rPr>
            </w:pPr>
            <w:r>
              <w:rPr>
                <w:b/>
                <w:color w:val="000000"/>
                <w:sz w:val="24"/>
              </w:rPr>
              <w:t>合价（元）</w:t>
            </w:r>
          </w:p>
        </w:tc>
        <w:tc>
          <w:tcPr>
            <w:tcW w:w="1985" w:type="dxa"/>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04" w:type="dxa"/>
            <w:vAlign w:val="center"/>
          </w:tcPr>
          <w:p>
            <w:pPr>
              <w:adjustRightInd w:val="0"/>
              <w:snapToGrid w:val="0"/>
              <w:jc w:val="center"/>
              <w:rPr>
                <w:color w:val="000000"/>
                <w:sz w:val="24"/>
              </w:rPr>
            </w:pPr>
            <w:r>
              <w:rPr>
                <w:color w:val="000000"/>
                <w:sz w:val="24"/>
              </w:rPr>
              <w:t>1</w:t>
            </w:r>
          </w:p>
        </w:tc>
        <w:tc>
          <w:tcPr>
            <w:tcW w:w="3400" w:type="dxa"/>
            <w:vAlign w:val="center"/>
          </w:tcPr>
          <w:p>
            <w:pPr>
              <w:pStyle w:val="15"/>
              <w:jc w:val="left"/>
              <w:rPr>
                <w:rFonts w:hAnsi="宋体"/>
                <w:sz w:val="24"/>
                <w:szCs w:val="24"/>
              </w:rPr>
            </w:pPr>
            <w:r>
              <w:rPr>
                <w:rFonts w:hAnsi="宋体"/>
                <w:sz w:val="24"/>
                <w:szCs w:val="24"/>
              </w:rPr>
              <w:t>分部分项工程合价为</w:t>
            </w:r>
          </w:p>
        </w:tc>
        <w:tc>
          <w:tcPr>
            <w:tcW w:w="2950" w:type="dxa"/>
            <w:vAlign w:val="center"/>
          </w:tcPr>
          <w:p>
            <w:pPr>
              <w:adjustRightInd w:val="0"/>
              <w:snapToGrid w:val="0"/>
              <w:jc w:val="left"/>
              <w:rPr>
                <w:color w:val="000000"/>
                <w:sz w:val="24"/>
              </w:rPr>
            </w:pPr>
          </w:p>
        </w:tc>
        <w:tc>
          <w:tcPr>
            <w:tcW w:w="1985"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04" w:type="dxa"/>
            <w:vAlign w:val="center"/>
          </w:tcPr>
          <w:p>
            <w:pPr>
              <w:adjustRightInd w:val="0"/>
              <w:snapToGrid w:val="0"/>
              <w:jc w:val="center"/>
              <w:rPr>
                <w:color w:val="000000"/>
                <w:sz w:val="24"/>
              </w:rPr>
            </w:pPr>
            <w:r>
              <w:rPr>
                <w:color w:val="000000"/>
                <w:sz w:val="24"/>
              </w:rPr>
              <w:t>2</w:t>
            </w:r>
          </w:p>
        </w:tc>
        <w:tc>
          <w:tcPr>
            <w:tcW w:w="3400" w:type="dxa"/>
            <w:vAlign w:val="center"/>
          </w:tcPr>
          <w:p>
            <w:pPr>
              <w:pStyle w:val="15"/>
              <w:jc w:val="left"/>
              <w:rPr>
                <w:rFonts w:hAnsi="宋体"/>
                <w:sz w:val="24"/>
                <w:szCs w:val="24"/>
              </w:rPr>
            </w:pPr>
            <w:r>
              <w:rPr>
                <w:rFonts w:hAnsi="宋体"/>
                <w:sz w:val="24"/>
                <w:szCs w:val="24"/>
              </w:rPr>
              <w:t>措施项目合价</w:t>
            </w:r>
          </w:p>
        </w:tc>
        <w:tc>
          <w:tcPr>
            <w:tcW w:w="2950" w:type="dxa"/>
            <w:vAlign w:val="center"/>
          </w:tcPr>
          <w:p>
            <w:pPr>
              <w:adjustRightInd w:val="0"/>
              <w:snapToGrid w:val="0"/>
              <w:jc w:val="left"/>
              <w:rPr>
                <w:color w:val="000000"/>
                <w:sz w:val="24"/>
              </w:rPr>
            </w:pPr>
          </w:p>
        </w:tc>
        <w:tc>
          <w:tcPr>
            <w:tcW w:w="1985"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color w:val="000000"/>
                <w:sz w:val="24"/>
              </w:rPr>
              <w:t>3</w:t>
            </w:r>
          </w:p>
        </w:tc>
        <w:tc>
          <w:tcPr>
            <w:tcW w:w="3400" w:type="dxa"/>
            <w:vAlign w:val="center"/>
          </w:tcPr>
          <w:p>
            <w:pPr>
              <w:pStyle w:val="15"/>
              <w:rPr>
                <w:rFonts w:hAnsi="宋体"/>
                <w:sz w:val="24"/>
                <w:szCs w:val="24"/>
              </w:rPr>
            </w:pPr>
            <w:r>
              <w:rPr>
                <w:rFonts w:hAnsi="宋体"/>
                <w:sz w:val="24"/>
                <w:szCs w:val="24"/>
              </w:rPr>
              <w:t>其他项目合价</w:t>
            </w:r>
          </w:p>
        </w:tc>
        <w:tc>
          <w:tcPr>
            <w:tcW w:w="2950" w:type="dxa"/>
            <w:vAlign w:val="center"/>
          </w:tcPr>
          <w:p>
            <w:pPr>
              <w:adjustRightInd w:val="0"/>
              <w:snapToGrid w:val="0"/>
              <w:jc w:val="left"/>
              <w:rPr>
                <w:color w:val="000000"/>
                <w:sz w:val="24"/>
              </w:rPr>
            </w:pPr>
          </w:p>
        </w:tc>
        <w:tc>
          <w:tcPr>
            <w:tcW w:w="1985"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4</w:t>
            </w:r>
          </w:p>
        </w:tc>
        <w:tc>
          <w:tcPr>
            <w:tcW w:w="3400" w:type="dxa"/>
            <w:vAlign w:val="center"/>
          </w:tcPr>
          <w:p>
            <w:pPr>
              <w:pStyle w:val="15"/>
              <w:rPr>
                <w:rFonts w:hAnsi="宋体"/>
                <w:sz w:val="24"/>
                <w:szCs w:val="24"/>
              </w:rPr>
            </w:pPr>
            <w:r>
              <w:rPr>
                <w:rFonts w:hAnsi="宋体"/>
                <w:sz w:val="24"/>
                <w:szCs w:val="24"/>
              </w:rPr>
              <w:t>规费合价</w:t>
            </w:r>
          </w:p>
        </w:tc>
        <w:tc>
          <w:tcPr>
            <w:tcW w:w="2950" w:type="dxa"/>
            <w:vAlign w:val="center"/>
          </w:tcPr>
          <w:p>
            <w:pPr>
              <w:adjustRightInd w:val="0"/>
              <w:snapToGrid w:val="0"/>
              <w:jc w:val="left"/>
              <w:rPr>
                <w:color w:val="000000"/>
                <w:sz w:val="24"/>
              </w:rPr>
            </w:pPr>
          </w:p>
        </w:tc>
        <w:tc>
          <w:tcPr>
            <w:tcW w:w="1985"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5</w:t>
            </w:r>
          </w:p>
        </w:tc>
        <w:tc>
          <w:tcPr>
            <w:tcW w:w="3400" w:type="dxa"/>
            <w:vAlign w:val="center"/>
          </w:tcPr>
          <w:p>
            <w:pPr>
              <w:pStyle w:val="15"/>
              <w:rPr>
                <w:rFonts w:hAnsi="宋体"/>
                <w:sz w:val="24"/>
                <w:szCs w:val="24"/>
              </w:rPr>
            </w:pPr>
            <w:r>
              <w:rPr>
                <w:rFonts w:hAnsi="宋体"/>
                <w:sz w:val="24"/>
                <w:szCs w:val="24"/>
              </w:rPr>
              <w:t>税金的合价</w:t>
            </w:r>
          </w:p>
        </w:tc>
        <w:tc>
          <w:tcPr>
            <w:tcW w:w="2950" w:type="dxa"/>
            <w:vAlign w:val="center"/>
          </w:tcPr>
          <w:p>
            <w:pPr>
              <w:adjustRightInd w:val="0"/>
              <w:snapToGrid w:val="0"/>
              <w:jc w:val="left"/>
              <w:rPr>
                <w:color w:val="000000"/>
                <w:sz w:val="24"/>
              </w:rPr>
            </w:pPr>
          </w:p>
        </w:tc>
        <w:tc>
          <w:tcPr>
            <w:tcW w:w="1985"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6</w:t>
            </w:r>
          </w:p>
        </w:tc>
        <w:tc>
          <w:tcPr>
            <w:tcW w:w="3400" w:type="dxa"/>
            <w:vAlign w:val="center"/>
          </w:tcPr>
          <w:p>
            <w:pPr>
              <w:rPr>
                <w:rFonts w:ascii="宋体" w:hAnsi="宋体"/>
                <w:sz w:val="24"/>
              </w:rPr>
            </w:pPr>
            <w:r>
              <w:rPr>
                <w:rFonts w:hint="eastAsia" w:ascii="宋体" w:hAnsi="宋体"/>
                <w:sz w:val="24"/>
              </w:rPr>
              <w:t>其他说明：</w:t>
            </w:r>
            <w:r>
              <w:rPr>
                <w:rFonts w:ascii="宋体" w:hAnsi="宋体"/>
                <w:sz w:val="24"/>
              </w:rPr>
              <w:t xml:space="preserve"> </w:t>
            </w:r>
          </w:p>
          <w:p>
            <w:r>
              <w:rPr>
                <w:rFonts w:hint="eastAsia" w:ascii="宋体" w:hAnsi="宋体"/>
                <w:sz w:val="24"/>
                <w:lang w:eastAsia="zh-CN"/>
              </w:rPr>
              <w:t>专业工程</w:t>
            </w:r>
            <w:r>
              <w:rPr>
                <w:rFonts w:hint="eastAsia" w:ascii="宋体" w:hAnsi="宋体"/>
                <w:sz w:val="24"/>
              </w:rPr>
              <w:t>暂估价(含税)合计</w:t>
            </w:r>
          </w:p>
        </w:tc>
        <w:tc>
          <w:tcPr>
            <w:tcW w:w="2950" w:type="dxa"/>
            <w:vAlign w:val="center"/>
          </w:tcPr>
          <w:p>
            <w:pPr>
              <w:adjustRightInd w:val="0"/>
              <w:snapToGrid w:val="0"/>
              <w:jc w:val="left"/>
              <w:rPr>
                <w:color w:val="000000"/>
                <w:sz w:val="24"/>
              </w:rPr>
            </w:pPr>
          </w:p>
        </w:tc>
        <w:tc>
          <w:tcPr>
            <w:tcW w:w="1985"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7</w:t>
            </w:r>
          </w:p>
        </w:tc>
        <w:tc>
          <w:tcPr>
            <w:tcW w:w="3400" w:type="dxa"/>
            <w:vAlign w:val="center"/>
          </w:tcPr>
          <w:p>
            <w:pPr>
              <w:rPr>
                <w:rFonts w:ascii="宋体" w:hAnsi="宋体"/>
                <w:sz w:val="24"/>
              </w:rPr>
            </w:pPr>
            <w:r>
              <w:rPr>
                <w:rFonts w:hint="eastAsia"/>
                <w:sz w:val="24"/>
              </w:rPr>
              <w:t>材料和工程设备暂估价(含税)合计</w:t>
            </w:r>
          </w:p>
        </w:tc>
        <w:tc>
          <w:tcPr>
            <w:tcW w:w="2950" w:type="dxa"/>
            <w:vAlign w:val="center"/>
          </w:tcPr>
          <w:p>
            <w:pPr>
              <w:adjustRightInd w:val="0"/>
              <w:snapToGrid w:val="0"/>
              <w:jc w:val="left"/>
              <w:rPr>
                <w:color w:val="000000"/>
                <w:sz w:val="24"/>
              </w:rPr>
            </w:pPr>
          </w:p>
        </w:tc>
        <w:tc>
          <w:tcPr>
            <w:tcW w:w="1985"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8</w:t>
            </w:r>
          </w:p>
        </w:tc>
        <w:tc>
          <w:tcPr>
            <w:tcW w:w="3400" w:type="dxa"/>
            <w:vAlign w:val="center"/>
          </w:tcPr>
          <w:p>
            <w:pPr>
              <w:rPr>
                <w:rFonts w:ascii="宋体" w:hAnsi="宋体"/>
                <w:sz w:val="24"/>
              </w:rPr>
            </w:pPr>
            <w:r>
              <w:rPr>
                <w:rFonts w:hint="eastAsia"/>
                <w:sz w:val="24"/>
              </w:rPr>
              <w:t>暂列金额（不含计日工）（含税）合计</w:t>
            </w:r>
          </w:p>
        </w:tc>
        <w:tc>
          <w:tcPr>
            <w:tcW w:w="2950" w:type="dxa"/>
            <w:vAlign w:val="center"/>
          </w:tcPr>
          <w:p>
            <w:pPr>
              <w:adjustRightInd w:val="0"/>
              <w:snapToGrid w:val="0"/>
              <w:jc w:val="left"/>
              <w:rPr>
                <w:color w:val="000000"/>
                <w:sz w:val="24"/>
              </w:rPr>
            </w:pPr>
          </w:p>
        </w:tc>
        <w:tc>
          <w:tcPr>
            <w:tcW w:w="1985"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9</w:t>
            </w:r>
          </w:p>
        </w:tc>
        <w:tc>
          <w:tcPr>
            <w:tcW w:w="3400" w:type="dxa"/>
            <w:vAlign w:val="center"/>
          </w:tcPr>
          <w:p>
            <w:pPr>
              <w:pStyle w:val="15"/>
              <w:rPr>
                <w:rFonts w:hAnsi="宋体"/>
                <w:sz w:val="24"/>
                <w:szCs w:val="24"/>
              </w:rPr>
            </w:pPr>
            <w:r>
              <w:rPr>
                <w:rFonts w:hAnsi="宋体"/>
                <w:sz w:val="24"/>
                <w:szCs w:val="24"/>
              </w:rPr>
              <w:t>安全文明施工费（含税） 合计</w:t>
            </w:r>
          </w:p>
        </w:tc>
        <w:tc>
          <w:tcPr>
            <w:tcW w:w="2950" w:type="dxa"/>
            <w:vAlign w:val="center"/>
          </w:tcPr>
          <w:p>
            <w:pPr>
              <w:adjustRightInd w:val="0"/>
              <w:snapToGrid w:val="0"/>
              <w:jc w:val="left"/>
              <w:rPr>
                <w:color w:val="000000"/>
                <w:sz w:val="24"/>
              </w:rPr>
            </w:pPr>
          </w:p>
        </w:tc>
        <w:tc>
          <w:tcPr>
            <w:tcW w:w="1985"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color w:val="000000"/>
                <w:sz w:val="24"/>
              </w:rPr>
            </w:pPr>
            <w:r>
              <w:rPr>
                <w:rFonts w:hint="eastAsia"/>
                <w:color w:val="000000"/>
                <w:sz w:val="24"/>
              </w:rPr>
              <w:t>10</w:t>
            </w:r>
          </w:p>
        </w:tc>
        <w:tc>
          <w:tcPr>
            <w:tcW w:w="3400" w:type="dxa"/>
            <w:vAlign w:val="center"/>
          </w:tcPr>
          <w:p>
            <w:pPr>
              <w:pStyle w:val="15"/>
              <w:rPr>
                <w:rFonts w:hAnsi="宋体"/>
                <w:sz w:val="24"/>
                <w:szCs w:val="24"/>
              </w:rPr>
            </w:pPr>
            <w:r>
              <w:rPr>
                <w:sz w:val="24"/>
                <w:szCs w:val="24"/>
              </w:rPr>
              <w:t>赶工增加费（含税）合计</w:t>
            </w:r>
          </w:p>
        </w:tc>
        <w:tc>
          <w:tcPr>
            <w:tcW w:w="2950" w:type="dxa"/>
            <w:vAlign w:val="center"/>
          </w:tcPr>
          <w:p>
            <w:pPr>
              <w:adjustRightInd w:val="0"/>
              <w:snapToGrid w:val="0"/>
              <w:jc w:val="left"/>
              <w:rPr>
                <w:color w:val="000000"/>
                <w:sz w:val="24"/>
              </w:rPr>
            </w:pPr>
          </w:p>
        </w:tc>
        <w:tc>
          <w:tcPr>
            <w:tcW w:w="1985"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04" w:type="dxa"/>
            <w:vAlign w:val="center"/>
          </w:tcPr>
          <w:p>
            <w:pPr>
              <w:adjustRightInd w:val="0"/>
              <w:snapToGrid w:val="0"/>
              <w:jc w:val="center"/>
              <w:rPr>
                <w:rFonts w:hint="eastAsia"/>
                <w:color w:val="000000"/>
                <w:sz w:val="24"/>
              </w:rPr>
            </w:pPr>
            <w:r>
              <w:rPr>
                <w:rFonts w:hint="eastAsia"/>
                <w:color w:val="000000"/>
                <w:sz w:val="24"/>
              </w:rPr>
              <w:t>11</w:t>
            </w:r>
          </w:p>
        </w:tc>
        <w:tc>
          <w:tcPr>
            <w:tcW w:w="3400" w:type="dxa"/>
            <w:vAlign w:val="center"/>
          </w:tcPr>
          <w:p>
            <w:pPr>
              <w:pStyle w:val="15"/>
              <w:rPr>
                <w:sz w:val="24"/>
                <w:szCs w:val="24"/>
              </w:rPr>
            </w:pPr>
            <w:r>
              <w:rPr>
                <w:rFonts w:hint="default"/>
                <w:sz w:val="24"/>
                <w:szCs w:val="24"/>
              </w:rPr>
              <w:t>…</w:t>
            </w:r>
          </w:p>
        </w:tc>
        <w:tc>
          <w:tcPr>
            <w:tcW w:w="2950" w:type="dxa"/>
            <w:vAlign w:val="center"/>
          </w:tcPr>
          <w:p>
            <w:pPr>
              <w:adjustRightInd w:val="0"/>
              <w:snapToGrid w:val="0"/>
              <w:jc w:val="left"/>
              <w:rPr>
                <w:color w:val="000000"/>
                <w:sz w:val="24"/>
              </w:rPr>
            </w:pPr>
          </w:p>
        </w:tc>
        <w:tc>
          <w:tcPr>
            <w:tcW w:w="1985" w:type="dxa"/>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104" w:type="dxa"/>
            <w:gridSpan w:val="2"/>
            <w:vAlign w:val="center"/>
          </w:tcPr>
          <w:p>
            <w:pPr>
              <w:adjustRightInd w:val="0"/>
              <w:snapToGrid w:val="0"/>
              <w:jc w:val="left"/>
              <w:rPr>
                <w:color w:val="000000"/>
                <w:sz w:val="24"/>
              </w:rPr>
            </w:pPr>
            <w:r>
              <w:rPr>
                <w:color w:val="000000"/>
                <w:sz w:val="24"/>
              </w:rPr>
              <w:t>总价（元）</w:t>
            </w:r>
          </w:p>
        </w:tc>
        <w:tc>
          <w:tcPr>
            <w:tcW w:w="2950" w:type="dxa"/>
            <w:vAlign w:val="center"/>
          </w:tcPr>
          <w:p>
            <w:pPr>
              <w:adjustRightInd w:val="0"/>
              <w:snapToGrid w:val="0"/>
              <w:jc w:val="left"/>
              <w:rPr>
                <w:color w:val="000000"/>
                <w:sz w:val="24"/>
              </w:rPr>
            </w:pPr>
          </w:p>
        </w:tc>
        <w:tc>
          <w:tcPr>
            <w:tcW w:w="1985" w:type="dxa"/>
            <w:vAlign w:val="center"/>
          </w:tcPr>
          <w:p>
            <w:pPr>
              <w:adjustRightInd w:val="0"/>
              <w:snapToGrid w:val="0"/>
              <w:jc w:val="left"/>
              <w:rPr>
                <w:color w:val="000000"/>
                <w:sz w:val="24"/>
              </w:rPr>
            </w:pPr>
          </w:p>
        </w:tc>
      </w:tr>
    </w:tbl>
    <w:p>
      <w:pPr>
        <w:pStyle w:val="12"/>
        <w:rPr>
          <w:rFonts w:asciiTheme="minorEastAsia" w:hAnsiTheme="minorEastAsia" w:eastAsiaTheme="minorEastAsia"/>
          <w:i/>
          <w:lang w:eastAsia="zh-CN"/>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2.如果不提供分项报价将视为没有实质性响应竞争性磋商文件。</w:t>
      </w:r>
    </w:p>
    <w:p>
      <w:pPr>
        <w:tabs>
          <w:tab w:val="left" w:pos="1800"/>
          <w:tab w:val="left" w:pos="5580"/>
        </w:tabs>
        <w:ind w:firstLine="480" w:firstLineChars="200"/>
        <w:jc w:val="left"/>
        <w:rPr>
          <w:rFonts w:hint="eastAsia"/>
          <w:color w:val="000000"/>
          <w:sz w:val="24"/>
        </w:rPr>
      </w:pPr>
      <w:r>
        <w:rPr>
          <w:color w:val="000000"/>
          <w:sz w:val="24"/>
        </w:rPr>
        <w:t>3.上述各项的详细规格（如有），可另页描述。</w:t>
      </w:r>
    </w:p>
    <w:p>
      <w:pPr>
        <w:pStyle w:val="2"/>
        <w:rPr>
          <w:rFonts w:ascii="Times New Roman"/>
          <w:color w:val="000000"/>
          <w:kern w:val="2"/>
          <w:sz w:val="24"/>
          <w:szCs w:val="24"/>
        </w:rPr>
      </w:pPr>
      <w:r>
        <w:rPr>
          <w:rFonts w:hint="eastAsia" w:ascii="Times New Roman"/>
          <w:color w:val="000000"/>
          <w:kern w:val="2"/>
          <w:sz w:val="24"/>
          <w:szCs w:val="24"/>
        </w:rPr>
        <w:t xml:space="preserve">    4.已标价的工程量清单单独成册编制</w:t>
      </w:r>
    </w:p>
    <w:p>
      <w:pPr>
        <w:pStyle w:val="2"/>
        <w:rPr>
          <w:rFonts w:hint="default"/>
          <w:lang w:val="en-US" w:eastAsia="zh-CN"/>
        </w:rPr>
      </w:pPr>
    </w:p>
    <w:p>
      <w:pPr>
        <w:spacing w:line="360" w:lineRule="auto"/>
        <w:rPr>
          <w:sz w:val="24"/>
          <w:lang w:eastAsia="zh-CN"/>
        </w:rPr>
      </w:pPr>
    </w:p>
    <w:p>
      <w:pPr>
        <w:spacing w:line="360" w:lineRule="auto"/>
        <w:rPr>
          <w:sz w:val="24"/>
          <w:lang w:eastAsia="zh-CN"/>
        </w:rPr>
      </w:pPr>
    </w:p>
    <w:p>
      <w:pPr>
        <w:spacing w:line="360" w:lineRule="auto"/>
        <w:rPr>
          <w:sz w:val="24"/>
          <w:lang w:eastAsia="zh-CN"/>
        </w:rPr>
      </w:pPr>
      <w:r>
        <w:rPr>
          <w:sz w:val="24"/>
          <w:lang w:eastAsia="zh-CN"/>
        </w:rPr>
        <w:t>供应商名称（加盖公章）：</w:t>
      </w:r>
      <w:r>
        <w:rPr>
          <w:rFonts w:hint="eastAsia"/>
          <w:sz w:val="24"/>
          <w:u w:val="single"/>
          <w:lang w:eastAsia="zh-CN"/>
        </w:rPr>
        <w:t xml:space="preserve">              </w:t>
      </w:r>
    </w:p>
    <w:p>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pPr>
        <w:widowControl/>
        <w:autoSpaceDE/>
        <w:autoSpaceDN/>
        <w:rPr>
          <w:rFonts w:asciiTheme="minorEastAsia" w:hAnsiTheme="minorEastAsia" w:eastAsiaTheme="minorEastAsia"/>
          <w:sz w:val="16"/>
          <w:szCs w:val="24"/>
          <w:lang w:eastAsia="zh-CN"/>
        </w:rPr>
      </w:pPr>
      <w:r>
        <w:rPr>
          <w:rFonts w:asciiTheme="minorEastAsia" w:hAnsiTheme="minorEastAsia" w:eastAsiaTheme="minorEastAsia"/>
          <w:sz w:val="16"/>
          <w:lang w:eastAsia="zh-CN"/>
        </w:rPr>
        <w:br w:type="page"/>
      </w:r>
    </w:p>
    <w:p>
      <w:pPr>
        <w:pStyle w:val="6"/>
        <w:numPr>
          <w:ilvl w:val="0"/>
          <w:numId w:val="122"/>
        </w:numPr>
        <w:rPr>
          <w:i w:val="0"/>
          <w:lang w:eastAsia="zh-CN"/>
        </w:rPr>
      </w:pPr>
      <w:r>
        <w:rPr>
          <w:i w:val="0"/>
          <w:lang w:eastAsia="zh-CN"/>
        </w:rPr>
        <w:t>合同条款偏离表（实质性格式）</w:t>
      </w:r>
    </w:p>
    <w:p>
      <w:pPr>
        <w:pStyle w:val="12"/>
        <w:spacing w:before="7"/>
        <w:rPr>
          <w:rFonts w:asciiTheme="minorEastAsia" w:hAnsiTheme="minorEastAsia" w:eastAsiaTheme="minorEastAsia"/>
          <w:sz w:val="40"/>
          <w:lang w:eastAsia="zh-CN"/>
        </w:rPr>
      </w:pPr>
    </w:p>
    <w:p>
      <w:pPr>
        <w:jc w:val="center"/>
        <w:rPr>
          <w:b/>
          <w:sz w:val="32"/>
          <w:lang w:eastAsia="zh-CN"/>
        </w:rPr>
      </w:pPr>
      <w:r>
        <w:rPr>
          <w:b/>
          <w:sz w:val="32"/>
          <w:lang w:eastAsia="zh-CN"/>
        </w:rPr>
        <w:t>合同条款偏离表</w:t>
      </w:r>
    </w:p>
    <w:p>
      <w:pPr>
        <w:pStyle w:val="12"/>
        <w:rPr>
          <w:rFonts w:asciiTheme="minorEastAsia" w:hAnsiTheme="minorEastAsia" w:eastAsiaTheme="minorEastAsia"/>
          <w:sz w:val="20"/>
          <w:lang w:eastAsia="zh-CN"/>
        </w:rPr>
      </w:pPr>
    </w:p>
    <w:p>
      <w:pPr>
        <w:pStyle w:val="12"/>
        <w:spacing w:before="9"/>
        <w:rPr>
          <w:rFonts w:asciiTheme="minorEastAsia" w:hAnsiTheme="minorEastAsia" w:eastAsiaTheme="minorEastAsia"/>
          <w:sz w:val="27"/>
          <w:lang w:eastAsia="zh-CN"/>
        </w:rPr>
      </w:pPr>
    </w:p>
    <w:p>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pPr>
        <w:pStyle w:val="12"/>
        <w:spacing w:before="8"/>
        <w:rPr>
          <w:rFonts w:asciiTheme="minorEastAsia" w:hAnsiTheme="minorEastAsia" w:eastAsiaTheme="minorEastAsia"/>
          <w:sz w:val="14"/>
          <w:lang w:eastAsia="zh-CN"/>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82"/>
        <w:gridCol w:w="1519"/>
        <w:gridCol w:w="1728"/>
        <w:gridCol w:w="1730"/>
        <w:gridCol w:w="2124"/>
        <w:gridCol w:w="9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543" w:type="pct"/>
            <w:vAlign w:val="center"/>
          </w:tcPr>
          <w:p>
            <w:pPr>
              <w:jc w:val="center"/>
            </w:pPr>
            <w:r>
              <w:t>序号</w:t>
            </w:r>
          </w:p>
        </w:tc>
        <w:tc>
          <w:tcPr>
            <w:tcW w:w="840" w:type="pct"/>
            <w:vAlign w:val="center"/>
          </w:tcPr>
          <w:p>
            <w:pPr>
              <w:jc w:val="center"/>
              <w:rPr>
                <w:lang w:eastAsia="zh-CN"/>
              </w:rPr>
            </w:pPr>
            <w:r>
              <w:rPr>
                <w:lang w:eastAsia="zh-CN"/>
              </w:rPr>
              <w:t>竞争性磋商</w:t>
            </w:r>
          </w:p>
          <w:p>
            <w:pPr>
              <w:jc w:val="center"/>
              <w:rPr>
                <w:lang w:eastAsia="zh-CN"/>
              </w:rPr>
            </w:pPr>
            <w:r>
              <w:rPr>
                <w:lang w:eastAsia="zh-CN"/>
              </w:rPr>
              <w:t>文件条目号</w:t>
            </w:r>
          </w:p>
          <w:p>
            <w:pPr>
              <w:jc w:val="center"/>
              <w:rPr>
                <w:lang w:eastAsia="zh-CN"/>
              </w:rPr>
            </w:pPr>
            <w:r>
              <w:rPr>
                <w:lang w:eastAsia="zh-CN"/>
              </w:rPr>
              <w:t>（页码）</w:t>
            </w:r>
          </w:p>
        </w:tc>
        <w:tc>
          <w:tcPr>
            <w:tcW w:w="956" w:type="pct"/>
            <w:vAlign w:val="center"/>
          </w:tcPr>
          <w:p>
            <w:pPr>
              <w:jc w:val="center"/>
            </w:pPr>
            <w:r>
              <w:t>竞争性磋商文件要求</w:t>
            </w:r>
          </w:p>
        </w:tc>
        <w:tc>
          <w:tcPr>
            <w:tcW w:w="957" w:type="pct"/>
            <w:vAlign w:val="center"/>
          </w:tcPr>
          <w:p>
            <w:pPr>
              <w:jc w:val="center"/>
            </w:pPr>
            <w:r>
              <w:t>响应文件内容</w:t>
            </w:r>
          </w:p>
        </w:tc>
        <w:tc>
          <w:tcPr>
            <w:tcW w:w="1175" w:type="pct"/>
            <w:vAlign w:val="center"/>
          </w:tcPr>
          <w:p>
            <w:pPr>
              <w:jc w:val="center"/>
            </w:pPr>
            <w:r>
              <w:t>偏离情况</w:t>
            </w:r>
          </w:p>
        </w:tc>
        <w:tc>
          <w:tcPr>
            <w:tcW w:w="528" w:type="pct"/>
            <w:vAlign w:val="center"/>
          </w:tcPr>
          <w:p>
            <w:pPr>
              <w:jc w:val="center"/>
            </w:pPr>
            <w: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6" w:hRule="exact"/>
        </w:trPr>
        <w:tc>
          <w:tcPr>
            <w:tcW w:w="5000" w:type="pct"/>
            <w:gridSpan w:val="6"/>
            <w:vAlign w:val="center"/>
          </w:tcPr>
          <w:p>
            <w:pPr>
              <w:jc w:val="both"/>
              <w:rPr>
                <w:lang w:eastAsia="zh-CN"/>
              </w:rPr>
            </w:pPr>
            <w:r>
              <w:rPr>
                <w:b/>
                <w:lang w:eastAsia="zh-CN"/>
              </w:rPr>
              <w:t>对本项目合同条款的偏离情况</w:t>
            </w:r>
            <w:r>
              <w:rPr>
                <w:lang w:eastAsia="zh-CN"/>
              </w:rPr>
              <w:t>（应进行选择，未选择</w:t>
            </w:r>
            <w:r>
              <w:rPr>
                <w:b/>
                <w:lang w:eastAsia="zh-CN"/>
              </w:rPr>
              <w:t>响应无效</w:t>
            </w:r>
            <w:r>
              <w:rPr>
                <w:lang w:eastAsia="zh-CN"/>
              </w:rPr>
              <w:t>）：</w:t>
            </w:r>
          </w:p>
          <w:p>
            <w:pPr>
              <w:jc w:val="both"/>
              <w:rPr>
                <w:lang w:eastAsia="zh-CN"/>
              </w:rPr>
            </w:pPr>
            <w:r>
              <w:rPr>
                <w:lang w:eastAsia="zh-CN"/>
              </w:rPr>
              <w:t>□</w:t>
            </w:r>
            <w:r>
              <w:rPr>
                <w:b/>
                <w:lang w:eastAsia="zh-CN"/>
              </w:rPr>
              <w:t>无偏离</w:t>
            </w:r>
            <w:r>
              <w:rPr>
                <w:lang w:eastAsia="zh-CN"/>
              </w:rPr>
              <w:t>（如无偏离，仅选择无偏离即可；无偏离即为对合同条款中的所有要求，均视作供应商已对之理解和响应。）</w:t>
            </w:r>
          </w:p>
          <w:p>
            <w:pPr>
              <w:jc w:val="both"/>
            </w:pPr>
            <w:r>
              <w:rPr>
                <w:lang w:eastAsia="zh-CN"/>
              </w:rPr>
              <w:t>□</w:t>
            </w:r>
            <w:r>
              <w:rPr>
                <w:b/>
                <w:lang w:eastAsia="zh-CN"/>
              </w:rPr>
              <w:t>有偏离</w:t>
            </w:r>
            <w:r>
              <w:rPr>
                <w:lang w:eastAsia="zh-CN"/>
              </w:rPr>
              <w:t>（如有偏离，则应在本表中对负偏离项逐一列明，否则</w:t>
            </w:r>
            <w:r>
              <w:rPr>
                <w:b/>
                <w:lang w:eastAsia="zh-CN"/>
              </w:rPr>
              <w:t>响应无效</w:t>
            </w:r>
            <w:r>
              <w:rPr>
                <w:lang w:eastAsia="zh-CN"/>
              </w:rPr>
              <w:t>；对合同条款中的所有要求，除本表列明的偏离外，均视作供应商已对之理解和响应。</w:t>
            </w:r>
            <w: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543" w:type="pct"/>
            <w:vAlign w:val="center"/>
          </w:tcPr>
          <w:p>
            <w:pPr>
              <w:jc w:val="center"/>
            </w:pPr>
          </w:p>
        </w:tc>
        <w:tc>
          <w:tcPr>
            <w:tcW w:w="840" w:type="pct"/>
            <w:vAlign w:val="center"/>
          </w:tcPr>
          <w:p>
            <w:pPr>
              <w:jc w:val="center"/>
            </w:pPr>
          </w:p>
        </w:tc>
        <w:tc>
          <w:tcPr>
            <w:tcW w:w="956" w:type="pct"/>
            <w:vAlign w:val="center"/>
          </w:tcPr>
          <w:p>
            <w:pPr>
              <w:jc w:val="center"/>
            </w:pPr>
          </w:p>
        </w:tc>
        <w:tc>
          <w:tcPr>
            <w:tcW w:w="957" w:type="pct"/>
            <w:vAlign w:val="center"/>
          </w:tcPr>
          <w:p>
            <w:pPr>
              <w:jc w:val="center"/>
            </w:pPr>
          </w:p>
        </w:tc>
        <w:tc>
          <w:tcPr>
            <w:tcW w:w="1175" w:type="pct"/>
            <w:vAlign w:val="center"/>
          </w:tcPr>
          <w:p>
            <w:pPr>
              <w:jc w:val="center"/>
            </w:pPr>
          </w:p>
        </w:tc>
        <w:tc>
          <w:tcPr>
            <w:tcW w:w="528" w:type="pct"/>
            <w:vAlign w:val="center"/>
          </w:tcPr>
          <w:p>
            <w:pPr>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543" w:type="pct"/>
            <w:vAlign w:val="center"/>
          </w:tcPr>
          <w:p>
            <w:pPr>
              <w:jc w:val="center"/>
            </w:pPr>
          </w:p>
        </w:tc>
        <w:tc>
          <w:tcPr>
            <w:tcW w:w="840" w:type="pct"/>
            <w:vAlign w:val="center"/>
          </w:tcPr>
          <w:p>
            <w:pPr>
              <w:jc w:val="center"/>
            </w:pPr>
          </w:p>
        </w:tc>
        <w:tc>
          <w:tcPr>
            <w:tcW w:w="956" w:type="pct"/>
            <w:vAlign w:val="center"/>
          </w:tcPr>
          <w:p>
            <w:pPr>
              <w:jc w:val="center"/>
            </w:pPr>
          </w:p>
        </w:tc>
        <w:tc>
          <w:tcPr>
            <w:tcW w:w="957" w:type="pct"/>
            <w:vAlign w:val="center"/>
          </w:tcPr>
          <w:p>
            <w:pPr>
              <w:jc w:val="center"/>
            </w:pPr>
          </w:p>
        </w:tc>
        <w:tc>
          <w:tcPr>
            <w:tcW w:w="1175" w:type="pct"/>
            <w:vAlign w:val="center"/>
          </w:tcPr>
          <w:p>
            <w:pPr>
              <w:jc w:val="center"/>
            </w:pPr>
          </w:p>
        </w:tc>
        <w:tc>
          <w:tcPr>
            <w:tcW w:w="528" w:type="pct"/>
            <w:vAlign w:val="center"/>
          </w:tcPr>
          <w:p>
            <w:pPr>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543" w:type="pct"/>
            <w:vAlign w:val="center"/>
          </w:tcPr>
          <w:p>
            <w:pPr>
              <w:jc w:val="center"/>
            </w:pPr>
          </w:p>
        </w:tc>
        <w:tc>
          <w:tcPr>
            <w:tcW w:w="840" w:type="pct"/>
            <w:vAlign w:val="center"/>
          </w:tcPr>
          <w:p>
            <w:pPr>
              <w:jc w:val="center"/>
            </w:pPr>
          </w:p>
        </w:tc>
        <w:tc>
          <w:tcPr>
            <w:tcW w:w="956" w:type="pct"/>
            <w:vAlign w:val="center"/>
          </w:tcPr>
          <w:p>
            <w:pPr>
              <w:jc w:val="center"/>
            </w:pPr>
          </w:p>
        </w:tc>
        <w:tc>
          <w:tcPr>
            <w:tcW w:w="957" w:type="pct"/>
            <w:vAlign w:val="center"/>
          </w:tcPr>
          <w:p>
            <w:pPr>
              <w:jc w:val="center"/>
            </w:pPr>
          </w:p>
        </w:tc>
        <w:tc>
          <w:tcPr>
            <w:tcW w:w="1175" w:type="pct"/>
            <w:vAlign w:val="center"/>
          </w:tcPr>
          <w:p>
            <w:pPr>
              <w:jc w:val="center"/>
            </w:pPr>
          </w:p>
        </w:tc>
        <w:tc>
          <w:tcPr>
            <w:tcW w:w="528" w:type="pct"/>
            <w:vAlign w:val="center"/>
          </w:tcPr>
          <w:p>
            <w:pPr>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543" w:type="pct"/>
            <w:vAlign w:val="center"/>
          </w:tcPr>
          <w:p>
            <w:pPr>
              <w:jc w:val="center"/>
            </w:pPr>
          </w:p>
        </w:tc>
        <w:tc>
          <w:tcPr>
            <w:tcW w:w="840" w:type="pct"/>
            <w:vAlign w:val="center"/>
          </w:tcPr>
          <w:p>
            <w:pPr>
              <w:jc w:val="center"/>
            </w:pPr>
          </w:p>
        </w:tc>
        <w:tc>
          <w:tcPr>
            <w:tcW w:w="956" w:type="pct"/>
            <w:vAlign w:val="center"/>
          </w:tcPr>
          <w:p>
            <w:pPr>
              <w:jc w:val="center"/>
            </w:pPr>
          </w:p>
        </w:tc>
        <w:tc>
          <w:tcPr>
            <w:tcW w:w="957" w:type="pct"/>
            <w:vAlign w:val="center"/>
          </w:tcPr>
          <w:p>
            <w:pPr>
              <w:jc w:val="center"/>
            </w:pPr>
          </w:p>
        </w:tc>
        <w:tc>
          <w:tcPr>
            <w:tcW w:w="1175" w:type="pct"/>
            <w:vAlign w:val="center"/>
          </w:tcPr>
          <w:p>
            <w:pPr>
              <w:jc w:val="center"/>
            </w:pPr>
          </w:p>
        </w:tc>
        <w:tc>
          <w:tcPr>
            <w:tcW w:w="528" w:type="pct"/>
            <w:vAlign w:val="center"/>
          </w:tcPr>
          <w:p>
            <w:pPr>
              <w:jc w:val="cente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543" w:type="pct"/>
            <w:vAlign w:val="center"/>
          </w:tcPr>
          <w:p>
            <w:pPr>
              <w:jc w:val="center"/>
            </w:pPr>
          </w:p>
        </w:tc>
        <w:tc>
          <w:tcPr>
            <w:tcW w:w="840" w:type="pct"/>
            <w:vAlign w:val="center"/>
          </w:tcPr>
          <w:p>
            <w:pPr>
              <w:jc w:val="center"/>
            </w:pPr>
          </w:p>
        </w:tc>
        <w:tc>
          <w:tcPr>
            <w:tcW w:w="956" w:type="pct"/>
            <w:vAlign w:val="center"/>
          </w:tcPr>
          <w:p>
            <w:pPr>
              <w:jc w:val="center"/>
            </w:pPr>
          </w:p>
        </w:tc>
        <w:tc>
          <w:tcPr>
            <w:tcW w:w="957" w:type="pct"/>
            <w:vAlign w:val="center"/>
          </w:tcPr>
          <w:p>
            <w:pPr>
              <w:jc w:val="center"/>
            </w:pPr>
          </w:p>
        </w:tc>
        <w:tc>
          <w:tcPr>
            <w:tcW w:w="1175" w:type="pct"/>
            <w:vAlign w:val="center"/>
          </w:tcPr>
          <w:p>
            <w:pPr>
              <w:jc w:val="center"/>
            </w:pPr>
          </w:p>
        </w:tc>
        <w:tc>
          <w:tcPr>
            <w:tcW w:w="528" w:type="pct"/>
            <w:vAlign w:val="center"/>
          </w:tcPr>
          <w:p>
            <w:pPr>
              <w:jc w:val="center"/>
            </w:pPr>
          </w:p>
        </w:tc>
      </w:tr>
    </w:tbl>
    <w:p>
      <w:pPr>
        <w:pStyle w:val="12"/>
        <w:spacing w:before="2"/>
        <w:rPr>
          <w:rFonts w:asciiTheme="minorEastAsia" w:hAnsiTheme="minorEastAsia" w:eastAsiaTheme="minorEastAsia"/>
          <w:sz w:val="17"/>
        </w:rPr>
      </w:pPr>
    </w:p>
    <w:p>
      <w:pPr>
        <w:rPr>
          <w:sz w:val="24"/>
          <w:lang w:eastAsia="zh-CN"/>
        </w:rPr>
      </w:pPr>
      <w:r>
        <w:rPr>
          <w:sz w:val="24"/>
          <w:lang w:eastAsia="zh-CN"/>
        </w:rPr>
        <w:t>注：“偏离情况”列应据实填写“正偏离”或“负偏离”。</w:t>
      </w:r>
    </w:p>
    <w:p>
      <w:pPr>
        <w:pStyle w:val="12"/>
        <w:rPr>
          <w:rFonts w:asciiTheme="minorEastAsia" w:hAnsiTheme="minorEastAsia" w:eastAsiaTheme="minorEastAsia"/>
          <w:sz w:val="32"/>
          <w:lang w:eastAsia="zh-CN"/>
        </w:rPr>
      </w:pPr>
    </w:p>
    <w:p>
      <w:pPr>
        <w:spacing w:line="360" w:lineRule="auto"/>
        <w:rPr>
          <w:sz w:val="24"/>
          <w:lang w:eastAsia="zh-CN"/>
        </w:rPr>
      </w:pPr>
      <w:r>
        <w:rPr>
          <w:sz w:val="24"/>
          <w:lang w:eastAsia="zh-CN"/>
        </w:rPr>
        <w:t>供应商名称（加盖公章）：</w:t>
      </w:r>
      <w:r>
        <w:rPr>
          <w:rFonts w:hint="eastAsia"/>
          <w:sz w:val="24"/>
          <w:u w:val="single"/>
          <w:lang w:eastAsia="zh-CN"/>
        </w:rPr>
        <w:t xml:space="preserve">                  </w:t>
      </w:r>
    </w:p>
    <w:p>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pPr>
        <w:widowControl/>
        <w:autoSpaceDE/>
        <w:autoSpaceDN/>
        <w:rPr>
          <w:rFonts w:asciiTheme="minorEastAsia" w:hAnsiTheme="minorEastAsia" w:eastAsiaTheme="minorEastAsia"/>
          <w:sz w:val="16"/>
          <w:szCs w:val="24"/>
          <w:lang w:eastAsia="zh-CN"/>
        </w:rPr>
      </w:pPr>
      <w:r>
        <w:rPr>
          <w:rFonts w:asciiTheme="minorEastAsia" w:hAnsiTheme="minorEastAsia" w:eastAsiaTheme="minorEastAsia"/>
          <w:sz w:val="16"/>
          <w:lang w:eastAsia="zh-CN"/>
        </w:rPr>
        <w:br w:type="page"/>
      </w:r>
    </w:p>
    <w:p>
      <w:pPr>
        <w:pStyle w:val="6"/>
        <w:numPr>
          <w:ilvl w:val="0"/>
          <w:numId w:val="122"/>
        </w:numPr>
        <w:rPr>
          <w:i w:val="0"/>
          <w:lang w:eastAsia="zh-CN"/>
        </w:rPr>
      </w:pPr>
      <w:r>
        <w:rPr>
          <w:i w:val="0"/>
          <w:lang w:eastAsia="zh-CN"/>
        </w:rPr>
        <w:t>采购需求偏离表（实质性格式）</w:t>
      </w:r>
    </w:p>
    <w:p>
      <w:pPr>
        <w:jc w:val="center"/>
        <w:rPr>
          <w:b/>
          <w:sz w:val="32"/>
          <w:lang w:eastAsia="zh-CN"/>
        </w:rPr>
      </w:pPr>
      <w:r>
        <w:rPr>
          <w:b/>
          <w:sz w:val="32"/>
          <w:lang w:eastAsia="zh-CN"/>
        </w:rPr>
        <w:t>采购需求偏离表</w:t>
      </w:r>
    </w:p>
    <w:p>
      <w:pPr>
        <w:pStyle w:val="12"/>
        <w:spacing w:before="11"/>
        <w:rPr>
          <w:rFonts w:asciiTheme="minorEastAsia" w:hAnsiTheme="minorEastAsia" w:eastAsiaTheme="minorEastAsia"/>
          <w:sz w:val="15"/>
          <w:lang w:eastAsia="zh-CN"/>
        </w:rPr>
      </w:pPr>
    </w:p>
    <w:p>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pPr>
        <w:pStyle w:val="12"/>
        <w:spacing w:before="10"/>
        <w:rPr>
          <w:rFonts w:asciiTheme="minorEastAsia" w:hAnsiTheme="minorEastAsia" w:eastAsiaTheme="minorEastAsia"/>
          <w:sz w:val="14"/>
          <w:lang w:eastAsia="zh-CN"/>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26"/>
        <w:gridCol w:w="1388"/>
        <w:gridCol w:w="2233"/>
        <w:gridCol w:w="1991"/>
        <w:gridCol w:w="1756"/>
        <w:gridCol w:w="9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3" w:hRule="exact"/>
        </w:trPr>
        <w:tc>
          <w:tcPr>
            <w:tcW w:w="402" w:type="pct"/>
            <w:vAlign w:val="center"/>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序号</w:t>
            </w:r>
          </w:p>
        </w:tc>
        <w:tc>
          <w:tcPr>
            <w:tcW w:w="768" w:type="pct"/>
            <w:vAlign w:val="center"/>
          </w:tcPr>
          <w:p>
            <w:pPr>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竞争性磋商文件条目号</w:t>
            </w:r>
          </w:p>
          <w:p>
            <w:pPr>
              <w:jc w:val="cente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(页码)</w:t>
            </w:r>
          </w:p>
        </w:tc>
        <w:tc>
          <w:tcPr>
            <w:tcW w:w="1235" w:type="pct"/>
            <w:vAlign w:val="center"/>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竞争性磋商文件要求</w:t>
            </w:r>
          </w:p>
        </w:tc>
        <w:tc>
          <w:tcPr>
            <w:tcW w:w="1101" w:type="pct"/>
            <w:vAlign w:val="center"/>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响应内容</w:t>
            </w:r>
          </w:p>
        </w:tc>
        <w:tc>
          <w:tcPr>
            <w:tcW w:w="971" w:type="pct"/>
            <w:vAlign w:val="center"/>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偏离情况</w:t>
            </w:r>
          </w:p>
        </w:tc>
        <w:tc>
          <w:tcPr>
            <w:tcW w:w="523" w:type="pct"/>
            <w:vAlign w:val="center"/>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402" w:type="pct"/>
            <w:vAlign w:val="center"/>
          </w:tcPr>
          <w:p>
            <w:pPr>
              <w:jc w:val="center"/>
              <w:rPr>
                <w:rFonts w:asciiTheme="minorEastAsia" w:hAnsiTheme="minorEastAsia" w:eastAsiaTheme="minorEastAsia"/>
                <w:sz w:val="24"/>
                <w:szCs w:val="24"/>
              </w:rPr>
            </w:pPr>
          </w:p>
        </w:tc>
        <w:tc>
          <w:tcPr>
            <w:tcW w:w="768" w:type="pct"/>
            <w:vAlign w:val="center"/>
          </w:tcPr>
          <w:p>
            <w:pPr>
              <w:jc w:val="center"/>
              <w:rPr>
                <w:rFonts w:asciiTheme="minorEastAsia" w:hAnsiTheme="minorEastAsia" w:eastAsiaTheme="minorEastAsia"/>
                <w:sz w:val="24"/>
                <w:szCs w:val="24"/>
              </w:rPr>
            </w:pPr>
          </w:p>
        </w:tc>
        <w:tc>
          <w:tcPr>
            <w:tcW w:w="1235" w:type="pct"/>
            <w:vAlign w:val="center"/>
          </w:tcPr>
          <w:p>
            <w:pPr>
              <w:jc w:val="center"/>
              <w:rPr>
                <w:rFonts w:asciiTheme="minorEastAsia" w:hAnsiTheme="minorEastAsia" w:eastAsiaTheme="minorEastAsia"/>
                <w:sz w:val="24"/>
                <w:szCs w:val="24"/>
              </w:rPr>
            </w:pPr>
          </w:p>
        </w:tc>
        <w:tc>
          <w:tcPr>
            <w:tcW w:w="1101" w:type="pct"/>
            <w:vAlign w:val="center"/>
          </w:tcPr>
          <w:p>
            <w:pPr>
              <w:jc w:val="center"/>
              <w:rPr>
                <w:rFonts w:asciiTheme="minorEastAsia" w:hAnsiTheme="minorEastAsia" w:eastAsiaTheme="minorEastAsia"/>
                <w:sz w:val="24"/>
                <w:szCs w:val="24"/>
              </w:rPr>
            </w:pPr>
          </w:p>
        </w:tc>
        <w:tc>
          <w:tcPr>
            <w:tcW w:w="971" w:type="pct"/>
            <w:vAlign w:val="center"/>
          </w:tcPr>
          <w:p>
            <w:pPr>
              <w:jc w:val="center"/>
              <w:rPr>
                <w:rFonts w:asciiTheme="minorEastAsia" w:hAnsiTheme="minorEastAsia" w:eastAsiaTheme="minorEastAsia"/>
                <w:sz w:val="24"/>
                <w:szCs w:val="24"/>
              </w:rPr>
            </w:pPr>
          </w:p>
        </w:tc>
        <w:tc>
          <w:tcPr>
            <w:tcW w:w="523" w:type="pct"/>
            <w:vAlign w:val="center"/>
          </w:tcPr>
          <w:p>
            <w:pPr>
              <w:jc w:val="center"/>
              <w:rPr>
                <w:rFonts w:asciiTheme="minorEastAsia" w:hAnsiTheme="minorEastAsia" w:eastAsia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402" w:type="pct"/>
            <w:vAlign w:val="center"/>
          </w:tcPr>
          <w:p>
            <w:pPr>
              <w:jc w:val="center"/>
              <w:rPr>
                <w:rFonts w:asciiTheme="minorEastAsia" w:hAnsiTheme="minorEastAsia" w:eastAsiaTheme="minorEastAsia"/>
                <w:sz w:val="24"/>
                <w:szCs w:val="24"/>
              </w:rPr>
            </w:pPr>
          </w:p>
        </w:tc>
        <w:tc>
          <w:tcPr>
            <w:tcW w:w="768" w:type="pct"/>
            <w:vAlign w:val="center"/>
          </w:tcPr>
          <w:p>
            <w:pPr>
              <w:jc w:val="center"/>
              <w:rPr>
                <w:rFonts w:asciiTheme="minorEastAsia" w:hAnsiTheme="minorEastAsia" w:eastAsiaTheme="minorEastAsia"/>
                <w:sz w:val="24"/>
                <w:szCs w:val="24"/>
              </w:rPr>
            </w:pPr>
          </w:p>
        </w:tc>
        <w:tc>
          <w:tcPr>
            <w:tcW w:w="1235" w:type="pct"/>
            <w:vAlign w:val="center"/>
          </w:tcPr>
          <w:p>
            <w:pPr>
              <w:jc w:val="center"/>
              <w:rPr>
                <w:rFonts w:asciiTheme="minorEastAsia" w:hAnsiTheme="minorEastAsia" w:eastAsiaTheme="minorEastAsia"/>
                <w:sz w:val="24"/>
                <w:szCs w:val="24"/>
              </w:rPr>
            </w:pPr>
          </w:p>
        </w:tc>
        <w:tc>
          <w:tcPr>
            <w:tcW w:w="1101" w:type="pct"/>
            <w:vAlign w:val="center"/>
          </w:tcPr>
          <w:p>
            <w:pPr>
              <w:jc w:val="center"/>
              <w:rPr>
                <w:rFonts w:asciiTheme="minorEastAsia" w:hAnsiTheme="minorEastAsia" w:eastAsiaTheme="minorEastAsia"/>
                <w:sz w:val="24"/>
                <w:szCs w:val="24"/>
              </w:rPr>
            </w:pPr>
          </w:p>
        </w:tc>
        <w:tc>
          <w:tcPr>
            <w:tcW w:w="971" w:type="pct"/>
            <w:vAlign w:val="center"/>
          </w:tcPr>
          <w:p>
            <w:pPr>
              <w:jc w:val="center"/>
              <w:rPr>
                <w:rFonts w:asciiTheme="minorEastAsia" w:hAnsiTheme="minorEastAsia" w:eastAsiaTheme="minorEastAsia"/>
                <w:sz w:val="24"/>
                <w:szCs w:val="24"/>
              </w:rPr>
            </w:pPr>
          </w:p>
        </w:tc>
        <w:tc>
          <w:tcPr>
            <w:tcW w:w="523" w:type="pct"/>
            <w:vAlign w:val="center"/>
          </w:tcPr>
          <w:p>
            <w:pPr>
              <w:jc w:val="center"/>
              <w:rPr>
                <w:rFonts w:asciiTheme="minorEastAsia" w:hAnsiTheme="minorEastAsia" w:eastAsia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402" w:type="pct"/>
            <w:vAlign w:val="center"/>
          </w:tcPr>
          <w:p>
            <w:pPr>
              <w:jc w:val="center"/>
              <w:rPr>
                <w:rFonts w:asciiTheme="minorEastAsia" w:hAnsiTheme="minorEastAsia" w:eastAsiaTheme="minorEastAsia"/>
                <w:sz w:val="24"/>
                <w:szCs w:val="24"/>
              </w:rPr>
            </w:pPr>
          </w:p>
        </w:tc>
        <w:tc>
          <w:tcPr>
            <w:tcW w:w="768" w:type="pct"/>
            <w:vAlign w:val="center"/>
          </w:tcPr>
          <w:p>
            <w:pPr>
              <w:jc w:val="center"/>
              <w:rPr>
                <w:rFonts w:asciiTheme="minorEastAsia" w:hAnsiTheme="minorEastAsia" w:eastAsiaTheme="minorEastAsia"/>
                <w:sz w:val="24"/>
                <w:szCs w:val="24"/>
              </w:rPr>
            </w:pPr>
          </w:p>
        </w:tc>
        <w:tc>
          <w:tcPr>
            <w:tcW w:w="1235" w:type="pct"/>
            <w:vAlign w:val="center"/>
          </w:tcPr>
          <w:p>
            <w:pPr>
              <w:jc w:val="center"/>
              <w:rPr>
                <w:rFonts w:asciiTheme="minorEastAsia" w:hAnsiTheme="minorEastAsia" w:eastAsiaTheme="minorEastAsia"/>
                <w:sz w:val="24"/>
                <w:szCs w:val="24"/>
              </w:rPr>
            </w:pPr>
          </w:p>
        </w:tc>
        <w:tc>
          <w:tcPr>
            <w:tcW w:w="1101" w:type="pct"/>
            <w:vAlign w:val="center"/>
          </w:tcPr>
          <w:p>
            <w:pPr>
              <w:jc w:val="center"/>
              <w:rPr>
                <w:rFonts w:asciiTheme="minorEastAsia" w:hAnsiTheme="minorEastAsia" w:eastAsiaTheme="minorEastAsia"/>
                <w:sz w:val="24"/>
                <w:szCs w:val="24"/>
              </w:rPr>
            </w:pPr>
          </w:p>
        </w:tc>
        <w:tc>
          <w:tcPr>
            <w:tcW w:w="971" w:type="pct"/>
            <w:vAlign w:val="center"/>
          </w:tcPr>
          <w:p>
            <w:pPr>
              <w:jc w:val="center"/>
              <w:rPr>
                <w:rFonts w:asciiTheme="minorEastAsia" w:hAnsiTheme="minorEastAsia" w:eastAsiaTheme="minorEastAsia"/>
                <w:sz w:val="24"/>
                <w:szCs w:val="24"/>
              </w:rPr>
            </w:pPr>
          </w:p>
        </w:tc>
        <w:tc>
          <w:tcPr>
            <w:tcW w:w="523" w:type="pct"/>
            <w:vAlign w:val="center"/>
          </w:tcPr>
          <w:p>
            <w:pPr>
              <w:jc w:val="center"/>
              <w:rPr>
                <w:rFonts w:asciiTheme="minorEastAsia" w:hAnsiTheme="minorEastAsia" w:eastAsia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402" w:type="pct"/>
            <w:vAlign w:val="center"/>
          </w:tcPr>
          <w:p>
            <w:pPr>
              <w:jc w:val="center"/>
              <w:rPr>
                <w:rFonts w:asciiTheme="minorEastAsia" w:hAnsiTheme="minorEastAsia" w:eastAsiaTheme="minorEastAsia"/>
                <w:sz w:val="24"/>
                <w:szCs w:val="24"/>
              </w:rPr>
            </w:pPr>
          </w:p>
        </w:tc>
        <w:tc>
          <w:tcPr>
            <w:tcW w:w="768" w:type="pct"/>
            <w:vAlign w:val="center"/>
          </w:tcPr>
          <w:p>
            <w:pPr>
              <w:jc w:val="center"/>
              <w:rPr>
                <w:rFonts w:asciiTheme="minorEastAsia" w:hAnsiTheme="minorEastAsia" w:eastAsiaTheme="minorEastAsia"/>
                <w:sz w:val="24"/>
                <w:szCs w:val="24"/>
              </w:rPr>
            </w:pPr>
          </w:p>
        </w:tc>
        <w:tc>
          <w:tcPr>
            <w:tcW w:w="1235" w:type="pct"/>
            <w:vAlign w:val="center"/>
          </w:tcPr>
          <w:p>
            <w:pPr>
              <w:jc w:val="center"/>
              <w:rPr>
                <w:rFonts w:asciiTheme="minorEastAsia" w:hAnsiTheme="minorEastAsia" w:eastAsiaTheme="minorEastAsia"/>
                <w:sz w:val="24"/>
                <w:szCs w:val="24"/>
              </w:rPr>
            </w:pPr>
          </w:p>
        </w:tc>
        <w:tc>
          <w:tcPr>
            <w:tcW w:w="1101" w:type="pct"/>
            <w:vAlign w:val="center"/>
          </w:tcPr>
          <w:p>
            <w:pPr>
              <w:jc w:val="center"/>
              <w:rPr>
                <w:rFonts w:asciiTheme="minorEastAsia" w:hAnsiTheme="minorEastAsia" w:eastAsiaTheme="minorEastAsia"/>
                <w:sz w:val="24"/>
                <w:szCs w:val="24"/>
              </w:rPr>
            </w:pPr>
          </w:p>
        </w:tc>
        <w:tc>
          <w:tcPr>
            <w:tcW w:w="971" w:type="pct"/>
            <w:vAlign w:val="center"/>
          </w:tcPr>
          <w:p>
            <w:pPr>
              <w:jc w:val="center"/>
              <w:rPr>
                <w:rFonts w:asciiTheme="minorEastAsia" w:hAnsiTheme="minorEastAsia" w:eastAsiaTheme="minorEastAsia"/>
                <w:sz w:val="24"/>
                <w:szCs w:val="24"/>
              </w:rPr>
            </w:pPr>
          </w:p>
        </w:tc>
        <w:tc>
          <w:tcPr>
            <w:tcW w:w="523" w:type="pct"/>
            <w:vAlign w:val="center"/>
          </w:tcPr>
          <w:p>
            <w:pPr>
              <w:jc w:val="center"/>
              <w:rPr>
                <w:rFonts w:asciiTheme="minorEastAsia" w:hAnsiTheme="minorEastAsia" w:eastAsia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402" w:type="pct"/>
            <w:vAlign w:val="center"/>
          </w:tcPr>
          <w:p>
            <w:pPr>
              <w:jc w:val="center"/>
              <w:rPr>
                <w:rFonts w:asciiTheme="minorEastAsia" w:hAnsiTheme="minorEastAsia" w:eastAsiaTheme="minorEastAsia"/>
                <w:sz w:val="24"/>
                <w:szCs w:val="24"/>
              </w:rPr>
            </w:pPr>
          </w:p>
        </w:tc>
        <w:tc>
          <w:tcPr>
            <w:tcW w:w="768" w:type="pct"/>
            <w:vAlign w:val="center"/>
          </w:tcPr>
          <w:p>
            <w:pPr>
              <w:jc w:val="center"/>
              <w:rPr>
                <w:rFonts w:asciiTheme="minorEastAsia" w:hAnsiTheme="minorEastAsia" w:eastAsiaTheme="minorEastAsia"/>
                <w:sz w:val="24"/>
                <w:szCs w:val="24"/>
              </w:rPr>
            </w:pPr>
          </w:p>
        </w:tc>
        <w:tc>
          <w:tcPr>
            <w:tcW w:w="1235" w:type="pct"/>
            <w:vAlign w:val="center"/>
          </w:tcPr>
          <w:p>
            <w:pPr>
              <w:jc w:val="center"/>
              <w:rPr>
                <w:rFonts w:asciiTheme="minorEastAsia" w:hAnsiTheme="minorEastAsia" w:eastAsiaTheme="minorEastAsia"/>
                <w:sz w:val="24"/>
                <w:szCs w:val="24"/>
              </w:rPr>
            </w:pPr>
          </w:p>
        </w:tc>
        <w:tc>
          <w:tcPr>
            <w:tcW w:w="1101" w:type="pct"/>
            <w:vAlign w:val="center"/>
          </w:tcPr>
          <w:p>
            <w:pPr>
              <w:jc w:val="center"/>
              <w:rPr>
                <w:rFonts w:asciiTheme="minorEastAsia" w:hAnsiTheme="minorEastAsia" w:eastAsiaTheme="minorEastAsia"/>
                <w:sz w:val="24"/>
                <w:szCs w:val="24"/>
              </w:rPr>
            </w:pPr>
          </w:p>
        </w:tc>
        <w:tc>
          <w:tcPr>
            <w:tcW w:w="971" w:type="pct"/>
            <w:vAlign w:val="center"/>
          </w:tcPr>
          <w:p>
            <w:pPr>
              <w:jc w:val="center"/>
              <w:rPr>
                <w:rFonts w:asciiTheme="minorEastAsia" w:hAnsiTheme="minorEastAsia" w:eastAsiaTheme="minorEastAsia"/>
                <w:sz w:val="24"/>
                <w:szCs w:val="24"/>
              </w:rPr>
            </w:pPr>
          </w:p>
        </w:tc>
        <w:tc>
          <w:tcPr>
            <w:tcW w:w="523" w:type="pct"/>
            <w:vAlign w:val="center"/>
          </w:tcPr>
          <w:p>
            <w:pPr>
              <w:jc w:val="center"/>
              <w:rPr>
                <w:rFonts w:asciiTheme="minorEastAsia" w:hAnsiTheme="minorEastAsia" w:eastAsiaTheme="minorEastAsia"/>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trPr>
        <w:tc>
          <w:tcPr>
            <w:tcW w:w="402" w:type="pct"/>
            <w:vAlign w:val="center"/>
          </w:tcPr>
          <w:p>
            <w:pPr>
              <w:jc w:val="center"/>
              <w:rPr>
                <w:rFonts w:asciiTheme="minorEastAsia" w:hAnsiTheme="minorEastAsia" w:eastAsiaTheme="minorEastAsia"/>
                <w:sz w:val="24"/>
                <w:szCs w:val="24"/>
              </w:rPr>
            </w:pPr>
          </w:p>
        </w:tc>
        <w:tc>
          <w:tcPr>
            <w:tcW w:w="768" w:type="pct"/>
            <w:vAlign w:val="center"/>
          </w:tcPr>
          <w:p>
            <w:pPr>
              <w:jc w:val="center"/>
              <w:rPr>
                <w:rFonts w:asciiTheme="minorEastAsia" w:hAnsiTheme="minorEastAsia" w:eastAsiaTheme="minorEastAsia"/>
                <w:sz w:val="24"/>
                <w:szCs w:val="24"/>
              </w:rPr>
            </w:pPr>
          </w:p>
        </w:tc>
        <w:tc>
          <w:tcPr>
            <w:tcW w:w="1235" w:type="pct"/>
            <w:vAlign w:val="center"/>
          </w:tcPr>
          <w:p>
            <w:pPr>
              <w:jc w:val="center"/>
              <w:rPr>
                <w:rFonts w:asciiTheme="minorEastAsia" w:hAnsiTheme="minorEastAsia" w:eastAsiaTheme="minorEastAsia"/>
                <w:sz w:val="24"/>
                <w:szCs w:val="24"/>
              </w:rPr>
            </w:pPr>
          </w:p>
        </w:tc>
        <w:tc>
          <w:tcPr>
            <w:tcW w:w="1101" w:type="pct"/>
            <w:vAlign w:val="center"/>
          </w:tcPr>
          <w:p>
            <w:pPr>
              <w:jc w:val="center"/>
              <w:rPr>
                <w:rFonts w:asciiTheme="minorEastAsia" w:hAnsiTheme="minorEastAsia" w:eastAsiaTheme="minorEastAsia"/>
                <w:sz w:val="24"/>
                <w:szCs w:val="24"/>
              </w:rPr>
            </w:pPr>
          </w:p>
        </w:tc>
        <w:tc>
          <w:tcPr>
            <w:tcW w:w="971" w:type="pct"/>
            <w:vAlign w:val="center"/>
          </w:tcPr>
          <w:p>
            <w:pPr>
              <w:jc w:val="center"/>
              <w:rPr>
                <w:rFonts w:asciiTheme="minorEastAsia" w:hAnsiTheme="minorEastAsia" w:eastAsiaTheme="minorEastAsia"/>
                <w:sz w:val="24"/>
                <w:szCs w:val="24"/>
              </w:rPr>
            </w:pPr>
          </w:p>
        </w:tc>
        <w:tc>
          <w:tcPr>
            <w:tcW w:w="523" w:type="pct"/>
            <w:vAlign w:val="center"/>
          </w:tcPr>
          <w:p>
            <w:pPr>
              <w:jc w:val="center"/>
              <w:rPr>
                <w:rFonts w:asciiTheme="minorEastAsia" w:hAnsiTheme="minorEastAsia" w:eastAsiaTheme="minorEastAsia"/>
                <w:sz w:val="24"/>
                <w:szCs w:val="24"/>
              </w:rPr>
            </w:pPr>
          </w:p>
        </w:tc>
      </w:tr>
    </w:tbl>
    <w:p>
      <w:pPr>
        <w:pStyle w:val="12"/>
        <w:rPr>
          <w:rFonts w:asciiTheme="minorEastAsia" w:hAnsiTheme="minorEastAsia" w:eastAsiaTheme="minorEastAsia"/>
          <w:sz w:val="20"/>
        </w:rPr>
      </w:pPr>
    </w:p>
    <w:p>
      <w:pPr>
        <w:pStyle w:val="12"/>
        <w:rPr>
          <w:rFonts w:asciiTheme="minorEastAsia" w:hAnsiTheme="minorEastAsia" w:eastAsiaTheme="minorEastAsia"/>
          <w:sz w:val="20"/>
        </w:rPr>
      </w:pPr>
    </w:p>
    <w:p>
      <w:pPr>
        <w:pStyle w:val="12"/>
        <w:spacing w:before="3"/>
        <w:rPr>
          <w:rFonts w:asciiTheme="minorEastAsia" w:hAnsiTheme="minorEastAsia" w:eastAsiaTheme="minorEastAsia"/>
          <w:sz w:val="27"/>
        </w:rPr>
      </w:pPr>
    </w:p>
    <w:p>
      <w:pPr>
        <w:rPr>
          <w:sz w:val="24"/>
          <w:lang w:eastAsia="zh-CN"/>
        </w:rPr>
      </w:pPr>
      <w:r>
        <w:rPr>
          <w:sz w:val="24"/>
          <w:lang w:eastAsia="zh-CN"/>
        </w:rPr>
        <w:t>注：</w:t>
      </w:r>
    </w:p>
    <w:p>
      <w:pPr>
        <w:rPr>
          <w:sz w:val="24"/>
          <w:lang w:eastAsia="zh-CN"/>
        </w:rPr>
      </w:pPr>
      <w:r>
        <w:rPr>
          <w:sz w:val="24"/>
          <w:lang w:eastAsia="zh-CN"/>
        </w:rPr>
        <w:t>1.对竞争性磋商文件中的所有商务、技术要求，除本表所列明的所有偏离外，均视作供应商已对之理解和响应。此表中若无任何文字说明，内容为空白的，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pPr>
        <w:rPr>
          <w:sz w:val="24"/>
          <w:lang w:eastAsia="zh-CN"/>
        </w:rPr>
      </w:pPr>
      <w:r>
        <w:rPr>
          <w:sz w:val="24"/>
          <w:lang w:eastAsia="zh-CN"/>
        </w:rPr>
        <w:t>2.“偏离情况”列应据实填写“无偏离”、“正偏离”或“负偏离”。</w:t>
      </w:r>
    </w:p>
    <w:p>
      <w:pPr>
        <w:pStyle w:val="12"/>
        <w:rPr>
          <w:rFonts w:asciiTheme="minorEastAsia" w:hAnsiTheme="minorEastAsia" w:eastAsiaTheme="minorEastAsia"/>
          <w:sz w:val="28"/>
          <w:lang w:eastAsia="zh-CN"/>
        </w:rPr>
      </w:pPr>
    </w:p>
    <w:p>
      <w:pPr>
        <w:spacing w:line="360" w:lineRule="auto"/>
        <w:rPr>
          <w:sz w:val="24"/>
          <w:lang w:eastAsia="zh-CN"/>
        </w:rPr>
      </w:pPr>
      <w:r>
        <w:rPr>
          <w:sz w:val="24"/>
          <w:lang w:eastAsia="zh-CN"/>
        </w:rPr>
        <w:t>供应商名称（加盖公章）：</w:t>
      </w:r>
      <w:r>
        <w:rPr>
          <w:rFonts w:hint="eastAsia"/>
          <w:sz w:val="24"/>
          <w:u w:val="single"/>
          <w:lang w:eastAsia="zh-CN"/>
        </w:rPr>
        <w:t xml:space="preserve">                  </w:t>
      </w:r>
    </w:p>
    <w:p>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pPr>
        <w:spacing w:line="376" w:lineRule="auto"/>
        <w:rPr>
          <w:rFonts w:asciiTheme="minorEastAsia" w:hAnsiTheme="minorEastAsia" w:eastAsiaTheme="minorEastAsia"/>
          <w:lang w:eastAsia="zh-CN"/>
        </w:rPr>
      </w:pPr>
    </w:p>
    <w:p>
      <w:pPr>
        <w:widowControl/>
        <w:autoSpaceDE/>
        <w:autoSpaceDN/>
        <w:rPr>
          <w:rFonts w:asciiTheme="minorEastAsia" w:hAnsiTheme="minorEastAsia" w:eastAsiaTheme="minorEastAsia"/>
          <w:sz w:val="16"/>
          <w:szCs w:val="24"/>
          <w:lang w:eastAsia="zh-CN"/>
        </w:rPr>
      </w:pPr>
      <w:r>
        <w:rPr>
          <w:rFonts w:asciiTheme="minorEastAsia" w:hAnsiTheme="minorEastAsia" w:eastAsiaTheme="minorEastAsia"/>
          <w:sz w:val="16"/>
          <w:lang w:eastAsia="zh-CN"/>
        </w:rPr>
        <w:br w:type="page"/>
      </w:r>
    </w:p>
    <w:p>
      <w:pPr>
        <w:pStyle w:val="6"/>
        <w:numPr>
          <w:ilvl w:val="0"/>
          <w:numId w:val="122"/>
        </w:numPr>
        <w:rPr>
          <w:i w:val="0"/>
          <w:lang w:eastAsia="zh-CN"/>
        </w:rPr>
      </w:pPr>
      <w:r>
        <w:rPr>
          <w:i w:val="0"/>
          <w:lang w:eastAsia="zh-CN"/>
        </w:rPr>
        <w:t>竞争性磋商文件要求提供或供应商认为应附的其他材料</w:t>
      </w:r>
    </w:p>
    <w:p>
      <w:pPr>
        <w:widowControl/>
        <w:autoSpaceDE/>
        <w:autoSpaceDN/>
        <w:rPr>
          <w:rFonts w:asciiTheme="minorEastAsia" w:hAnsiTheme="minorEastAsia" w:eastAsiaTheme="minorEastAsia"/>
          <w:sz w:val="16"/>
          <w:szCs w:val="24"/>
          <w:lang w:eastAsia="zh-CN"/>
        </w:rPr>
      </w:pPr>
      <w:r>
        <w:rPr>
          <w:rFonts w:asciiTheme="minorEastAsia" w:hAnsiTheme="minorEastAsia" w:eastAsiaTheme="minorEastAsia"/>
          <w:sz w:val="16"/>
          <w:lang w:eastAsia="zh-CN"/>
        </w:rPr>
        <w:br w:type="page"/>
      </w:r>
    </w:p>
    <w:p>
      <w:pPr>
        <w:pStyle w:val="6"/>
        <w:numPr>
          <w:ilvl w:val="0"/>
          <w:numId w:val="122"/>
        </w:numPr>
        <w:rPr>
          <w:i w:val="0"/>
          <w:lang w:eastAsia="zh-CN"/>
        </w:rPr>
      </w:pPr>
      <w:r>
        <w:rPr>
          <w:i w:val="0"/>
          <w:lang w:eastAsia="zh-CN"/>
        </w:rPr>
        <w:t>最后报价一览表（实质性格式，磋商后提交）</w:t>
      </w:r>
    </w:p>
    <w:p>
      <w:pPr>
        <w:pStyle w:val="12"/>
        <w:spacing w:before="3"/>
        <w:rPr>
          <w:rFonts w:asciiTheme="minorEastAsia" w:hAnsiTheme="minorEastAsia" w:eastAsiaTheme="minorEastAsia"/>
          <w:lang w:eastAsia="zh-CN"/>
        </w:rPr>
      </w:pPr>
    </w:p>
    <w:p>
      <w:pPr>
        <w:jc w:val="center"/>
        <w:rPr>
          <w:b/>
          <w:sz w:val="32"/>
          <w:lang w:eastAsia="zh-CN"/>
        </w:rPr>
      </w:pPr>
      <w:r>
        <w:rPr>
          <w:b/>
          <w:sz w:val="32"/>
          <w:lang w:eastAsia="zh-CN"/>
        </w:rPr>
        <w:t>最后报价一览表</w:t>
      </w:r>
    </w:p>
    <w:p>
      <w:pPr>
        <w:pStyle w:val="12"/>
        <w:spacing w:before="5"/>
        <w:rPr>
          <w:rFonts w:asciiTheme="minorEastAsia" w:hAnsiTheme="minorEastAsia" w:eastAsiaTheme="minorEastAsia"/>
          <w:sz w:val="27"/>
          <w:lang w:eastAsia="zh-CN"/>
        </w:rPr>
      </w:pPr>
    </w:p>
    <w:p>
      <w:pPr>
        <w:rPr>
          <w:sz w:val="24"/>
          <w:u w:val="single"/>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pPr>
        <w:rPr>
          <w:sz w:val="24"/>
          <w:u w:val="single"/>
          <w:lang w:eastAsia="zh-CN"/>
        </w:rPr>
      </w:pPr>
    </w:p>
    <w:p>
      <w:pPr>
        <w:rPr>
          <w:sz w:val="24"/>
          <w:lang w:eastAsia="zh-CN"/>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08"/>
        <w:gridCol w:w="2708"/>
        <w:gridCol w:w="2014"/>
        <w:gridCol w:w="1794"/>
        <w:gridCol w:w="17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exact"/>
        </w:trPr>
        <w:tc>
          <w:tcPr>
            <w:tcW w:w="447" w:type="pct"/>
            <w:vMerge w:val="restart"/>
            <w:vAlign w:val="center"/>
          </w:tcPr>
          <w:p>
            <w:pPr>
              <w:jc w:val="center"/>
              <w:rPr>
                <w:b/>
                <w:sz w:val="24"/>
              </w:rPr>
            </w:pPr>
            <w:r>
              <w:rPr>
                <w:b/>
                <w:sz w:val="24"/>
              </w:rPr>
              <w:t>序号</w:t>
            </w:r>
          </w:p>
        </w:tc>
        <w:tc>
          <w:tcPr>
            <w:tcW w:w="1498" w:type="pct"/>
            <w:vMerge w:val="restart"/>
            <w:vAlign w:val="center"/>
          </w:tcPr>
          <w:p>
            <w:pPr>
              <w:jc w:val="center"/>
              <w:rPr>
                <w:b/>
                <w:sz w:val="24"/>
              </w:rPr>
            </w:pPr>
            <w:r>
              <w:rPr>
                <w:b/>
                <w:sz w:val="24"/>
              </w:rPr>
              <w:t>供应商名称</w:t>
            </w:r>
          </w:p>
        </w:tc>
        <w:tc>
          <w:tcPr>
            <w:tcW w:w="2106" w:type="pct"/>
            <w:gridSpan w:val="2"/>
            <w:vAlign w:val="center"/>
          </w:tcPr>
          <w:p>
            <w:pPr>
              <w:jc w:val="center"/>
              <w:rPr>
                <w:b/>
                <w:sz w:val="24"/>
              </w:rPr>
            </w:pPr>
            <w:r>
              <w:rPr>
                <w:b/>
                <w:sz w:val="24"/>
              </w:rPr>
              <w:t>最后报价</w:t>
            </w:r>
          </w:p>
        </w:tc>
        <w:tc>
          <w:tcPr>
            <w:tcW w:w="949" w:type="pct"/>
            <w:vMerge w:val="restart"/>
            <w:vAlign w:val="center"/>
          </w:tcPr>
          <w:p>
            <w:pPr>
              <w:jc w:val="center"/>
              <w:rPr>
                <w:b/>
                <w:sz w:val="24"/>
              </w:rPr>
            </w:pPr>
            <w:r>
              <w:rPr>
                <w:b/>
                <w:sz w:val="24"/>
              </w:rPr>
              <w:t>其他声明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exact"/>
        </w:trPr>
        <w:tc>
          <w:tcPr>
            <w:tcW w:w="447" w:type="pct"/>
            <w:vMerge w:val="continue"/>
            <w:vAlign w:val="center"/>
          </w:tcPr>
          <w:p>
            <w:pPr>
              <w:jc w:val="center"/>
              <w:rPr>
                <w:sz w:val="24"/>
              </w:rPr>
            </w:pPr>
          </w:p>
        </w:tc>
        <w:tc>
          <w:tcPr>
            <w:tcW w:w="1498" w:type="pct"/>
            <w:vMerge w:val="continue"/>
            <w:vAlign w:val="center"/>
          </w:tcPr>
          <w:p>
            <w:pPr>
              <w:jc w:val="center"/>
              <w:rPr>
                <w:sz w:val="24"/>
              </w:rPr>
            </w:pPr>
          </w:p>
        </w:tc>
        <w:tc>
          <w:tcPr>
            <w:tcW w:w="1114" w:type="pct"/>
            <w:vAlign w:val="center"/>
          </w:tcPr>
          <w:p>
            <w:pPr>
              <w:jc w:val="center"/>
              <w:rPr>
                <w:b/>
                <w:sz w:val="24"/>
              </w:rPr>
            </w:pPr>
            <w:r>
              <w:rPr>
                <w:b/>
                <w:sz w:val="24"/>
              </w:rPr>
              <w:t>大写</w:t>
            </w:r>
          </w:p>
        </w:tc>
        <w:tc>
          <w:tcPr>
            <w:tcW w:w="992" w:type="pct"/>
            <w:vAlign w:val="center"/>
          </w:tcPr>
          <w:p>
            <w:pPr>
              <w:jc w:val="center"/>
              <w:rPr>
                <w:b/>
                <w:sz w:val="24"/>
              </w:rPr>
            </w:pPr>
            <w:r>
              <w:rPr>
                <w:b/>
                <w:sz w:val="24"/>
              </w:rPr>
              <w:t>小写</w:t>
            </w:r>
          </w:p>
        </w:tc>
        <w:tc>
          <w:tcPr>
            <w:tcW w:w="949" w:type="pct"/>
            <w:vMerge w:val="continue"/>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6" w:hRule="exact"/>
        </w:trPr>
        <w:tc>
          <w:tcPr>
            <w:tcW w:w="447" w:type="pct"/>
            <w:vAlign w:val="center"/>
          </w:tcPr>
          <w:p>
            <w:pPr>
              <w:jc w:val="center"/>
              <w:rPr>
                <w:sz w:val="24"/>
              </w:rPr>
            </w:pPr>
          </w:p>
        </w:tc>
        <w:tc>
          <w:tcPr>
            <w:tcW w:w="1498" w:type="pct"/>
            <w:vAlign w:val="center"/>
          </w:tcPr>
          <w:p>
            <w:pPr>
              <w:jc w:val="center"/>
              <w:rPr>
                <w:sz w:val="24"/>
              </w:rPr>
            </w:pPr>
          </w:p>
        </w:tc>
        <w:tc>
          <w:tcPr>
            <w:tcW w:w="1114" w:type="pct"/>
            <w:vAlign w:val="center"/>
          </w:tcPr>
          <w:p>
            <w:pPr>
              <w:jc w:val="center"/>
              <w:rPr>
                <w:sz w:val="24"/>
              </w:rPr>
            </w:pPr>
          </w:p>
        </w:tc>
        <w:tc>
          <w:tcPr>
            <w:tcW w:w="992" w:type="pct"/>
            <w:vAlign w:val="center"/>
          </w:tcPr>
          <w:p>
            <w:pPr>
              <w:jc w:val="center"/>
              <w:rPr>
                <w:sz w:val="24"/>
              </w:rPr>
            </w:pPr>
          </w:p>
        </w:tc>
        <w:tc>
          <w:tcPr>
            <w:tcW w:w="949" w:type="pct"/>
            <w:vAlign w:val="center"/>
          </w:tcPr>
          <w:p>
            <w:pPr>
              <w:jc w:val="center"/>
              <w:rPr>
                <w:sz w:val="24"/>
              </w:rPr>
            </w:pPr>
          </w:p>
        </w:tc>
      </w:tr>
    </w:tbl>
    <w:p>
      <w:pPr>
        <w:pStyle w:val="12"/>
        <w:rPr>
          <w:rFonts w:asciiTheme="minorEastAsia" w:hAnsiTheme="minorEastAsia" w:eastAsiaTheme="minorEastAsia"/>
          <w:sz w:val="20"/>
        </w:rPr>
      </w:pPr>
    </w:p>
    <w:p>
      <w:pPr>
        <w:pStyle w:val="12"/>
        <w:rPr>
          <w:rFonts w:asciiTheme="minorEastAsia" w:hAnsiTheme="minorEastAsia" w:eastAsiaTheme="minorEastAsia"/>
          <w:sz w:val="20"/>
        </w:rPr>
      </w:pPr>
    </w:p>
    <w:p>
      <w:pPr>
        <w:pStyle w:val="12"/>
        <w:rPr>
          <w:rFonts w:asciiTheme="minorEastAsia" w:hAnsiTheme="minorEastAsia" w:eastAsiaTheme="minorEastAsia"/>
          <w:sz w:val="20"/>
        </w:rPr>
      </w:pPr>
    </w:p>
    <w:p>
      <w:pPr>
        <w:pStyle w:val="12"/>
        <w:rPr>
          <w:rFonts w:asciiTheme="minorEastAsia" w:hAnsiTheme="minorEastAsia" w:eastAsiaTheme="minorEastAsia"/>
          <w:sz w:val="20"/>
        </w:rPr>
      </w:pPr>
    </w:p>
    <w:p>
      <w:pPr>
        <w:rPr>
          <w:sz w:val="24"/>
          <w:lang w:eastAsia="zh-CN"/>
        </w:rPr>
      </w:pPr>
      <w:r>
        <w:rPr>
          <w:sz w:val="24"/>
          <w:lang w:eastAsia="zh-CN"/>
        </w:rPr>
        <w:t>注：1.此表中，每包的最后报价应和《最后分项报价表》中的总价相一致。</w:t>
      </w:r>
    </w:p>
    <w:p>
      <w:pPr>
        <w:ind w:left="425" w:leftChars="193" w:firstLine="139" w:firstLineChars="58"/>
        <w:rPr>
          <w:sz w:val="24"/>
          <w:lang w:eastAsia="zh-CN"/>
        </w:rPr>
      </w:pPr>
      <w:r>
        <w:rPr>
          <w:sz w:val="24"/>
          <w:lang w:eastAsia="zh-CN"/>
        </w:rPr>
        <w:t>2.本表必须按包分别填写。</w:t>
      </w:r>
    </w:p>
    <w:p>
      <w:pPr>
        <w:ind w:left="425" w:leftChars="193" w:firstLine="139" w:firstLineChars="58"/>
        <w:rPr>
          <w:sz w:val="24"/>
          <w:lang w:eastAsia="zh-CN"/>
        </w:rPr>
      </w:pPr>
      <w:r>
        <w:rPr>
          <w:sz w:val="24"/>
          <w:lang w:eastAsia="zh-CN"/>
        </w:rPr>
        <w:t>3.此表无需在响应文件中提交，磋商后供应商按磋商小组要求提交。</w:t>
      </w:r>
    </w:p>
    <w:p>
      <w:pPr>
        <w:pStyle w:val="12"/>
        <w:rPr>
          <w:rFonts w:asciiTheme="minorEastAsia" w:hAnsiTheme="minorEastAsia" w:eastAsiaTheme="minorEastAsia"/>
          <w:sz w:val="28"/>
          <w:lang w:eastAsia="zh-CN"/>
        </w:rPr>
      </w:pPr>
    </w:p>
    <w:p>
      <w:pPr>
        <w:pStyle w:val="12"/>
        <w:rPr>
          <w:rFonts w:asciiTheme="minorEastAsia" w:hAnsiTheme="minorEastAsia" w:eastAsiaTheme="minorEastAsia"/>
          <w:sz w:val="28"/>
          <w:lang w:eastAsia="zh-CN"/>
        </w:rPr>
      </w:pPr>
    </w:p>
    <w:p>
      <w:pPr>
        <w:pStyle w:val="12"/>
        <w:spacing w:before="3"/>
        <w:rPr>
          <w:rFonts w:asciiTheme="minorEastAsia" w:hAnsiTheme="minorEastAsia" w:eastAsiaTheme="minorEastAsia"/>
          <w:sz w:val="33"/>
          <w:lang w:eastAsia="zh-CN"/>
        </w:rPr>
      </w:pPr>
    </w:p>
    <w:p>
      <w:pPr>
        <w:spacing w:line="360" w:lineRule="auto"/>
        <w:rPr>
          <w:sz w:val="24"/>
          <w:lang w:eastAsia="zh-CN"/>
        </w:rPr>
      </w:pPr>
      <w:r>
        <w:rPr>
          <w:sz w:val="24"/>
          <w:lang w:eastAsia="zh-CN"/>
        </w:rPr>
        <w:t>供应商名称（加盖公章）：</w:t>
      </w:r>
      <w:r>
        <w:rPr>
          <w:rFonts w:hint="eastAsia"/>
          <w:sz w:val="24"/>
          <w:u w:val="single"/>
          <w:lang w:eastAsia="zh-CN"/>
        </w:rPr>
        <w:t xml:space="preserve">                  </w:t>
      </w:r>
    </w:p>
    <w:p>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pPr>
        <w:pStyle w:val="2"/>
        <w:rPr>
          <w:sz w:val="24"/>
        </w:rPr>
      </w:pPr>
    </w:p>
    <w:p>
      <w:pPr>
        <w:rPr>
          <w:sz w:val="24"/>
        </w:rPr>
      </w:pPr>
    </w:p>
    <w:p>
      <w:pPr>
        <w:pStyle w:val="2"/>
        <w:rPr>
          <w:sz w:val="24"/>
        </w:rPr>
      </w:pPr>
    </w:p>
    <w:p>
      <w:pPr>
        <w:rPr>
          <w:sz w:val="24"/>
        </w:rPr>
      </w:pPr>
    </w:p>
    <w:p>
      <w:pPr>
        <w:pStyle w:val="2"/>
        <w:rPr>
          <w:sz w:val="24"/>
        </w:rPr>
      </w:pPr>
    </w:p>
    <w:p>
      <w:pPr>
        <w:rPr>
          <w:sz w:val="24"/>
        </w:rPr>
      </w:pPr>
    </w:p>
    <w:p>
      <w:pPr>
        <w:pStyle w:val="2"/>
        <w:rPr>
          <w:sz w:val="24"/>
        </w:rPr>
      </w:pPr>
    </w:p>
    <w:p>
      <w:pPr>
        <w:rPr>
          <w:sz w:val="24"/>
        </w:rPr>
      </w:pPr>
    </w:p>
    <w:p>
      <w:pPr>
        <w:pStyle w:val="2"/>
        <w:rPr>
          <w:sz w:val="24"/>
        </w:rPr>
      </w:pPr>
    </w:p>
    <w:p>
      <w:pPr>
        <w:rPr>
          <w:sz w:val="24"/>
        </w:rPr>
      </w:pPr>
    </w:p>
    <w:p>
      <w:pPr>
        <w:pStyle w:val="2"/>
        <w:rPr>
          <w:sz w:val="24"/>
        </w:rPr>
      </w:pPr>
    </w:p>
    <w:p>
      <w:pPr>
        <w:rPr>
          <w:sz w:val="24"/>
        </w:rPr>
      </w:pPr>
    </w:p>
    <w:p>
      <w:pPr>
        <w:pStyle w:val="2"/>
      </w:pPr>
    </w:p>
    <w:p>
      <w:pPr>
        <w:spacing w:line="376" w:lineRule="auto"/>
        <w:rPr>
          <w:rFonts w:asciiTheme="minorEastAsia" w:hAnsiTheme="minorEastAsia" w:eastAsiaTheme="minorEastAsia"/>
          <w:lang w:eastAsia="zh-CN"/>
        </w:rPr>
      </w:pPr>
    </w:p>
    <w:p>
      <w:pPr>
        <w:spacing w:line="376" w:lineRule="auto"/>
        <w:rPr>
          <w:rFonts w:asciiTheme="minorEastAsia" w:hAnsiTheme="minorEastAsia" w:eastAsiaTheme="minorEastAsia"/>
          <w:lang w:eastAsia="zh-CN"/>
        </w:rPr>
        <w:sectPr>
          <w:headerReference r:id="rId20" w:type="default"/>
          <w:footerReference r:id="rId21" w:type="default"/>
          <w:pgSz w:w="11910" w:h="16840"/>
          <w:pgMar w:top="1797" w:right="1440" w:bottom="1797" w:left="1440" w:header="878" w:footer="891" w:gutter="0"/>
          <w:cols w:space="720" w:num="1"/>
          <w:docGrid w:linePitch="299" w:charSpace="0"/>
        </w:sectPr>
      </w:pPr>
    </w:p>
    <w:p>
      <w:pPr>
        <w:pStyle w:val="6"/>
        <w:numPr>
          <w:ilvl w:val="0"/>
          <w:numId w:val="122"/>
        </w:numPr>
        <w:rPr>
          <w:i w:val="0"/>
          <w:lang w:eastAsia="zh-CN"/>
        </w:rPr>
      </w:pPr>
      <w:r>
        <w:rPr>
          <w:i w:val="0"/>
          <w:lang w:eastAsia="zh-CN"/>
        </w:rPr>
        <w:t>最后分项报价表（实质性格式，磋商后提交）</w:t>
      </w:r>
    </w:p>
    <w:p>
      <w:pPr>
        <w:pStyle w:val="12"/>
        <w:spacing w:before="8"/>
        <w:rPr>
          <w:rFonts w:asciiTheme="minorEastAsia" w:hAnsiTheme="minorEastAsia" w:eastAsiaTheme="minorEastAsia"/>
          <w:sz w:val="31"/>
          <w:lang w:eastAsia="zh-CN"/>
        </w:rPr>
      </w:pPr>
    </w:p>
    <w:p>
      <w:pPr>
        <w:jc w:val="center"/>
        <w:rPr>
          <w:b/>
          <w:sz w:val="32"/>
          <w:lang w:eastAsia="zh-CN"/>
        </w:rPr>
      </w:pPr>
      <w:r>
        <w:rPr>
          <w:b/>
          <w:sz w:val="32"/>
          <w:lang w:eastAsia="zh-CN"/>
        </w:rPr>
        <w:t>最后分项报价表</w:t>
      </w:r>
    </w:p>
    <w:p>
      <w:pPr>
        <w:pStyle w:val="12"/>
        <w:rPr>
          <w:rFonts w:asciiTheme="minorEastAsia" w:hAnsiTheme="minorEastAsia" w:eastAsiaTheme="minorEastAsia"/>
          <w:sz w:val="20"/>
          <w:lang w:eastAsia="zh-CN"/>
        </w:rPr>
      </w:pPr>
    </w:p>
    <w:p>
      <w:pPr>
        <w:pStyle w:val="12"/>
        <w:spacing w:before="45"/>
        <w:ind w:left="221"/>
        <w:rPr>
          <w:rFonts w:asciiTheme="minorEastAsia" w:hAnsiTheme="minorEastAsia" w:eastAsiaTheme="minorEastAsia"/>
          <w:lang w:eastAsia="zh-CN"/>
        </w:rPr>
      </w:pPr>
    </w:p>
    <w:p>
      <w:pPr>
        <w:pStyle w:val="12"/>
        <w:spacing w:before="45"/>
        <w:ind w:left="221"/>
        <w:rPr>
          <w:rFonts w:asciiTheme="minorEastAsia" w:hAnsiTheme="minorEastAsia" w:eastAsiaTheme="minorEastAsia"/>
          <w:lang w:eastAsia="zh-CN"/>
        </w:rPr>
      </w:pPr>
    </w:p>
    <w:p>
      <w:pPr>
        <w:pStyle w:val="12"/>
        <w:spacing w:before="5"/>
        <w:rPr>
          <w:rFonts w:asciiTheme="minorEastAsia" w:hAnsiTheme="minorEastAsia" w:eastAsiaTheme="minorEastAsia"/>
          <w:sz w:val="16"/>
        </w:rPr>
      </w:pPr>
    </w:p>
    <w:p>
      <w:pPr>
        <w:rPr>
          <w:i/>
          <w:color w:val="FF0000"/>
          <w:sz w:val="24"/>
          <w:lang w:eastAsia="zh-CN"/>
        </w:rPr>
      </w:pPr>
      <w:r>
        <w:rPr>
          <w:i/>
          <w:color w:val="FF0000"/>
          <w:sz w:val="24"/>
          <w:lang w:eastAsia="zh-CN"/>
        </w:rPr>
        <w:t>（格式示例四，适用于工程类项目，且现场难以重新按工程量清单提供报价的）</w:t>
      </w:r>
    </w:p>
    <w:p>
      <w:pPr>
        <w:pStyle w:val="12"/>
        <w:spacing w:before="12" w:after="1"/>
        <w:rPr>
          <w:rFonts w:asciiTheme="minorEastAsia" w:hAnsiTheme="minorEastAsia" w:eastAsiaTheme="minorEastAsia"/>
          <w:i/>
          <w:sz w:val="23"/>
          <w:lang w:eastAsia="zh-CN"/>
        </w:rPr>
      </w:pP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91"/>
        <w:gridCol w:w="4489"/>
        <w:gridCol w:w="1404"/>
        <w:gridCol w:w="15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535" w:type="pct"/>
            <w:vAlign w:val="center"/>
          </w:tcPr>
          <w:p>
            <w:pPr>
              <w:jc w:val="center"/>
              <w:rPr>
                <w:sz w:val="24"/>
              </w:rPr>
            </w:pPr>
            <w:r>
              <w:rPr>
                <w:sz w:val="24"/>
              </w:rPr>
              <w:t>序号</w:t>
            </w:r>
          </w:p>
        </w:tc>
        <w:tc>
          <w:tcPr>
            <w:tcW w:w="2696" w:type="pct"/>
            <w:vAlign w:val="center"/>
          </w:tcPr>
          <w:p>
            <w:pPr>
              <w:jc w:val="center"/>
              <w:rPr>
                <w:sz w:val="24"/>
                <w:lang w:eastAsia="zh-CN"/>
              </w:rPr>
            </w:pPr>
            <w:r>
              <w:rPr>
                <w:sz w:val="24"/>
                <w:lang w:eastAsia="zh-CN"/>
              </w:rPr>
              <w:t>最后报价计算过程或说明（可以填写按第一次报价下浮/上浮比例，也可以填写相对第一次报价某部分价格变化情况）</w:t>
            </w:r>
          </w:p>
        </w:tc>
        <w:tc>
          <w:tcPr>
            <w:tcW w:w="843" w:type="pct"/>
            <w:vAlign w:val="center"/>
          </w:tcPr>
          <w:p>
            <w:pPr>
              <w:jc w:val="center"/>
              <w:rPr>
                <w:sz w:val="24"/>
              </w:rPr>
            </w:pPr>
            <w:r>
              <w:rPr>
                <w:sz w:val="24"/>
              </w:rPr>
              <w:t>总价（元）</w:t>
            </w:r>
          </w:p>
        </w:tc>
        <w:tc>
          <w:tcPr>
            <w:tcW w:w="927" w:type="pct"/>
            <w:vAlign w:val="center"/>
          </w:tcPr>
          <w:p>
            <w:pPr>
              <w:jc w:val="center"/>
              <w:rPr>
                <w:sz w:val="24"/>
              </w:rPr>
            </w:pPr>
            <w:r>
              <w:rPr>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5" w:hRule="exact"/>
        </w:trPr>
        <w:tc>
          <w:tcPr>
            <w:tcW w:w="535" w:type="pct"/>
            <w:vAlign w:val="center"/>
          </w:tcPr>
          <w:p>
            <w:pPr>
              <w:jc w:val="center"/>
              <w:rPr>
                <w:sz w:val="24"/>
              </w:rPr>
            </w:pPr>
            <w:r>
              <w:rPr>
                <w:sz w:val="24"/>
              </w:rPr>
              <w:t>1</w:t>
            </w:r>
          </w:p>
        </w:tc>
        <w:tc>
          <w:tcPr>
            <w:tcW w:w="2696" w:type="pct"/>
            <w:vAlign w:val="center"/>
          </w:tcPr>
          <w:p>
            <w:pPr>
              <w:jc w:val="center"/>
              <w:rPr>
                <w:sz w:val="24"/>
              </w:rPr>
            </w:pPr>
          </w:p>
        </w:tc>
        <w:tc>
          <w:tcPr>
            <w:tcW w:w="843" w:type="pct"/>
            <w:vAlign w:val="center"/>
          </w:tcPr>
          <w:p>
            <w:pPr>
              <w:jc w:val="center"/>
              <w:rPr>
                <w:sz w:val="24"/>
              </w:rPr>
            </w:pPr>
          </w:p>
        </w:tc>
        <w:tc>
          <w:tcPr>
            <w:tcW w:w="927" w:type="pct"/>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exact"/>
        </w:trPr>
        <w:tc>
          <w:tcPr>
            <w:tcW w:w="3231" w:type="pct"/>
            <w:gridSpan w:val="2"/>
            <w:vAlign w:val="center"/>
          </w:tcPr>
          <w:p>
            <w:pPr>
              <w:jc w:val="center"/>
              <w:rPr>
                <w:sz w:val="24"/>
              </w:rPr>
            </w:pPr>
            <w:r>
              <w:rPr>
                <w:sz w:val="24"/>
              </w:rPr>
              <w:t>合计（元）</w:t>
            </w:r>
          </w:p>
        </w:tc>
        <w:tc>
          <w:tcPr>
            <w:tcW w:w="843" w:type="pct"/>
            <w:vAlign w:val="center"/>
          </w:tcPr>
          <w:p>
            <w:pPr>
              <w:jc w:val="center"/>
              <w:rPr>
                <w:sz w:val="24"/>
              </w:rPr>
            </w:pPr>
          </w:p>
        </w:tc>
        <w:tc>
          <w:tcPr>
            <w:tcW w:w="927" w:type="pct"/>
            <w:vAlign w:val="center"/>
          </w:tcPr>
          <w:p>
            <w:pPr>
              <w:jc w:val="center"/>
              <w:rPr>
                <w:sz w:val="24"/>
              </w:rPr>
            </w:pPr>
          </w:p>
        </w:tc>
      </w:tr>
    </w:tbl>
    <w:p>
      <w:pPr>
        <w:pStyle w:val="12"/>
        <w:rPr>
          <w:rFonts w:asciiTheme="minorEastAsia" w:hAnsiTheme="minorEastAsia" w:eastAsiaTheme="minorEastAsia"/>
          <w:i/>
          <w:sz w:val="20"/>
        </w:rPr>
      </w:pPr>
    </w:p>
    <w:p>
      <w:pPr>
        <w:pStyle w:val="12"/>
        <w:rPr>
          <w:rFonts w:asciiTheme="minorEastAsia" w:hAnsiTheme="minorEastAsia" w:eastAsiaTheme="minorEastAsia"/>
          <w:i/>
          <w:sz w:val="20"/>
        </w:rPr>
      </w:pPr>
    </w:p>
    <w:p>
      <w:pPr>
        <w:pStyle w:val="12"/>
        <w:spacing w:before="10"/>
        <w:rPr>
          <w:rFonts w:asciiTheme="minorEastAsia" w:hAnsiTheme="minorEastAsia" w:eastAsiaTheme="minorEastAsia"/>
          <w:i/>
          <w:sz w:val="17"/>
        </w:rPr>
      </w:pPr>
    </w:p>
    <w:p>
      <w:pPr>
        <w:pStyle w:val="12"/>
        <w:spacing w:before="43" w:line="322" w:lineRule="exact"/>
        <w:ind w:left="221"/>
        <w:rPr>
          <w:rFonts w:asciiTheme="minorEastAsia" w:hAnsiTheme="minorEastAsia" w:eastAsiaTheme="minorEastAsia"/>
          <w:lang w:eastAsia="zh-CN"/>
        </w:rPr>
      </w:pPr>
      <w:r>
        <w:rPr>
          <w:rFonts w:asciiTheme="minorEastAsia" w:hAnsiTheme="minorEastAsia" w:eastAsiaTheme="minorEastAsia"/>
          <w:lang w:eastAsia="zh-CN"/>
        </w:rPr>
        <w:t>注：1.本表应按包分别填写。</w:t>
      </w:r>
    </w:p>
    <w:p>
      <w:pPr>
        <w:pStyle w:val="12"/>
        <w:spacing w:line="312" w:lineRule="exact"/>
        <w:ind w:left="701"/>
        <w:rPr>
          <w:rFonts w:asciiTheme="minorEastAsia" w:hAnsiTheme="minorEastAsia" w:eastAsiaTheme="minorEastAsia"/>
          <w:lang w:eastAsia="zh-CN"/>
        </w:rPr>
      </w:pPr>
      <w:r>
        <w:rPr>
          <w:rFonts w:asciiTheme="minorEastAsia" w:hAnsiTheme="minorEastAsia" w:eastAsiaTheme="minorEastAsia"/>
          <w:spacing w:val="-2"/>
          <w:w w:val="114"/>
          <w:lang w:eastAsia="zh-CN"/>
        </w:rPr>
        <w:t>2</w:t>
      </w:r>
      <w:r>
        <w:rPr>
          <w:rFonts w:asciiTheme="minorEastAsia" w:hAnsiTheme="minorEastAsia" w:eastAsiaTheme="minorEastAsia"/>
          <w:w w:val="114"/>
          <w:lang w:eastAsia="zh-CN"/>
        </w:rPr>
        <w:t>.</w:t>
      </w:r>
      <w:r>
        <w:rPr>
          <w:rFonts w:asciiTheme="minorEastAsia" w:hAnsiTheme="minorEastAsia" w:eastAsiaTheme="minorEastAsia"/>
          <w:lang w:eastAsia="zh-CN"/>
        </w:rPr>
        <w:t>上述各项的详细规格（如有</w:t>
      </w:r>
      <w:r>
        <w:rPr>
          <w:rFonts w:asciiTheme="minorEastAsia" w:hAnsiTheme="minorEastAsia" w:eastAsiaTheme="minorEastAsia"/>
          <w:spacing w:val="-120"/>
          <w:lang w:eastAsia="zh-CN"/>
        </w:rPr>
        <w:t>）</w:t>
      </w:r>
      <w:r>
        <w:rPr>
          <w:rFonts w:asciiTheme="minorEastAsia" w:hAnsiTheme="minorEastAsia" w:eastAsiaTheme="minorEastAsia"/>
          <w:lang w:eastAsia="zh-CN"/>
        </w:rPr>
        <w:t>，可另页描述。</w:t>
      </w:r>
    </w:p>
    <w:p>
      <w:pPr>
        <w:pStyle w:val="12"/>
        <w:spacing w:line="312" w:lineRule="exact"/>
        <w:ind w:left="701"/>
        <w:rPr>
          <w:rFonts w:asciiTheme="minorEastAsia" w:hAnsiTheme="minorEastAsia" w:eastAsiaTheme="minorEastAsia"/>
          <w:lang w:eastAsia="zh-CN"/>
        </w:rPr>
      </w:pPr>
      <w:r>
        <w:rPr>
          <w:rFonts w:asciiTheme="minorEastAsia" w:hAnsiTheme="minorEastAsia" w:eastAsiaTheme="minorEastAsia"/>
          <w:lang w:eastAsia="zh-CN"/>
        </w:rPr>
        <w:t>3.此表无需在响应文件中提交，磋商后供应商按磋商小组要求提交。</w:t>
      </w:r>
    </w:p>
    <w:p>
      <w:pPr>
        <w:pStyle w:val="12"/>
        <w:spacing w:before="22" w:line="310" w:lineRule="exact"/>
        <w:ind w:left="221" w:right="231" w:firstLine="480"/>
        <w:rPr>
          <w:rFonts w:asciiTheme="minorEastAsia" w:hAnsiTheme="minorEastAsia" w:eastAsiaTheme="minorEastAsia"/>
          <w:lang w:eastAsia="zh-CN"/>
        </w:rPr>
      </w:pPr>
      <w:r>
        <w:rPr>
          <w:rFonts w:asciiTheme="minorEastAsia" w:hAnsiTheme="minorEastAsia" w:eastAsiaTheme="minorEastAsia"/>
          <w:spacing w:val="-2"/>
          <w:w w:val="114"/>
          <w:lang w:eastAsia="zh-CN"/>
        </w:rPr>
        <w:t>4</w:t>
      </w:r>
      <w:r>
        <w:rPr>
          <w:rFonts w:asciiTheme="minorEastAsia" w:hAnsiTheme="minorEastAsia" w:eastAsiaTheme="minorEastAsia"/>
          <w:w w:val="114"/>
          <w:lang w:eastAsia="zh-CN"/>
        </w:rPr>
        <w:t>.</w:t>
      </w:r>
      <w:r>
        <w:rPr>
          <w:rFonts w:asciiTheme="minorEastAsia" w:hAnsiTheme="minorEastAsia" w:eastAsiaTheme="minorEastAsia"/>
          <w:lang w:eastAsia="zh-CN"/>
        </w:rPr>
        <w:t>制造商规模列应填</w:t>
      </w:r>
      <w:r>
        <w:rPr>
          <w:rFonts w:asciiTheme="minorEastAsia" w:hAnsiTheme="minorEastAsia" w:eastAsiaTheme="minorEastAsia"/>
          <w:spacing w:val="-1"/>
          <w:lang w:eastAsia="zh-CN"/>
        </w:rPr>
        <w:t>写</w:t>
      </w:r>
      <w:r>
        <w:rPr>
          <w:rFonts w:asciiTheme="minorEastAsia" w:hAnsiTheme="minorEastAsia" w:eastAsiaTheme="minorEastAsia"/>
          <w:w w:val="133"/>
          <w:lang w:eastAsia="zh-CN"/>
        </w:rPr>
        <w:t>“</w:t>
      </w:r>
      <w:r>
        <w:rPr>
          <w:rFonts w:asciiTheme="minorEastAsia" w:hAnsiTheme="minorEastAsia" w:eastAsiaTheme="minorEastAsia"/>
          <w:lang w:eastAsia="zh-CN"/>
        </w:rPr>
        <w:t>大</w:t>
      </w:r>
      <w:r>
        <w:rPr>
          <w:rFonts w:asciiTheme="minorEastAsia" w:hAnsiTheme="minorEastAsia" w:eastAsiaTheme="minorEastAsia"/>
          <w:spacing w:val="-1"/>
          <w:lang w:eastAsia="zh-CN"/>
        </w:rPr>
        <w:t>型</w:t>
      </w:r>
      <w:r>
        <w:rPr>
          <w:rFonts w:asciiTheme="minorEastAsia" w:hAnsiTheme="minorEastAsia" w:eastAsiaTheme="minorEastAsia"/>
          <w:spacing w:val="-2"/>
          <w:w w:val="133"/>
          <w:lang w:eastAsia="zh-CN"/>
        </w:rPr>
        <w:t>”</w:t>
      </w:r>
      <w:r>
        <w:rPr>
          <w:rFonts w:asciiTheme="minorEastAsia" w:hAnsiTheme="minorEastAsia" w:eastAsiaTheme="minorEastAsia"/>
          <w:spacing w:val="-17"/>
          <w:lang w:eastAsia="zh-CN"/>
        </w:rPr>
        <w:t>、</w:t>
      </w:r>
      <w:r>
        <w:rPr>
          <w:rFonts w:asciiTheme="minorEastAsia" w:hAnsiTheme="minorEastAsia" w:eastAsiaTheme="minorEastAsia"/>
          <w:w w:val="133"/>
          <w:lang w:eastAsia="zh-CN"/>
        </w:rPr>
        <w:t>“</w:t>
      </w:r>
      <w:r>
        <w:rPr>
          <w:rFonts w:asciiTheme="minorEastAsia" w:hAnsiTheme="minorEastAsia" w:eastAsiaTheme="minorEastAsia"/>
          <w:lang w:eastAsia="zh-CN"/>
        </w:rPr>
        <w:t>中</w:t>
      </w:r>
      <w:r>
        <w:rPr>
          <w:rFonts w:asciiTheme="minorEastAsia" w:hAnsiTheme="minorEastAsia" w:eastAsiaTheme="minorEastAsia"/>
          <w:spacing w:val="-1"/>
          <w:lang w:eastAsia="zh-CN"/>
        </w:rPr>
        <w:t>型</w:t>
      </w:r>
      <w:r>
        <w:rPr>
          <w:rFonts w:asciiTheme="minorEastAsia" w:hAnsiTheme="minorEastAsia" w:eastAsiaTheme="minorEastAsia"/>
          <w:w w:val="133"/>
          <w:lang w:eastAsia="zh-CN"/>
        </w:rPr>
        <w:t>”</w:t>
      </w:r>
      <w:r>
        <w:rPr>
          <w:rFonts w:asciiTheme="minorEastAsia" w:hAnsiTheme="minorEastAsia" w:eastAsiaTheme="minorEastAsia"/>
          <w:spacing w:val="-20"/>
          <w:lang w:eastAsia="zh-CN"/>
        </w:rPr>
        <w:t>、</w:t>
      </w:r>
      <w:r>
        <w:rPr>
          <w:rFonts w:asciiTheme="minorEastAsia" w:hAnsiTheme="minorEastAsia" w:eastAsiaTheme="minorEastAsia"/>
          <w:w w:val="133"/>
          <w:lang w:eastAsia="zh-CN"/>
        </w:rPr>
        <w:t>“</w:t>
      </w:r>
      <w:r>
        <w:rPr>
          <w:rFonts w:asciiTheme="minorEastAsia" w:hAnsiTheme="minorEastAsia" w:eastAsiaTheme="minorEastAsia"/>
          <w:lang w:eastAsia="zh-CN"/>
        </w:rPr>
        <w:t>小</w:t>
      </w:r>
      <w:r>
        <w:rPr>
          <w:rFonts w:asciiTheme="minorEastAsia" w:hAnsiTheme="minorEastAsia" w:eastAsiaTheme="minorEastAsia"/>
          <w:spacing w:val="-1"/>
          <w:lang w:eastAsia="zh-CN"/>
        </w:rPr>
        <w:t>微</w:t>
      </w:r>
      <w:r>
        <w:rPr>
          <w:rFonts w:asciiTheme="minorEastAsia" w:hAnsiTheme="minorEastAsia" w:eastAsiaTheme="minorEastAsia"/>
          <w:w w:val="133"/>
          <w:lang w:eastAsia="zh-CN"/>
        </w:rPr>
        <w:t>”</w:t>
      </w:r>
      <w:r>
        <w:rPr>
          <w:rFonts w:asciiTheme="minorEastAsia" w:hAnsiTheme="minorEastAsia" w:eastAsiaTheme="minorEastAsia"/>
          <w:lang w:eastAsia="zh-CN"/>
        </w:rPr>
        <w:t>或</w:t>
      </w:r>
      <w:r>
        <w:rPr>
          <w:rFonts w:asciiTheme="minorEastAsia" w:hAnsiTheme="minorEastAsia" w:eastAsiaTheme="minorEastAsia"/>
          <w:w w:val="133"/>
          <w:lang w:eastAsia="zh-CN"/>
        </w:rPr>
        <w:t>“</w:t>
      </w:r>
      <w:r>
        <w:rPr>
          <w:rFonts w:asciiTheme="minorEastAsia" w:hAnsiTheme="minorEastAsia" w:eastAsiaTheme="minorEastAsia"/>
          <w:lang w:eastAsia="zh-CN"/>
        </w:rPr>
        <w:t>其</w:t>
      </w:r>
      <w:r>
        <w:rPr>
          <w:rFonts w:asciiTheme="minorEastAsia" w:hAnsiTheme="minorEastAsia" w:eastAsiaTheme="minorEastAsia"/>
          <w:spacing w:val="-1"/>
          <w:lang w:eastAsia="zh-CN"/>
        </w:rPr>
        <w:t>他</w:t>
      </w:r>
      <w:r>
        <w:rPr>
          <w:rFonts w:asciiTheme="minorEastAsia" w:hAnsiTheme="minorEastAsia" w:eastAsiaTheme="minorEastAsia"/>
          <w:spacing w:val="-2"/>
          <w:w w:val="133"/>
          <w:lang w:eastAsia="zh-CN"/>
        </w:rPr>
        <w:t>”</w:t>
      </w:r>
      <w:r>
        <w:rPr>
          <w:rFonts w:asciiTheme="minorEastAsia" w:hAnsiTheme="minorEastAsia" w:eastAsiaTheme="minorEastAsia"/>
          <w:spacing w:val="-17"/>
          <w:lang w:eastAsia="zh-CN"/>
        </w:rPr>
        <w:t>，</w:t>
      </w:r>
      <w:r>
        <w:rPr>
          <w:rFonts w:asciiTheme="minorEastAsia" w:hAnsiTheme="minorEastAsia" w:eastAsiaTheme="minorEastAsia"/>
          <w:lang w:eastAsia="zh-CN"/>
        </w:rPr>
        <w:t>且不应</w:t>
      </w:r>
      <w:r>
        <w:rPr>
          <w:rFonts w:asciiTheme="minorEastAsia" w:hAnsiTheme="minorEastAsia" w:eastAsiaTheme="minorEastAsia"/>
          <w:spacing w:val="-17"/>
          <w:lang w:eastAsia="zh-CN"/>
        </w:rPr>
        <w:t>与</w:t>
      </w:r>
      <w:r>
        <w:rPr>
          <w:rFonts w:asciiTheme="minorEastAsia" w:hAnsiTheme="minorEastAsia" w:eastAsiaTheme="minorEastAsia"/>
          <w:lang w:eastAsia="zh-CN"/>
        </w:rPr>
        <w:t>《中小企业声明函》或《拟分包情况说明》中内容矛盾。</w:t>
      </w:r>
    </w:p>
    <w:p>
      <w:pPr>
        <w:pStyle w:val="12"/>
        <w:spacing w:before="8"/>
        <w:rPr>
          <w:rFonts w:asciiTheme="minorEastAsia" w:hAnsiTheme="minorEastAsia" w:eastAsiaTheme="minorEastAsia"/>
          <w:sz w:val="33"/>
          <w:lang w:eastAsia="zh-CN"/>
        </w:rPr>
      </w:pPr>
    </w:p>
    <w:p>
      <w:pPr>
        <w:spacing w:line="360" w:lineRule="auto"/>
        <w:rPr>
          <w:sz w:val="24"/>
          <w:lang w:eastAsia="zh-CN"/>
        </w:rPr>
      </w:pPr>
      <w:r>
        <w:rPr>
          <w:sz w:val="24"/>
          <w:lang w:eastAsia="zh-CN"/>
        </w:rPr>
        <w:t>供应商名称（加盖公章）：</w:t>
      </w:r>
      <w:r>
        <w:rPr>
          <w:rFonts w:hint="eastAsia"/>
          <w:sz w:val="24"/>
          <w:u w:val="single"/>
          <w:lang w:eastAsia="zh-CN"/>
        </w:rPr>
        <w:t xml:space="preserve">                  </w:t>
      </w:r>
    </w:p>
    <w:p>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pPr>
        <w:spacing w:line="376" w:lineRule="auto"/>
        <w:rPr>
          <w:rFonts w:asciiTheme="minorEastAsia" w:hAnsiTheme="minorEastAsia" w:eastAsiaTheme="minorEastAsia"/>
          <w:lang w:eastAsia="zh-CN"/>
        </w:rPr>
      </w:pPr>
    </w:p>
    <w:p>
      <w:pPr>
        <w:spacing w:line="376" w:lineRule="auto"/>
        <w:rPr>
          <w:rFonts w:asciiTheme="minorEastAsia" w:hAnsiTheme="minorEastAsia" w:eastAsiaTheme="minorEastAsia"/>
          <w:lang w:eastAsia="zh-CN"/>
        </w:rPr>
        <w:sectPr>
          <w:headerReference r:id="rId22" w:type="default"/>
          <w:footerReference r:id="rId23" w:type="default"/>
          <w:type w:val="continuous"/>
          <w:pgSz w:w="11910" w:h="16840"/>
          <w:pgMar w:top="1440" w:right="1797" w:bottom="1440" w:left="1797" w:header="720" w:footer="720" w:gutter="0"/>
          <w:cols w:space="720" w:num="1"/>
        </w:sectPr>
      </w:pPr>
    </w:p>
    <w:p>
      <w:pPr>
        <w:pStyle w:val="6"/>
        <w:numPr>
          <w:ilvl w:val="0"/>
          <w:numId w:val="122"/>
        </w:numPr>
        <w:rPr>
          <w:i w:val="0"/>
          <w:lang w:eastAsia="zh-CN"/>
        </w:rPr>
      </w:pPr>
      <w:r>
        <w:rPr>
          <w:i w:val="0"/>
          <w:lang w:eastAsia="zh-CN"/>
        </w:rPr>
        <w:t>最后报价构成表（如有，实质性格式，磋商后提交）</w:t>
      </w:r>
    </w:p>
    <w:p>
      <w:pPr>
        <w:pStyle w:val="29"/>
        <w:numPr>
          <w:ilvl w:val="1"/>
          <w:numId w:val="124"/>
        </w:numPr>
        <w:tabs>
          <w:tab w:val="left" w:pos="784"/>
        </w:tabs>
        <w:spacing w:before="130" w:after="15"/>
        <w:ind w:hanging="662"/>
        <w:rPr>
          <w:rFonts w:asciiTheme="minorEastAsia" w:hAnsiTheme="minorEastAsia" w:eastAsiaTheme="minorEastAsia"/>
          <w:sz w:val="24"/>
          <w:lang w:eastAsia="zh-CN"/>
        </w:rPr>
      </w:pPr>
      <w:r>
        <w:rPr>
          <w:rFonts w:asciiTheme="minorEastAsia" w:hAnsiTheme="minorEastAsia" w:eastAsiaTheme="minorEastAsia"/>
          <w:sz w:val="24"/>
          <w:lang w:eastAsia="zh-CN"/>
        </w:rPr>
        <w:t>最终报价中分包情况说明</w:t>
      </w: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76"/>
        <w:gridCol w:w="3775"/>
        <w:gridCol w:w="2078"/>
        <w:gridCol w:w="17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exact"/>
        </w:trPr>
        <w:tc>
          <w:tcPr>
            <w:tcW w:w="406" w:type="pct"/>
            <w:vAlign w:val="center"/>
          </w:tcPr>
          <w:p>
            <w:pPr>
              <w:jc w:val="center"/>
              <w:rPr>
                <w:sz w:val="24"/>
              </w:rPr>
            </w:pPr>
            <w:r>
              <w:rPr>
                <w:sz w:val="24"/>
              </w:rPr>
              <w:t>序号</w:t>
            </w:r>
          </w:p>
        </w:tc>
        <w:tc>
          <w:tcPr>
            <w:tcW w:w="2267" w:type="pct"/>
            <w:vAlign w:val="center"/>
          </w:tcPr>
          <w:p>
            <w:pPr>
              <w:jc w:val="center"/>
              <w:rPr>
                <w:sz w:val="24"/>
              </w:rPr>
            </w:pPr>
            <w:r>
              <w:rPr>
                <w:sz w:val="24"/>
              </w:rPr>
              <w:t>分包承担主体名称</w:t>
            </w:r>
          </w:p>
        </w:tc>
        <w:tc>
          <w:tcPr>
            <w:tcW w:w="1248" w:type="pct"/>
            <w:vAlign w:val="center"/>
          </w:tcPr>
          <w:p>
            <w:pPr>
              <w:jc w:val="center"/>
              <w:rPr>
                <w:sz w:val="24"/>
                <w:lang w:eastAsia="zh-CN"/>
              </w:rPr>
            </w:pPr>
            <w:r>
              <w:rPr>
                <w:sz w:val="24"/>
                <w:lang w:eastAsia="zh-CN"/>
              </w:rPr>
              <w:t>分包承担主体类型</w:t>
            </w:r>
          </w:p>
          <w:p>
            <w:pPr>
              <w:jc w:val="center"/>
              <w:rPr>
                <w:sz w:val="24"/>
                <w:lang w:eastAsia="zh-CN"/>
              </w:rPr>
            </w:pPr>
            <w:r>
              <w:rPr>
                <w:sz w:val="24"/>
                <w:lang w:eastAsia="zh-CN"/>
              </w:rPr>
              <w:t>（选择）</w:t>
            </w:r>
          </w:p>
        </w:tc>
        <w:tc>
          <w:tcPr>
            <w:tcW w:w="1080" w:type="pct"/>
            <w:vAlign w:val="center"/>
          </w:tcPr>
          <w:p>
            <w:pPr>
              <w:jc w:val="center"/>
              <w:rPr>
                <w:sz w:val="24"/>
                <w:lang w:eastAsia="zh-CN"/>
              </w:rPr>
            </w:pPr>
            <w:r>
              <w:rPr>
                <w:sz w:val="24"/>
                <w:lang w:eastAsia="zh-CN"/>
              </w:rPr>
              <w:t>拟分包合同金额</w:t>
            </w:r>
          </w:p>
          <w:p>
            <w:pPr>
              <w:jc w:val="center"/>
              <w:rPr>
                <w:sz w:val="24"/>
                <w:lang w:eastAsia="zh-CN"/>
              </w:rPr>
            </w:pPr>
            <w:r>
              <w:rPr>
                <w:sz w:val="24"/>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exact"/>
        </w:trPr>
        <w:tc>
          <w:tcPr>
            <w:tcW w:w="406" w:type="pct"/>
            <w:vAlign w:val="center"/>
          </w:tcPr>
          <w:p>
            <w:pPr>
              <w:jc w:val="center"/>
              <w:rPr>
                <w:sz w:val="24"/>
              </w:rPr>
            </w:pPr>
            <w:r>
              <w:rPr>
                <w:sz w:val="24"/>
              </w:rPr>
              <w:t>1</w:t>
            </w:r>
          </w:p>
        </w:tc>
        <w:tc>
          <w:tcPr>
            <w:tcW w:w="2267" w:type="pct"/>
            <w:vAlign w:val="center"/>
          </w:tcPr>
          <w:p>
            <w:pPr>
              <w:jc w:val="center"/>
              <w:rPr>
                <w:sz w:val="24"/>
              </w:rPr>
            </w:pPr>
          </w:p>
        </w:tc>
        <w:tc>
          <w:tcPr>
            <w:tcW w:w="1248" w:type="pct"/>
            <w:vAlign w:val="center"/>
          </w:tcPr>
          <w:p>
            <w:pPr>
              <w:jc w:val="center"/>
              <w:rPr>
                <w:sz w:val="24"/>
                <w:lang w:eastAsia="zh-CN"/>
              </w:rPr>
            </w:pPr>
            <w:r>
              <w:rPr>
                <w:sz w:val="24"/>
                <w:lang w:eastAsia="zh-CN"/>
              </w:rPr>
              <w:t>□中型企业</w:t>
            </w:r>
          </w:p>
          <w:p>
            <w:pPr>
              <w:jc w:val="center"/>
              <w:rPr>
                <w:sz w:val="24"/>
                <w:lang w:eastAsia="zh-CN"/>
              </w:rPr>
            </w:pPr>
            <w:r>
              <w:rPr>
                <w:sz w:val="24"/>
                <w:lang w:eastAsia="zh-CN"/>
              </w:rPr>
              <w:t>□小微企业</w:t>
            </w:r>
          </w:p>
          <w:p>
            <w:pPr>
              <w:jc w:val="center"/>
              <w:rPr>
                <w:sz w:val="24"/>
                <w:lang w:eastAsia="zh-CN"/>
              </w:rPr>
            </w:pPr>
            <w:r>
              <w:rPr>
                <w:sz w:val="24"/>
                <w:lang w:eastAsia="zh-CN"/>
              </w:rPr>
              <w:t>□其他</w:t>
            </w:r>
          </w:p>
        </w:tc>
        <w:tc>
          <w:tcPr>
            <w:tcW w:w="1080" w:type="pct"/>
            <w:vAlign w:val="center"/>
          </w:tcPr>
          <w:p>
            <w:pPr>
              <w:jc w:val="center"/>
              <w:rPr>
                <w:sz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406" w:type="pct"/>
            <w:vAlign w:val="center"/>
          </w:tcPr>
          <w:p>
            <w:pPr>
              <w:jc w:val="center"/>
              <w:rPr>
                <w:sz w:val="24"/>
              </w:rPr>
            </w:pPr>
            <w:r>
              <w:rPr>
                <w:sz w:val="24"/>
              </w:rPr>
              <w:t>2</w:t>
            </w:r>
          </w:p>
        </w:tc>
        <w:tc>
          <w:tcPr>
            <w:tcW w:w="2267" w:type="pct"/>
            <w:vAlign w:val="center"/>
          </w:tcPr>
          <w:p>
            <w:pPr>
              <w:jc w:val="center"/>
              <w:rPr>
                <w:sz w:val="24"/>
              </w:rPr>
            </w:pPr>
          </w:p>
        </w:tc>
        <w:tc>
          <w:tcPr>
            <w:tcW w:w="1248" w:type="pct"/>
            <w:vAlign w:val="center"/>
          </w:tcPr>
          <w:p>
            <w:pPr>
              <w:jc w:val="center"/>
              <w:rPr>
                <w:sz w:val="24"/>
                <w:lang w:eastAsia="zh-CN"/>
              </w:rPr>
            </w:pPr>
            <w:r>
              <w:rPr>
                <w:sz w:val="24"/>
                <w:lang w:eastAsia="zh-CN"/>
              </w:rPr>
              <w:t>□中型企业</w:t>
            </w:r>
          </w:p>
          <w:p>
            <w:pPr>
              <w:jc w:val="center"/>
              <w:rPr>
                <w:sz w:val="24"/>
                <w:lang w:eastAsia="zh-CN"/>
              </w:rPr>
            </w:pPr>
            <w:r>
              <w:rPr>
                <w:sz w:val="24"/>
                <w:lang w:eastAsia="zh-CN"/>
              </w:rPr>
              <w:t>□小微企业</w:t>
            </w:r>
          </w:p>
          <w:p>
            <w:pPr>
              <w:jc w:val="center"/>
              <w:rPr>
                <w:sz w:val="24"/>
                <w:lang w:eastAsia="zh-CN"/>
              </w:rPr>
            </w:pPr>
            <w:r>
              <w:rPr>
                <w:sz w:val="24"/>
                <w:lang w:eastAsia="zh-CN"/>
              </w:rPr>
              <w:t>□其他</w:t>
            </w:r>
          </w:p>
        </w:tc>
        <w:tc>
          <w:tcPr>
            <w:tcW w:w="1080" w:type="pct"/>
            <w:vAlign w:val="center"/>
          </w:tcPr>
          <w:p>
            <w:pPr>
              <w:jc w:val="center"/>
              <w:rPr>
                <w:sz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406" w:type="pct"/>
            <w:vAlign w:val="center"/>
          </w:tcPr>
          <w:p>
            <w:pPr>
              <w:jc w:val="center"/>
              <w:rPr>
                <w:sz w:val="24"/>
              </w:rPr>
            </w:pPr>
            <w:r>
              <w:rPr>
                <w:sz w:val="24"/>
              </w:rPr>
              <w:t>…</w:t>
            </w:r>
          </w:p>
        </w:tc>
        <w:tc>
          <w:tcPr>
            <w:tcW w:w="2267" w:type="pct"/>
            <w:vAlign w:val="center"/>
          </w:tcPr>
          <w:p>
            <w:pPr>
              <w:jc w:val="center"/>
              <w:rPr>
                <w:sz w:val="24"/>
              </w:rPr>
            </w:pPr>
          </w:p>
        </w:tc>
        <w:tc>
          <w:tcPr>
            <w:tcW w:w="1248" w:type="pct"/>
            <w:vAlign w:val="center"/>
          </w:tcPr>
          <w:p>
            <w:pPr>
              <w:jc w:val="center"/>
              <w:rPr>
                <w:sz w:val="24"/>
              </w:rPr>
            </w:pPr>
          </w:p>
        </w:tc>
        <w:tc>
          <w:tcPr>
            <w:tcW w:w="1080" w:type="pct"/>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3920" w:type="pct"/>
            <w:gridSpan w:val="3"/>
            <w:vAlign w:val="center"/>
          </w:tcPr>
          <w:p>
            <w:pPr>
              <w:jc w:val="center"/>
              <w:rPr>
                <w:sz w:val="24"/>
              </w:rPr>
            </w:pPr>
            <w:r>
              <w:rPr>
                <w:sz w:val="24"/>
              </w:rPr>
              <w:t>合计</w:t>
            </w:r>
          </w:p>
        </w:tc>
        <w:tc>
          <w:tcPr>
            <w:tcW w:w="1080" w:type="pct"/>
            <w:vAlign w:val="center"/>
          </w:tcPr>
          <w:p>
            <w:pPr>
              <w:jc w:val="center"/>
              <w:rPr>
                <w:sz w:val="24"/>
              </w:rPr>
            </w:pPr>
          </w:p>
        </w:tc>
      </w:tr>
    </w:tbl>
    <w:p>
      <w:pPr>
        <w:pStyle w:val="12"/>
        <w:spacing w:before="1"/>
        <w:rPr>
          <w:rFonts w:asciiTheme="minorEastAsia" w:hAnsiTheme="minorEastAsia" w:eastAsiaTheme="minorEastAsia"/>
          <w:sz w:val="15"/>
        </w:rPr>
      </w:pPr>
    </w:p>
    <w:p>
      <w:pPr>
        <w:pStyle w:val="29"/>
        <w:numPr>
          <w:ilvl w:val="1"/>
          <w:numId w:val="124"/>
        </w:numPr>
        <w:tabs>
          <w:tab w:val="left" w:pos="784"/>
        </w:tabs>
        <w:spacing w:before="45" w:after="13"/>
        <w:ind w:hanging="662"/>
        <w:rPr>
          <w:rFonts w:asciiTheme="minorEastAsia" w:hAnsiTheme="minorEastAsia" w:eastAsiaTheme="minorEastAsia"/>
          <w:sz w:val="24"/>
          <w:lang w:eastAsia="zh-CN"/>
        </w:rPr>
      </w:pPr>
      <w:r>
        <w:rPr>
          <w:rFonts w:asciiTheme="minorEastAsia" w:hAnsiTheme="minorEastAsia" w:eastAsiaTheme="minorEastAsia"/>
          <w:sz w:val="24"/>
          <w:lang w:eastAsia="zh-CN"/>
        </w:rPr>
        <w:t>联合体最终报价情况说明</w:t>
      </w: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76"/>
        <w:gridCol w:w="3775"/>
        <w:gridCol w:w="2078"/>
        <w:gridCol w:w="17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exact"/>
        </w:trPr>
        <w:tc>
          <w:tcPr>
            <w:tcW w:w="406" w:type="pct"/>
            <w:vAlign w:val="center"/>
          </w:tcPr>
          <w:p>
            <w:pPr>
              <w:jc w:val="center"/>
              <w:rPr>
                <w:sz w:val="24"/>
              </w:rPr>
            </w:pPr>
            <w:r>
              <w:rPr>
                <w:sz w:val="24"/>
              </w:rPr>
              <w:t>序号</w:t>
            </w:r>
          </w:p>
        </w:tc>
        <w:tc>
          <w:tcPr>
            <w:tcW w:w="2267" w:type="pct"/>
            <w:vAlign w:val="center"/>
          </w:tcPr>
          <w:p>
            <w:pPr>
              <w:jc w:val="center"/>
              <w:rPr>
                <w:sz w:val="24"/>
              </w:rPr>
            </w:pPr>
            <w:r>
              <w:rPr>
                <w:sz w:val="24"/>
              </w:rPr>
              <w:t>联合体成员名称</w:t>
            </w:r>
          </w:p>
        </w:tc>
        <w:tc>
          <w:tcPr>
            <w:tcW w:w="1248" w:type="pct"/>
            <w:vAlign w:val="center"/>
          </w:tcPr>
          <w:p>
            <w:pPr>
              <w:jc w:val="center"/>
              <w:rPr>
                <w:sz w:val="24"/>
                <w:lang w:eastAsia="zh-CN"/>
              </w:rPr>
            </w:pPr>
            <w:r>
              <w:rPr>
                <w:sz w:val="24"/>
                <w:lang w:eastAsia="zh-CN"/>
              </w:rPr>
              <w:t>联合体成员类型</w:t>
            </w:r>
          </w:p>
          <w:p>
            <w:pPr>
              <w:jc w:val="center"/>
              <w:rPr>
                <w:sz w:val="24"/>
                <w:lang w:eastAsia="zh-CN"/>
              </w:rPr>
            </w:pPr>
            <w:r>
              <w:rPr>
                <w:sz w:val="24"/>
                <w:lang w:eastAsia="zh-CN"/>
              </w:rPr>
              <w:t>（选择）</w:t>
            </w:r>
          </w:p>
        </w:tc>
        <w:tc>
          <w:tcPr>
            <w:tcW w:w="1080" w:type="pct"/>
            <w:vAlign w:val="center"/>
          </w:tcPr>
          <w:p>
            <w:pPr>
              <w:jc w:val="center"/>
              <w:rPr>
                <w:sz w:val="24"/>
                <w:lang w:eastAsia="zh-CN"/>
              </w:rPr>
            </w:pPr>
            <w:r>
              <w:rPr>
                <w:sz w:val="24"/>
                <w:lang w:eastAsia="zh-CN"/>
              </w:rPr>
              <w:t>合同金额</w:t>
            </w:r>
          </w:p>
          <w:p>
            <w:pPr>
              <w:jc w:val="center"/>
              <w:rPr>
                <w:sz w:val="24"/>
                <w:lang w:eastAsia="zh-CN"/>
              </w:rPr>
            </w:pPr>
            <w:r>
              <w:rPr>
                <w:sz w:val="24"/>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406" w:type="pct"/>
            <w:vAlign w:val="center"/>
          </w:tcPr>
          <w:p>
            <w:pPr>
              <w:jc w:val="center"/>
              <w:rPr>
                <w:sz w:val="24"/>
              </w:rPr>
            </w:pPr>
            <w:r>
              <w:rPr>
                <w:sz w:val="24"/>
              </w:rPr>
              <w:t>1</w:t>
            </w:r>
          </w:p>
        </w:tc>
        <w:tc>
          <w:tcPr>
            <w:tcW w:w="2267" w:type="pct"/>
            <w:vAlign w:val="center"/>
          </w:tcPr>
          <w:p>
            <w:pPr>
              <w:jc w:val="center"/>
              <w:rPr>
                <w:sz w:val="24"/>
              </w:rPr>
            </w:pPr>
          </w:p>
        </w:tc>
        <w:tc>
          <w:tcPr>
            <w:tcW w:w="1248" w:type="pct"/>
            <w:vAlign w:val="center"/>
          </w:tcPr>
          <w:p>
            <w:pPr>
              <w:jc w:val="center"/>
              <w:rPr>
                <w:sz w:val="24"/>
                <w:lang w:eastAsia="zh-CN"/>
              </w:rPr>
            </w:pPr>
            <w:r>
              <w:rPr>
                <w:sz w:val="24"/>
                <w:lang w:eastAsia="zh-CN"/>
              </w:rPr>
              <w:t>□中型企业</w:t>
            </w:r>
          </w:p>
          <w:p>
            <w:pPr>
              <w:jc w:val="center"/>
              <w:rPr>
                <w:sz w:val="24"/>
                <w:lang w:eastAsia="zh-CN"/>
              </w:rPr>
            </w:pPr>
            <w:r>
              <w:rPr>
                <w:sz w:val="24"/>
                <w:lang w:eastAsia="zh-CN"/>
              </w:rPr>
              <w:t>□小微企业</w:t>
            </w:r>
          </w:p>
          <w:p>
            <w:pPr>
              <w:jc w:val="center"/>
              <w:rPr>
                <w:sz w:val="24"/>
                <w:lang w:eastAsia="zh-CN"/>
              </w:rPr>
            </w:pPr>
            <w:r>
              <w:rPr>
                <w:sz w:val="24"/>
                <w:lang w:eastAsia="zh-CN"/>
              </w:rPr>
              <w:t>□其他</w:t>
            </w:r>
          </w:p>
        </w:tc>
        <w:tc>
          <w:tcPr>
            <w:tcW w:w="1080" w:type="pct"/>
            <w:vAlign w:val="center"/>
          </w:tcPr>
          <w:p>
            <w:pPr>
              <w:jc w:val="center"/>
              <w:rPr>
                <w:sz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exact"/>
        </w:trPr>
        <w:tc>
          <w:tcPr>
            <w:tcW w:w="406" w:type="pct"/>
            <w:vAlign w:val="center"/>
          </w:tcPr>
          <w:p>
            <w:pPr>
              <w:jc w:val="center"/>
              <w:rPr>
                <w:sz w:val="24"/>
              </w:rPr>
            </w:pPr>
            <w:r>
              <w:rPr>
                <w:sz w:val="24"/>
              </w:rPr>
              <w:t>2</w:t>
            </w:r>
          </w:p>
        </w:tc>
        <w:tc>
          <w:tcPr>
            <w:tcW w:w="2267" w:type="pct"/>
            <w:vAlign w:val="center"/>
          </w:tcPr>
          <w:p>
            <w:pPr>
              <w:jc w:val="center"/>
              <w:rPr>
                <w:sz w:val="24"/>
              </w:rPr>
            </w:pPr>
          </w:p>
        </w:tc>
        <w:tc>
          <w:tcPr>
            <w:tcW w:w="1248" w:type="pct"/>
            <w:vAlign w:val="center"/>
          </w:tcPr>
          <w:p>
            <w:pPr>
              <w:jc w:val="center"/>
              <w:rPr>
                <w:sz w:val="24"/>
                <w:lang w:eastAsia="zh-CN"/>
              </w:rPr>
            </w:pPr>
            <w:r>
              <w:rPr>
                <w:sz w:val="24"/>
                <w:lang w:eastAsia="zh-CN"/>
              </w:rPr>
              <w:t>□中型企业</w:t>
            </w:r>
          </w:p>
          <w:p>
            <w:pPr>
              <w:jc w:val="center"/>
              <w:rPr>
                <w:sz w:val="24"/>
                <w:lang w:eastAsia="zh-CN"/>
              </w:rPr>
            </w:pPr>
            <w:r>
              <w:rPr>
                <w:sz w:val="24"/>
                <w:lang w:eastAsia="zh-CN"/>
              </w:rPr>
              <w:t>□小微企业</w:t>
            </w:r>
          </w:p>
          <w:p>
            <w:pPr>
              <w:jc w:val="center"/>
              <w:rPr>
                <w:sz w:val="24"/>
                <w:lang w:eastAsia="zh-CN"/>
              </w:rPr>
            </w:pPr>
            <w:r>
              <w:rPr>
                <w:sz w:val="24"/>
                <w:lang w:eastAsia="zh-CN"/>
              </w:rPr>
              <w:t>□其他</w:t>
            </w:r>
          </w:p>
        </w:tc>
        <w:tc>
          <w:tcPr>
            <w:tcW w:w="1080" w:type="pct"/>
            <w:vAlign w:val="center"/>
          </w:tcPr>
          <w:p>
            <w:pPr>
              <w:jc w:val="center"/>
              <w:rPr>
                <w:sz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406" w:type="pct"/>
            <w:vAlign w:val="center"/>
          </w:tcPr>
          <w:p>
            <w:pPr>
              <w:jc w:val="center"/>
              <w:rPr>
                <w:sz w:val="24"/>
              </w:rPr>
            </w:pPr>
            <w:r>
              <w:rPr>
                <w:sz w:val="24"/>
              </w:rPr>
              <w:t>…</w:t>
            </w:r>
          </w:p>
        </w:tc>
        <w:tc>
          <w:tcPr>
            <w:tcW w:w="2267" w:type="pct"/>
            <w:vAlign w:val="center"/>
          </w:tcPr>
          <w:p>
            <w:pPr>
              <w:jc w:val="center"/>
              <w:rPr>
                <w:sz w:val="24"/>
              </w:rPr>
            </w:pPr>
          </w:p>
        </w:tc>
        <w:tc>
          <w:tcPr>
            <w:tcW w:w="1248" w:type="pct"/>
            <w:vAlign w:val="center"/>
          </w:tcPr>
          <w:p>
            <w:pPr>
              <w:jc w:val="center"/>
              <w:rPr>
                <w:sz w:val="24"/>
              </w:rPr>
            </w:pPr>
          </w:p>
        </w:tc>
        <w:tc>
          <w:tcPr>
            <w:tcW w:w="1080" w:type="pct"/>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trPr>
        <w:tc>
          <w:tcPr>
            <w:tcW w:w="3920" w:type="pct"/>
            <w:gridSpan w:val="3"/>
            <w:vAlign w:val="center"/>
          </w:tcPr>
          <w:p>
            <w:pPr>
              <w:jc w:val="center"/>
              <w:rPr>
                <w:sz w:val="24"/>
              </w:rPr>
            </w:pPr>
            <w:r>
              <w:rPr>
                <w:sz w:val="24"/>
              </w:rPr>
              <w:t>合计</w:t>
            </w:r>
          </w:p>
        </w:tc>
        <w:tc>
          <w:tcPr>
            <w:tcW w:w="1080" w:type="pct"/>
            <w:vAlign w:val="center"/>
          </w:tcPr>
          <w:p>
            <w:pPr>
              <w:jc w:val="center"/>
              <w:rPr>
                <w:sz w:val="24"/>
              </w:rPr>
            </w:pPr>
          </w:p>
        </w:tc>
      </w:tr>
    </w:tbl>
    <w:p>
      <w:pPr>
        <w:pStyle w:val="12"/>
        <w:rPr>
          <w:rFonts w:asciiTheme="minorEastAsia" w:hAnsiTheme="minorEastAsia" w:eastAsiaTheme="minorEastAsia"/>
          <w:sz w:val="20"/>
        </w:rPr>
      </w:pPr>
    </w:p>
    <w:p>
      <w:pPr>
        <w:pStyle w:val="12"/>
        <w:spacing w:before="6"/>
        <w:rPr>
          <w:rFonts w:asciiTheme="minorEastAsia" w:hAnsiTheme="minorEastAsia" w:eastAsiaTheme="minorEastAsia"/>
          <w:sz w:val="16"/>
        </w:rPr>
      </w:pPr>
    </w:p>
    <w:p>
      <w:pPr>
        <w:pStyle w:val="12"/>
        <w:spacing w:before="73" w:line="312" w:lineRule="exact"/>
        <w:ind w:left="121" w:right="110"/>
        <w:jc w:val="both"/>
        <w:rPr>
          <w:rFonts w:asciiTheme="minorEastAsia" w:hAnsiTheme="minorEastAsia" w:eastAsiaTheme="minorEastAsia"/>
          <w:lang w:eastAsia="zh-CN"/>
        </w:rPr>
      </w:pPr>
      <w:r>
        <w:rPr>
          <w:rFonts w:asciiTheme="minorEastAsia" w:hAnsiTheme="minorEastAsia" w:eastAsiaTheme="minorEastAsia"/>
          <w:lang w:eastAsia="zh-CN"/>
        </w:rPr>
        <w:t>注</w:t>
      </w:r>
      <w:r>
        <w:rPr>
          <w:rFonts w:asciiTheme="minorEastAsia" w:hAnsiTheme="minorEastAsia" w:eastAsiaTheme="minorEastAsia"/>
          <w:spacing w:val="-10"/>
          <w:lang w:eastAsia="zh-CN"/>
        </w:rPr>
        <w:t>：</w:t>
      </w:r>
      <w:r>
        <w:rPr>
          <w:rFonts w:asciiTheme="minorEastAsia" w:hAnsiTheme="minorEastAsia" w:eastAsiaTheme="minorEastAsia"/>
          <w:spacing w:val="-2"/>
          <w:w w:val="102"/>
          <w:lang w:eastAsia="zh-CN"/>
        </w:rPr>
        <w:t>1</w:t>
      </w:r>
      <w:r>
        <w:rPr>
          <w:rFonts w:asciiTheme="minorEastAsia" w:hAnsiTheme="minorEastAsia" w:eastAsiaTheme="minorEastAsia"/>
          <w:w w:val="99"/>
          <w:lang w:eastAsia="zh-CN"/>
        </w:rPr>
        <w:t>.</w:t>
      </w:r>
      <w:r>
        <w:rPr>
          <w:rFonts w:asciiTheme="minorEastAsia" w:hAnsiTheme="minorEastAsia" w:eastAsiaTheme="minorEastAsia"/>
          <w:lang w:eastAsia="zh-CN"/>
        </w:rPr>
        <w:t>仅当本项</w:t>
      </w:r>
      <w:r>
        <w:rPr>
          <w:rFonts w:asciiTheme="minorEastAsia" w:hAnsiTheme="minorEastAsia" w:eastAsiaTheme="minorEastAsia"/>
          <w:spacing w:val="-10"/>
          <w:lang w:eastAsia="zh-CN"/>
        </w:rPr>
        <w:t>目</w:t>
      </w:r>
      <w:r>
        <w:rPr>
          <w:rFonts w:asciiTheme="minorEastAsia" w:hAnsiTheme="minorEastAsia" w:eastAsiaTheme="minorEastAsia"/>
          <w:lang w:eastAsia="zh-CN"/>
        </w:rPr>
        <w:t>（包</w:t>
      </w:r>
      <w:r>
        <w:rPr>
          <w:rFonts w:asciiTheme="minorEastAsia" w:hAnsiTheme="minorEastAsia" w:eastAsiaTheme="minorEastAsia"/>
          <w:spacing w:val="-10"/>
          <w:lang w:eastAsia="zh-CN"/>
        </w:rPr>
        <w:t>）</w:t>
      </w:r>
      <w:r>
        <w:rPr>
          <w:rFonts w:asciiTheme="minorEastAsia" w:hAnsiTheme="minorEastAsia" w:eastAsiaTheme="minorEastAsia"/>
          <w:lang w:eastAsia="zh-CN"/>
        </w:rPr>
        <w:t>预留部分采购项目预算专门面向中小企业采购</w:t>
      </w:r>
      <w:r>
        <w:rPr>
          <w:rFonts w:asciiTheme="minorEastAsia" w:hAnsiTheme="minorEastAsia" w:eastAsiaTheme="minorEastAsia"/>
          <w:spacing w:val="-7"/>
          <w:lang w:eastAsia="zh-CN"/>
        </w:rPr>
        <w:t>，</w:t>
      </w:r>
      <w:r>
        <w:rPr>
          <w:rFonts w:asciiTheme="minorEastAsia" w:hAnsiTheme="minorEastAsia" w:eastAsiaTheme="minorEastAsia"/>
          <w:lang w:eastAsia="zh-CN"/>
        </w:rPr>
        <w:t>且供应商拟通过分包或联合体方式实现预留比例时必须提供</w:t>
      </w:r>
      <w:r>
        <w:rPr>
          <w:rFonts w:asciiTheme="minorEastAsia" w:hAnsiTheme="minorEastAsia" w:eastAsiaTheme="minorEastAsia"/>
          <w:spacing w:val="-12"/>
          <w:lang w:eastAsia="zh-CN"/>
        </w:rPr>
        <w:t>，</w:t>
      </w:r>
      <w:r>
        <w:rPr>
          <w:rFonts w:asciiTheme="minorEastAsia" w:hAnsiTheme="minorEastAsia" w:eastAsiaTheme="minorEastAsia"/>
          <w:lang w:eastAsia="zh-CN"/>
        </w:rPr>
        <w:t>否则无须提供</w:t>
      </w:r>
      <w:r>
        <w:rPr>
          <w:rFonts w:asciiTheme="minorEastAsia" w:hAnsiTheme="minorEastAsia" w:eastAsiaTheme="minorEastAsia"/>
          <w:spacing w:val="-12"/>
          <w:lang w:eastAsia="zh-CN"/>
        </w:rPr>
        <w:t>；</w:t>
      </w:r>
      <w:r>
        <w:rPr>
          <w:rFonts w:asciiTheme="minorEastAsia" w:hAnsiTheme="minorEastAsia" w:eastAsiaTheme="minorEastAsia"/>
          <w:lang w:eastAsia="zh-CN"/>
        </w:rPr>
        <w:t>当本项</w:t>
      </w:r>
      <w:r>
        <w:rPr>
          <w:rFonts w:asciiTheme="minorEastAsia" w:hAnsiTheme="minorEastAsia" w:eastAsiaTheme="minorEastAsia"/>
          <w:spacing w:val="-12"/>
          <w:lang w:eastAsia="zh-CN"/>
        </w:rPr>
        <w:t>目</w:t>
      </w:r>
      <w:r>
        <w:rPr>
          <w:rFonts w:asciiTheme="minorEastAsia" w:hAnsiTheme="minorEastAsia" w:eastAsiaTheme="minorEastAsia"/>
          <w:lang w:eastAsia="zh-CN"/>
        </w:rPr>
        <w:t>（包</w:t>
      </w:r>
      <w:r>
        <w:rPr>
          <w:rFonts w:asciiTheme="minorEastAsia" w:hAnsiTheme="minorEastAsia" w:eastAsiaTheme="minorEastAsia"/>
          <w:spacing w:val="-12"/>
          <w:lang w:eastAsia="zh-CN"/>
        </w:rPr>
        <w:t>）</w:t>
      </w:r>
      <w:r>
        <w:rPr>
          <w:rFonts w:asciiTheme="minorEastAsia" w:hAnsiTheme="minorEastAsia" w:eastAsiaTheme="minorEastAsia"/>
          <w:lang w:eastAsia="zh-CN"/>
        </w:rPr>
        <w:t>未预留部分采购项目预算专门面向中小企业采购</w:t>
      </w:r>
      <w:r>
        <w:rPr>
          <w:rFonts w:asciiTheme="minorEastAsia" w:hAnsiTheme="minorEastAsia" w:eastAsiaTheme="minorEastAsia"/>
          <w:spacing w:val="-24"/>
          <w:lang w:eastAsia="zh-CN"/>
        </w:rPr>
        <w:t>，</w:t>
      </w:r>
      <w:r>
        <w:rPr>
          <w:rFonts w:asciiTheme="minorEastAsia" w:hAnsiTheme="minorEastAsia" w:eastAsiaTheme="minorEastAsia"/>
          <w:lang w:eastAsia="zh-CN"/>
        </w:rPr>
        <w:t>且小微企业拟享受中小企业扶持政策时</w:t>
      </w:r>
      <w:r>
        <w:rPr>
          <w:rFonts w:asciiTheme="minorEastAsia" w:hAnsiTheme="minorEastAsia" w:eastAsiaTheme="minorEastAsia"/>
          <w:spacing w:val="-24"/>
          <w:lang w:eastAsia="zh-CN"/>
        </w:rPr>
        <w:t>，</w:t>
      </w:r>
      <w:r>
        <w:rPr>
          <w:rFonts w:asciiTheme="minorEastAsia" w:hAnsiTheme="minorEastAsia" w:eastAsiaTheme="minorEastAsia"/>
          <w:lang w:eastAsia="zh-CN"/>
        </w:rPr>
        <w:t>仍应提供上述证明文件。</w:t>
      </w:r>
    </w:p>
    <w:p>
      <w:pPr>
        <w:pStyle w:val="12"/>
        <w:spacing w:line="291" w:lineRule="exact"/>
        <w:ind w:left="601"/>
        <w:rPr>
          <w:rFonts w:asciiTheme="minorEastAsia" w:hAnsiTheme="minorEastAsia" w:eastAsiaTheme="minorEastAsia"/>
          <w:lang w:eastAsia="zh-CN"/>
        </w:rPr>
      </w:pPr>
      <w:r>
        <w:rPr>
          <w:rFonts w:asciiTheme="minorEastAsia" w:hAnsiTheme="minorEastAsia" w:eastAsiaTheme="minorEastAsia"/>
          <w:lang w:eastAsia="zh-CN"/>
        </w:rPr>
        <w:t>2.供应商可根据自身响应实际情况，选择一种表格填报提交即可。</w:t>
      </w:r>
    </w:p>
    <w:p>
      <w:pPr>
        <w:pStyle w:val="12"/>
        <w:spacing w:line="312" w:lineRule="exact"/>
        <w:ind w:left="601"/>
        <w:rPr>
          <w:rFonts w:asciiTheme="minorEastAsia" w:hAnsiTheme="minorEastAsia" w:eastAsiaTheme="minorEastAsia"/>
          <w:lang w:eastAsia="zh-CN"/>
        </w:rPr>
      </w:pPr>
      <w:r>
        <w:rPr>
          <w:rFonts w:asciiTheme="minorEastAsia" w:hAnsiTheme="minorEastAsia" w:eastAsiaTheme="minorEastAsia"/>
          <w:lang w:eastAsia="zh-CN"/>
        </w:rPr>
        <w:t>3.本表应按包分别填写。</w:t>
      </w:r>
    </w:p>
    <w:p>
      <w:pPr>
        <w:pStyle w:val="12"/>
        <w:tabs>
          <w:tab w:val="left" w:pos="6414"/>
        </w:tabs>
        <w:spacing w:line="439" w:lineRule="auto"/>
        <w:ind w:left="121" w:right="1515" w:firstLine="480"/>
        <w:rPr>
          <w:rFonts w:asciiTheme="minorEastAsia" w:hAnsiTheme="minorEastAsia" w:eastAsiaTheme="minorEastAsia"/>
          <w:lang w:eastAsia="zh-CN"/>
        </w:rPr>
      </w:pPr>
      <w:r>
        <w:rPr>
          <w:rFonts w:asciiTheme="minorEastAsia" w:hAnsiTheme="minorEastAsia" w:eastAsiaTheme="minorEastAsia"/>
          <w:spacing w:val="-2"/>
          <w:w w:val="102"/>
          <w:lang w:eastAsia="zh-CN"/>
        </w:rPr>
        <w:t>4</w:t>
      </w:r>
      <w:r>
        <w:rPr>
          <w:rFonts w:asciiTheme="minorEastAsia" w:hAnsiTheme="minorEastAsia" w:eastAsiaTheme="minorEastAsia"/>
          <w:w w:val="99"/>
          <w:lang w:eastAsia="zh-CN"/>
        </w:rPr>
        <w:t>.</w:t>
      </w:r>
      <w:r>
        <w:rPr>
          <w:rFonts w:asciiTheme="minorEastAsia" w:hAnsiTheme="minorEastAsia" w:eastAsiaTheme="minorEastAsia"/>
          <w:lang w:eastAsia="zh-CN"/>
        </w:rPr>
        <w:t>此表无需在响应文件中提交，磋商后供应商按磋商小组要求提交。</w:t>
      </w:r>
    </w:p>
    <w:p>
      <w:pPr>
        <w:spacing w:line="360" w:lineRule="auto"/>
        <w:rPr>
          <w:sz w:val="24"/>
          <w:lang w:eastAsia="zh-CN"/>
        </w:rPr>
      </w:pPr>
      <w:r>
        <w:rPr>
          <w:sz w:val="24"/>
          <w:lang w:eastAsia="zh-CN"/>
        </w:rPr>
        <w:t>供应商名称（加盖公章）：</w:t>
      </w:r>
      <w:r>
        <w:rPr>
          <w:rFonts w:hint="eastAsia"/>
          <w:sz w:val="24"/>
          <w:u w:val="single"/>
          <w:lang w:eastAsia="zh-CN"/>
        </w:rPr>
        <w:t xml:space="preserve">                  </w:t>
      </w:r>
    </w:p>
    <w:p>
      <w:pPr>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pPr>
        <w:widowControl/>
        <w:autoSpaceDE/>
        <w:autoSpaceDN/>
        <w:rPr>
          <w:sz w:val="24"/>
        </w:rPr>
      </w:pPr>
      <w:r>
        <w:rPr>
          <w:sz w:val="24"/>
        </w:rPr>
        <w:br w:type="page"/>
      </w:r>
    </w:p>
    <w:p>
      <w:pPr>
        <w:pStyle w:val="6"/>
        <w:numPr>
          <w:ilvl w:val="0"/>
          <w:numId w:val="122"/>
        </w:numPr>
        <w:rPr>
          <w:i w:val="0"/>
          <w:lang w:eastAsia="zh-CN"/>
        </w:rPr>
      </w:pPr>
      <w:r>
        <w:rPr>
          <w:rFonts w:hint="eastAsia"/>
          <w:i w:val="0"/>
          <w:lang w:eastAsia="zh-CN"/>
        </w:rPr>
        <w:t>服务人员表（实质性格式）</w:t>
      </w:r>
    </w:p>
    <w:p>
      <w:pPr>
        <w:pStyle w:val="29"/>
        <w:tabs>
          <w:tab w:val="left" w:pos="481"/>
          <w:tab w:val="left" w:pos="482"/>
        </w:tabs>
        <w:wordWrap w:val="0"/>
        <w:spacing w:before="43"/>
        <w:ind w:left="481" w:firstLine="0"/>
        <w:rPr>
          <w:sz w:val="24"/>
          <w:lang w:eastAsia="zh-CN"/>
        </w:rPr>
      </w:pPr>
    </w:p>
    <w:tbl>
      <w:tblPr>
        <w:tblStyle w:val="23"/>
        <w:tblW w:w="92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626"/>
        <w:gridCol w:w="870"/>
        <w:gridCol w:w="1418"/>
        <w:gridCol w:w="1700"/>
        <w:gridCol w:w="1985"/>
        <w:gridCol w:w="2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exact"/>
        </w:trPr>
        <w:tc>
          <w:tcPr>
            <w:tcW w:w="1083" w:type="dxa"/>
            <w:gridSpan w:val="2"/>
            <w:vAlign w:val="center"/>
          </w:tcPr>
          <w:p>
            <w:pPr>
              <w:wordWrap w:val="0"/>
              <w:jc w:val="center"/>
              <w:rPr>
                <w:sz w:val="24"/>
              </w:rPr>
            </w:pPr>
            <w:r>
              <w:rPr>
                <w:rFonts w:hint="eastAsia"/>
                <w:sz w:val="24"/>
              </w:rPr>
              <w:t>姓名</w:t>
            </w:r>
          </w:p>
        </w:tc>
        <w:tc>
          <w:tcPr>
            <w:tcW w:w="870" w:type="dxa"/>
            <w:vAlign w:val="center"/>
          </w:tcPr>
          <w:p>
            <w:pPr>
              <w:wordWrap w:val="0"/>
              <w:jc w:val="center"/>
              <w:rPr>
                <w:sz w:val="24"/>
              </w:rPr>
            </w:pPr>
            <w:r>
              <w:rPr>
                <w:rFonts w:hint="eastAsia"/>
                <w:sz w:val="24"/>
              </w:rPr>
              <w:t>性别</w:t>
            </w:r>
          </w:p>
        </w:tc>
        <w:tc>
          <w:tcPr>
            <w:tcW w:w="1418" w:type="dxa"/>
            <w:vAlign w:val="center"/>
          </w:tcPr>
          <w:p>
            <w:pPr>
              <w:wordWrap w:val="0"/>
              <w:jc w:val="center"/>
              <w:rPr>
                <w:sz w:val="24"/>
              </w:rPr>
            </w:pPr>
            <w:r>
              <w:rPr>
                <w:rFonts w:hint="eastAsia"/>
                <w:sz w:val="24"/>
              </w:rPr>
              <w:t>职称或职务</w:t>
            </w:r>
          </w:p>
        </w:tc>
        <w:tc>
          <w:tcPr>
            <w:tcW w:w="1700" w:type="dxa"/>
            <w:vAlign w:val="center"/>
          </w:tcPr>
          <w:p>
            <w:pPr>
              <w:wordWrap w:val="0"/>
              <w:jc w:val="center"/>
              <w:rPr>
                <w:sz w:val="24"/>
              </w:rPr>
            </w:pPr>
            <w:r>
              <w:rPr>
                <w:rFonts w:hint="eastAsia"/>
                <w:sz w:val="24"/>
              </w:rPr>
              <w:t>工作年限</w:t>
            </w:r>
          </w:p>
        </w:tc>
        <w:tc>
          <w:tcPr>
            <w:tcW w:w="1985" w:type="dxa"/>
            <w:vAlign w:val="center"/>
          </w:tcPr>
          <w:p>
            <w:pPr>
              <w:wordWrap w:val="0"/>
              <w:jc w:val="center"/>
              <w:rPr>
                <w:sz w:val="24"/>
                <w:lang w:eastAsia="zh-CN"/>
              </w:rPr>
            </w:pPr>
            <w:r>
              <w:rPr>
                <w:rFonts w:hint="eastAsia"/>
                <w:sz w:val="24"/>
                <w:lang w:eastAsia="zh-CN"/>
              </w:rPr>
              <w:t>承担的本项目主要工作</w:t>
            </w:r>
          </w:p>
        </w:tc>
        <w:tc>
          <w:tcPr>
            <w:tcW w:w="2235" w:type="dxa"/>
            <w:vAlign w:val="center"/>
          </w:tcPr>
          <w:p>
            <w:pPr>
              <w:wordWrap w:val="0"/>
              <w:jc w:val="center"/>
              <w:rPr>
                <w:sz w:val="24"/>
              </w:rPr>
            </w:pPr>
            <w:r>
              <w:rPr>
                <w:rFonts w:hint="eastAsia"/>
                <w:sz w:val="24"/>
              </w:rPr>
              <w:t>投入项目时间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restart"/>
            <w:vAlign w:val="center"/>
          </w:tcPr>
          <w:p>
            <w:pPr>
              <w:wordWrap w:val="0"/>
              <w:jc w:val="center"/>
              <w:rPr>
                <w:sz w:val="24"/>
              </w:rPr>
            </w:pPr>
            <w:r>
              <w:rPr>
                <w:rFonts w:hint="eastAsia"/>
                <w:sz w:val="24"/>
              </w:rPr>
              <w:t>负</w:t>
            </w:r>
          </w:p>
          <w:p>
            <w:pPr>
              <w:wordWrap w:val="0"/>
              <w:jc w:val="center"/>
              <w:rPr>
                <w:sz w:val="24"/>
              </w:rPr>
            </w:pPr>
            <w:r>
              <w:rPr>
                <w:rFonts w:hint="eastAsia"/>
                <w:sz w:val="24"/>
              </w:rPr>
              <w:t>责</w:t>
            </w:r>
          </w:p>
          <w:p>
            <w:pPr>
              <w:wordWrap w:val="0"/>
              <w:jc w:val="center"/>
              <w:rPr>
                <w:sz w:val="24"/>
              </w:rPr>
            </w:pPr>
            <w:r>
              <w:rPr>
                <w:rFonts w:hint="eastAsia"/>
                <w:sz w:val="24"/>
              </w:rPr>
              <w:t>人</w:t>
            </w: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r>
              <w:rPr>
                <w:sz w:val="24"/>
              </w:rPr>
              <w:t>…</w:t>
            </w: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restart"/>
            <w:vAlign w:val="center"/>
          </w:tcPr>
          <w:p>
            <w:pPr>
              <w:wordWrap w:val="0"/>
              <w:jc w:val="center"/>
              <w:rPr>
                <w:sz w:val="24"/>
              </w:rPr>
            </w:pPr>
            <w:r>
              <w:rPr>
                <w:rFonts w:hint="eastAsia"/>
                <w:sz w:val="24"/>
              </w:rPr>
              <w:t>主要</w:t>
            </w:r>
          </w:p>
          <w:p>
            <w:pPr>
              <w:wordWrap w:val="0"/>
              <w:jc w:val="center"/>
              <w:rPr>
                <w:sz w:val="24"/>
              </w:rPr>
            </w:pPr>
            <w:r>
              <w:rPr>
                <w:rFonts w:hint="eastAsia"/>
                <w:sz w:val="24"/>
              </w:rPr>
              <w:t>技术服务人员</w:t>
            </w: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457" w:type="dxa"/>
            <w:vMerge w:val="continue"/>
            <w:vAlign w:val="center"/>
          </w:tcPr>
          <w:p>
            <w:pPr>
              <w:wordWrap w:val="0"/>
              <w:jc w:val="center"/>
              <w:rPr>
                <w:sz w:val="24"/>
              </w:rPr>
            </w:pPr>
          </w:p>
        </w:tc>
        <w:tc>
          <w:tcPr>
            <w:tcW w:w="626" w:type="dxa"/>
            <w:vAlign w:val="center"/>
          </w:tcPr>
          <w:p>
            <w:pPr>
              <w:wordWrap w:val="0"/>
              <w:jc w:val="center"/>
              <w:rPr>
                <w:sz w:val="24"/>
              </w:rPr>
            </w:pPr>
            <w:r>
              <w:rPr>
                <w:sz w:val="24"/>
              </w:rPr>
              <w:t>…</w:t>
            </w:r>
          </w:p>
        </w:tc>
        <w:tc>
          <w:tcPr>
            <w:tcW w:w="870" w:type="dxa"/>
            <w:vAlign w:val="center"/>
          </w:tcPr>
          <w:p>
            <w:pPr>
              <w:wordWrap w:val="0"/>
              <w:jc w:val="center"/>
              <w:rPr>
                <w:sz w:val="24"/>
              </w:rPr>
            </w:pPr>
          </w:p>
        </w:tc>
        <w:tc>
          <w:tcPr>
            <w:tcW w:w="1418" w:type="dxa"/>
            <w:vAlign w:val="center"/>
          </w:tcPr>
          <w:p>
            <w:pPr>
              <w:wordWrap w:val="0"/>
              <w:jc w:val="center"/>
              <w:rPr>
                <w:sz w:val="24"/>
              </w:rPr>
            </w:pPr>
          </w:p>
        </w:tc>
        <w:tc>
          <w:tcPr>
            <w:tcW w:w="1700" w:type="dxa"/>
            <w:vAlign w:val="center"/>
          </w:tcPr>
          <w:p>
            <w:pPr>
              <w:wordWrap w:val="0"/>
              <w:jc w:val="center"/>
              <w:rPr>
                <w:sz w:val="24"/>
              </w:rPr>
            </w:pPr>
          </w:p>
        </w:tc>
        <w:tc>
          <w:tcPr>
            <w:tcW w:w="1985" w:type="dxa"/>
            <w:vAlign w:val="center"/>
          </w:tcPr>
          <w:p>
            <w:pPr>
              <w:wordWrap w:val="0"/>
              <w:jc w:val="center"/>
              <w:rPr>
                <w:sz w:val="24"/>
              </w:rPr>
            </w:pPr>
          </w:p>
        </w:tc>
        <w:tc>
          <w:tcPr>
            <w:tcW w:w="2235" w:type="dxa"/>
            <w:vAlign w:val="center"/>
          </w:tcPr>
          <w:p>
            <w:pPr>
              <w:wordWrap w:val="0"/>
              <w:jc w:val="center"/>
              <w:rPr>
                <w:sz w:val="24"/>
              </w:rPr>
            </w:pPr>
          </w:p>
        </w:tc>
      </w:tr>
    </w:tbl>
    <w:p>
      <w:pPr>
        <w:wordWrap w:val="0"/>
        <w:rPr>
          <w:lang w:eastAsia="zh-CN"/>
        </w:rPr>
      </w:pPr>
    </w:p>
    <w:p>
      <w:pPr>
        <w:wordWrap w:val="0"/>
        <w:rPr>
          <w:lang w:eastAsia="zh-CN"/>
        </w:rPr>
      </w:pPr>
      <w:r>
        <w:rPr>
          <w:rFonts w:hint="eastAsia"/>
          <w:lang w:eastAsia="zh-CN"/>
        </w:rPr>
        <w:t>备注：投标人可根据自身情况扩展本表行数。但不能改变内容。</w:t>
      </w:r>
    </w:p>
    <w:p>
      <w:pPr>
        <w:widowControl/>
        <w:autoSpaceDE/>
        <w:autoSpaceDN/>
        <w:rPr>
          <w:rFonts w:asciiTheme="minorEastAsia" w:hAnsiTheme="minorEastAsia" w:eastAsiaTheme="minorEastAsia"/>
        </w:rPr>
      </w:pPr>
      <w:r>
        <w:rPr>
          <w:rFonts w:asciiTheme="minorEastAsia" w:hAnsiTheme="minorEastAsia" w:eastAsiaTheme="minorEastAsia"/>
        </w:rPr>
        <w:br w:type="page"/>
      </w:r>
    </w:p>
    <w:p>
      <w:pPr>
        <w:pStyle w:val="6"/>
        <w:numPr>
          <w:ilvl w:val="0"/>
          <w:numId w:val="122"/>
        </w:numPr>
        <w:rPr>
          <w:i w:val="0"/>
          <w:lang w:eastAsia="zh-CN"/>
        </w:rPr>
      </w:pPr>
      <w:r>
        <w:rPr>
          <w:rFonts w:hint="eastAsia"/>
          <w:i w:val="0"/>
          <w:lang w:eastAsia="zh-CN"/>
        </w:rPr>
        <w:t>磋商</w:t>
      </w:r>
      <w:r>
        <w:rPr>
          <w:i w:val="0"/>
          <w:lang w:eastAsia="zh-CN"/>
        </w:rPr>
        <w:t>文件要求提供或投标人认为应附的其他材料</w:t>
      </w:r>
    </w:p>
    <w:p>
      <w:pPr>
        <w:rPr>
          <w:i/>
          <w:lang w:eastAsia="zh-CN"/>
        </w:rPr>
      </w:pPr>
      <w:r>
        <w:rPr>
          <w:rFonts w:hint="eastAsia"/>
          <w:i/>
          <w:lang w:eastAsia="zh-CN"/>
        </w:rPr>
        <w:t>（包括但不限于：完成采购需求的全部内容所需要的行业行政主管部门要求的资质证书或行政许可等材料。）</w:t>
      </w:r>
    </w:p>
    <w:sectPr>
      <w:pgSz w:w="11910" w:h="16840"/>
      <w:pgMar w:top="1440" w:right="1797" w:bottom="1440" w:left="1797" w:header="879" w:footer="8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ì.">
    <w:altName w:val="宋体"/>
    <w:panose1 w:val="00000000000000000000"/>
    <w:charset w:val="86"/>
    <w:family w:val="swiss"/>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entury Gothic">
    <w:altName w:val="NumberOnly"/>
    <w:panose1 w:val="020B0502020202020204"/>
    <w:charset w:val="00"/>
    <w:family w:val="swiss"/>
    <w:pitch w:val="default"/>
    <w:sig w:usb0="00000000" w:usb1="00000000" w:usb2="00000000" w:usb3="00000000" w:csb0="0000009F" w:csb1="00000000"/>
  </w:font>
  <w:font w:name="NumberOnly">
    <w:panose1 w:val="020B0500000000000000"/>
    <w:charset w:val="00"/>
    <w:family w:val="auto"/>
    <w:pitch w:val="default"/>
    <w:sig w:usb0="8000002F" w:usb1="10000048" w:usb2="00000000" w:usb3="00000000" w:csb0="00000111" w:csb1="40000000"/>
  </w:font>
  <w:font w:name="Segoe UI Symbol">
    <w:panose1 w:val="020B0502040204020203"/>
    <w:charset w:val="00"/>
    <w:family w:val="swiss"/>
    <w:pitch w:val="default"/>
    <w:sig w:usb0="8000006F" w:usb1="1200FBEF" w:usb2="0064C000" w:usb3="00000002" w:csb0="00000001" w:csb1="40000000"/>
  </w:font>
  <w:font w:name="方正仿宋_GB18030">
    <w:altName w:val="仿宋"/>
    <w:panose1 w:val="02000000000000000000"/>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imes">
    <w:altName w:val="Times New Roman"/>
    <w:panose1 w:val="02020603050405020304"/>
    <w:charset w:val="00"/>
    <w:family w:val="roman"/>
    <w:pitch w:val="default"/>
    <w:sig w:usb0="00000000" w:usb1="00000000" w:usb2="00000000" w:usb3="00000000" w:csb0="00000093" w:csb1="00000000"/>
  </w:font>
  <w:font w:name="MingLiU">
    <w:panose1 w:val="02020509000000000000"/>
    <w:charset w:val="88"/>
    <w:family w:val="modern"/>
    <w:pitch w:val="default"/>
    <w:sig w:usb0="A00002FF" w:usb1="28CFFCFA" w:usb2="00000016" w:usb3="00000000" w:csb0="0010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Bookman Old Style">
    <w:altName w:val="Segoe Print"/>
    <w:panose1 w:val="020506040505050202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4154539"/>
      <w:docPartObj>
        <w:docPartGallery w:val="autotext"/>
      </w:docPartObj>
    </w:sdtPr>
    <w:sdtContent>
      <w:p>
        <w:pPr>
          <w:pStyle w:val="2"/>
          <w:jc w:val="center"/>
        </w:pPr>
        <w:r>
          <w:fldChar w:fldCharType="begin"/>
        </w:r>
        <w:r>
          <w:instrText xml:space="preserve">PAGE   \* MERGEFORMAT</w:instrText>
        </w:r>
        <w:r>
          <w:fldChar w:fldCharType="separate"/>
        </w:r>
        <w:r>
          <w:rPr>
            <w:lang w:val="zh-CN" w:eastAsia="zh-CN"/>
          </w:rPr>
          <w:t>7</w:t>
        </w:r>
        <w:r>
          <w:fldChar w:fldCharType="end"/>
        </w:r>
      </w:p>
    </w:sdtContent>
  </w:sdt>
  <w:p>
    <w:pPr>
      <w:pStyle w:val="12"/>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89782362"/>
      <w:docPartObj>
        <w:docPartGallery w:val="autotext"/>
      </w:docPartObj>
    </w:sdtPr>
    <w:sdtContent>
      <w:p>
        <w:pPr>
          <w:pStyle w:val="2"/>
          <w:jc w:val="center"/>
        </w:pPr>
        <w:r>
          <w:fldChar w:fldCharType="begin"/>
        </w:r>
        <w:r>
          <w:instrText xml:space="preserve">PAGE   \* MERGEFORMAT</w:instrText>
        </w:r>
        <w:r>
          <w:fldChar w:fldCharType="separate"/>
        </w:r>
        <w:r>
          <w:rPr>
            <w:lang w:val="zh-CN" w:eastAsia="zh-CN"/>
          </w:rPr>
          <w:t>21</w:t>
        </w:r>
        <w:r>
          <w:fldChar w:fldCharType="end"/>
        </w:r>
      </w:p>
    </w:sdtContent>
  </w:sdt>
  <w:p>
    <w:pPr>
      <w:pStyle w:val="12"/>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79490347"/>
      <w:docPartObj>
        <w:docPartGallery w:val="autotext"/>
      </w:docPartObj>
    </w:sdtPr>
    <w:sdtContent>
      <w:p>
        <w:pPr>
          <w:pStyle w:val="2"/>
          <w:jc w:val="center"/>
        </w:pPr>
        <w:r>
          <w:fldChar w:fldCharType="begin"/>
        </w:r>
        <w:r>
          <w:instrText xml:space="preserve">PAGE   \* MERGEFORMAT</w:instrText>
        </w:r>
        <w:r>
          <w:fldChar w:fldCharType="separate"/>
        </w:r>
        <w:r>
          <w:rPr>
            <w:lang w:val="zh-CN" w:eastAsia="zh-CN"/>
          </w:rPr>
          <w:t>34</w:t>
        </w:r>
        <w:r>
          <w:fldChar w:fldCharType="end"/>
        </w:r>
      </w:p>
    </w:sdtContent>
  </w:sdt>
  <w:p>
    <w:pPr>
      <w:pStyle w:val="12"/>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34133461"/>
      <w:docPartObj>
        <w:docPartGallery w:val="autotext"/>
      </w:docPartObj>
    </w:sdtPr>
    <w:sdtContent>
      <w:p>
        <w:pPr>
          <w:pStyle w:val="2"/>
          <w:jc w:val="center"/>
        </w:pPr>
        <w:r>
          <w:fldChar w:fldCharType="begin"/>
        </w:r>
        <w:r>
          <w:instrText xml:space="preserve">PAGE   \* MERGEFORMAT</w:instrText>
        </w:r>
        <w:r>
          <w:fldChar w:fldCharType="separate"/>
        </w:r>
        <w:r>
          <w:rPr>
            <w:lang w:val="zh-CN" w:eastAsia="zh-CN"/>
          </w:rPr>
          <w:t>41</w:t>
        </w:r>
        <w:r>
          <w:fldChar w:fldCharType="end"/>
        </w:r>
      </w:p>
    </w:sdtContent>
  </w:sdt>
  <w:p>
    <w:pPr>
      <w:pStyle w:val="12"/>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w:rPr>
        <w:sz w:val="21"/>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w:rPr>
        <w:sz w:val="21"/>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62</w:t>
                    </w:r>
                    <w:r>
                      <w:fldChar w:fldCharType="end"/>
                    </w:r>
                  </w:p>
                </w:txbxContent>
              </v:textbox>
            </v:shape>
          </w:pict>
        </mc:Fallback>
      </mc:AlternateContent>
    </w:r>
    <w:r>
      <mc:AlternateContent>
        <mc:Choice Requires="wps">
          <w:drawing>
            <wp:anchor distT="0" distB="0" distL="114300" distR="114300" simplePos="0" relativeHeight="251666432" behindDoc="1" locked="0" layoutInCell="1" allowOverlap="1">
              <wp:simplePos x="0" y="0"/>
              <wp:positionH relativeFrom="page">
                <wp:posOffset>1014730</wp:posOffset>
              </wp:positionH>
              <wp:positionV relativeFrom="page">
                <wp:posOffset>9519920</wp:posOffset>
              </wp:positionV>
              <wp:extent cx="45720" cy="97790"/>
              <wp:effectExtent l="0" t="0" r="0" b="0"/>
              <wp:wrapNone/>
              <wp:docPr id="7" name="文本框 7"/>
              <wp:cNvGraphicFramePr/>
              <a:graphic xmlns:a="http://schemas.openxmlformats.org/drawingml/2006/main">
                <a:graphicData uri="http://schemas.microsoft.com/office/word/2010/wordprocessingShape">
                  <wps:wsp>
                    <wps:cNvSpPr txBox="1"/>
                    <wps:spPr>
                      <a:xfrm>
                        <a:off x="0" y="0"/>
                        <a:ext cx="45720" cy="97790"/>
                      </a:xfrm>
                      <a:prstGeom prst="rect">
                        <a:avLst/>
                      </a:prstGeom>
                      <a:noFill/>
                      <a:ln w="9525">
                        <a:noFill/>
                      </a:ln>
                      <a:effectLst/>
                    </wps:spPr>
                    <wps:txbx>
                      <w:txbxContent>
                        <w:p>
                          <w:pPr>
                            <w:pStyle w:val="53"/>
                            <w:rPr>
                              <w:sz w:val="22"/>
                              <w:szCs w:val="22"/>
                            </w:rPr>
                          </w:pPr>
                          <w:r>
                            <w:rPr>
                              <w:rFonts w:ascii="Times New Roman" w:hAnsi="Times New Roman" w:eastAsia="Times New Roman" w:cs="Times New Roman"/>
                              <w:color w:val="0000FF"/>
                              <w:sz w:val="22"/>
                              <w:szCs w:val="22"/>
                            </w:rPr>
                            <w:t>/</w:t>
                          </w:r>
                        </w:p>
                      </w:txbxContent>
                    </wps:txbx>
                    <wps:bodyPr wrap="none" lIns="0" tIns="0" rIns="0" bIns="0" upright="1">
                      <a:spAutoFit/>
                    </wps:bodyPr>
                  </wps:wsp>
                </a:graphicData>
              </a:graphic>
            </wp:anchor>
          </w:drawing>
        </mc:Choice>
        <mc:Fallback>
          <w:pict>
            <v:shape id="_x0000_s1026" o:spid="_x0000_s1026" o:spt="202" type="#_x0000_t202" style="position:absolute;left:0pt;margin-left:79.9pt;margin-top:749.6pt;height:7.7pt;width:3.6pt;mso-position-horizontal-relative:page;mso-position-vertical-relative:page;mso-wrap-style:none;z-index:-251650048;mso-width-relative:page;mso-height-relative:page;" filled="f" stroked="f" coordsize="21600,21600" o:gfxdata="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kps/r1wAAAA0BAAAPAAAAAAAA&#10;AAEAIAAAACIAAABkcnMvZG93bnJldi54bWxQSwECFAAUAAAACACHTuJAHpScC9oBAACsAwAADgAA&#10;AAAAAAABACAAAAAmAQAAZHJzL2Uyb0RvYy54bWxQSwUGAAAAAAYABgBZAQAAcgUAAAAA&#10;">
              <v:fill on="f" focussize="0,0"/>
              <v:stroke on="f"/>
              <v:imagedata o:title=""/>
              <o:lock v:ext="edit" aspectratio="f"/>
              <v:textbox inset="0mm,0mm,0mm,0mm" style="mso-fit-shape-to-text:t;">
                <w:txbxContent>
                  <w:p>
                    <w:pPr>
                      <w:pStyle w:val="53"/>
                      <w:rPr>
                        <w:sz w:val="22"/>
                        <w:szCs w:val="22"/>
                      </w:rPr>
                    </w:pPr>
                    <w:r>
                      <w:rPr>
                        <w:rFonts w:ascii="Times New Roman" w:hAnsi="Times New Roman" w:eastAsia="Times New Roman" w:cs="Times New Roman"/>
                        <w:color w:val="0000FF"/>
                        <w:sz w:val="22"/>
                        <w:szCs w:val="22"/>
                      </w:rPr>
                      <w:t>/</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w:rPr>
        <w:sz w:val="21"/>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w:rPr>
        <w:sz w:val="21"/>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mc:AlternateContent>
        <mc:Choice Requires="wps">
          <w:drawing>
            <wp:anchor distT="0" distB="0" distL="114300" distR="114300" simplePos="0" relativeHeight="251668480" behindDoc="1" locked="0" layoutInCell="1" allowOverlap="1">
              <wp:simplePos x="0" y="0"/>
              <wp:positionH relativeFrom="page">
                <wp:posOffset>1014730</wp:posOffset>
              </wp:positionH>
              <wp:positionV relativeFrom="page">
                <wp:posOffset>9519920</wp:posOffset>
              </wp:positionV>
              <wp:extent cx="45720" cy="97790"/>
              <wp:effectExtent l="0" t="0" r="0" b="0"/>
              <wp:wrapNone/>
              <wp:docPr id="5" name="文本框 5"/>
              <wp:cNvGraphicFramePr/>
              <a:graphic xmlns:a="http://schemas.openxmlformats.org/drawingml/2006/main">
                <a:graphicData uri="http://schemas.microsoft.com/office/word/2010/wordprocessingShape">
                  <wps:wsp>
                    <wps:cNvSpPr txBox="1"/>
                    <wps:spPr>
                      <a:xfrm>
                        <a:off x="0" y="0"/>
                        <a:ext cx="45720" cy="97790"/>
                      </a:xfrm>
                      <a:prstGeom prst="rect">
                        <a:avLst/>
                      </a:prstGeom>
                      <a:noFill/>
                      <a:ln w="9525">
                        <a:noFill/>
                      </a:ln>
                      <a:effectLst/>
                    </wps:spPr>
                    <wps:txbx>
                      <w:txbxContent>
                        <w:p>
                          <w:pPr>
                            <w:pStyle w:val="53"/>
                            <w:rPr>
                              <w:sz w:val="22"/>
                              <w:szCs w:val="22"/>
                            </w:rPr>
                          </w:pPr>
                          <w:r>
                            <w:rPr>
                              <w:rFonts w:ascii="Times New Roman" w:hAnsi="Times New Roman" w:eastAsia="Times New Roman" w:cs="Times New Roman"/>
                              <w:color w:val="0000FF"/>
                              <w:sz w:val="22"/>
                              <w:szCs w:val="22"/>
                            </w:rPr>
                            <w:t>/</w:t>
                          </w:r>
                        </w:p>
                      </w:txbxContent>
                    </wps:txbx>
                    <wps:bodyPr wrap="none" lIns="0" tIns="0" rIns="0" bIns="0" upright="1">
                      <a:spAutoFit/>
                    </wps:bodyPr>
                  </wps:wsp>
                </a:graphicData>
              </a:graphic>
            </wp:anchor>
          </w:drawing>
        </mc:Choice>
        <mc:Fallback>
          <w:pict>
            <v:shape id="_x0000_s1026" o:spid="_x0000_s1026" o:spt="202" type="#_x0000_t202" style="position:absolute;left:0pt;margin-left:79.9pt;margin-top:749.6pt;height:7.7pt;width:3.6pt;mso-position-horizontal-relative:page;mso-position-vertical-relative:page;mso-wrap-style:none;z-index:-251648000;mso-width-relative:page;mso-height-relative:page;" filled="f" stroked="f" coordsize="21600,21600" o:gfxdata="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kps/r1wAAAA0BAAAPAAAAAAAA&#10;AAEAIAAAACIAAABkcnMvZG93bnJldi54bWxQSwECFAAUAAAACACHTuJAXcommNoBAACsAwAADgAA&#10;AAAAAAABACAAAAAmAQAAZHJzL2Uyb0RvYy54bWxQSwUGAAAAAAYABgBZAQAAcgUAAAAA&#10;">
              <v:fill on="f" focussize="0,0"/>
              <v:stroke on="f"/>
              <v:imagedata o:title=""/>
              <o:lock v:ext="edit" aspectratio="f"/>
              <v:textbox inset="0mm,0mm,0mm,0mm" style="mso-fit-shape-to-text:t;">
                <w:txbxContent>
                  <w:p>
                    <w:pPr>
                      <w:pStyle w:val="53"/>
                      <w:rPr>
                        <w:sz w:val="22"/>
                        <w:szCs w:val="22"/>
                      </w:rPr>
                    </w:pPr>
                    <w:r>
                      <w:rPr>
                        <w:rFonts w:ascii="Times New Roman" w:hAnsi="Times New Roman" w:eastAsia="Times New Roman" w:cs="Times New Roman"/>
                        <w:color w:val="0000FF"/>
                        <w:sz w:val="22"/>
                        <w:szCs w:val="22"/>
                      </w:rPr>
                      <w:t>/</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w:rPr>
        <w:sz w:val="21"/>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5819559"/>
      <w:docPartObj>
        <w:docPartGallery w:val="autotext"/>
      </w:docPartObj>
    </w:sdtPr>
    <w:sdtContent>
      <w:p>
        <w:pPr>
          <w:pStyle w:val="2"/>
          <w:jc w:val="center"/>
        </w:pPr>
        <w:r>
          <w:fldChar w:fldCharType="begin"/>
        </w:r>
        <w:r>
          <w:instrText xml:space="preserve">PAGE   \* MERGEFORMAT</w:instrText>
        </w:r>
        <w:r>
          <w:fldChar w:fldCharType="separate"/>
        </w:r>
        <w:r>
          <w:rPr>
            <w:lang w:val="zh-CN" w:eastAsia="zh-CN"/>
          </w:rPr>
          <w:t>48</w:t>
        </w:r>
        <w:r>
          <w:fldChar w:fldCharType="end"/>
        </w:r>
      </w:p>
    </w:sdtContent>
  </w:sdt>
  <w:p>
    <w:pPr>
      <w:pStyle w:val="12"/>
      <w:spacing w:line="14" w:lineRule="auto"/>
      <w:rPr>
        <w:sz w:val="20"/>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3184779"/>
      <w:docPartObj>
        <w:docPartGallery w:val="autotext"/>
      </w:docPartObj>
    </w:sdtPr>
    <w:sdtContent>
      <w:p>
        <w:pPr>
          <w:pStyle w:val="2"/>
          <w:jc w:val="center"/>
        </w:pPr>
        <w:r>
          <w:fldChar w:fldCharType="begin"/>
        </w:r>
        <w:r>
          <w:instrText xml:space="preserve">PAGE   \* MERGEFORMAT</w:instrText>
        </w:r>
        <w:r>
          <w:fldChar w:fldCharType="separate"/>
        </w:r>
        <w:r>
          <w:rPr>
            <w:lang w:val="zh-CN" w:eastAsia="zh-CN"/>
          </w:rPr>
          <w:t>56</w:t>
        </w:r>
        <w:r>
          <w:fldChar w:fldCharType="end"/>
        </w:r>
      </w:p>
    </w:sdtContent>
  </w:sdt>
  <w:p>
    <w:pPr>
      <w:pStyle w:val="12"/>
      <w:spacing w:line="14" w:lineRule="auto"/>
      <w:rPr>
        <w:sz w:val="20"/>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5498571"/>
      <w:docPartObj>
        <w:docPartGallery w:val="autotext"/>
      </w:docPartObj>
    </w:sdtPr>
    <w:sdtContent>
      <w:p>
        <w:pPr>
          <w:pStyle w:val="2"/>
          <w:jc w:val="center"/>
        </w:pPr>
        <w:r>
          <w:fldChar w:fldCharType="begin"/>
        </w:r>
        <w:r>
          <w:instrText xml:space="preserve">PAGE   \* MERGEFORMAT</w:instrText>
        </w:r>
        <w:r>
          <w:fldChar w:fldCharType="separate"/>
        </w:r>
        <w:r>
          <w:rPr>
            <w:lang w:val="zh-CN" w:eastAsia="zh-CN"/>
          </w:rPr>
          <w:t>61</w:t>
        </w:r>
        <w:r>
          <w:fldChar w:fldCharType="end"/>
        </w:r>
      </w:p>
    </w:sdtContent>
  </w:sdt>
  <w:p>
    <w:pPr>
      <w:pStyle w:val="12"/>
      <w:spacing w:line="14" w:lineRule="auto"/>
      <w:rPr>
        <w:sz w:val="20"/>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2589027"/>
      <w:docPartObj>
        <w:docPartGallery w:val="autotext"/>
      </w:docPartObj>
    </w:sdtPr>
    <w:sdtContent>
      <w:p>
        <w:pPr>
          <w:pStyle w:val="2"/>
          <w:jc w:val="center"/>
        </w:pPr>
        <w:r>
          <w:fldChar w:fldCharType="begin"/>
        </w:r>
        <w:r>
          <w:instrText xml:space="preserve">PAGE   \* MERGEFORMAT</w:instrText>
        </w:r>
        <w:r>
          <w:fldChar w:fldCharType="separate"/>
        </w:r>
        <w:r>
          <w:rPr>
            <w:lang w:val="zh-CN" w:eastAsia="zh-CN"/>
          </w:rPr>
          <w:t>67</w:t>
        </w:r>
        <w:r>
          <w:fldChar w:fldCharType="end"/>
        </w:r>
      </w:p>
    </w:sdtContent>
  </w:sdt>
  <w:p>
    <w:pPr>
      <w:pStyle w:val="12"/>
      <w:spacing w:line="14" w:lineRule="auto"/>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line="14" w:lineRule="auto"/>
      <w:rPr>
        <w:sz w:val="20"/>
      </w:rPr>
    </w:pPr>
    <w:r>
      <w:rPr>
        <w:lang w:eastAsia="zh-CN"/>
      </w:rPr>
      <mc:AlternateContent>
        <mc:Choice Requires="wps">
          <w:drawing>
            <wp:anchor distT="0" distB="0" distL="114300" distR="114300" simplePos="0" relativeHeight="251659264" behindDoc="1" locked="0" layoutInCell="1" allowOverlap="1">
              <wp:simplePos x="0" y="0"/>
              <wp:positionH relativeFrom="page">
                <wp:posOffset>1080135</wp:posOffset>
              </wp:positionH>
              <wp:positionV relativeFrom="page">
                <wp:posOffset>703580</wp:posOffset>
              </wp:positionV>
              <wp:extent cx="5760720" cy="0"/>
              <wp:effectExtent l="0" t="0" r="0" b="0"/>
              <wp:wrapNone/>
              <wp:docPr id="26" name="Line 20"/>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6096">
                        <a:solidFill>
                          <a:srgbClr val="000000"/>
                        </a:solidFill>
                        <a:prstDash val="solid"/>
                        <a:round/>
                      </a:ln>
                    </wps:spPr>
                    <wps:bodyPr/>
                  </wps:wsp>
                </a:graphicData>
              </a:graphic>
            </wp:anchor>
          </w:drawing>
        </mc:Choice>
        <mc:Fallback>
          <w:pict>
            <v:line id="Line 20" o:spid="_x0000_s1026" o:spt="20" style="position:absolute;left:0pt;margin-left:85.05pt;margin-top:55.4pt;height:0pt;width:453.6pt;mso-position-horizontal-relative:page;mso-position-vertical-relative:page;z-index:-251657216;mso-width-relative:page;mso-height-relative:page;" filled="f" stroked="t" coordsize="21600,21600" o:gfxdata="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VqQVbYAAAADAEAAA8AAAAAAAAAAQAg&#10;AAAAIgAAAGRycy9kb3ducmV2LnhtbFBLAQIUABQAAAAIAIdO4kAqNxY21QEAALoDAAAOAAAAAAAA&#10;AAEAIAAAACcBAABkcnMvZTJvRG9jLnhtbFBLBQYAAAAABgAGAFkBAABuBQAAAAA=&#10;">
              <v:fill on="f" focussize="0,0"/>
              <v:stroke weight="0.48pt" color="#000000" joinstyle="round"/>
              <v:imagedata o:title=""/>
              <o:lock v:ext="edit" aspectratio="f"/>
            </v:line>
          </w:pict>
        </mc:Fallback>
      </mc:AlternateContent>
    </w:r>
    <w:r>
      <w:rPr>
        <w:lang w:eastAsia="zh-CN"/>
      </w:rPr>
      <mc:AlternateContent>
        <mc:Choice Requires="wps">
          <w:drawing>
            <wp:anchor distT="0" distB="0" distL="114300" distR="114300" simplePos="0" relativeHeight="251660288"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25" name="Text Box 19"/>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 id="Text Box 19" o:spid="_x0000_s1026" o:spt="202" type="#_x0000_t202" style="position:absolute;left:0pt;margin-left:357.65pt;margin-top:42.95pt;height:11pt;width:182.05pt;mso-position-horizontal-relative:page;mso-position-vertical-relative:page;z-index:-251656192;mso-width-relative:page;mso-height-relative:page;" filled="f" stroked="f" coordsize="21600,21600" o:gfxdata="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8wI/N2QAAAAsBAAAPAAAAAAAAAAEAIAAAACIAAABkcnMvZG93&#10;bnJldi54bWxQSwECFAAUAAAACACHTuJAvfjwDf8BAAAGBAAADgAAAAAAAAABACAAAAAoAQAAZHJz&#10;L2Uyb0RvYy54bWxQSwUGAAAAAAYABgBZAQAAmQUAAAAA&#10;">
              <v:fill on="f" focussize="0,0"/>
              <v:stroke on="f"/>
              <v:imagedata o:title=""/>
              <o:lock v:ext="edit" aspectratio="f"/>
              <v:textbox inset="0mm,0mm,0mm,0mm">
                <w:txbxContent>
                  <w:p>
                    <w:pPr>
                      <w:spacing w:line="200" w:lineRule="exact"/>
                      <w:ind w:left="20"/>
                      <w:rPr>
                        <w:sz w:val="18"/>
                        <w:lang w:eastAsia="zh-CN"/>
                      </w:rPr>
                    </w:pPr>
                    <w:r>
                      <w:rPr>
                        <w:sz w:val="18"/>
                        <w:lang w:eastAsia="zh-CN"/>
                      </w:rPr>
                      <w:t>北京市政府采购项目竞争性磋商文件示范文本</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mc:AlternateContent>
        <mc:Choice Requires="wps">
          <w:drawing>
            <wp:anchor distT="0" distB="0" distL="114300" distR="114300" simplePos="0" relativeHeight="251667456" behindDoc="1" locked="0" layoutInCell="1" allowOverlap="1">
              <wp:simplePos x="0" y="0"/>
              <wp:positionH relativeFrom="page">
                <wp:posOffset>1012825</wp:posOffset>
              </wp:positionH>
              <wp:positionV relativeFrom="page">
                <wp:posOffset>923290</wp:posOffset>
              </wp:positionV>
              <wp:extent cx="45720" cy="97790"/>
              <wp:effectExtent l="0" t="0" r="0" b="0"/>
              <wp:wrapNone/>
              <wp:docPr id="2" name="文本框 2"/>
              <wp:cNvGraphicFramePr/>
              <a:graphic xmlns:a="http://schemas.openxmlformats.org/drawingml/2006/main">
                <a:graphicData uri="http://schemas.microsoft.com/office/word/2010/wordprocessingShape">
                  <wps:wsp>
                    <wps:cNvSpPr txBox="1"/>
                    <wps:spPr>
                      <a:xfrm>
                        <a:off x="0" y="0"/>
                        <a:ext cx="45720" cy="97790"/>
                      </a:xfrm>
                      <a:prstGeom prst="rect">
                        <a:avLst/>
                      </a:prstGeom>
                      <a:noFill/>
                      <a:ln w="9525">
                        <a:noFill/>
                      </a:ln>
                      <a:effectLst/>
                    </wps:spPr>
                    <wps:txbx>
                      <w:txbxContent>
                        <w:p>
                          <w:pPr>
                            <w:pStyle w:val="53"/>
                            <w:rPr>
                              <w:sz w:val="22"/>
                              <w:szCs w:val="22"/>
                            </w:rPr>
                          </w:pPr>
                        </w:p>
                      </w:txbxContent>
                    </wps:txbx>
                    <wps:bodyPr wrap="none" lIns="0" tIns="0" rIns="0" bIns="0" upright="1">
                      <a:spAutoFit/>
                    </wps:bodyPr>
                  </wps:wsp>
                </a:graphicData>
              </a:graphic>
            </wp:anchor>
          </w:drawing>
        </mc:Choice>
        <mc:Fallback>
          <w:pict>
            <v:shape id="_x0000_s1026" o:spid="_x0000_s1026" o:spt="202" type="#_x0000_t202" style="position:absolute;left:0pt;margin-left:79.75pt;margin-top:72.7pt;height:7.7pt;width:3.6pt;mso-position-horizontal-relative:page;mso-position-vertical-relative:page;mso-wrap-style:none;z-index:-251649024;mso-width-relative:page;mso-height-relative:page;" filled="f" stroked="f" coordsize="21600,21600" o:gfxdata="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NLxCmXWAAAACwEAAA8AAAAAAAAA&#10;AQAgAAAAIgAAAGRycy9kb3ducmV2LnhtbFBLAQIUABQAAAAIAIdO4kDYgvxT2gEAAKwDAAAOAAAA&#10;AAAAAAEAIAAAACUBAABkcnMvZTJvRG9jLnhtbFBLBQYAAAAABgAGAFkBAABxBQAAAAA=&#10;">
              <v:fill on="f" focussize="0,0"/>
              <v:stroke on="f"/>
              <v:imagedata o:title=""/>
              <o:lock v:ext="edit" aspectratio="f"/>
              <v:textbox inset="0mm,0mm,0mm,0mm" style="mso-fit-shape-to-text:t;">
                <w:txbxContent>
                  <w:p>
                    <w:pPr>
                      <w:pStyle w:val="53"/>
                      <w:rPr>
                        <w:sz w:val="22"/>
                        <w:szCs w:val="22"/>
                      </w:rPr>
                    </w:pP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line="14" w:lineRule="auto"/>
      <w:rPr>
        <w:sz w:val="20"/>
      </w:rPr>
    </w:pPr>
    <w:r>
      <w:rPr>
        <w:lang w:eastAsia="zh-CN"/>
      </w:rPr>
      <mc:AlternateContent>
        <mc:Choice Requires="wps">
          <w:drawing>
            <wp:anchor distT="0" distB="0" distL="114300" distR="114300" simplePos="0" relativeHeight="251663360" behindDoc="1" locked="0" layoutInCell="1" allowOverlap="1">
              <wp:simplePos x="0" y="0"/>
              <wp:positionH relativeFrom="page">
                <wp:posOffset>900430</wp:posOffset>
              </wp:positionH>
              <wp:positionV relativeFrom="page">
                <wp:posOffset>705485</wp:posOffset>
              </wp:positionV>
              <wp:extent cx="8893175" cy="0"/>
              <wp:effectExtent l="0" t="0" r="0" b="0"/>
              <wp:wrapNone/>
              <wp:docPr id="18" name="Line 12"/>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w:pict>
            <v:line id="Line 12" o:spid="_x0000_s1026" o:spt="20" style="position:absolute;left:0pt;margin-left:70.9pt;margin-top:55.55pt;height:0pt;width:700.25pt;mso-position-horizontal-relative:page;mso-position-vertical-relative:page;z-index:-251653120;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hg4dbXAAAADAEAAA8AAAAAAAAAAQAg&#10;AAAAIgAAAGRycy9kb3ducmV2LnhtbFBLAQIUABQAAAAIAIdO4kBR+3Yk1gEAALoDAAAOAAAAAAAA&#10;AAEAIAAAACYBAABkcnMvZTJvRG9jLnhtbFBLBQYAAAAABgAGAFkBAABuBQAAAAA=&#10;">
              <v:fill on="f" focussize="0,0"/>
              <v:stroke weight="0.71992125984252pt" color="#000000" joinstyle="round"/>
              <v:imagedata o:title=""/>
              <o:lock v:ext="edit" aspectratio="f"/>
            </v:lin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line="14" w:lineRule="auto"/>
      <w:rPr>
        <w:sz w:val="20"/>
      </w:rPr>
    </w:pPr>
    <w:r>
      <w:rPr>
        <w:lang w:eastAsia="zh-CN"/>
      </w:rPr>
      <mc:AlternateContent>
        <mc:Choice Requires="wps">
          <w:drawing>
            <wp:anchor distT="0" distB="0" distL="114300" distR="114300" simplePos="0" relativeHeight="251665408" behindDoc="1" locked="0" layoutInCell="1" allowOverlap="1">
              <wp:simplePos x="0" y="0"/>
              <wp:positionH relativeFrom="page">
                <wp:posOffset>900430</wp:posOffset>
              </wp:positionH>
              <wp:positionV relativeFrom="page">
                <wp:posOffset>705485</wp:posOffset>
              </wp:positionV>
              <wp:extent cx="8893175" cy="0"/>
              <wp:effectExtent l="0" t="0" r="0" b="0"/>
              <wp:wrapNone/>
              <wp:docPr id="12" name="Line 6"/>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w:pict>
            <v:line id="Line 6" o:spid="_x0000_s1026" o:spt="20" style="position:absolute;left:0pt;margin-left:70.9pt;margin-top:55.55pt;height:0pt;width:700.25pt;mso-position-horizontal-relative:page;mso-position-vertical-relative:page;z-index:-251651072;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GDh1tcAAAAMAQAADwAAAAAAAAABACAA&#10;AAAiAAAAZHJzL2Rvd25yZXYueG1sUEsBAhQAFAAAAAgAh07iQGYBCUjVAQAAuQMAAA4AAAAAAAAA&#10;AQAgAAAAJgEAAGRycy9lMm9Eb2MueG1sUEsFBgAAAAAGAAYAWQEAAG0FAAAAAA==&#10;">
              <v:fill on="f" focussize="0,0"/>
              <v:stroke weight="0.71992125984252pt" color="#000000" joinstyle="round"/>
              <v:imagedata o:title=""/>
              <o:lock v:ext="edit" aspectratio="f"/>
            </v:lin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spacing w:line="14" w:lineRule="auto"/>
      <w:rPr>
        <w:sz w:val="20"/>
      </w:rPr>
    </w:pPr>
    <w:r>
      <w:rPr>
        <w:lang w:eastAsia="zh-CN"/>
      </w:rPr>
      <mc:AlternateContent>
        <mc:Choice Requires="wps">
          <w:drawing>
            <wp:anchor distT="0" distB="0" distL="114300" distR="114300" simplePos="0" relativeHeight="251666432" behindDoc="1" locked="0" layoutInCell="1" allowOverlap="1">
              <wp:simplePos x="0" y="0"/>
              <wp:positionH relativeFrom="page">
                <wp:posOffset>1080135</wp:posOffset>
              </wp:positionH>
              <wp:positionV relativeFrom="page">
                <wp:posOffset>704850</wp:posOffset>
              </wp:positionV>
              <wp:extent cx="5760720" cy="0"/>
              <wp:effectExtent l="0" t="0" r="0" b="0"/>
              <wp:wrapNone/>
              <wp:docPr id="6" name="Line 3"/>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144">
                        <a:solidFill>
                          <a:srgbClr val="000000"/>
                        </a:solidFill>
                        <a:prstDash val="solid"/>
                        <a:round/>
                      </a:ln>
                    </wps:spPr>
                    <wps:bodyPr/>
                  </wps:wsp>
                </a:graphicData>
              </a:graphic>
            </wp:anchor>
          </w:drawing>
        </mc:Choice>
        <mc:Fallback>
          <w:pict>
            <v:line id="Line 3" o:spid="_x0000_s1026" o:spt="20" style="position:absolute;left:0pt;margin-left:85.05pt;margin-top:55.5pt;height:0pt;width:453.6pt;mso-position-horizontal-relative:page;mso-position-vertical-relative:page;z-index:-251650048;mso-width-relative:page;mso-height-relative:page;" filled="f" stroked="t" coordsize="21600,21600" o:gfxdata="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MuCuXWAAAADAEAAA8AAAAAAAAAAQAgAAAA&#10;IgAAAGRycy9kb3ducmV2LnhtbFBLAQIUABQAAAAIAIdO4kB/VB4m1AEAALgDAAAOAAAAAAAAAAEA&#10;IAAAACUBAABkcnMvZTJvRG9jLnhtbFBLBQYAAAAABgAGAFkBAABrBQAAAAA=&#10;">
              <v:fill on="f" focussize="0,0"/>
              <v:stroke weight="0.72pt" color="#000000" joinstyle="round"/>
              <v:imagedata o:title=""/>
              <o:lock v:ext="edit" aspectratio="f"/>
            </v:line>
          </w:pict>
        </mc:Fallback>
      </mc:AlternateContent>
    </w:r>
    <w:r>
      <w:rPr>
        <w:lang w:eastAsia="zh-CN"/>
      </w:rPr>
      <mc:AlternateContent>
        <mc:Choice Requires="wps">
          <w:drawing>
            <wp:anchor distT="0" distB="0" distL="114300" distR="114300" simplePos="0" relativeHeight="251667456"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4" name="Text Box 2"/>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357.65pt;margin-top:42.95pt;height:11pt;width:182.05pt;mso-position-horizontal-relative:page;mso-position-vertical-relative:page;z-index:-251649024;mso-width-relative:page;mso-height-relative:page;" filled="f" stroked="f" coordsize="21600,21600" o:gfxdata="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LzAj83ZAAAACwEAAA8AAAAAAAAAAQAgAAAAIgAAAGRycy9kb3du&#10;cmV2LnhtbFBLAQIUABQAAAAIAIdO4kCkAI6b/gEAAAQEAAAOAAAAAAAAAAEAIAAAACgBAABkcnMv&#10;ZTJvRG9jLnhtbFBLBQYAAAAABgAGAFkBAACYBQAAAAA=&#10;">
              <v:fill on="f" focussize="0,0"/>
              <v:stroke on="f"/>
              <v:imagedata o:title=""/>
              <o:lock v:ext="edit" aspectratio="f"/>
              <v:textbox inset="0mm,0mm,0mm,0mm">
                <w:txbxContent>
                  <w:p>
                    <w:pPr>
                      <w:spacing w:line="200" w:lineRule="exact"/>
                      <w:ind w:left="20"/>
                      <w:rPr>
                        <w:sz w:val="18"/>
                        <w:lang w:eastAsia="zh-CN"/>
                      </w:rPr>
                    </w:pPr>
                    <w:r>
                      <w:rPr>
                        <w:sz w:val="18"/>
                        <w:lang w:eastAsia="zh-CN"/>
                      </w:rPr>
                      <w:t>北京市政府采购项目竞争性磋商文件示范文本</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757963"/>
    <w:multiLevelType w:val="multilevel"/>
    <w:tmpl w:val="80757963"/>
    <w:lvl w:ilvl="0" w:tentative="0">
      <w:start w:val="15"/>
      <w:numFmt w:val="decimal"/>
      <w:lvlText w:val="%1"/>
      <w:lvlJc w:val="left"/>
      <w:pPr>
        <w:ind w:left="138" w:hanging="635"/>
      </w:pPr>
      <w:rPr>
        <w:rFonts w:hint="default" w:ascii="Times New Roman" w:hAnsi="Times New Roman" w:cs="Times New Roman"/>
      </w:rPr>
    </w:lvl>
    <w:lvl w:ilvl="1" w:tentative="0">
      <w:start w:val="7"/>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1">
    <w:nsid w:val="82980976"/>
    <w:multiLevelType w:val="multilevel"/>
    <w:tmpl w:val="82980976"/>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58" w:hanging="529"/>
      </w:pPr>
      <w:rPr>
        <w:rFonts w:hint="default" w:ascii="Times New Roman" w:hAnsi="Times New Roman" w:cs="Times New Roman"/>
      </w:rPr>
    </w:lvl>
    <w:lvl w:ilvl="2" w:tentative="0">
      <w:start w:val="0"/>
      <w:numFmt w:val="bullet"/>
      <w:lvlText w:val="•"/>
      <w:lvlJc w:val="left"/>
      <w:pPr>
        <w:ind w:left="2537" w:hanging="529"/>
      </w:pPr>
      <w:rPr>
        <w:rFonts w:hint="default" w:ascii="Times New Roman" w:hAnsi="Times New Roman" w:cs="Times New Roman"/>
      </w:rPr>
    </w:lvl>
    <w:lvl w:ilvl="3" w:tentative="0">
      <w:start w:val="0"/>
      <w:numFmt w:val="bullet"/>
      <w:lvlText w:val="•"/>
      <w:lvlJc w:val="left"/>
      <w:pPr>
        <w:ind w:left="3315" w:hanging="529"/>
      </w:pPr>
      <w:rPr>
        <w:rFonts w:hint="default" w:ascii="Times New Roman" w:hAnsi="Times New Roman" w:cs="Times New Roman"/>
      </w:rPr>
    </w:lvl>
    <w:lvl w:ilvl="4" w:tentative="0">
      <w:start w:val="0"/>
      <w:numFmt w:val="bullet"/>
      <w:lvlText w:val="•"/>
      <w:lvlJc w:val="left"/>
      <w:pPr>
        <w:ind w:left="409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51" w:hanging="529"/>
      </w:pPr>
      <w:rPr>
        <w:rFonts w:hint="default" w:ascii="Times New Roman" w:hAnsi="Times New Roman" w:cs="Times New Roman"/>
      </w:rPr>
    </w:lvl>
    <w:lvl w:ilvl="7" w:tentative="0">
      <w:start w:val="0"/>
      <w:numFmt w:val="bullet"/>
      <w:lvlText w:val="•"/>
      <w:lvlJc w:val="left"/>
      <w:pPr>
        <w:ind w:left="6430" w:hanging="529"/>
      </w:pPr>
      <w:rPr>
        <w:rFonts w:hint="default" w:ascii="Times New Roman" w:hAnsi="Times New Roman" w:cs="Times New Roman"/>
      </w:rPr>
    </w:lvl>
    <w:lvl w:ilvl="8" w:tentative="0">
      <w:start w:val="0"/>
      <w:numFmt w:val="bullet"/>
      <w:lvlText w:val="•"/>
      <w:lvlJc w:val="left"/>
      <w:pPr>
        <w:ind w:left="7209" w:hanging="529"/>
      </w:pPr>
      <w:rPr>
        <w:rFonts w:hint="default" w:ascii="Times New Roman" w:hAnsi="Times New Roman" w:cs="Times New Roman"/>
      </w:rPr>
    </w:lvl>
  </w:abstractNum>
  <w:abstractNum w:abstractNumId="2">
    <w:nsid w:val="84964AED"/>
    <w:multiLevelType w:val="multilevel"/>
    <w:tmpl w:val="84964AED"/>
    <w:lvl w:ilvl="0" w:tentative="0">
      <w:start w:val="22"/>
      <w:numFmt w:val="decimal"/>
      <w:lvlText w:val="%1"/>
      <w:lvlJc w:val="left"/>
      <w:pPr>
        <w:ind w:left="1192" w:hanging="635"/>
      </w:pPr>
      <w:rPr>
        <w:rFonts w:hint="default" w:ascii="Times New Roman" w:hAnsi="Times New Roman" w:cs="Times New Roman"/>
      </w:rPr>
    </w:lvl>
    <w:lvl w:ilvl="1" w:tentative="0">
      <w:start w:val="2"/>
      <w:numFmt w:val="decimal"/>
      <w:lvlText w:val="%1.%2"/>
      <w:lvlJc w:val="left"/>
      <w:pPr>
        <w:ind w:left="1192" w:hanging="635"/>
      </w:pPr>
      <w:rPr>
        <w:rFonts w:hint="default" w:ascii="Times New Roman" w:hAnsi="Times New Roman" w:cs="Times New Roman"/>
      </w:rPr>
    </w:lvl>
    <w:lvl w:ilvl="2" w:tentative="0">
      <w:start w:val="3"/>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3469" w:hanging="635"/>
      </w:pPr>
      <w:rPr>
        <w:rFonts w:hint="default" w:ascii="Times New Roman" w:hAnsi="Times New Roman" w:cs="Times New Roman"/>
      </w:rPr>
    </w:lvl>
    <w:lvl w:ilvl="4" w:tentative="0">
      <w:start w:val="0"/>
      <w:numFmt w:val="bullet"/>
      <w:lvlText w:val="•"/>
      <w:lvlJc w:val="left"/>
      <w:pPr>
        <w:ind w:left="4226" w:hanging="635"/>
      </w:pPr>
      <w:rPr>
        <w:rFonts w:hint="default" w:ascii="Times New Roman" w:hAnsi="Times New Roman" w:cs="Times New Roman"/>
      </w:rPr>
    </w:lvl>
    <w:lvl w:ilvl="5" w:tentative="0">
      <w:start w:val="0"/>
      <w:numFmt w:val="bullet"/>
      <w:lvlText w:val="•"/>
      <w:lvlJc w:val="left"/>
      <w:pPr>
        <w:ind w:left="4983" w:hanging="635"/>
      </w:pPr>
      <w:rPr>
        <w:rFonts w:hint="default" w:ascii="Times New Roman" w:hAnsi="Times New Roman" w:cs="Times New Roman"/>
      </w:rPr>
    </w:lvl>
    <w:lvl w:ilvl="6" w:tentative="0">
      <w:start w:val="0"/>
      <w:numFmt w:val="bullet"/>
      <w:lvlText w:val="•"/>
      <w:lvlJc w:val="left"/>
      <w:pPr>
        <w:ind w:left="5739" w:hanging="635"/>
      </w:pPr>
      <w:rPr>
        <w:rFonts w:hint="default" w:ascii="Times New Roman" w:hAnsi="Times New Roman" w:cs="Times New Roman"/>
      </w:rPr>
    </w:lvl>
    <w:lvl w:ilvl="7" w:tentative="0">
      <w:start w:val="0"/>
      <w:numFmt w:val="bullet"/>
      <w:lvlText w:val="•"/>
      <w:lvlJc w:val="left"/>
      <w:pPr>
        <w:ind w:left="6496" w:hanging="635"/>
      </w:pPr>
      <w:rPr>
        <w:rFonts w:hint="default" w:ascii="Times New Roman" w:hAnsi="Times New Roman" w:cs="Times New Roman"/>
      </w:rPr>
    </w:lvl>
    <w:lvl w:ilvl="8" w:tentative="0">
      <w:start w:val="0"/>
      <w:numFmt w:val="bullet"/>
      <w:lvlText w:val="•"/>
      <w:lvlJc w:val="left"/>
      <w:pPr>
        <w:ind w:left="7253" w:hanging="635"/>
      </w:pPr>
      <w:rPr>
        <w:rFonts w:hint="default" w:ascii="Times New Roman" w:hAnsi="Times New Roman" w:cs="Times New Roman"/>
      </w:rPr>
    </w:lvl>
  </w:abstractNum>
  <w:abstractNum w:abstractNumId="3">
    <w:nsid w:val="85AD2E87"/>
    <w:multiLevelType w:val="multilevel"/>
    <w:tmpl w:val="85AD2E87"/>
    <w:lvl w:ilvl="0" w:tentative="0">
      <w:start w:val="23"/>
      <w:numFmt w:val="decimal"/>
      <w:lvlText w:val="%1"/>
      <w:lvlJc w:val="left"/>
      <w:pPr>
        <w:ind w:left="138" w:hanging="635"/>
      </w:pPr>
      <w:rPr>
        <w:rFonts w:hint="default" w:ascii="Times New Roman" w:hAnsi="Times New Roman" w:cs="Times New Roman"/>
      </w:rPr>
    </w:lvl>
    <w:lvl w:ilvl="1" w:tentative="0">
      <w:start w:val="4"/>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4">
    <w:nsid w:val="873585DC"/>
    <w:multiLevelType w:val="multilevel"/>
    <w:tmpl w:val="873585DC"/>
    <w:lvl w:ilvl="0" w:tentative="0">
      <w:start w:val="1"/>
      <w:numFmt w:val="decimal"/>
      <w:lvlText w:val="（%1）"/>
      <w:lvlJc w:val="left"/>
      <w:pPr>
        <w:ind w:left="529" w:hanging="529"/>
      </w:pPr>
      <w:rPr>
        <w:rFonts w:hint="eastAsia" w:ascii="宋体" w:hAnsi="宋体" w:eastAsia="宋体" w:cs="宋体"/>
        <w:spacing w:val="-3"/>
        <w:sz w:val="19"/>
        <w:szCs w:val="19"/>
      </w:rPr>
    </w:lvl>
    <w:lvl w:ilvl="1" w:tentative="0">
      <w:start w:val="0"/>
      <w:numFmt w:val="bullet"/>
      <w:lvlText w:val="•"/>
      <w:lvlJc w:val="left"/>
      <w:pPr>
        <w:ind w:left="1290" w:hanging="529"/>
      </w:pPr>
      <w:rPr>
        <w:rFonts w:hint="default" w:ascii="Times New Roman" w:hAnsi="Times New Roman" w:cs="Times New Roman"/>
      </w:rPr>
    </w:lvl>
    <w:lvl w:ilvl="2" w:tentative="0">
      <w:start w:val="0"/>
      <w:numFmt w:val="bullet"/>
      <w:lvlText w:val="•"/>
      <w:lvlJc w:val="left"/>
      <w:pPr>
        <w:ind w:left="2059" w:hanging="529"/>
      </w:pPr>
      <w:rPr>
        <w:rFonts w:hint="default" w:ascii="Times New Roman" w:hAnsi="Times New Roman" w:cs="Times New Roman"/>
      </w:rPr>
    </w:lvl>
    <w:lvl w:ilvl="3" w:tentative="0">
      <w:start w:val="0"/>
      <w:numFmt w:val="bullet"/>
      <w:lvlText w:val="•"/>
      <w:lvlJc w:val="left"/>
      <w:pPr>
        <w:ind w:left="2827" w:hanging="529"/>
      </w:pPr>
      <w:rPr>
        <w:rFonts w:hint="default" w:ascii="Times New Roman" w:hAnsi="Times New Roman" w:cs="Times New Roman"/>
      </w:rPr>
    </w:lvl>
    <w:lvl w:ilvl="4" w:tentative="0">
      <w:start w:val="0"/>
      <w:numFmt w:val="bullet"/>
      <w:lvlText w:val="•"/>
      <w:lvlJc w:val="left"/>
      <w:pPr>
        <w:ind w:left="3596" w:hanging="529"/>
      </w:pPr>
      <w:rPr>
        <w:rFonts w:hint="default" w:ascii="Times New Roman" w:hAnsi="Times New Roman" w:cs="Times New Roman"/>
      </w:rPr>
    </w:lvl>
    <w:lvl w:ilvl="5" w:tentative="0">
      <w:start w:val="0"/>
      <w:numFmt w:val="bullet"/>
      <w:lvlText w:val="•"/>
      <w:lvlJc w:val="left"/>
      <w:pPr>
        <w:ind w:left="4365" w:hanging="529"/>
      </w:pPr>
      <w:rPr>
        <w:rFonts w:hint="default" w:ascii="Times New Roman" w:hAnsi="Times New Roman" w:cs="Times New Roman"/>
      </w:rPr>
    </w:lvl>
    <w:lvl w:ilvl="6" w:tentative="0">
      <w:start w:val="0"/>
      <w:numFmt w:val="bullet"/>
      <w:lvlText w:val="•"/>
      <w:lvlJc w:val="left"/>
      <w:pPr>
        <w:ind w:left="5133" w:hanging="529"/>
      </w:pPr>
      <w:rPr>
        <w:rFonts w:hint="default" w:ascii="Times New Roman" w:hAnsi="Times New Roman" w:cs="Times New Roman"/>
      </w:rPr>
    </w:lvl>
    <w:lvl w:ilvl="7" w:tentative="0">
      <w:start w:val="0"/>
      <w:numFmt w:val="bullet"/>
      <w:lvlText w:val="•"/>
      <w:lvlJc w:val="left"/>
      <w:pPr>
        <w:ind w:left="5902" w:hanging="529"/>
      </w:pPr>
      <w:rPr>
        <w:rFonts w:hint="default" w:ascii="Times New Roman" w:hAnsi="Times New Roman" w:cs="Times New Roman"/>
      </w:rPr>
    </w:lvl>
    <w:lvl w:ilvl="8" w:tentative="0">
      <w:start w:val="0"/>
      <w:numFmt w:val="bullet"/>
      <w:lvlText w:val="•"/>
      <w:lvlJc w:val="left"/>
      <w:pPr>
        <w:ind w:left="6671" w:hanging="529"/>
      </w:pPr>
      <w:rPr>
        <w:rFonts w:hint="default" w:ascii="Times New Roman" w:hAnsi="Times New Roman" w:cs="Times New Roman"/>
      </w:rPr>
    </w:lvl>
  </w:abstractNum>
  <w:abstractNum w:abstractNumId="5">
    <w:nsid w:val="8A421993"/>
    <w:multiLevelType w:val="multilevel"/>
    <w:tmpl w:val="8A421993"/>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6">
    <w:nsid w:val="8F68C8FD"/>
    <w:multiLevelType w:val="multilevel"/>
    <w:tmpl w:val="8F68C8FD"/>
    <w:lvl w:ilvl="0" w:tentative="0">
      <w:start w:val="4"/>
      <w:numFmt w:val="decimal"/>
      <w:lvlText w:val="%1"/>
      <w:lvlJc w:val="left"/>
      <w:pPr>
        <w:ind w:left="1087" w:hanging="529"/>
      </w:pPr>
      <w:rPr>
        <w:rFonts w:hint="default" w:ascii="Times New Roman" w:hAnsi="Times New Roman" w:cs="Times New Roman"/>
      </w:rPr>
    </w:lvl>
    <w:lvl w:ilvl="1" w:tentative="0">
      <w:start w:val="1"/>
      <w:numFmt w:val="decimal"/>
      <w:lvlText w:val="%1.%2"/>
      <w:lvlJc w:val="left"/>
      <w:pPr>
        <w:ind w:left="1087" w:hanging="529"/>
      </w:pPr>
      <w:rPr>
        <w:rFonts w:hint="default" w:ascii="Times New Roman" w:hAnsi="Times New Roman" w:cs="Times New Roman"/>
      </w:rPr>
    </w:lvl>
    <w:lvl w:ilvl="2" w:tentative="0">
      <w:start w:val="1"/>
      <w:numFmt w:val="decimal"/>
      <w:lvlText w:val="%1.%2.%3"/>
      <w:lvlJc w:val="left"/>
      <w:pPr>
        <w:ind w:left="1087" w:hanging="529"/>
      </w:pPr>
      <w:rPr>
        <w:rFonts w:hint="eastAsia" w:ascii="宋体" w:hAnsi="宋体" w:eastAsia="宋体" w:cs="宋体"/>
        <w:sz w:val="19"/>
        <w:szCs w:val="19"/>
      </w:rPr>
    </w:lvl>
    <w:lvl w:ilvl="3" w:tentative="0">
      <w:start w:val="0"/>
      <w:numFmt w:val="bullet"/>
      <w:lvlText w:val="•"/>
      <w:lvlJc w:val="left"/>
      <w:pPr>
        <w:ind w:left="3385" w:hanging="529"/>
      </w:pPr>
      <w:rPr>
        <w:rFonts w:hint="default" w:ascii="Times New Roman" w:hAnsi="Times New Roman" w:cs="Times New Roman"/>
      </w:rPr>
    </w:lvl>
    <w:lvl w:ilvl="4" w:tentative="0">
      <w:start w:val="0"/>
      <w:numFmt w:val="bullet"/>
      <w:lvlText w:val="•"/>
      <w:lvlJc w:val="left"/>
      <w:pPr>
        <w:ind w:left="4154" w:hanging="529"/>
      </w:pPr>
      <w:rPr>
        <w:rFonts w:hint="default" w:ascii="Times New Roman" w:hAnsi="Times New Roman" w:cs="Times New Roman"/>
      </w:rPr>
    </w:lvl>
    <w:lvl w:ilvl="5" w:tentative="0">
      <w:start w:val="0"/>
      <w:numFmt w:val="bullet"/>
      <w:lvlText w:val="•"/>
      <w:lvlJc w:val="left"/>
      <w:pPr>
        <w:ind w:left="4923" w:hanging="529"/>
      </w:pPr>
      <w:rPr>
        <w:rFonts w:hint="default" w:ascii="Times New Roman" w:hAnsi="Times New Roman" w:cs="Times New Roman"/>
      </w:rPr>
    </w:lvl>
    <w:lvl w:ilvl="6" w:tentative="0">
      <w:start w:val="0"/>
      <w:numFmt w:val="bullet"/>
      <w:lvlText w:val="•"/>
      <w:lvlJc w:val="left"/>
      <w:pPr>
        <w:ind w:left="5691" w:hanging="529"/>
      </w:pPr>
      <w:rPr>
        <w:rFonts w:hint="default" w:ascii="Times New Roman" w:hAnsi="Times New Roman" w:cs="Times New Roman"/>
      </w:rPr>
    </w:lvl>
    <w:lvl w:ilvl="7" w:tentative="0">
      <w:start w:val="0"/>
      <w:numFmt w:val="bullet"/>
      <w:lvlText w:val="•"/>
      <w:lvlJc w:val="left"/>
      <w:pPr>
        <w:ind w:left="6460" w:hanging="529"/>
      </w:pPr>
      <w:rPr>
        <w:rFonts w:hint="default" w:ascii="Times New Roman" w:hAnsi="Times New Roman" w:cs="Times New Roman"/>
      </w:rPr>
    </w:lvl>
    <w:lvl w:ilvl="8" w:tentative="0">
      <w:start w:val="0"/>
      <w:numFmt w:val="bullet"/>
      <w:lvlText w:val="•"/>
      <w:lvlJc w:val="left"/>
      <w:pPr>
        <w:ind w:left="7229" w:hanging="529"/>
      </w:pPr>
      <w:rPr>
        <w:rFonts w:hint="default" w:ascii="Times New Roman" w:hAnsi="Times New Roman" w:cs="Times New Roman"/>
      </w:rPr>
    </w:lvl>
  </w:abstractNum>
  <w:abstractNum w:abstractNumId="7">
    <w:nsid w:val="95641631"/>
    <w:multiLevelType w:val="multilevel"/>
    <w:tmpl w:val="95641631"/>
    <w:lvl w:ilvl="0" w:tentative="0">
      <w:start w:val="7"/>
      <w:numFmt w:val="decimal"/>
      <w:lvlText w:val="%1"/>
      <w:lvlJc w:val="left"/>
      <w:pPr>
        <w:ind w:left="138" w:hanging="529"/>
      </w:pPr>
      <w:rPr>
        <w:rFonts w:hint="default" w:ascii="Times New Roman" w:hAnsi="Times New Roman" w:cs="Times New Roman"/>
      </w:rPr>
    </w:lvl>
    <w:lvl w:ilvl="1" w:tentative="0">
      <w:start w:val="3"/>
      <w:numFmt w:val="decimal"/>
      <w:lvlText w:val="%1.%2"/>
      <w:lvlJc w:val="left"/>
      <w:pPr>
        <w:ind w:left="138" w:hanging="529"/>
      </w:pPr>
      <w:rPr>
        <w:rFonts w:hint="default" w:ascii="Times New Roman" w:hAnsi="Times New Roman" w:cs="Times New Roman"/>
      </w:rPr>
    </w:lvl>
    <w:lvl w:ilvl="2" w:tentative="0">
      <w:start w:val="1"/>
      <w:numFmt w:val="decimal"/>
      <w:lvlText w:val="%1.%2.%3"/>
      <w:lvlJc w:val="left"/>
      <w:pPr>
        <w:ind w:left="138" w:hanging="529"/>
      </w:pPr>
      <w:rPr>
        <w:rFonts w:hint="eastAsia" w:ascii="宋体" w:hAnsi="宋体" w:eastAsia="宋体" w:cs="宋体"/>
        <w:spacing w:val="-3"/>
        <w:sz w:val="19"/>
        <w:szCs w:val="19"/>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8">
    <w:nsid w:val="96A051DD"/>
    <w:multiLevelType w:val="multilevel"/>
    <w:tmpl w:val="96A051DD"/>
    <w:lvl w:ilvl="0" w:tentative="0">
      <w:start w:val="18"/>
      <w:numFmt w:val="decimal"/>
      <w:lvlText w:val="%1"/>
      <w:lvlJc w:val="left"/>
      <w:pPr>
        <w:ind w:left="619" w:hanging="481"/>
      </w:pPr>
      <w:rPr>
        <w:rFonts w:hint="default" w:ascii="Times New Roman" w:hAnsi="Times New Roman" w:cs="Times New Roman"/>
      </w:rPr>
    </w:lvl>
    <w:lvl w:ilvl="1" w:tentative="0">
      <w:start w:val="4"/>
      <w:numFmt w:val="decimal"/>
      <w:lvlText w:val="%1.%2"/>
      <w:lvlJc w:val="left"/>
      <w:pPr>
        <w:ind w:left="619" w:hanging="481"/>
      </w:pPr>
      <w:rPr>
        <w:rFonts w:hint="eastAsia" w:ascii="宋体" w:hAnsi="宋体" w:eastAsia="宋体" w:cs="宋体"/>
        <w:spacing w:val="-1"/>
        <w:sz w:val="22"/>
        <w:szCs w:val="22"/>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145" w:hanging="635"/>
      </w:pPr>
      <w:rPr>
        <w:rFonts w:hint="default" w:ascii="Times New Roman" w:hAnsi="Times New Roman" w:cs="Times New Roman"/>
      </w:rPr>
    </w:lvl>
    <w:lvl w:ilvl="4" w:tentative="0">
      <w:start w:val="0"/>
      <w:numFmt w:val="bullet"/>
      <w:lvlText w:val="•"/>
      <w:lvlJc w:val="left"/>
      <w:pPr>
        <w:ind w:left="3091" w:hanging="635"/>
      </w:pPr>
      <w:rPr>
        <w:rFonts w:hint="default" w:ascii="Times New Roman" w:hAnsi="Times New Roman" w:cs="Times New Roman"/>
      </w:rPr>
    </w:lvl>
    <w:lvl w:ilvl="5" w:tentative="0">
      <w:start w:val="0"/>
      <w:numFmt w:val="bullet"/>
      <w:lvlText w:val="•"/>
      <w:lvlJc w:val="left"/>
      <w:pPr>
        <w:ind w:left="4037" w:hanging="635"/>
      </w:pPr>
      <w:rPr>
        <w:rFonts w:hint="default" w:ascii="Times New Roman" w:hAnsi="Times New Roman" w:cs="Times New Roman"/>
      </w:rPr>
    </w:lvl>
    <w:lvl w:ilvl="6" w:tentative="0">
      <w:start w:val="0"/>
      <w:numFmt w:val="bullet"/>
      <w:lvlText w:val="•"/>
      <w:lvlJc w:val="left"/>
      <w:pPr>
        <w:ind w:left="4983" w:hanging="635"/>
      </w:pPr>
      <w:rPr>
        <w:rFonts w:hint="default" w:ascii="Times New Roman" w:hAnsi="Times New Roman" w:cs="Times New Roman"/>
      </w:rPr>
    </w:lvl>
    <w:lvl w:ilvl="7" w:tentative="0">
      <w:start w:val="0"/>
      <w:numFmt w:val="bullet"/>
      <w:lvlText w:val="•"/>
      <w:lvlJc w:val="left"/>
      <w:pPr>
        <w:ind w:left="5929" w:hanging="635"/>
      </w:pPr>
      <w:rPr>
        <w:rFonts w:hint="default" w:ascii="Times New Roman" w:hAnsi="Times New Roman" w:cs="Times New Roman"/>
      </w:rPr>
    </w:lvl>
    <w:lvl w:ilvl="8" w:tentative="0">
      <w:start w:val="0"/>
      <w:numFmt w:val="bullet"/>
      <w:lvlText w:val="•"/>
      <w:lvlJc w:val="left"/>
      <w:pPr>
        <w:ind w:left="6874" w:hanging="635"/>
      </w:pPr>
      <w:rPr>
        <w:rFonts w:hint="default" w:ascii="Times New Roman" w:hAnsi="Times New Roman" w:cs="Times New Roman"/>
      </w:rPr>
    </w:lvl>
  </w:abstractNum>
  <w:abstractNum w:abstractNumId="9">
    <w:nsid w:val="96BD09FF"/>
    <w:multiLevelType w:val="multilevel"/>
    <w:tmpl w:val="96BD09FF"/>
    <w:lvl w:ilvl="0" w:tentative="0">
      <w:start w:val="14"/>
      <w:numFmt w:val="decimal"/>
      <w:lvlText w:val="%1"/>
      <w:lvlJc w:val="left"/>
      <w:pPr>
        <w:ind w:left="1192" w:hanging="635"/>
      </w:pPr>
      <w:rPr>
        <w:rFonts w:hint="default" w:ascii="Times New Roman" w:hAnsi="Times New Roman" w:cs="Times New Roman"/>
      </w:rPr>
    </w:lvl>
    <w:lvl w:ilvl="1" w:tentative="0">
      <w:start w:val="2"/>
      <w:numFmt w:val="decimal"/>
      <w:lvlText w:val="%1.%2"/>
      <w:lvlJc w:val="left"/>
      <w:pPr>
        <w:ind w:left="1192" w:hanging="635"/>
      </w:pPr>
      <w:rPr>
        <w:rFonts w:hint="default" w:ascii="Times New Roman" w:hAnsi="Times New Roman" w:cs="Times New Roman"/>
      </w:rPr>
    </w:lvl>
    <w:lvl w:ilvl="2" w:tentative="0">
      <w:start w:val="1"/>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3469" w:hanging="635"/>
      </w:pPr>
      <w:rPr>
        <w:rFonts w:hint="default" w:ascii="Times New Roman" w:hAnsi="Times New Roman" w:cs="Times New Roman"/>
      </w:rPr>
    </w:lvl>
    <w:lvl w:ilvl="4" w:tentative="0">
      <w:start w:val="0"/>
      <w:numFmt w:val="bullet"/>
      <w:lvlText w:val="•"/>
      <w:lvlJc w:val="left"/>
      <w:pPr>
        <w:ind w:left="4226" w:hanging="635"/>
      </w:pPr>
      <w:rPr>
        <w:rFonts w:hint="default" w:ascii="Times New Roman" w:hAnsi="Times New Roman" w:cs="Times New Roman"/>
      </w:rPr>
    </w:lvl>
    <w:lvl w:ilvl="5" w:tentative="0">
      <w:start w:val="0"/>
      <w:numFmt w:val="bullet"/>
      <w:lvlText w:val="•"/>
      <w:lvlJc w:val="left"/>
      <w:pPr>
        <w:ind w:left="4983" w:hanging="635"/>
      </w:pPr>
      <w:rPr>
        <w:rFonts w:hint="default" w:ascii="Times New Roman" w:hAnsi="Times New Roman" w:cs="Times New Roman"/>
      </w:rPr>
    </w:lvl>
    <w:lvl w:ilvl="6" w:tentative="0">
      <w:start w:val="0"/>
      <w:numFmt w:val="bullet"/>
      <w:lvlText w:val="•"/>
      <w:lvlJc w:val="left"/>
      <w:pPr>
        <w:ind w:left="5739" w:hanging="635"/>
      </w:pPr>
      <w:rPr>
        <w:rFonts w:hint="default" w:ascii="Times New Roman" w:hAnsi="Times New Roman" w:cs="Times New Roman"/>
      </w:rPr>
    </w:lvl>
    <w:lvl w:ilvl="7" w:tentative="0">
      <w:start w:val="0"/>
      <w:numFmt w:val="bullet"/>
      <w:lvlText w:val="•"/>
      <w:lvlJc w:val="left"/>
      <w:pPr>
        <w:ind w:left="6496" w:hanging="635"/>
      </w:pPr>
      <w:rPr>
        <w:rFonts w:hint="default" w:ascii="Times New Roman" w:hAnsi="Times New Roman" w:cs="Times New Roman"/>
      </w:rPr>
    </w:lvl>
    <w:lvl w:ilvl="8" w:tentative="0">
      <w:start w:val="0"/>
      <w:numFmt w:val="bullet"/>
      <w:lvlText w:val="•"/>
      <w:lvlJc w:val="left"/>
      <w:pPr>
        <w:ind w:left="7253" w:hanging="635"/>
      </w:pPr>
      <w:rPr>
        <w:rFonts w:hint="default" w:ascii="Times New Roman" w:hAnsi="Times New Roman" w:cs="Times New Roman"/>
      </w:rPr>
    </w:lvl>
  </w:abstractNum>
  <w:abstractNum w:abstractNumId="10">
    <w:nsid w:val="9737B42B"/>
    <w:multiLevelType w:val="multilevel"/>
    <w:tmpl w:val="9737B42B"/>
    <w:lvl w:ilvl="0" w:tentative="0">
      <w:start w:val="16"/>
      <w:numFmt w:val="decimal"/>
      <w:lvlText w:val="%1"/>
      <w:lvlJc w:val="left"/>
      <w:pPr>
        <w:ind w:left="1612" w:hanging="844"/>
      </w:pPr>
      <w:rPr>
        <w:rFonts w:hint="default" w:ascii="Times New Roman" w:hAnsi="Times New Roman" w:cs="Times New Roman"/>
      </w:rPr>
    </w:lvl>
    <w:lvl w:ilvl="1" w:tentative="0">
      <w:start w:val="1"/>
      <w:numFmt w:val="decimal"/>
      <w:lvlText w:val="%1.%2"/>
      <w:lvlJc w:val="left"/>
      <w:pPr>
        <w:ind w:left="1612" w:hanging="844"/>
      </w:pPr>
      <w:rPr>
        <w:rFonts w:hint="default" w:ascii="Times New Roman" w:hAnsi="Times New Roman" w:cs="Times New Roman"/>
      </w:rPr>
    </w:lvl>
    <w:lvl w:ilvl="2" w:tentative="0">
      <w:start w:val="1"/>
      <w:numFmt w:val="decimal"/>
      <w:lvlText w:val="%1.%2.%3"/>
      <w:lvlJc w:val="left"/>
      <w:pPr>
        <w:ind w:left="1612" w:hanging="844"/>
      </w:pPr>
      <w:rPr>
        <w:rFonts w:hint="default" w:ascii="Times New Roman" w:hAnsi="Times New Roman" w:cs="Times New Roman"/>
      </w:rPr>
    </w:lvl>
    <w:lvl w:ilvl="3" w:tentative="0">
      <w:start w:val="1"/>
      <w:numFmt w:val="decimal"/>
      <w:lvlText w:val="%1.%2.%3.%4"/>
      <w:lvlJc w:val="left"/>
      <w:pPr>
        <w:ind w:left="1612" w:hanging="844"/>
      </w:pPr>
      <w:rPr>
        <w:rFonts w:hint="eastAsia" w:ascii="宋体" w:hAnsi="宋体" w:eastAsia="宋体" w:cs="宋体"/>
        <w:spacing w:val="-3"/>
        <w:sz w:val="19"/>
        <w:szCs w:val="19"/>
      </w:rPr>
    </w:lvl>
    <w:lvl w:ilvl="4" w:tentative="0">
      <w:start w:val="0"/>
      <w:numFmt w:val="bullet"/>
      <w:lvlText w:val="•"/>
      <w:lvlJc w:val="left"/>
      <w:pPr>
        <w:ind w:left="4478" w:hanging="844"/>
      </w:pPr>
      <w:rPr>
        <w:rFonts w:hint="default" w:ascii="Times New Roman" w:hAnsi="Times New Roman" w:cs="Times New Roman"/>
      </w:rPr>
    </w:lvl>
    <w:lvl w:ilvl="5" w:tentative="0">
      <w:start w:val="0"/>
      <w:numFmt w:val="bullet"/>
      <w:lvlText w:val="•"/>
      <w:lvlJc w:val="left"/>
      <w:pPr>
        <w:ind w:left="5193" w:hanging="844"/>
      </w:pPr>
      <w:rPr>
        <w:rFonts w:hint="default" w:ascii="Times New Roman" w:hAnsi="Times New Roman" w:cs="Times New Roman"/>
      </w:rPr>
    </w:lvl>
    <w:lvl w:ilvl="6" w:tentative="0">
      <w:start w:val="0"/>
      <w:numFmt w:val="bullet"/>
      <w:lvlText w:val="•"/>
      <w:lvlJc w:val="left"/>
      <w:pPr>
        <w:ind w:left="5907" w:hanging="844"/>
      </w:pPr>
      <w:rPr>
        <w:rFonts w:hint="default" w:ascii="Times New Roman" w:hAnsi="Times New Roman" w:cs="Times New Roman"/>
      </w:rPr>
    </w:lvl>
    <w:lvl w:ilvl="7" w:tentative="0">
      <w:start w:val="0"/>
      <w:numFmt w:val="bullet"/>
      <w:lvlText w:val="•"/>
      <w:lvlJc w:val="left"/>
      <w:pPr>
        <w:ind w:left="6622" w:hanging="844"/>
      </w:pPr>
      <w:rPr>
        <w:rFonts w:hint="default" w:ascii="Times New Roman" w:hAnsi="Times New Roman" w:cs="Times New Roman"/>
      </w:rPr>
    </w:lvl>
    <w:lvl w:ilvl="8" w:tentative="0">
      <w:start w:val="0"/>
      <w:numFmt w:val="bullet"/>
      <w:lvlText w:val="•"/>
      <w:lvlJc w:val="left"/>
      <w:pPr>
        <w:ind w:left="7337" w:hanging="844"/>
      </w:pPr>
      <w:rPr>
        <w:rFonts w:hint="default" w:ascii="Times New Roman" w:hAnsi="Times New Roman" w:cs="Times New Roman"/>
      </w:rPr>
    </w:lvl>
  </w:abstractNum>
  <w:abstractNum w:abstractNumId="11">
    <w:nsid w:val="97591C1E"/>
    <w:multiLevelType w:val="multilevel"/>
    <w:tmpl w:val="97591C1E"/>
    <w:lvl w:ilvl="0" w:tentative="0">
      <w:start w:val="1"/>
      <w:numFmt w:val="decimal"/>
      <w:lvlText w:val="%1"/>
      <w:lvlJc w:val="left"/>
      <w:pPr>
        <w:ind w:left="499" w:hanging="361"/>
      </w:pPr>
      <w:rPr>
        <w:rFonts w:hint="default" w:ascii="Times New Roman" w:hAnsi="Times New Roman" w:cs="Times New Roman"/>
      </w:rPr>
    </w:lvl>
    <w:lvl w:ilvl="1" w:tentative="0">
      <w:start w:val="9"/>
      <w:numFmt w:val="decimal"/>
      <w:lvlText w:val="%1.%2"/>
      <w:lvlJc w:val="left"/>
      <w:pPr>
        <w:ind w:left="499" w:hanging="361"/>
      </w:pPr>
      <w:rPr>
        <w:rFonts w:hint="eastAsia" w:ascii="宋体" w:hAnsi="宋体" w:eastAsia="宋体" w:cs="宋体"/>
        <w:spacing w:val="-1"/>
        <w:sz w:val="22"/>
        <w:szCs w:val="22"/>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336" w:hanging="635"/>
      </w:pPr>
      <w:rPr>
        <w:rFonts w:hint="default" w:ascii="Times New Roman" w:hAnsi="Times New Roman" w:cs="Times New Roman"/>
      </w:rPr>
    </w:lvl>
    <w:lvl w:ilvl="4" w:tentative="0">
      <w:start w:val="0"/>
      <w:numFmt w:val="bullet"/>
      <w:lvlText w:val="•"/>
      <w:lvlJc w:val="left"/>
      <w:pPr>
        <w:ind w:left="3255" w:hanging="635"/>
      </w:pPr>
      <w:rPr>
        <w:rFonts w:hint="default" w:ascii="Times New Roman" w:hAnsi="Times New Roman" w:cs="Times New Roman"/>
      </w:rPr>
    </w:lvl>
    <w:lvl w:ilvl="5" w:tentative="0">
      <w:start w:val="0"/>
      <w:numFmt w:val="bullet"/>
      <w:lvlText w:val="•"/>
      <w:lvlJc w:val="left"/>
      <w:pPr>
        <w:ind w:left="4173" w:hanging="635"/>
      </w:pPr>
      <w:rPr>
        <w:rFonts w:hint="default" w:ascii="Times New Roman" w:hAnsi="Times New Roman" w:cs="Times New Roman"/>
      </w:rPr>
    </w:lvl>
    <w:lvl w:ilvl="6" w:tentative="0">
      <w:start w:val="0"/>
      <w:numFmt w:val="bullet"/>
      <w:lvlText w:val="•"/>
      <w:lvlJc w:val="left"/>
      <w:pPr>
        <w:ind w:left="5092" w:hanging="635"/>
      </w:pPr>
      <w:rPr>
        <w:rFonts w:hint="default" w:ascii="Times New Roman" w:hAnsi="Times New Roman" w:cs="Times New Roman"/>
      </w:rPr>
    </w:lvl>
    <w:lvl w:ilvl="7" w:tentative="0">
      <w:start w:val="0"/>
      <w:numFmt w:val="bullet"/>
      <w:lvlText w:val="•"/>
      <w:lvlJc w:val="left"/>
      <w:pPr>
        <w:ind w:left="6010" w:hanging="635"/>
      </w:pPr>
      <w:rPr>
        <w:rFonts w:hint="default" w:ascii="Times New Roman" w:hAnsi="Times New Roman" w:cs="Times New Roman"/>
      </w:rPr>
    </w:lvl>
    <w:lvl w:ilvl="8" w:tentative="0">
      <w:start w:val="0"/>
      <w:numFmt w:val="bullet"/>
      <w:lvlText w:val="•"/>
      <w:lvlJc w:val="left"/>
      <w:pPr>
        <w:ind w:left="6929" w:hanging="635"/>
      </w:pPr>
      <w:rPr>
        <w:rFonts w:hint="default" w:ascii="Times New Roman" w:hAnsi="Times New Roman" w:cs="Times New Roman"/>
      </w:rPr>
    </w:lvl>
  </w:abstractNum>
  <w:abstractNum w:abstractNumId="12">
    <w:nsid w:val="A13EFA38"/>
    <w:multiLevelType w:val="multilevel"/>
    <w:tmpl w:val="A13EFA38"/>
    <w:lvl w:ilvl="0" w:tentative="0">
      <w:start w:val="3"/>
      <w:numFmt w:val="decimal"/>
      <w:lvlText w:val="%1）"/>
      <w:lvlJc w:val="left"/>
      <w:pPr>
        <w:ind w:left="1449" w:hanging="318"/>
      </w:pPr>
      <w:rPr>
        <w:rFonts w:hint="eastAsia" w:ascii="宋体" w:hAnsi="宋体" w:eastAsia="宋体" w:cs="宋体"/>
        <w:sz w:val="19"/>
        <w:szCs w:val="19"/>
      </w:rPr>
    </w:lvl>
    <w:lvl w:ilvl="1" w:tentative="0">
      <w:start w:val="2"/>
      <w:numFmt w:val="decimal"/>
      <w:lvlText w:val="%2）"/>
      <w:lvlJc w:val="left"/>
      <w:pPr>
        <w:ind w:left="1588" w:hanging="318"/>
      </w:pPr>
      <w:rPr>
        <w:rFonts w:hint="eastAsia" w:ascii="宋体" w:hAnsi="宋体" w:eastAsia="宋体" w:cs="宋体"/>
        <w:spacing w:val="-3"/>
        <w:sz w:val="19"/>
        <w:szCs w:val="19"/>
      </w:rPr>
    </w:lvl>
    <w:lvl w:ilvl="2" w:tentative="0">
      <w:start w:val="0"/>
      <w:numFmt w:val="bullet"/>
      <w:lvlText w:val="•"/>
      <w:lvlJc w:val="left"/>
      <w:pPr>
        <w:ind w:left="2378" w:hanging="318"/>
      </w:pPr>
      <w:rPr>
        <w:rFonts w:hint="default" w:ascii="Times New Roman" w:hAnsi="Times New Roman" w:cs="Times New Roman"/>
      </w:rPr>
    </w:lvl>
    <w:lvl w:ilvl="3" w:tentative="0">
      <w:start w:val="0"/>
      <w:numFmt w:val="bullet"/>
      <w:lvlText w:val="•"/>
      <w:lvlJc w:val="left"/>
      <w:pPr>
        <w:ind w:left="3176" w:hanging="318"/>
      </w:pPr>
      <w:rPr>
        <w:rFonts w:hint="default" w:ascii="Times New Roman" w:hAnsi="Times New Roman" w:cs="Times New Roman"/>
      </w:rPr>
    </w:lvl>
    <w:lvl w:ilvl="4" w:tentative="0">
      <w:start w:val="0"/>
      <w:numFmt w:val="bullet"/>
      <w:lvlText w:val="•"/>
      <w:lvlJc w:val="left"/>
      <w:pPr>
        <w:ind w:left="3975" w:hanging="318"/>
      </w:pPr>
      <w:rPr>
        <w:rFonts w:hint="default" w:ascii="Times New Roman" w:hAnsi="Times New Roman" w:cs="Times New Roman"/>
      </w:rPr>
    </w:lvl>
    <w:lvl w:ilvl="5" w:tentative="0">
      <w:start w:val="0"/>
      <w:numFmt w:val="bullet"/>
      <w:lvlText w:val="•"/>
      <w:lvlJc w:val="left"/>
      <w:pPr>
        <w:ind w:left="4773" w:hanging="318"/>
      </w:pPr>
      <w:rPr>
        <w:rFonts w:hint="default" w:ascii="Times New Roman" w:hAnsi="Times New Roman" w:cs="Times New Roman"/>
      </w:rPr>
    </w:lvl>
    <w:lvl w:ilvl="6" w:tentative="0">
      <w:start w:val="0"/>
      <w:numFmt w:val="bullet"/>
      <w:lvlText w:val="•"/>
      <w:lvlJc w:val="left"/>
      <w:pPr>
        <w:ind w:left="5572" w:hanging="318"/>
      </w:pPr>
      <w:rPr>
        <w:rFonts w:hint="default" w:ascii="Times New Roman" w:hAnsi="Times New Roman" w:cs="Times New Roman"/>
      </w:rPr>
    </w:lvl>
    <w:lvl w:ilvl="7" w:tentative="0">
      <w:start w:val="0"/>
      <w:numFmt w:val="bullet"/>
      <w:lvlText w:val="•"/>
      <w:lvlJc w:val="left"/>
      <w:pPr>
        <w:ind w:left="6370" w:hanging="318"/>
      </w:pPr>
      <w:rPr>
        <w:rFonts w:hint="default" w:ascii="Times New Roman" w:hAnsi="Times New Roman" w:cs="Times New Roman"/>
      </w:rPr>
    </w:lvl>
    <w:lvl w:ilvl="8" w:tentative="0">
      <w:start w:val="0"/>
      <w:numFmt w:val="bullet"/>
      <w:lvlText w:val="•"/>
      <w:lvlJc w:val="left"/>
      <w:pPr>
        <w:ind w:left="7169" w:hanging="318"/>
      </w:pPr>
      <w:rPr>
        <w:rFonts w:hint="default" w:ascii="Times New Roman" w:hAnsi="Times New Roman" w:cs="Times New Roman"/>
      </w:rPr>
    </w:lvl>
  </w:abstractNum>
  <w:abstractNum w:abstractNumId="13">
    <w:nsid w:val="A796D692"/>
    <w:multiLevelType w:val="multilevel"/>
    <w:tmpl w:val="A796D692"/>
    <w:lvl w:ilvl="0" w:tentative="0">
      <w:start w:val="1"/>
      <w:numFmt w:val="decimal"/>
      <w:lvlText w:val="（%1）"/>
      <w:lvlJc w:val="left"/>
      <w:pPr>
        <w:ind w:left="138" w:hanging="529"/>
      </w:pPr>
      <w:rPr>
        <w:rFonts w:hint="eastAsia" w:ascii="宋体" w:hAnsi="宋体" w:eastAsia="宋体" w:cs="宋体"/>
        <w:spacing w:val="-32"/>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14">
    <w:nsid w:val="A7984188"/>
    <w:multiLevelType w:val="multilevel"/>
    <w:tmpl w:val="A7984188"/>
    <w:lvl w:ilvl="0" w:tentative="0">
      <w:start w:val="7"/>
      <w:numFmt w:val="decimal"/>
      <w:lvlText w:val="%1"/>
      <w:lvlJc w:val="left"/>
      <w:pPr>
        <w:ind w:left="138" w:hanging="529"/>
      </w:pPr>
      <w:rPr>
        <w:rFonts w:hint="default" w:ascii="Times New Roman" w:hAnsi="Times New Roman" w:cs="Times New Roman"/>
      </w:rPr>
    </w:lvl>
    <w:lvl w:ilvl="1" w:tentative="0">
      <w:start w:val="2"/>
      <w:numFmt w:val="decimal"/>
      <w:lvlText w:val="%1.%2"/>
      <w:lvlJc w:val="left"/>
      <w:pPr>
        <w:ind w:left="138" w:hanging="529"/>
      </w:pPr>
      <w:rPr>
        <w:rFonts w:hint="default" w:ascii="Times New Roman" w:hAnsi="Times New Roman" w:cs="Times New Roman"/>
      </w:rPr>
    </w:lvl>
    <w:lvl w:ilvl="2" w:tentative="0">
      <w:start w:val="1"/>
      <w:numFmt w:val="decimal"/>
      <w:lvlText w:val="%1.%2.%3"/>
      <w:lvlJc w:val="left"/>
      <w:pPr>
        <w:ind w:left="138" w:hanging="529"/>
      </w:pPr>
      <w:rPr>
        <w:rFonts w:hint="eastAsia" w:ascii="宋体" w:hAnsi="宋体" w:eastAsia="宋体" w:cs="宋体"/>
        <w:spacing w:val="-32"/>
        <w:sz w:val="19"/>
        <w:szCs w:val="19"/>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15">
    <w:nsid w:val="A7D966A0"/>
    <w:multiLevelType w:val="multilevel"/>
    <w:tmpl w:val="A7D966A0"/>
    <w:lvl w:ilvl="0" w:tentative="0">
      <w:start w:val="4"/>
      <w:numFmt w:val="decimal"/>
      <w:lvlText w:val="%1"/>
      <w:lvlJc w:val="left"/>
      <w:pPr>
        <w:ind w:left="1087" w:hanging="529"/>
      </w:pPr>
      <w:rPr>
        <w:rFonts w:hint="default" w:ascii="Times New Roman" w:hAnsi="Times New Roman" w:cs="Times New Roman"/>
      </w:rPr>
    </w:lvl>
    <w:lvl w:ilvl="1" w:tentative="0">
      <w:start w:val="1"/>
      <w:numFmt w:val="decimal"/>
      <w:lvlText w:val="%1.%2"/>
      <w:lvlJc w:val="left"/>
      <w:pPr>
        <w:ind w:left="1087" w:hanging="529"/>
      </w:pPr>
      <w:rPr>
        <w:rFonts w:hint="default" w:ascii="Times New Roman" w:hAnsi="Times New Roman" w:cs="Times New Roman"/>
      </w:rPr>
    </w:lvl>
    <w:lvl w:ilvl="2" w:tentative="0">
      <w:start w:val="4"/>
      <w:numFmt w:val="decimal"/>
      <w:lvlText w:val="%1.%2.%3"/>
      <w:lvlJc w:val="left"/>
      <w:pPr>
        <w:ind w:left="1087" w:hanging="529"/>
      </w:pPr>
      <w:rPr>
        <w:rFonts w:hint="eastAsia" w:ascii="宋体" w:hAnsi="宋体" w:eastAsia="宋体" w:cs="宋体"/>
        <w:sz w:val="19"/>
        <w:szCs w:val="19"/>
      </w:rPr>
    </w:lvl>
    <w:lvl w:ilvl="3" w:tentative="0">
      <w:start w:val="0"/>
      <w:numFmt w:val="bullet"/>
      <w:lvlText w:val="•"/>
      <w:lvlJc w:val="left"/>
      <w:pPr>
        <w:ind w:left="3385" w:hanging="529"/>
      </w:pPr>
      <w:rPr>
        <w:rFonts w:hint="default" w:ascii="Times New Roman" w:hAnsi="Times New Roman" w:cs="Times New Roman"/>
      </w:rPr>
    </w:lvl>
    <w:lvl w:ilvl="4" w:tentative="0">
      <w:start w:val="0"/>
      <w:numFmt w:val="bullet"/>
      <w:lvlText w:val="•"/>
      <w:lvlJc w:val="left"/>
      <w:pPr>
        <w:ind w:left="4154" w:hanging="529"/>
      </w:pPr>
      <w:rPr>
        <w:rFonts w:hint="default" w:ascii="Times New Roman" w:hAnsi="Times New Roman" w:cs="Times New Roman"/>
      </w:rPr>
    </w:lvl>
    <w:lvl w:ilvl="5" w:tentative="0">
      <w:start w:val="0"/>
      <w:numFmt w:val="bullet"/>
      <w:lvlText w:val="•"/>
      <w:lvlJc w:val="left"/>
      <w:pPr>
        <w:ind w:left="4923" w:hanging="529"/>
      </w:pPr>
      <w:rPr>
        <w:rFonts w:hint="default" w:ascii="Times New Roman" w:hAnsi="Times New Roman" w:cs="Times New Roman"/>
      </w:rPr>
    </w:lvl>
    <w:lvl w:ilvl="6" w:tentative="0">
      <w:start w:val="0"/>
      <w:numFmt w:val="bullet"/>
      <w:lvlText w:val="•"/>
      <w:lvlJc w:val="left"/>
      <w:pPr>
        <w:ind w:left="5691" w:hanging="529"/>
      </w:pPr>
      <w:rPr>
        <w:rFonts w:hint="default" w:ascii="Times New Roman" w:hAnsi="Times New Roman" w:cs="Times New Roman"/>
      </w:rPr>
    </w:lvl>
    <w:lvl w:ilvl="7" w:tentative="0">
      <w:start w:val="0"/>
      <w:numFmt w:val="bullet"/>
      <w:lvlText w:val="•"/>
      <w:lvlJc w:val="left"/>
      <w:pPr>
        <w:ind w:left="6460" w:hanging="529"/>
      </w:pPr>
      <w:rPr>
        <w:rFonts w:hint="default" w:ascii="Times New Roman" w:hAnsi="Times New Roman" w:cs="Times New Roman"/>
      </w:rPr>
    </w:lvl>
    <w:lvl w:ilvl="8" w:tentative="0">
      <w:start w:val="0"/>
      <w:numFmt w:val="bullet"/>
      <w:lvlText w:val="•"/>
      <w:lvlJc w:val="left"/>
      <w:pPr>
        <w:ind w:left="7229" w:hanging="529"/>
      </w:pPr>
      <w:rPr>
        <w:rFonts w:hint="default" w:ascii="Times New Roman" w:hAnsi="Times New Roman" w:cs="Times New Roman"/>
      </w:rPr>
    </w:lvl>
  </w:abstractNum>
  <w:abstractNum w:abstractNumId="16">
    <w:nsid w:val="A7F3773F"/>
    <w:multiLevelType w:val="multilevel"/>
    <w:tmpl w:val="A7F3773F"/>
    <w:lvl w:ilvl="0" w:tentative="0">
      <w:start w:val="3"/>
      <w:numFmt w:val="decimal"/>
      <w:lvlText w:val="%1"/>
      <w:lvlJc w:val="left"/>
      <w:pPr>
        <w:ind w:left="1087" w:hanging="529"/>
      </w:pPr>
      <w:rPr>
        <w:rFonts w:hint="default" w:ascii="Times New Roman" w:hAnsi="Times New Roman" w:cs="Times New Roman"/>
      </w:rPr>
    </w:lvl>
    <w:lvl w:ilvl="1" w:tentative="0">
      <w:start w:val="4"/>
      <w:numFmt w:val="decimal"/>
      <w:lvlText w:val="%1.%2"/>
      <w:lvlJc w:val="left"/>
      <w:pPr>
        <w:ind w:left="1087" w:hanging="529"/>
      </w:pPr>
      <w:rPr>
        <w:rFonts w:hint="default" w:ascii="Times New Roman" w:hAnsi="Times New Roman" w:cs="Times New Roman"/>
      </w:rPr>
    </w:lvl>
    <w:lvl w:ilvl="2" w:tentative="0">
      <w:start w:val="1"/>
      <w:numFmt w:val="decimal"/>
      <w:lvlText w:val="%1.%2.%3"/>
      <w:lvlJc w:val="left"/>
      <w:pPr>
        <w:ind w:left="1087" w:hanging="529"/>
      </w:pPr>
      <w:rPr>
        <w:rFonts w:hint="eastAsia" w:ascii="宋体" w:hAnsi="宋体" w:eastAsia="宋体" w:cs="宋体"/>
        <w:sz w:val="19"/>
        <w:szCs w:val="19"/>
      </w:rPr>
    </w:lvl>
    <w:lvl w:ilvl="3" w:tentative="0">
      <w:start w:val="0"/>
      <w:numFmt w:val="bullet"/>
      <w:lvlText w:val="•"/>
      <w:lvlJc w:val="left"/>
      <w:pPr>
        <w:ind w:left="3385" w:hanging="529"/>
      </w:pPr>
      <w:rPr>
        <w:rFonts w:hint="default" w:ascii="Times New Roman" w:hAnsi="Times New Roman" w:cs="Times New Roman"/>
      </w:rPr>
    </w:lvl>
    <w:lvl w:ilvl="4" w:tentative="0">
      <w:start w:val="0"/>
      <w:numFmt w:val="bullet"/>
      <w:lvlText w:val="•"/>
      <w:lvlJc w:val="left"/>
      <w:pPr>
        <w:ind w:left="4154" w:hanging="529"/>
      </w:pPr>
      <w:rPr>
        <w:rFonts w:hint="default" w:ascii="Times New Roman" w:hAnsi="Times New Roman" w:cs="Times New Roman"/>
      </w:rPr>
    </w:lvl>
    <w:lvl w:ilvl="5" w:tentative="0">
      <w:start w:val="0"/>
      <w:numFmt w:val="bullet"/>
      <w:lvlText w:val="•"/>
      <w:lvlJc w:val="left"/>
      <w:pPr>
        <w:ind w:left="4923" w:hanging="529"/>
      </w:pPr>
      <w:rPr>
        <w:rFonts w:hint="default" w:ascii="Times New Roman" w:hAnsi="Times New Roman" w:cs="Times New Roman"/>
      </w:rPr>
    </w:lvl>
    <w:lvl w:ilvl="6" w:tentative="0">
      <w:start w:val="0"/>
      <w:numFmt w:val="bullet"/>
      <w:lvlText w:val="•"/>
      <w:lvlJc w:val="left"/>
      <w:pPr>
        <w:ind w:left="5691" w:hanging="529"/>
      </w:pPr>
      <w:rPr>
        <w:rFonts w:hint="default" w:ascii="Times New Roman" w:hAnsi="Times New Roman" w:cs="Times New Roman"/>
      </w:rPr>
    </w:lvl>
    <w:lvl w:ilvl="7" w:tentative="0">
      <w:start w:val="0"/>
      <w:numFmt w:val="bullet"/>
      <w:lvlText w:val="•"/>
      <w:lvlJc w:val="left"/>
      <w:pPr>
        <w:ind w:left="6460" w:hanging="529"/>
      </w:pPr>
      <w:rPr>
        <w:rFonts w:hint="default" w:ascii="Times New Roman" w:hAnsi="Times New Roman" w:cs="Times New Roman"/>
      </w:rPr>
    </w:lvl>
    <w:lvl w:ilvl="8" w:tentative="0">
      <w:start w:val="0"/>
      <w:numFmt w:val="bullet"/>
      <w:lvlText w:val="•"/>
      <w:lvlJc w:val="left"/>
      <w:pPr>
        <w:ind w:left="7229" w:hanging="529"/>
      </w:pPr>
      <w:rPr>
        <w:rFonts w:hint="default" w:ascii="Times New Roman" w:hAnsi="Times New Roman" w:cs="Times New Roman"/>
      </w:rPr>
    </w:lvl>
  </w:abstractNum>
  <w:abstractNum w:abstractNumId="17">
    <w:nsid w:val="A96722C6"/>
    <w:multiLevelType w:val="multilevel"/>
    <w:tmpl w:val="A96722C6"/>
    <w:lvl w:ilvl="0" w:tentative="0">
      <w:start w:val="1"/>
      <w:numFmt w:val="decimal"/>
      <w:lvlText w:val="%1"/>
      <w:lvlJc w:val="left"/>
      <w:pPr>
        <w:ind w:left="1087" w:hanging="529"/>
      </w:pPr>
      <w:rPr>
        <w:rFonts w:hint="default" w:ascii="Times New Roman" w:hAnsi="Times New Roman" w:cs="Times New Roman"/>
      </w:rPr>
    </w:lvl>
    <w:lvl w:ilvl="1" w:tentative="0">
      <w:start w:val="6"/>
      <w:numFmt w:val="decimal"/>
      <w:lvlText w:val="%1.%2"/>
      <w:lvlJc w:val="left"/>
      <w:pPr>
        <w:ind w:left="1087" w:hanging="529"/>
      </w:pPr>
      <w:rPr>
        <w:rFonts w:hint="default" w:ascii="Times New Roman" w:hAnsi="Times New Roman" w:cs="Times New Roman"/>
      </w:rPr>
    </w:lvl>
    <w:lvl w:ilvl="2" w:tentative="0">
      <w:start w:val="3"/>
      <w:numFmt w:val="decimal"/>
      <w:lvlText w:val="%1.%2.%3"/>
      <w:lvlJc w:val="left"/>
      <w:pPr>
        <w:ind w:left="1087" w:hanging="529"/>
      </w:pPr>
      <w:rPr>
        <w:rFonts w:hint="eastAsia" w:ascii="宋体" w:hAnsi="宋体" w:eastAsia="宋体" w:cs="宋体"/>
        <w:sz w:val="19"/>
        <w:szCs w:val="19"/>
      </w:rPr>
    </w:lvl>
    <w:lvl w:ilvl="3" w:tentative="0">
      <w:start w:val="0"/>
      <w:numFmt w:val="bullet"/>
      <w:lvlText w:val="•"/>
      <w:lvlJc w:val="left"/>
      <w:pPr>
        <w:ind w:left="3385" w:hanging="529"/>
      </w:pPr>
      <w:rPr>
        <w:rFonts w:hint="default" w:ascii="Times New Roman" w:hAnsi="Times New Roman" w:cs="Times New Roman"/>
      </w:rPr>
    </w:lvl>
    <w:lvl w:ilvl="4" w:tentative="0">
      <w:start w:val="0"/>
      <w:numFmt w:val="bullet"/>
      <w:lvlText w:val="•"/>
      <w:lvlJc w:val="left"/>
      <w:pPr>
        <w:ind w:left="4154" w:hanging="529"/>
      </w:pPr>
      <w:rPr>
        <w:rFonts w:hint="default" w:ascii="Times New Roman" w:hAnsi="Times New Roman" w:cs="Times New Roman"/>
      </w:rPr>
    </w:lvl>
    <w:lvl w:ilvl="5" w:tentative="0">
      <w:start w:val="0"/>
      <w:numFmt w:val="bullet"/>
      <w:lvlText w:val="•"/>
      <w:lvlJc w:val="left"/>
      <w:pPr>
        <w:ind w:left="4923" w:hanging="529"/>
      </w:pPr>
      <w:rPr>
        <w:rFonts w:hint="default" w:ascii="Times New Roman" w:hAnsi="Times New Roman" w:cs="Times New Roman"/>
      </w:rPr>
    </w:lvl>
    <w:lvl w:ilvl="6" w:tentative="0">
      <w:start w:val="0"/>
      <w:numFmt w:val="bullet"/>
      <w:lvlText w:val="•"/>
      <w:lvlJc w:val="left"/>
      <w:pPr>
        <w:ind w:left="5691" w:hanging="529"/>
      </w:pPr>
      <w:rPr>
        <w:rFonts w:hint="default" w:ascii="Times New Roman" w:hAnsi="Times New Roman" w:cs="Times New Roman"/>
      </w:rPr>
    </w:lvl>
    <w:lvl w:ilvl="7" w:tentative="0">
      <w:start w:val="0"/>
      <w:numFmt w:val="bullet"/>
      <w:lvlText w:val="•"/>
      <w:lvlJc w:val="left"/>
      <w:pPr>
        <w:ind w:left="6460" w:hanging="529"/>
      </w:pPr>
      <w:rPr>
        <w:rFonts w:hint="default" w:ascii="Times New Roman" w:hAnsi="Times New Roman" w:cs="Times New Roman"/>
      </w:rPr>
    </w:lvl>
    <w:lvl w:ilvl="8" w:tentative="0">
      <w:start w:val="0"/>
      <w:numFmt w:val="bullet"/>
      <w:lvlText w:val="•"/>
      <w:lvlJc w:val="left"/>
      <w:pPr>
        <w:ind w:left="7229" w:hanging="529"/>
      </w:pPr>
      <w:rPr>
        <w:rFonts w:hint="default" w:ascii="Times New Roman" w:hAnsi="Times New Roman" w:cs="Times New Roman"/>
      </w:rPr>
    </w:lvl>
  </w:abstractNum>
  <w:abstractNum w:abstractNumId="18">
    <w:nsid w:val="AE156F70"/>
    <w:multiLevelType w:val="multilevel"/>
    <w:tmpl w:val="AE156F70"/>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19">
    <w:nsid w:val="AEA72991"/>
    <w:multiLevelType w:val="multilevel"/>
    <w:tmpl w:val="AEA72991"/>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48" w:hanging="529"/>
      </w:pPr>
      <w:rPr>
        <w:rFonts w:hint="default" w:ascii="Times New Roman" w:hAnsi="Times New Roman" w:cs="Times New Roman"/>
      </w:rPr>
    </w:lvl>
    <w:lvl w:ilvl="2" w:tentative="0">
      <w:start w:val="0"/>
      <w:numFmt w:val="bullet"/>
      <w:lvlText w:val="•"/>
      <w:lvlJc w:val="left"/>
      <w:pPr>
        <w:ind w:left="2617" w:hanging="529"/>
      </w:pPr>
      <w:rPr>
        <w:rFonts w:hint="default" w:ascii="Times New Roman" w:hAnsi="Times New Roman" w:cs="Times New Roman"/>
      </w:rPr>
    </w:lvl>
    <w:lvl w:ilvl="3" w:tentative="0">
      <w:start w:val="0"/>
      <w:numFmt w:val="bullet"/>
      <w:lvlText w:val="•"/>
      <w:lvlJc w:val="left"/>
      <w:pPr>
        <w:ind w:left="3385" w:hanging="529"/>
      </w:pPr>
      <w:rPr>
        <w:rFonts w:hint="default" w:ascii="Times New Roman" w:hAnsi="Times New Roman" w:cs="Times New Roman"/>
      </w:rPr>
    </w:lvl>
    <w:lvl w:ilvl="4" w:tentative="0">
      <w:start w:val="0"/>
      <w:numFmt w:val="bullet"/>
      <w:lvlText w:val="•"/>
      <w:lvlJc w:val="left"/>
      <w:pPr>
        <w:ind w:left="4154" w:hanging="529"/>
      </w:pPr>
      <w:rPr>
        <w:rFonts w:hint="default" w:ascii="Times New Roman" w:hAnsi="Times New Roman" w:cs="Times New Roman"/>
      </w:rPr>
    </w:lvl>
    <w:lvl w:ilvl="5" w:tentative="0">
      <w:start w:val="0"/>
      <w:numFmt w:val="bullet"/>
      <w:lvlText w:val="•"/>
      <w:lvlJc w:val="left"/>
      <w:pPr>
        <w:ind w:left="4923" w:hanging="529"/>
      </w:pPr>
      <w:rPr>
        <w:rFonts w:hint="default" w:ascii="Times New Roman" w:hAnsi="Times New Roman" w:cs="Times New Roman"/>
      </w:rPr>
    </w:lvl>
    <w:lvl w:ilvl="6" w:tentative="0">
      <w:start w:val="0"/>
      <w:numFmt w:val="bullet"/>
      <w:lvlText w:val="•"/>
      <w:lvlJc w:val="left"/>
      <w:pPr>
        <w:ind w:left="5691" w:hanging="529"/>
      </w:pPr>
      <w:rPr>
        <w:rFonts w:hint="default" w:ascii="Times New Roman" w:hAnsi="Times New Roman" w:cs="Times New Roman"/>
      </w:rPr>
    </w:lvl>
    <w:lvl w:ilvl="7" w:tentative="0">
      <w:start w:val="0"/>
      <w:numFmt w:val="bullet"/>
      <w:lvlText w:val="•"/>
      <w:lvlJc w:val="left"/>
      <w:pPr>
        <w:ind w:left="6460" w:hanging="529"/>
      </w:pPr>
      <w:rPr>
        <w:rFonts w:hint="default" w:ascii="Times New Roman" w:hAnsi="Times New Roman" w:cs="Times New Roman"/>
      </w:rPr>
    </w:lvl>
    <w:lvl w:ilvl="8" w:tentative="0">
      <w:start w:val="0"/>
      <w:numFmt w:val="bullet"/>
      <w:lvlText w:val="•"/>
      <w:lvlJc w:val="left"/>
      <w:pPr>
        <w:ind w:left="7229" w:hanging="529"/>
      </w:pPr>
      <w:rPr>
        <w:rFonts w:hint="default" w:ascii="Times New Roman" w:hAnsi="Times New Roman" w:cs="Times New Roman"/>
      </w:rPr>
    </w:lvl>
  </w:abstractNum>
  <w:abstractNum w:abstractNumId="20">
    <w:nsid w:val="B096CA71"/>
    <w:multiLevelType w:val="multilevel"/>
    <w:tmpl w:val="B096CA71"/>
    <w:lvl w:ilvl="0" w:tentative="0">
      <w:start w:val="1"/>
      <w:numFmt w:val="decimal"/>
      <w:lvlText w:val="（%1）"/>
      <w:lvlJc w:val="left"/>
      <w:pPr>
        <w:ind w:left="138" w:hanging="529"/>
      </w:pPr>
      <w:rPr>
        <w:rFonts w:hint="eastAsia" w:ascii="宋体" w:hAnsi="宋体" w:eastAsia="宋体" w:cs="宋体"/>
        <w:spacing w:val="-46"/>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21">
    <w:nsid w:val="B71730CD"/>
    <w:multiLevelType w:val="singleLevel"/>
    <w:tmpl w:val="B71730CD"/>
    <w:lvl w:ilvl="0" w:tentative="0">
      <w:start w:val="5"/>
      <w:numFmt w:val="decimal"/>
      <w:suff w:val="nothing"/>
      <w:lvlText w:val="（%1）"/>
      <w:lvlJc w:val="left"/>
    </w:lvl>
  </w:abstractNum>
  <w:abstractNum w:abstractNumId="22">
    <w:nsid w:val="B96119FD"/>
    <w:multiLevelType w:val="multilevel"/>
    <w:tmpl w:val="B96119FD"/>
    <w:lvl w:ilvl="0" w:tentative="0">
      <w:start w:val="5"/>
      <w:numFmt w:val="decimal"/>
      <w:lvlText w:val="%1"/>
      <w:lvlJc w:val="left"/>
      <w:pPr>
        <w:ind w:left="138" w:hanging="529"/>
      </w:pPr>
      <w:rPr>
        <w:rFonts w:hint="default" w:ascii="Times New Roman" w:hAnsi="Times New Roman" w:cs="Times New Roman"/>
      </w:rPr>
    </w:lvl>
    <w:lvl w:ilvl="1" w:tentative="0">
      <w:start w:val="1"/>
      <w:numFmt w:val="decimal"/>
      <w:lvlText w:val="%1.%2"/>
      <w:lvlJc w:val="left"/>
      <w:pPr>
        <w:ind w:left="138" w:hanging="529"/>
      </w:pPr>
      <w:rPr>
        <w:rFonts w:hint="default" w:ascii="Times New Roman" w:hAnsi="Times New Roman" w:cs="Times New Roman"/>
      </w:rPr>
    </w:lvl>
    <w:lvl w:ilvl="2" w:tentative="0">
      <w:start w:val="1"/>
      <w:numFmt w:val="decimal"/>
      <w:lvlText w:val="%1.%2.%3"/>
      <w:lvlJc w:val="left"/>
      <w:pPr>
        <w:ind w:left="138" w:hanging="529"/>
      </w:pPr>
      <w:rPr>
        <w:rFonts w:hint="eastAsia" w:ascii="宋体" w:hAnsi="宋体" w:eastAsia="宋体" w:cs="宋体"/>
        <w:sz w:val="19"/>
        <w:szCs w:val="19"/>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23">
    <w:nsid w:val="BA2BD2F9"/>
    <w:multiLevelType w:val="multilevel"/>
    <w:tmpl w:val="BA2BD2F9"/>
    <w:lvl w:ilvl="0" w:tentative="0">
      <w:start w:val="17"/>
      <w:numFmt w:val="decimal"/>
      <w:lvlText w:val="%1"/>
      <w:lvlJc w:val="left"/>
      <w:pPr>
        <w:ind w:left="619" w:hanging="481"/>
      </w:pPr>
      <w:rPr>
        <w:rFonts w:hint="default" w:ascii="Times New Roman" w:hAnsi="Times New Roman" w:cs="Times New Roman"/>
      </w:rPr>
    </w:lvl>
    <w:lvl w:ilvl="1" w:tentative="0">
      <w:start w:val="5"/>
      <w:numFmt w:val="decimal"/>
      <w:lvlText w:val="%1.%2"/>
      <w:lvlJc w:val="left"/>
      <w:pPr>
        <w:ind w:left="619" w:hanging="481"/>
      </w:pPr>
      <w:rPr>
        <w:rFonts w:hint="eastAsia" w:ascii="宋体" w:hAnsi="宋体" w:eastAsia="宋体" w:cs="宋体"/>
        <w:spacing w:val="-1"/>
        <w:sz w:val="22"/>
        <w:szCs w:val="22"/>
      </w:rPr>
    </w:lvl>
    <w:lvl w:ilvl="2" w:tentative="0">
      <w:start w:val="1"/>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2881" w:hanging="635"/>
      </w:pPr>
      <w:rPr>
        <w:rFonts w:hint="default" w:ascii="Times New Roman" w:hAnsi="Times New Roman" w:cs="Times New Roman"/>
      </w:rPr>
    </w:lvl>
    <w:lvl w:ilvl="4" w:tentative="0">
      <w:start w:val="0"/>
      <w:numFmt w:val="bullet"/>
      <w:lvlText w:val="•"/>
      <w:lvlJc w:val="left"/>
      <w:pPr>
        <w:ind w:left="3722" w:hanging="635"/>
      </w:pPr>
      <w:rPr>
        <w:rFonts w:hint="default" w:ascii="Times New Roman" w:hAnsi="Times New Roman" w:cs="Times New Roman"/>
      </w:rPr>
    </w:lvl>
    <w:lvl w:ilvl="5" w:tentative="0">
      <w:start w:val="0"/>
      <w:numFmt w:val="bullet"/>
      <w:lvlText w:val="•"/>
      <w:lvlJc w:val="left"/>
      <w:pPr>
        <w:ind w:left="4562" w:hanging="635"/>
      </w:pPr>
      <w:rPr>
        <w:rFonts w:hint="default" w:ascii="Times New Roman" w:hAnsi="Times New Roman" w:cs="Times New Roman"/>
      </w:rPr>
    </w:lvl>
    <w:lvl w:ilvl="6" w:tentative="0">
      <w:start w:val="0"/>
      <w:numFmt w:val="bullet"/>
      <w:lvlText w:val="•"/>
      <w:lvlJc w:val="left"/>
      <w:pPr>
        <w:ind w:left="5403" w:hanging="635"/>
      </w:pPr>
      <w:rPr>
        <w:rFonts w:hint="default" w:ascii="Times New Roman" w:hAnsi="Times New Roman" w:cs="Times New Roman"/>
      </w:rPr>
    </w:lvl>
    <w:lvl w:ilvl="7" w:tentative="0">
      <w:start w:val="0"/>
      <w:numFmt w:val="bullet"/>
      <w:lvlText w:val="•"/>
      <w:lvlJc w:val="left"/>
      <w:pPr>
        <w:ind w:left="6244" w:hanging="635"/>
      </w:pPr>
      <w:rPr>
        <w:rFonts w:hint="default" w:ascii="Times New Roman" w:hAnsi="Times New Roman" w:cs="Times New Roman"/>
      </w:rPr>
    </w:lvl>
    <w:lvl w:ilvl="8" w:tentative="0">
      <w:start w:val="0"/>
      <w:numFmt w:val="bullet"/>
      <w:lvlText w:val="•"/>
      <w:lvlJc w:val="left"/>
      <w:pPr>
        <w:ind w:left="7084" w:hanging="635"/>
      </w:pPr>
      <w:rPr>
        <w:rFonts w:hint="default" w:ascii="Times New Roman" w:hAnsi="Times New Roman" w:cs="Times New Roman"/>
      </w:rPr>
    </w:lvl>
  </w:abstractNum>
  <w:abstractNum w:abstractNumId="24">
    <w:nsid w:val="BF24FD4C"/>
    <w:multiLevelType w:val="multilevel"/>
    <w:tmpl w:val="BF24FD4C"/>
    <w:lvl w:ilvl="0" w:tentative="0">
      <w:start w:val="20"/>
      <w:numFmt w:val="decimal"/>
      <w:lvlText w:val="%1"/>
      <w:lvlJc w:val="left"/>
      <w:pPr>
        <w:ind w:left="1192" w:hanging="635"/>
      </w:pPr>
      <w:rPr>
        <w:rFonts w:hint="default" w:ascii="Times New Roman" w:hAnsi="Times New Roman" w:cs="Times New Roman"/>
      </w:rPr>
    </w:lvl>
    <w:lvl w:ilvl="1" w:tentative="0">
      <w:start w:val="6"/>
      <w:numFmt w:val="decimal"/>
      <w:lvlText w:val="%1.%2"/>
      <w:lvlJc w:val="left"/>
      <w:pPr>
        <w:ind w:left="1192" w:hanging="635"/>
      </w:pPr>
      <w:rPr>
        <w:rFonts w:hint="default" w:ascii="Times New Roman" w:hAnsi="Times New Roman" w:cs="Times New Roman"/>
      </w:rPr>
    </w:lvl>
    <w:lvl w:ilvl="2" w:tentative="0">
      <w:start w:val="1"/>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3469" w:hanging="635"/>
      </w:pPr>
      <w:rPr>
        <w:rFonts w:hint="default" w:ascii="Times New Roman" w:hAnsi="Times New Roman" w:cs="Times New Roman"/>
      </w:rPr>
    </w:lvl>
    <w:lvl w:ilvl="4" w:tentative="0">
      <w:start w:val="0"/>
      <w:numFmt w:val="bullet"/>
      <w:lvlText w:val="•"/>
      <w:lvlJc w:val="left"/>
      <w:pPr>
        <w:ind w:left="4226" w:hanging="635"/>
      </w:pPr>
      <w:rPr>
        <w:rFonts w:hint="default" w:ascii="Times New Roman" w:hAnsi="Times New Roman" w:cs="Times New Roman"/>
      </w:rPr>
    </w:lvl>
    <w:lvl w:ilvl="5" w:tentative="0">
      <w:start w:val="0"/>
      <w:numFmt w:val="bullet"/>
      <w:lvlText w:val="•"/>
      <w:lvlJc w:val="left"/>
      <w:pPr>
        <w:ind w:left="4983" w:hanging="635"/>
      </w:pPr>
      <w:rPr>
        <w:rFonts w:hint="default" w:ascii="Times New Roman" w:hAnsi="Times New Roman" w:cs="Times New Roman"/>
      </w:rPr>
    </w:lvl>
    <w:lvl w:ilvl="6" w:tentative="0">
      <w:start w:val="0"/>
      <w:numFmt w:val="bullet"/>
      <w:lvlText w:val="•"/>
      <w:lvlJc w:val="left"/>
      <w:pPr>
        <w:ind w:left="5739" w:hanging="635"/>
      </w:pPr>
      <w:rPr>
        <w:rFonts w:hint="default" w:ascii="Times New Roman" w:hAnsi="Times New Roman" w:cs="Times New Roman"/>
      </w:rPr>
    </w:lvl>
    <w:lvl w:ilvl="7" w:tentative="0">
      <w:start w:val="0"/>
      <w:numFmt w:val="bullet"/>
      <w:lvlText w:val="•"/>
      <w:lvlJc w:val="left"/>
      <w:pPr>
        <w:ind w:left="6496" w:hanging="635"/>
      </w:pPr>
      <w:rPr>
        <w:rFonts w:hint="default" w:ascii="Times New Roman" w:hAnsi="Times New Roman" w:cs="Times New Roman"/>
      </w:rPr>
    </w:lvl>
    <w:lvl w:ilvl="8" w:tentative="0">
      <w:start w:val="0"/>
      <w:numFmt w:val="bullet"/>
      <w:lvlText w:val="•"/>
      <w:lvlJc w:val="left"/>
      <w:pPr>
        <w:ind w:left="7253" w:hanging="635"/>
      </w:pPr>
      <w:rPr>
        <w:rFonts w:hint="default" w:ascii="Times New Roman" w:hAnsi="Times New Roman" w:cs="Times New Roman"/>
      </w:rPr>
    </w:lvl>
  </w:abstractNum>
  <w:abstractNum w:abstractNumId="25">
    <w:nsid w:val="C1741BC7"/>
    <w:multiLevelType w:val="multilevel"/>
    <w:tmpl w:val="C1741BC7"/>
    <w:lvl w:ilvl="0" w:tentative="0">
      <w:start w:val="16"/>
      <w:numFmt w:val="decimal"/>
      <w:lvlText w:val="%1"/>
      <w:lvlJc w:val="left"/>
      <w:pPr>
        <w:ind w:left="1192" w:hanging="635"/>
      </w:pPr>
      <w:rPr>
        <w:rFonts w:hint="default" w:ascii="Times New Roman" w:hAnsi="Times New Roman" w:cs="Times New Roman"/>
      </w:rPr>
    </w:lvl>
    <w:lvl w:ilvl="1" w:tentative="0">
      <w:start w:val="1"/>
      <w:numFmt w:val="decimal"/>
      <w:lvlText w:val="%1.%2"/>
      <w:lvlJc w:val="left"/>
      <w:pPr>
        <w:ind w:left="1192" w:hanging="635"/>
      </w:pPr>
      <w:rPr>
        <w:rFonts w:hint="default" w:ascii="Times New Roman" w:hAnsi="Times New Roman" w:cs="Times New Roman"/>
      </w:rPr>
    </w:lvl>
    <w:lvl w:ilvl="2" w:tentative="0">
      <w:start w:val="2"/>
      <w:numFmt w:val="decimal"/>
      <w:lvlText w:val="%1.%2.%3"/>
      <w:lvlJc w:val="left"/>
      <w:pPr>
        <w:ind w:left="1192" w:hanging="635"/>
      </w:pPr>
      <w:rPr>
        <w:rFonts w:hint="eastAsia" w:ascii="宋体" w:hAnsi="宋体" w:eastAsia="宋体" w:cs="宋体"/>
        <w:spacing w:val="-3"/>
        <w:sz w:val="19"/>
        <w:szCs w:val="19"/>
      </w:rPr>
    </w:lvl>
    <w:lvl w:ilvl="3" w:tentative="0">
      <w:start w:val="1"/>
      <w:numFmt w:val="decimal"/>
      <w:lvlText w:val="%1.%2.%3.%4"/>
      <w:lvlJc w:val="left"/>
      <w:pPr>
        <w:ind w:left="1612" w:hanging="844"/>
      </w:pPr>
      <w:rPr>
        <w:rFonts w:hint="eastAsia" w:ascii="宋体" w:hAnsi="宋体" w:eastAsia="宋体" w:cs="宋体"/>
        <w:spacing w:val="-3"/>
        <w:sz w:val="19"/>
        <w:szCs w:val="19"/>
      </w:rPr>
    </w:lvl>
    <w:lvl w:ilvl="4" w:tentative="0">
      <w:start w:val="0"/>
      <w:numFmt w:val="bullet"/>
      <w:lvlText w:val="•"/>
      <w:lvlJc w:val="left"/>
      <w:pPr>
        <w:ind w:left="4002" w:hanging="844"/>
      </w:pPr>
      <w:rPr>
        <w:rFonts w:hint="default" w:ascii="Times New Roman" w:hAnsi="Times New Roman" w:cs="Times New Roman"/>
      </w:rPr>
    </w:lvl>
    <w:lvl w:ilvl="5" w:tentative="0">
      <w:start w:val="0"/>
      <w:numFmt w:val="bullet"/>
      <w:lvlText w:val="•"/>
      <w:lvlJc w:val="left"/>
      <w:pPr>
        <w:ind w:left="4796" w:hanging="844"/>
      </w:pPr>
      <w:rPr>
        <w:rFonts w:hint="default" w:ascii="Times New Roman" w:hAnsi="Times New Roman" w:cs="Times New Roman"/>
      </w:rPr>
    </w:lvl>
    <w:lvl w:ilvl="6" w:tentative="0">
      <w:start w:val="0"/>
      <w:numFmt w:val="bullet"/>
      <w:lvlText w:val="•"/>
      <w:lvlJc w:val="left"/>
      <w:pPr>
        <w:ind w:left="5590" w:hanging="844"/>
      </w:pPr>
      <w:rPr>
        <w:rFonts w:hint="default" w:ascii="Times New Roman" w:hAnsi="Times New Roman" w:cs="Times New Roman"/>
      </w:rPr>
    </w:lvl>
    <w:lvl w:ilvl="7" w:tentative="0">
      <w:start w:val="0"/>
      <w:numFmt w:val="bullet"/>
      <w:lvlText w:val="•"/>
      <w:lvlJc w:val="left"/>
      <w:pPr>
        <w:ind w:left="6384" w:hanging="844"/>
      </w:pPr>
      <w:rPr>
        <w:rFonts w:hint="default" w:ascii="Times New Roman" w:hAnsi="Times New Roman" w:cs="Times New Roman"/>
      </w:rPr>
    </w:lvl>
    <w:lvl w:ilvl="8" w:tentative="0">
      <w:start w:val="0"/>
      <w:numFmt w:val="bullet"/>
      <w:lvlText w:val="•"/>
      <w:lvlJc w:val="left"/>
      <w:pPr>
        <w:ind w:left="7178" w:hanging="844"/>
      </w:pPr>
      <w:rPr>
        <w:rFonts w:hint="default" w:ascii="Times New Roman" w:hAnsi="Times New Roman" w:cs="Times New Roman"/>
      </w:rPr>
    </w:lvl>
  </w:abstractNum>
  <w:abstractNum w:abstractNumId="26">
    <w:nsid w:val="C1A8BCC3"/>
    <w:multiLevelType w:val="multilevel"/>
    <w:tmpl w:val="C1A8BCC3"/>
    <w:lvl w:ilvl="0" w:tentative="0">
      <w:start w:val="13"/>
      <w:numFmt w:val="decimal"/>
      <w:lvlText w:val="%1"/>
      <w:lvlJc w:val="left"/>
      <w:pPr>
        <w:ind w:left="1192" w:hanging="635"/>
      </w:pPr>
      <w:rPr>
        <w:rFonts w:hint="default" w:ascii="Times New Roman" w:hAnsi="Times New Roman" w:cs="Times New Roman"/>
      </w:rPr>
    </w:lvl>
    <w:lvl w:ilvl="1" w:tentative="0">
      <w:start w:val="5"/>
      <w:numFmt w:val="decimal"/>
      <w:lvlText w:val="%1.%2"/>
      <w:lvlJc w:val="left"/>
      <w:pPr>
        <w:ind w:left="1192" w:hanging="635"/>
      </w:pPr>
      <w:rPr>
        <w:rFonts w:hint="default" w:ascii="Times New Roman" w:hAnsi="Times New Roman" w:cs="Times New Roman"/>
      </w:rPr>
    </w:lvl>
    <w:lvl w:ilvl="2" w:tentative="0">
      <w:start w:val="1"/>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3469" w:hanging="635"/>
      </w:pPr>
      <w:rPr>
        <w:rFonts w:hint="default" w:ascii="Times New Roman" w:hAnsi="Times New Roman" w:cs="Times New Roman"/>
      </w:rPr>
    </w:lvl>
    <w:lvl w:ilvl="4" w:tentative="0">
      <w:start w:val="0"/>
      <w:numFmt w:val="bullet"/>
      <w:lvlText w:val="•"/>
      <w:lvlJc w:val="left"/>
      <w:pPr>
        <w:ind w:left="4226" w:hanging="635"/>
      </w:pPr>
      <w:rPr>
        <w:rFonts w:hint="default" w:ascii="Times New Roman" w:hAnsi="Times New Roman" w:cs="Times New Roman"/>
      </w:rPr>
    </w:lvl>
    <w:lvl w:ilvl="5" w:tentative="0">
      <w:start w:val="0"/>
      <w:numFmt w:val="bullet"/>
      <w:lvlText w:val="•"/>
      <w:lvlJc w:val="left"/>
      <w:pPr>
        <w:ind w:left="4983" w:hanging="635"/>
      </w:pPr>
      <w:rPr>
        <w:rFonts w:hint="default" w:ascii="Times New Roman" w:hAnsi="Times New Roman" w:cs="Times New Roman"/>
      </w:rPr>
    </w:lvl>
    <w:lvl w:ilvl="6" w:tentative="0">
      <w:start w:val="0"/>
      <w:numFmt w:val="bullet"/>
      <w:lvlText w:val="•"/>
      <w:lvlJc w:val="left"/>
      <w:pPr>
        <w:ind w:left="5739" w:hanging="635"/>
      </w:pPr>
      <w:rPr>
        <w:rFonts w:hint="default" w:ascii="Times New Roman" w:hAnsi="Times New Roman" w:cs="Times New Roman"/>
      </w:rPr>
    </w:lvl>
    <w:lvl w:ilvl="7" w:tentative="0">
      <w:start w:val="0"/>
      <w:numFmt w:val="bullet"/>
      <w:lvlText w:val="•"/>
      <w:lvlJc w:val="left"/>
      <w:pPr>
        <w:ind w:left="6496" w:hanging="635"/>
      </w:pPr>
      <w:rPr>
        <w:rFonts w:hint="default" w:ascii="Times New Roman" w:hAnsi="Times New Roman" w:cs="Times New Roman"/>
      </w:rPr>
    </w:lvl>
    <w:lvl w:ilvl="8" w:tentative="0">
      <w:start w:val="0"/>
      <w:numFmt w:val="bullet"/>
      <w:lvlText w:val="•"/>
      <w:lvlJc w:val="left"/>
      <w:pPr>
        <w:ind w:left="7253" w:hanging="635"/>
      </w:pPr>
      <w:rPr>
        <w:rFonts w:hint="default" w:ascii="Times New Roman" w:hAnsi="Times New Roman" w:cs="Times New Roman"/>
      </w:rPr>
    </w:lvl>
  </w:abstractNum>
  <w:abstractNum w:abstractNumId="27">
    <w:nsid w:val="C2600CC3"/>
    <w:multiLevelType w:val="multilevel"/>
    <w:tmpl w:val="C2600CC3"/>
    <w:lvl w:ilvl="0" w:tentative="0">
      <w:start w:val="5"/>
      <w:numFmt w:val="decimal"/>
      <w:lvlText w:val="%1"/>
      <w:lvlJc w:val="left"/>
      <w:pPr>
        <w:ind w:left="138" w:hanging="529"/>
      </w:pPr>
      <w:rPr>
        <w:rFonts w:hint="default" w:ascii="Times New Roman" w:hAnsi="Times New Roman" w:cs="Times New Roman"/>
      </w:rPr>
    </w:lvl>
    <w:lvl w:ilvl="1" w:tentative="0">
      <w:start w:val="4"/>
      <w:numFmt w:val="decimal"/>
      <w:lvlText w:val="%1.%2"/>
      <w:lvlJc w:val="left"/>
      <w:pPr>
        <w:ind w:left="138" w:hanging="529"/>
      </w:pPr>
      <w:rPr>
        <w:rFonts w:hint="default" w:ascii="Times New Roman" w:hAnsi="Times New Roman" w:cs="Times New Roman"/>
      </w:rPr>
    </w:lvl>
    <w:lvl w:ilvl="2" w:tentative="0">
      <w:start w:val="1"/>
      <w:numFmt w:val="decimal"/>
      <w:lvlText w:val="%1.%2.%3"/>
      <w:lvlJc w:val="left"/>
      <w:pPr>
        <w:ind w:left="138" w:hanging="529"/>
      </w:pPr>
      <w:rPr>
        <w:rFonts w:hint="eastAsia" w:ascii="宋体" w:hAnsi="宋体" w:eastAsia="宋体" w:cs="宋体"/>
        <w:spacing w:val="-25"/>
        <w:sz w:val="19"/>
        <w:szCs w:val="19"/>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28">
    <w:nsid w:val="C3B16332"/>
    <w:multiLevelType w:val="multilevel"/>
    <w:tmpl w:val="C3B16332"/>
    <w:lvl w:ilvl="0" w:tentative="0">
      <w:start w:val="12"/>
      <w:numFmt w:val="decimal"/>
      <w:lvlText w:val="%1"/>
      <w:lvlJc w:val="left"/>
      <w:pPr>
        <w:ind w:left="138" w:hanging="635"/>
      </w:pPr>
      <w:rPr>
        <w:rFonts w:hint="default" w:ascii="Times New Roman" w:hAnsi="Times New Roman" w:cs="Times New Roman"/>
      </w:rPr>
    </w:lvl>
    <w:lvl w:ilvl="1" w:tentative="0">
      <w:start w:val="3"/>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29">
    <w:nsid w:val="C804B3AE"/>
    <w:multiLevelType w:val="multilevel"/>
    <w:tmpl w:val="C804B3AE"/>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58" w:hanging="529"/>
      </w:pPr>
      <w:rPr>
        <w:rFonts w:hint="default" w:ascii="Times New Roman" w:hAnsi="Times New Roman" w:cs="Times New Roman"/>
      </w:rPr>
    </w:lvl>
    <w:lvl w:ilvl="2" w:tentative="0">
      <w:start w:val="0"/>
      <w:numFmt w:val="bullet"/>
      <w:lvlText w:val="•"/>
      <w:lvlJc w:val="left"/>
      <w:pPr>
        <w:ind w:left="2537" w:hanging="529"/>
      </w:pPr>
      <w:rPr>
        <w:rFonts w:hint="default" w:ascii="Times New Roman" w:hAnsi="Times New Roman" w:cs="Times New Roman"/>
      </w:rPr>
    </w:lvl>
    <w:lvl w:ilvl="3" w:tentative="0">
      <w:start w:val="0"/>
      <w:numFmt w:val="bullet"/>
      <w:lvlText w:val="•"/>
      <w:lvlJc w:val="left"/>
      <w:pPr>
        <w:ind w:left="3315" w:hanging="529"/>
      </w:pPr>
      <w:rPr>
        <w:rFonts w:hint="default" w:ascii="Times New Roman" w:hAnsi="Times New Roman" w:cs="Times New Roman"/>
      </w:rPr>
    </w:lvl>
    <w:lvl w:ilvl="4" w:tentative="0">
      <w:start w:val="0"/>
      <w:numFmt w:val="bullet"/>
      <w:lvlText w:val="•"/>
      <w:lvlJc w:val="left"/>
      <w:pPr>
        <w:ind w:left="409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51" w:hanging="529"/>
      </w:pPr>
      <w:rPr>
        <w:rFonts w:hint="default" w:ascii="Times New Roman" w:hAnsi="Times New Roman" w:cs="Times New Roman"/>
      </w:rPr>
    </w:lvl>
    <w:lvl w:ilvl="7" w:tentative="0">
      <w:start w:val="0"/>
      <w:numFmt w:val="bullet"/>
      <w:lvlText w:val="•"/>
      <w:lvlJc w:val="left"/>
      <w:pPr>
        <w:ind w:left="6430" w:hanging="529"/>
      </w:pPr>
      <w:rPr>
        <w:rFonts w:hint="default" w:ascii="Times New Roman" w:hAnsi="Times New Roman" w:cs="Times New Roman"/>
      </w:rPr>
    </w:lvl>
    <w:lvl w:ilvl="8" w:tentative="0">
      <w:start w:val="0"/>
      <w:numFmt w:val="bullet"/>
      <w:lvlText w:val="•"/>
      <w:lvlJc w:val="left"/>
      <w:pPr>
        <w:ind w:left="7209" w:hanging="529"/>
      </w:pPr>
      <w:rPr>
        <w:rFonts w:hint="default" w:ascii="Times New Roman" w:hAnsi="Times New Roman" w:cs="Times New Roman"/>
      </w:rPr>
    </w:lvl>
  </w:abstractNum>
  <w:abstractNum w:abstractNumId="30">
    <w:nsid w:val="C85939FB"/>
    <w:multiLevelType w:val="multilevel"/>
    <w:tmpl w:val="C85939FB"/>
    <w:lvl w:ilvl="0" w:tentative="0">
      <w:start w:val="1"/>
      <w:numFmt w:val="decimal"/>
      <w:lvlText w:val="%1"/>
      <w:lvlJc w:val="left"/>
      <w:pPr>
        <w:ind w:left="1087" w:hanging="529"/>
      </w:pPr>
      <w:rPr>
        <w:rFonts w:hint="default" w:ascii="Times New Roman" w:hAnsi="Times New Roman" w:cs="Times New Roman"/>
      </w:rPr>
    </w:lvl>
    <w:lvl w:ilvl="1" w:tentative="0">
      <w:start w:val="1"/>
      <w:numFmt w:val="decimal"/>
      <w:lvlText w:val="%1.%2"/>
      <w:lvlJc w:val="left"/>
      <w:pPr>
        <w:ind w:left="1087" w:hanging="529"/>
      </w:pPr>
      <w:rPr>
        <w:rFonts w:hint="default" w:ascii="Times New Roman" w:hAnsi="Times New Roman" w:cs="Times New Roman"/>
      </w:rPr>
    </w:lvl>
    <w:lvl w:ilvl="2" w:tentative="0">
      <w:start w:val="5"/>
      <w:numFmt w:val="decimal"/>
      <w:lvlText w:val="%1.%2.%3"/>
      <w:lvlJc w:val="left"/>
      <w:pPr>
        <w:ind w:left="1087" w:hanging="529"/>
      </w:pPr>
      <w:rPr>
        <w:rFonts w:hint="eastAsia" w:ascii="宋体" w:hAnsi="宋体" w:eastAsia="宋体" w:cs="宋体"/>
        <w:sz w:val="19"/>
        <w:szCs w:val="19"/>
      </w:rPr>
    </w:lvl>
    <w:lvl w:ilvl="3" w:tentative="0">
      <w:start w:val="1"/>
      <w:numFmt w:val="decimal"/>
      <w:lvlText w:val="%1.%2.%3.%4"/>
      <w:lvlJc w:val="left"/>
      <w:pPr>
        <w:ind w:left="138" w:hanging="738"/>
      </w:pPr>
      <w:rPr>
        <w:rFonts w:hint="eastAsia" w:ascii="宋体" w:hAnsi="宋体" w:eastAsia="宋体" w:cs="宋体"/>
        <w:spacing w:val="-3"/>
        <w:sz w:val="19"/>
        <w:szCs w:val="19"/>
      </w:rPr>
    </w:lvl>
    <w:lvl w:ilvl="4" w:tentative="0">
      <w:start w:val="0"/>
      <w:numFmt w:val="bullet"/>
      <w:lvlText w:val="•"/>
      <w:lvlJc w:val="left"/>
      <w:pPr>
        <w:ind w:left="3642" w:hanging="738"/>
      </w:pPr>
      <w:rPr>
        <w:rFonts w:hint="default" w:ascii="Times New Roman" w:hAnsi="Times New Roman" w:cs="Times New Roman"/>
      </w:rPr>
    </w:lvl>
    <w:lvl w:ilvl="5" w:tentative="0">
      <w:start w:val="0"/>
      <w:numFmt w:val="bullet"/>
      <w:lvlText w:val="•"/>
      <w:lvlJc w:val="left"/>
      <w:pPr>
        <w:ind w:left="4496" w:hanging="738"/>
      </w:pPr>
      <w:rPr>
        <w:rFonts w:hint="default" w:ascii="Times New Roman" w:hAnsi="Times New Roman" w:cs="Times New Roman"/>
      </w:rPr>
    </w:lvl>
    <w:lvl w:ilvl="6" w:tentative="0">
      <w:start w:val="0"/>
      <w:numFmt w:val="bullet"/>
      <w:lvlText w:val="•"/>
      <w:lvlJc w:val="left"/>
      <w:pPr>
        <w:ind w:left="5350" w:hanging="738"/>
      </w:pPr>
      <w:rPr>
        <w:rFonts w:hint="default" w:ascii="Times New Roman" w:hAnsi="Times New Roman" w:cs="Times New Roman"/>
      </w:rPr>
    </w:lvl>
    <w:lvl w:ilvl="7" w:tentative="0">
      <w:start w:val="0"/>
      <w:numFmt w:val="bullet"/>
      <w:lvlText w:val="•"/>
      <w:lvlJc w:val="left"/>
      <w:pPr>
        <w:ind w:left="6204" w:hanging="738"/>
      </w:pPr>
      <w:rPr>
        <w:rFonts w:hint="default" w:ascii="Times New Roman" w:hAnsi="Times New Roman" w:cs="Times New Roman"/>
      </w:rPr>
    </w:lvl>
    <w:lvl w:ilvl="8" w:tentative="0">
      <w:start w:val="0"/>
      <w:numFmt w:val="bullet"/>
      <w:lvlText w:val="•"/>
      <w:lvlJc w:val="left"/>
      <w:pPr>
        <w:ind w:left="7058" w:hanging="738"/>
      </w:pPr>
      <w:rPr>
        <w:rFonts w:hint="default" w:ascii="Times New Roman" w:hAnsi="Times New Roman" w:cs="Times New Roman"/>
      </w:rPr>
    </w:lvl>
  </w:abstractNum>
  <w:abstractNum w:abstractNumId="31">
    <w:nsid w:val="CA818E08"/>
    <w:multiLevelType w:val="multilevel"/>
    <w:tmpl w:val="CA818E08"/>
    <w:lvl w:ilvl="0" w:tentative="0">
      <w:start w:val="11"/>
      <w:numFmt w:val="decimal"/>
      <w:lvlText w:val="%1"/>
      <w:lvlJc w:val="left"/>
      <w:pPr>
        <w:ind w:left="619" w:hanging="481"/>
      </w:pPr>
      <w:rPr>
        <w:rFonts w:hint="default" w:ascii="Times New Roman" w:hAnsi="Times New Roman" w:cs="Times New Roman"/>
      </w:rPr>
    </w:lvl>
    <w:lvl w:ilvl="1" w:tentative="0">
      <w:start w:val="3"/>
      <w:numFmt w:val="decimal"/>
      <w:lvlText w:val="%1.%2"/>
      <w:lvlJc w:val="left"/>
      <w:pPr>
        <w:ind w:left="619" w:hanging="481"/>
      </w:pPr>
      <w:rPr>
        <w:rFonts w:hint="eastAsia" w:ascii="宋体" w:hAnsi="宋体" w:eastAsia="宋体" w:cs="宋体"/>
        <w:spacing w:val="-1"/>
        <w:sz w:val="22"/>
        <w:szCs w:val="22"/>
      </w:rPr>
    </w:lvl>
    <w:lvl w:ilvl="2" w:tentative="0">
      <w:start w:val="1"/>
      <w:numFmt w:val="decimal"/>
      <w:lvlText w:val="（%3）"/>
      <w:lvlJc w:val="left"/>
      <w:pPr>
        <w:ind w:left="981" w:hanging="529"/>
      </w:pPr>
      <w:rPr>
        <w:rFonts w:hint="eastAsia" w:ascii="宋体" w:hAnsi="宋体" w:eastAsia="宋体" w:cs="宋体"/>
        <w:spacing w:val="-3"/>
        <w:sz w:val="19"/>
        <w:szCs w:val="19"/>
      </w:rPr>
    </w:lvl>
    <w:lvl w:ilvl="3" w:tentative="0">
      <w:start w:val="0"/>
      <w:numFmt w:val="bullet"/>
      <w:lvlText w:val="•"/>
      <w:lvlJc w:val="left"/>
      <w:pPr>
        <w:ind w:left="2710" w:hanging="529"/>
      </w:pPr>
      <w:rPr>
        <w:rFonts w:hint="default" w:ascii="Times New Roman" w:hAnsi="Times New Roman" w:cs="Times New Roman"/>
      </w:rPr>
    </w:lvl>
    <w:lvl w:ilvl="4" w:tentative="0">
      <w:start w:val="0"/>
      <w:numFmt w:val="bullet"/>
      <w:lvlText w:val="•"/>
      <w:lvlJc w:val="left"/>
      <w:pPr>
        <w:ind w:left="3575" w:hanging="529"/>
      </w:pPr>
      <w:rPr>
        <w:rFonts w:hint="default" w:ascii="Times New Roman" w:hAnsi="Times New Roman" w:cs="Times New Roman"/>
      </w:rPr>
    </w:lvl>
    <w:lvl w:ilvl="5" w:tentative="0">
      <w:start w:val="0"/>
      <w:numFmt w:val="bullet"/>
      <w:lvlText w:val="•"/>
      <w:lvlJc w:val="left"/>
      <w:pPr>
        <w:ind w:left="4440" w:hanging="529"/>
      </w:pPr>
      <w:rPr>
        <w:rFonts w:hint="default" w:ascii="Times New Roman" w:hAnsi="Times New Roman" w:cs="Times New Roman"/>
      </w:rPr>
    </w:lvl>
    <w:lvl w:ilvl="6" w:tentative="0">
      <w:start w:val="0"/>
      <w:numFmt w:val="bullet"/>
      <w:lvlText w:val="•"/>
      <w:lvlJc w:val="left"/>
      <w:pPr>
        <w:ind w:left="5305" w:hanging="529"/>
      </w:pPr>
      <w:rPr>
        <w:rFonts w:hint="default" w:ascii="Times New Roman" w:hAnsi="Times New Roman" w:cs="Times New Roman"/>
      </w:rPr>
    </w:lvl>
    <w:lvl w:ilvl="7" w:tentative="0">
      <w:start w:val="0"/>
      <w:numFmt w:val="bullet"/>
      <w:lvlText w:val="•"/>
      <w:lvlJc w:val="left"/>
      <w:pPr>
        <w:ind w:left="6170" w:hanging="529"/>
      </w:pPr>
      <w:rPr>
        <w:rFonts w:hint="default" w:ascii="Times New Roman" w:hAnsi="Times New Roman" w:cs="Times New Roman"/>
      </w:rPr>
    </w:lvl>
    <w:lvl w:ilvl="8" w:tentative="0">
      <w:start w:val="0"/>
      <w:numFmt w:val="bullet"/>
      <w:lvlText w:val="•"/>
      <w:lvlJc w:val="left"/>
      <w:pPr>
        <w:ind w:left="7036" w:hanging="529"/>
      </w:pPr>
      <w:rPr>
        <w:rFonts w:hint="default" w:ascii="Times New Roman" w:hAnsi="Times New Roman" w:cs="Times New Roman"/>
      </w:rPr>
    </w:lvl>
  </w:abstractNum>
  <w:abstractNum w:abstractNumId="32">
    <w:nsid w:val="CAA55071"/>
    <w:multiLevelType w:val="multilevel"/>
    <w:tmpl w:val="CAA55071"/>
    <w:lvl w:ilvl="0" w:tentative="0">
      <w:start w:val="1"/>
      <w:numFmt w:val="decimal"/>
      <w:lvlText w:val="（%1）"/>
      <w:lvlJc w:val="left"/>
      <w:pPr>
        <w:ind w:left="138" w:hanging="529"/>
      </w:pPr>
      <w:rPr>
        <w:rFonts w:hint="eastAsia" w:ascii="宋体" w:hAnsi="宋体" w:eastAsia="宋体" w:cs="宋体"/>
        <w:spacing w:val="-25"/>
        <w:sz w:val="19"/>
        <w:szCs w:val="19"/>
      </w:rPr>
    </w:lvl>
    <w:lvl w:ilvl="1" w:tentative="0">
      <w:start w:val="0"/>
      <w:numFmt w:val="bullet"/>
      <w:lvlText w:val="•"/>
      <w:lvlJc w:val="left"/>
      <w:pPr>
        <w:ind w:left="1440" w:hanging="529"/>
      </w:pPr>
      <w:rPr>
        <w:rFonts w:hint="default" w:ascii="Times New Roman" w:hAnsi="Times New Roman" w:cs="Times New Roman"/>
      </w:rPr>
    </w:lvl>
    <w:lvl w:ilvl="2" w:tentative="0">
      <w:start w:val="0"/>
      <w:numFmt w:val="bullet"/>
      <w:lvlText w:val="•"/>
      <w:lvlJc w:val="left"/>
      <w:pPr>
        <w:ind w:left="2254" w:hanging="529"/>
      </w:pPr>
      <w:rPr>
        <w:rFonts w:hint="default" w:ascii="Times New Roman" w:hAnsi="Times New Roman" w:cs="Times New Roman"/>
      </w:rPr>
    </w:lvl>
    <w:lvl w:ilvl="3" w:tentative="0">
      <w:start w:val="0"/>
      <w:numFmt w:val="bullet"/>
      <w:lvlText w:val="•"/>
      <w:lvlJc w:val="left"/>
      <w:pPr>
        <w:ind w:left="3068" w:hanging="529"/>
      </w:pPr>
      <w:rPr>
        <w:rFonts w:hint="default" w:ascii="Times New Roman" w:hAnsi="Times New Roman" w:cs="Times New Roman"/>
      </w:rPr>
    </w:lvl>
    <w:lvl w:ilvl="4" w:tentative="0">
      <w:start w:val="0"/>
      <w:numFmt w:val="bullet"/>
      <w:lvlText w:val="•"/>
      <w:lvlJc w:val="left"/>
      <w:pPr>
        <w:ind w:left="3882" w:hanging="529"/>
      </w:pPr>
      <w:rPr>
        <w:rFonts w:hint="default" w:ascii="Times New Roman" w:hAnsi="Times New Roman" w:cs="Times New Roman"/>
      </w:rPr>
    </w:lvl>
    <w:lvl w:ilvl="5" w:tentative="0">
      <w:start w:val="0"/>
      <w:numFmt w:val="bullet"/>
      <w:lvlText w:val="•"/>
      <w:lvlJc w:val="left"/>
      <w:pPr>
        <w:ind w:left="4696" w:hanging="529"/>
      </w:pPr>
      <w:rPr>
        <w:rFonts w:hint="default" w:ascii="Times New Roman" w:hAnsi="Times New Roman" w:cs="Times New Roman"/>
      </w:rPr>
    </w:lvl>
    <w:lvl w:ilvl="6" w:tentative="0">
      <w:start w:val="0"/>
      <w:numFmt w:val="bullet"/>
      <w:lvlText w:val="•"/>
      <w:lvlJc w:val="left"/>
      <w:pPr>
        <w:ind w:left="5510" w:hanging="529"/>
      </w:pPr>
      <w:rPr>
        <w:rFonts w:hint="default" w:ascii="Times New Roman" w:hAnsi="Times New Roman" w:cs="Times New Roman"/>
      </w:rPr>
    </w:lvl>
    <w:lvl w:ilvl="7" w:tentative="0">
      <w:start w:val="0"/>
      <w:numFmt w:val="bullet"/>
      <w:lvlText w:val="•"/>
      <w:lvlJc w:val="left"/>
      <w:pPr>
        <w:ind w:left="6324" w:hanging="529"/>
      </w:pPr>
      <w:rPr>
        <w:rFonts w:hint="default" w:ascii="Times New Roman" w:hAnsi="Times New Roman" w:cs="Times New Roman"/>
      </w:rPr>
    </w:lvl>
    <w:lvl w:ilvl="8" w:tentative="0">
      <w:start w:val="0"/>
      <w:numFmt w:val="bullet"/>
      <w:lvlText w:val="•"/>
      <w:lvlJc w:val="left"/>
      <w:pPr>
        <w:ind w:left="7138" w:hanging="529"/>
      </w:pPr>
      <w:rPr>
        <w:rFonts w:hint="default" w:ascii="Times New Roman" w:hAnsi="Times New Roman" w:cs="Times New Roman"/>
      </w:rPr>
    </w:lvl>
  </w:abstractNum>
  <w:abstractNum w:abstractNumId="33">
    <w:nsid w:val="CD4089FE"/>
    <w:multiLevelType w:val="multilevel"/>
    <w:tmpl w:val="CD4089FE"/>
    <w:lvl w:ilvl="0" w:tentative="0">
      <w:start w:val="6"/>
      <w:numFmt w:val="decimal"/>
      <w:lvlText w:val="%1"/>
      <w:lvlJc w:val="left"/>
      <w:pPr>
        <w:ind w:left="138" w:hanging="529"/>
      </w:pPr>
      <w:rPr>
        <w:rFonts w:hint="default" w:ascii="Times New Roman" w:hAnsi="Times New Roman" w:cs="Times New Roman"/>
      </w:rPr>
    </w:lvl>
    <w:lvl w:ilvl="1" w:tentative="0">
      <w:start w:val="1"/>
      <w:numFmt w:val="decimal"/>
      <w:lvlText w:val="%1.%2"/>
      <w:lvlJc w:val="left"/>
      <w:pPr>
        <w:ind w:left="138" w:hanging="529"/>
      </w:pPr>
      <w:rPr>
        <w:rFonts w:hint="default" w:ascii="Times New Roman" w:hAnsi="Times New Roman" w:cs="Times New Roman"/>
      </w:rPr>
    </w:lvl>
    <w:lvl w:ilvl="2" w:tentative="0">
      <w:start w:val="1"/>
      <w:numFmt w:val="decimal"/>
      <w:lvlText w:val="%1.%2.%3"/>
      <w:lvlJc w:val="left"/>
      <w:pPr>
        <w:ind w:left="138" w:hanging="529"/>
      </w:pPr>
      <w:rPr>
        <w:rFonts w:hint="eastAsia" w:ascii="宋体" w:hAnsi="宋体" w:eastAsia="宋体" w:cs="宋体"/>
        <w:spacing w:val="-3"/>
        <w:sz w:val="19"/>
        <w:szCs w:val="19"/>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34">
    <w:nsid w:val="D2ED38DB"/>
    <w:multiLevelType w:val="multilevel"/>
    <w:tmpl w:val="D2ED38DB"/>
    <w:lvl w:ilvl="0" w:tentative="0">
      <w:start w:val="4"/>
      <w:numFmt w:val="decimal"/>
      <w:lvlText w:val="%1"/>
      <w:lvlJc w:val="left"/>
      <w:pPr>
        <w:ind w:left="499" w:hanging="361"/>
      </w:pPr>
      <w:rPr>
        <w:rFonts w:hint="default" w:ascii="Times New Roman" w:hAnsi="Times New Roman" w:cs="Times New Roman"/>
      </w:rPr>
    </w:lvl>
    <w:lvl w:ilvl="1" w:tentative="0">
      <w:start w:val="4"/>
      <w:numFmt w:val="decimal"/>
      <w:lvlText w:val="%1.%2"/>
      <w:lvlJc w:val="left"/>
      <w:pPr>
        <w:ind w:left="499" w:hanging="361"/>
      </w:pPr>
      <w:rPr>
        <w:rFonts w:hint="eastAsia" w:ascii="宋体" w:hAnsi="宋体" w:eastAsia="宋体" w:cs="宋体"/>
        <w:spacing w:val="-1"/>
        <w:sz w:val="22"/>
        <w:szCs w:val="22"/>
      </w:rPr>
    </w:lvl>
    <w:lvl w:ilvl="2" w:tentative="0">
      <w:start w:val="1"/>
      <w:numFmt w:val="decimal"/>
      <w:lvlText w:val="%1.%2.%3"/>
      <w:lvlJc w:val="left"/>
      <w:pPr>
        <w:ind w:left="138" w:hanging="529"/>
      </w:pPr>
      <w:rPr>
        <w:rFonts w:hint="eastAsia" w:ascii="宋体" w:hAnsi="宋体" w:eastAsia="宋体" w:cs="宋体"/>
        <w:spacing w:val="-3"/>
        <w:sz w:val="19"/>
        <w:szCs w:val="19"/>
      </w:rPr>
    </w:lvl>
    <w:lvl w:ilvl="3" w:tentative="0">
      <w:start w:val="0"/>
      <w:numFmt w:val="bullet"/>
      <w:lvlText w:val="•"/>
      <w:lvlJc w:val="left"/>
      <w:pPr>
        <w:ind w:left="2040" w:hanging="529"/>
      </w:pPr>
      <w:rPr>
        <w:rFonts w:hint="default" w:ascii="Times New Roman" w:hAnsi="Times New Roman" w:cs="Times New Roman"/>
      </w:rPr>
    </w:lvl>
    <w:lvl w:ilvl="4" w:tentative="0">
      <w:start w:val="0"/>
      <w:numFmt w:val="bullet"/>
      <w:lvlText w:val="•"/>
      <w:lvlJc w:val="left"/>
      <w:pPr>
        <w:ind w:left="3001" w:hanging="529"/>
      </w:pPr>
      <w:rPr>
        <w:rFonts w:hint="default" w:ascii="Times New Roman" w:hAnsi="Times New Roman" w:cs="Times New Roman"/>
      </w:rPr>
    </w:lvl>
    <w:lvl w:ilvl="5" w:tentative="0">
      <w:start w:val="0"/>
      <w:numFmt w:val="bullet"/>
      <w:lvlText w:val="•"/>
      <w:lvlJc w:val="left"/>
      <w:pPr>
        <w:ind w:left="3962" w:hanging="529"/>
      </w:pPr>
      <w:rPr>
        <w:rFonts w:hint="default" w:ascii="Times New Roman" w:hAnsi="Times New Roman" w:cs="Times New Roman"/>
      </w:rPr>
    </w:lvl>
    <w:lvl w:ilvl="6" w:tentative="0">
      <w:start w:val="0"/>
      <w:numFmt w:val="bullet"/>
      <w:lvlText w:val="•"/>
      <w:lvlJc w:val="left"/>
      <w:pPr>
        <w:ind w:left="4923" w:hanging="529"/>
      </w:pPr>
      <w:rPr>
        <w:rFonts w:hint="default" w:ascii="Times New Roman" w:hAnsi="Times New Roman" w:cs="Times New Roman"/>
      </w:rPr>
    </w:lvl>
    <w:lvl w:ilvl="7" w:tentative="0">
      <w:start w:val="0"/>
      <w:numFmt w:val="bullet"/>
      <w:lvlText w:val="•"/>
      <w:lvlJc w:val="left"/>
      <w:pPr>
        <w:ind w:left="5884" w:hanging="529"/>
      </w:pPr>
      <w:rPr>
        <w:rFonts w:hint="default" w:ascii="Times New Roman" w:hAnsi="Times New Roman" w:cs="Times New Roman"/>
      </w:rPr>
    </w:lvl>
    <w:lvl w:ilvl="8" w:tentative="0">
      <w:start w:val="0"/>
      <w:numFmt w:val="bullet"/>
      <w:lvlText w:val="•"/>
      <w:lvlJc w:val="left"/>
      <w:pPr>
        <w:ind w:left="6844" w:hanging="529"/>
      </w:pPr>
      <w:rPr>
        <w:rFonts w:hint="default" w:ascii="Times New Roman" w:hAnsi="Times New Roman" w:cs="Times New Roman"/>
      </w:rPr>
    </w:lvl>
  </w:abstractNum>
  <w:abstractNum w:abstractNumId="35">
    <w:nsid w:val="D466867C"/>
    <w:multiLevelType w:val="multilevel"/>
    <w:tmpl w:val="D466867C"/>
    <w:lvl w:ilvl="0" w:tentative="0">
      <w:start w:val="4"/>
      <w:numFmt w:val="decimal"/>
      <w:lvlText w:val="%1"/>
      <w:lvlJc w:val="left"/>
      <w:pPr>
        <w:ind w:left="499" w:hanging="361"/>
      </w:pPr>
      <w:rPr>
        <w:rFonts w:hint="default" w:ascii="Times New Roman" w:hAnsi="Times New Roman" w:cs="Times New Roman"/>
      </w:rPr>
    </w:lvl>
    <w:lvl w:ilvl="1" w:tentative="0">
      <w:start w:val="2"/>
      <w:numFmt w:val="decimal"/>
      <w:lvlText w:val="%1.%2"/>
      <w:lvlJc w:val="left"/>
      <w:pPr>
        <w:ind w:left="499" w:hanging="361"/>
      </w:pPr>
      <w:rPr>
        <w:rFonts w:hint="eastAsia" w:ascii="宋体" w:hAnsi="宋体" w:eastAsia="宋体" w:cs="宋体"/>
        <w:spacing w:val="-1"/>
        <w:sz w:val="22"/>
        <w:szCs w:val="22"/>
      </w:rPr>
    </w:lvl>
    <w:lvl w:ilvl="2" w:tentative="0">
      <w:start w:val="1"/>
      <w:numFmt w:val="decimal"/>
      <w:lvlText w:val="%1.%2.%3"/>
      <w:lvlJc w:val="left"/>
      <w:pPr>
        <w:ind w:left="1087" w:hanging="529"/>
      </w:pPr>
      <w:rPr>
        <w:rFonts w:hint="eastAsia" w:ascii="宋体" w:hAnsi="宋体" w:eastAsia="宋体" w:cs="宋体"/>
        <w:sz w:val="19"/>
        <w:szCs w:val="19"/>
      </w:rPr>
    </w:lvl>
    <w:lvl w:ilvl="3" w:tentative="0">
      <w:start w:val="0"/>
      <w:numFmt w:val="bullet"/>
      <w:lvlText w:val="•"/>
      <w:lvlJc w:val="left"/>
      <w:pPr>
        <w:ind w:left="2788" w:hanging="529"/>
      </w:pPr>
      <w:rPr>
        <w:rFonts w:hint="default" w:ascii="Times New Roman" w:hAnsi="Times New Roman" w:cs="Times New Roman"/>
      </w:rPr>
    </w:lvl>
    <w:lvl w:ilvl="4" w:tentative="0">
      <w:start w:val="0"/>
      <w:numFmt w:val="bullet"/>
      <w:lvlText w:val="•"/>
      <w:lvlJc w:val="left"/>
      <w:pPr>
        <w:ind w:left="3642" w:hanging="529"/>
      </w:pPr>
      <w:rPr>
        <w:rFonts w:hint="default" w:ascii="Times New Roman" w:hAnsi="Times New Roman" w:cs="Times New Roman"/>
      </w:rPr>
    </w:lvl>
    <w:lvl w:ilvl="5" w:tentative="0">
      <w:start w:val="0"/>
      <w:numFmt w:val="bullet"/>
      <w:lvlText w:val="•"/>
      <w:lvlJc w:val="left"/>
      <w:pPr>
        <w:ind w:left="4496" w:hanging="529"/>
      </w:pPr>
      <w:rPr>
        <w:rFonts w:hint="default" w:ascii="Times New Roman" w:hAnsi="Times New Roman" w:cs="Times New Roman"/>
      </w:rPr>
    </w:lvl>
    <w:lvl w:ilvl="6" w:tentative="0">
      <w:start w:val="0"/>
      <w:numFmt w:val="bullet"/>
      <w:lvlText w:val="•"/>
      <w:lvlJc w:val="left"/>
      <w:pPr>
        <w:ind w:left="5350" w:hanging="529"/>
      </w:pPr>
      <w:rPr>
        <w:rFonts w:hint="default" w:ascii="Times New Roman" w:hAnsi="Times New Roman" w:cs="Times New Roman"/>
      </w:rPr>
    </w:lvl>
    <w:lvl w:ilvl="7" w:tentative="0">
      <w:start w:val="0"/>
      <w:numFmt w:val="bullet"/>
      <w:lvlText w:val="•"/>
      <w:lvlJc w:val="left"/>
      <w:pPr>
        <w:ind w:left="6204" w:hanging="529"/>
      </w:pPr>
      <w:rPr>
        <w:rFonts w:hint="default" w:ascii="Times New Roman" w:hAnsi="Times New Roman" w:cs="Times New Roman"/>
      </w:rPr>
    </w:lvl>
    <w:lvl w:ilvl="8" w:tentative="0">
      <w:start w:val="0"/>
      <w:numFmt w:val="bullet"/>
      <w:lvlText w:val="•"/>
      <w:lvlJc w:val="left"/>
      <w:pPr>
        <w:ind w:left="7058" w:hanging="529"/>
      </w:pPr>
      <w:rPr>
        <w:rFonts w:hint="default" w:ascii="Times New Roman" w:hAnsi="Times New Roman" w:cs="Times New Roman"/>
      </w:rPr>
    </w:lvl>
  </w:abstractNum>
  <w:abstractNum w:abstractNumId="36">
    <w:nsid w:val="DA1F5080"/>
    <w:multiLevelType w:val="multilevel"/>
    <w:tmpl w:val="DA1F5080"/>
    <w:lvl w:ilvl="0" w:tentative="0">
      <w:start w:val="10"/>
      <w:numFmt w:val="decimal"/>
      <w:lvlText w:val="%1"/>
      <w:lvlJc w:val="left"/>
      <w:pPr>
        <w:ind w:left="138" w:hanging="635"/>
      </w:pPr>
      <w:rPr>
        <w:rFonts w:hint="default" w:ascii="Times New Roman" w:hAnsi="Times New Roman" w:cs="Times New Roman"/>
      </w:rPr>
    </w:lvl>
    <w:lvl w:ilvl="1" w:tentative="0">
      <w:start w:val="1"/>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37">
    <w:nsid w:val="DADC88E9"/>
    <w:multiLevelType w:val="multilevel"/>
    <w:tmpl w:val="DADC88E9"/>
    <w:lvl w:ilvl="0" w:tentative="0">
      <w:start w:val="18"/>
      <w:numFmt w:val="decimal"/>
      <w:lvlText w:val="%1"/>
      <w:lvlJc w:val="left"/>
      <w:pPr>
        <w:ind w:left="1192" w:hanging="635"/>
      </w:pPr>
      <w:rPr>
        <w:rFonts w:hint="default" w:ascii="Times New Roman" w:hAnsi="Times New Roman" w:cs="Times New Roman"/>
      </w:rPr>
    </w:lvl>
    <w:lvl w:ilvl="1" w:tentative="0">
      <w:start w:val="1"/>
      <w:numFmt w:val="decimal"/>
      <w:lvlText w:val="%1.%2"/>
      <w:lvlJc w:val="left"/>
      <w:pPr>
        <w:ind w:left="1192" w:hanging="635"/>
      </w:pPr>
      <w:rPr>
        <w:rFonts w:hint="default" w:ascii="Times New Roman" w:hAnsi="Times New Roman" w:cs="Times New Roman"/>
      </w:rPr>
    </w:lvl>
    <w:lvl w:ilvl="2" w:tentative="0">
      <w:start w:val="1"/>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3469" w:hanging="635"/>
      </w:pPr>
      <w:rPr>
        <w:rFonts w:hint="default" w:ascii="Times New Roman" w:hAnsi="Times New Roman" w:cs="Times New Roman"/>
      </w:rPr>
    </w:lvl>
    <w:lvl w:ilvl="4" w:tentative="0">
      <w:start w:val="0"/>
      <w:numFmt w:val="bullet"/>
      <w:lvlText w:val="•"/>
      <w:lvlJc w:val="left"/>
      <w:pPr>
        <w:ind w:left="4226" w:hanging="635"/>
      </w:pPr>
      <w:rPr>
        <w:rFonts w:hint="default" w:ascii="Times New Roman" w:hAnsi="Times New Roman" w:cs="Times New Roman"/>
      </w:rPr>
    </w:lvl>
    <w:lvl w:ilvl="5" w:tentative="0">
      <w:start w:val="0"/>
      <w:numFmt w:val="bullet"/>
      <w:lvlText w:val="•"/>
      <w:lvlJc w:val="left"/>
      <w:pPr>
        <w:ind w:left="4983" w:hanging="635"/>
      </w:pPr>
      <w:rPr>
        <w:rFonts w:hint="default" w:ascii="Times New Roman" w:hAnsi="Times New Roman" w:cs="Times New Roman"/>
      </w:rPr>
    </w:lvl>
    <w:lvl w:ilvl="6" w:tentative="0">
      <w:start w:val="0"/>
      <w:numFmt w:val="bullet"/>
      <w:lvlText w:val="•"/>
      <w:lvlJc w:val="left"/>
      <w:pPr>
        <w:ind w:left="5739" w:hanging="635"/>
      </w:pPr>
      <w:rPr>
        <w:rFonts w:hint="default" w:ascii="Times New Roman" w:hAnsi="Times New Roman" w:cs="Times New Roman"/>
      </w:rPr>
    </w:lvl>
    <w:lvl w:ilvl="7" w:tentative="0">
      <w:start w:val="0"/>
      <w:numFmt w:val="bullet"/>
      <w:lvlText w:val="•"/>
      <w:lvlJc w:val="left"/>
      <w:pPr>
        <w:ind w:left="6496" w:hanging="635"/>
      </w:pPr>
      <w:rPr>
        <w:rFonts w:hint="default" w:ascii="Times New Roman" w:hAnsi="Times New Roman" w:cs="Times New Roman"/>
      </w:rPr>
    </w:lvl>
    <w:lvl w:ilvl="8" w:tentative="0">
      <w:start w:val="0"/>
      <w:numFmt w:val="bullet"/>
      <w:lvlText w:val="•"/>
      <w:lvlJc w:val="left"/>
      <w:pPr>
        <w:ind w:left="7253" w:hanging="635"/>
      </w:pPr>
      <w:rPr>
        <w:rFonts w:hint="default" w:ascii="Times New Roman" w:hAnsi="Times New Roman" w:cs="Times New Roman"/>
      </w:rPr>
    </w:lvl>
  </w:abstractNum>
  <w:abstractNum w:abstractNumId="38">
    <w:nsid w:val="DE3612D2"/>
    <w:multiLevelType w:val="multilevel"/>
    <w:tmpl w:val="DE3612D2"/>
    <w:lvl w:ilvl="0" w:tentative="0">
      <w:start w:val="1"/>
      <w:numFmt w:val="decimal"/>
      <w:lvlText w:val="（%1）"/>
      <w:lvlJc w:val="left"/>
      <w:pPr>
        <w:ind w:left="1084" w:hanging="527"/>
      </w:pPr>
      <w:rPr>
        <w:rFonts w:hint="eastAsia" w:ascii="宋体" w:hAnsi="宋体" w:eastAsia="宋体" w:cs="宋体"/>
        <w:spacing w:val="-44"/>
        <w:sz w:val="19"/>
        <w:szCs w:val="19"/>
      </w:rPr>
    </w:lvl>
    <w:lvl w:ilvl="1" w:tentative="0">
      <w:start w:val="0"/>
      <w:numFmt w:val="bullet"/>
      <w:lvlText w:val="•"/>
      <w:lvlJc w:val="left"/>
      <w:pPr>
        <w:ind w:left="1848" w:hanging="527"/>
      </w:pPr>
      <w:rPr>
        <w:rFonts w:hint="default" w:ascii="Times New Roman" w:hAnsi="Times New Roman" w:cs="Times New Roman"/>
      </w:rPr>
    </w:lvl>
    <w:lvl w:ilvl="2" w:tentative="0">
      <w:start w:val="0"/>
      <w:numFmt w:val="bullet"/>
      <w:lvlText w:val="•"/>
      <w:lvlJc w:val="left"/>
      <w:pPr>
        <w:ind w:left="2617" w:hanging="527"/>
      </w:pPr>
      <w:rPr>
        <w:rFonts w:hint="default" w:ascii="Times New Roman" w:hAnsi="Times New Roman" w:cs="Times New Roman"/>
      </w:rPr>
    </w:lvl>
    <w:lvl w:ilvl="3" w:tentative="0">
      <w:start w:val="0"/>
      <w:numFmt w:val="bullet"/>
      <w:lvlText w:val="•"/>
      <w:lvlJc w:val="left"/>
      <w:pPr>
        <w:ind w:left="3385" w:hanging="527"/>
      </w:pPr>
      <w:rPr>
        <w:rFonts w:hint="default" w:ascii="Times New Roman" w:hAnsi="Times New Roman" w:cs="Times New Roman"/>
      </w:rPr>
    </w:lvl>
    <w:lvl w:ilvl="4" w:tentative="0">
      <w:start w:val="0"/>
      <w:numFmt w:val="bullet"/>
      <w:lvlText w:val="•"/>
      <w:lvlJc w:val="left"/>
      <w:pPr>
        <w:ind w:left="4154" w:hanging="527"/>
      </w:pPr>
      <w:rPr>
        <w:rFonts w:hint="default" w:ascii="Times New Roman" w:hAnsi="Times New Roman" w:cs="Times New Roman"/>
      </w:rPr>
    </w:lvl>
    <w:lvl w:ilvl="5" w:tentative="0">
      <w:start w:val="0"/>
      <w:numFmt w:val="bullet"/>
      <w:lvlText w:val="•"/>
      <w:lvlJc w:val="left"/>
      <w:pPr>
        <w:ind w:left="4923" w:hanging="527"/>
      </w:pPr>
      <w:rPr>
        <w:rFonts w:hint="default" w:ascii="Times New Roman" w:hAnsi="Times New Roman" w:cs="Times New Roman"/>
      </w:rPr>
    </w:lvl>
    <w:lvl w:ilvl="6" w:tentative="0">
      <w:start w:val="0"/>
      <w:numFmt w:val="bullet"/>
      <w:lvlText w:val="•"/>
      <w:lvlJc w:val="left"/>
      <w:pPr>
        <w:ind w:left="5691" w:hanging="527"/>
      </w:pPr>
      <w:rPr>
        <w:rFonts w:hint="default" w:ascii="Times New Roman" w:hAnsi="Times New Roman" w:cs="Times New Roman"/>
      </w:rPr>
    </w:lvl>
    <w:lvl w:ilvl="7" w:tentative="0">
      <w:start w:val="0"/>
      <w:numFmt w:val="bullet"/>
      <w:lvlText w:val="•"/>
      <w:lvlJc w:val="left"/>
      <w:pPr>
        <w:ind w:left="6460" w:hanging="527"/>
      </w:pPr>
      <w:rPr>
        <w:rFonts w:hint="default" w:ascii="Times New Roman" w:hAnsi="Times New Roman" w:cs="Times New Roman"/>
      </w:rPr>
    </w:lvl>
    <w:lvl w:ilvl="8" w:tentative="0">
      <w:start w:val="0"/>
      <w:numFmt w:val="bullet"/>
      <w:lvlText w:val="•"/>
      <w:lvlJc w:val="left"/>
      <w:pPr>
        <w:ind w:left="7229" w:hanging="527"/>
      </w:pPr>
      <w:rPr>
        <w:rFonts w:hint="default" w:ascii="Times New Roman" w:hAnsi="Times New Roman" w:cs="Times New Roman"/>
      </w:rPr>
    </w:lvl>
  </w:abstractNum>
  <w:abstractNum w:abstractNumId="39">
    <w:nsid w:val="DF4D21BC"/>
    <w:multiLevelType w:val="multilevel"/>
    <w:tmpl w:val="DF4D21BC"/>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48" w:hanging="529"/>
      </w:pPr>
      <w:rPr>
        <w:rFonts w:hint="default" w:ascii="Times New Roman" w:hAnsi="Times New Roman" w:cs="Times New Roman"/>
      </w:rPr>
    </w:lvl>
    <w:lvl w:ilvl="2" w:tentative="0">
      <w:start w:val="0"/>
      <w:numFmt w:val="bullet"/>
      <w:lvlText w:val="•"/>
      <w:lvlJc w:val="left"/>
      <w:pPr>
        <w:ind w:left="2617" w:hanging="529"/>
      </w:pPr>
      <w:rPr>
        <w:rFonts w:hint="default" w:ascii="Times New Roman" w:hAnsi="Times New Roman" w:cs="Times New Roman"/>
      </w:rPr>
    </w:lvl>
    <w:lvl w:ilvl="3" w:tentative="0">
      <w:start w:val="0"/>
      <w:numFmt w:val="bullet"/>
      <w:lvlText w:val="•"/>
      <w:lvlJc w:val="left"/>
      <w:pPr>
        <w:ind w:left="3385" w:hanging="529"/>
      </w:pPr>
      <w:rPr>
        <w:rFonts w:hint="default" w:ascii="Times New Roman" w:hAnsi="Times New Roman" w:cs="Times New Roman"/>
      </w:rPr>
    </w:lvl>
    <w:lvl w:ilvl="4" w:tentative="0">
      <w:start w:val="0"/>
      <w:numFmt w:val="bullet"/>
      <w:lvlText w:val="•"/>
      <w:lvlJc w:val="left"/>
      <w:pPr>
        <w:ind w:left="4154" w:hanging="529"/>
      </w:pPr>
      <w:rPr>
        <w:rFonts w:hint="default" w:ascii="Times New Roman" w:hAnsi="Times New Roman" w:cs="Times New Roman"/>
      </w:rPr>
    </w:lvl>
    <w:lvl w:ilvl="5" w:tentative="0">
      <w:start w:val="0"/>
      <w:numFmt w:val="bullet"/>
      <w:lvlText w:val="•"/>
      <w:lvlJc w:val="left"/>
      <w:pPr>
        <w:ind w:left="4923" w:hanging="529"/>
      </w:pPr>
      <w:rPr>
        <w:rFonts w:hint="default" w:ascii="Times New Roman" w:hAnsi="Times New Roman" w:cs="Times New Roman"/>
      </w:rPr>
    </w:lvl>
    <w:lvl w:ilvl="6" w:tentative="0">
      <w:start w:val="0"/>
      <w:numFmt w:val="bullet"/>
      <w:lvlText w:val="•"/>
      <w:lvlJc w:val="left"/>
      <w:pPr>
        <w:ind w:left="5691" w:hanging="529"/>
      </w:pPr>
      <w:rPr>
        <w:rFonts w:hint="default" w:ascii="Times New Roman" w:hAnsi="Times New Roman" w:cs="Times New Roman"/>
      </w:rPr>
    </w:lvl>
    <w:lvl w:ilvl="7" w:tentative="0">
      <w:start w:val="0"/>
      <w:numFmt w:val="bullet"/>
      <w:lvlText w:val="•"/>
      <w:lvlJc w:val="left"/>
      <w:pPr>
        <w:ind w:left="6460" w:hanging="529"/>
      </w:pPr>
      <w:rPr>
        <w:rFonts w:hint="default" w:ascii="Times New Roman" w:hAnsi="Times New Roman" w:cs="Times New Roman"/>
      </w:rPr>
    </w:lvl>
    <w:lvl w:ilvl="8" w:tentative="0">
      <w:start w:val="0"/>
      <w:numFmt w:val="bullet"/>
      <w:lvlText w:val="•"/>
      <w:lvlJc w:val="left"/>
      <w:pPr>
        <w:ind w:left="7229" w:hanging="529"/>
      </w:pPr>
      <w:rPr>
        <w:rFonts w:hint="default" w:ascii="Times New Roman" w:hAnsi="Times New Roman" w:cs="Times New Roman"/>
      </w:rPr>
    </w:lvl>
  </w:abstractNum>
  <w:abstractNum w:abstractNumId="40">
    <w:nsid w:val="E186051E"/>
    <w:multiLevelType w:val="multilevel"/>
    <w:tmpl w:val="E186051E"/>
    <w:lvl w:ilvl="0" w:tentative="0">
      <w:start w:val="15"/>
      <w:numFmt w:val="decimal"/>
      <w:lvlText w:val="%1"/>
      <w:lvlJc w:val="left"/>
      <w:pPr>
        <w:ind w:left="1192" w:hanging="635"/>
      </w:pPr>
      <w:rPr>
        <w:rFonts w:hint="default" w:ascii="Times New Roman" w:hAnsi="Times New Roman" w:cs="Times New Roman"/>
      </w:rPr>
    </w:lvl>
    <w:lvl w:ilvl="1" w:tentative="0">
      <w:start w:val="3"/>
      <w:numFmt w:val="decimal"/>
      <w:lvlText w:val="%1.%2"/>
      <w:lvlJc w:val="left"/>
      <w:pPr>
        <w:ind w:left="1192" w:hanging="635"/>
      </w:pPr>
      <w:rPr>
        <w:rFonts w:hint="default" w:ascii="Times New Roman" w:hAnsi="Times New Roman" w:cs="Times New Roman"/>
      </w:rPr>
    </w:lvl>
    <w:lvl w:ilvl="2" w:tentative="0">
      <w:start w:val="1"/>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3469" w:hanging="635"/>
      </w:pPr>
      <w:rPr>
        <w:rFonts w:hint="default" w:ascii="Times New Roman" w:hAnsi="Times New Roman" w:cs="Times New Roman"/>
      </w:rPr>
    </w:lvl>
    <w:lvl w:ilvl="4" w:tentative="0">
      <w:start w:val="0"/>
      <w:numFmt w:val="bullet"/>
      <w:lvlText w:val="•"/>
      <w:lvlJc w:val="left"/>
      <w:pPr>
        <w:ind w:left="4226" w:hanging="635"/>
      </w:pPr>
      <w:rPr>
        <w:rFonts w:hint="default" w:ascii="Times New Roman" w:hAnsi="Times New Roman" w:cs="Times New Roman"/>
      </w:rPr>
    </w:lvl>
    <w:lvl w:ilvl="5" w:tentative="0">
      <w:start w:val="0"/>
      <w:numFmt w:val="bullet"/>
      <w:lvlText w:val="•"/>
      <w:lvlJc w:val="left"/>
      <w:pPr>
        <w:ind w:left="4983" w:hanging="635"/>
      </w:pPr>
      <w:rPr>
        <w:rFonts w:hint="default" w:ascii="Times New Roman" w:hAnsi="Times New Roman" w:cs="Times New Roman"/>
      </w:rPr>
    </w:lvl>
    <w:lvl w:ilvl="6" w:tentative="0">
      <w:start w:val="0"/>
      <w:numFmt w:val="bullet"/>
      <w:lvlText w:val="•"/>
      <w:lvlJc w:val="left"/>
      <w:pPr>
        <w:ind w:left="5739" w:hanging="635"/>
      </w:pPr>
      <w:rPr>
        <w:rFonts w:hint="default" w:ascii="Times New Roman" w:hAnsi="Times New Roman" w:cs="Times New Roman"/>
      </w:rPr>
    </w:lvl>
    <w:lvl w:ilvl="7" w:tentative="0">
      <w:start w:val="0"/>
      <w:numFmt w:val="bullet"/>
      <w:lvlText w:val="•"/>
      <w:lvlJc w:val="left"/>
      <w:pPr>
        <w:ind w:left="6496" w:hanging="635"/>
      </w:pPr>
      <w:rPr>
        <w:rFonts w:hint="default" w:ascii="Times New Roman" w:hAnsi="Times New Roman" w:cs="Times New Roman"/>
      </w:rPr>
    </w:lvl>
    <w:lvl w:ilvl="8" w:tentative="0">
      <w:start w:val="0"/>
      <w:numFmt w:val="bullet"/>
      <w:lvlText w:val="•"/>
      <w:lvlJc w:val="left"/>
      <w:pPr>
        <w:ind w:left="7253" w:hanging="635"/>
      </w:pPr>
      <w:rPr>
        <w:rFonts w:hint="default" w:ascii="Times New Roman" w:hAnsi="Times New Roman" w:cs="Times New Roman"/>
      </w:rPr>
    </w:lvl>
  </w:abstractNum>
  <w:abstractNum w:abstractNumId="41">
    <w:nsid w:val="E3A7C718"/>
    <w:multiLevelType w:val="multilevel"/>
    <w:tmpl w:val="E3A7C718"/>
    <w:lvl w:ilvl="0" w:tentative="0">
      <w:start w:val="9"/>
      <w:numFmt w:val="decimal"/>
      <w:lvlText w:val="%1"/>
      <w:lvlJc w:val="left"/>
      <w:pPr>
        <w:ind w:left="138" w:hanging="529"/>
      </w:pPr>
      <w:rPr>
        <w:rFonts w:hint="default" w:ascii="Times New Roman" w:hAnsi="Times New Roman" w:cs="Times New Roman"/>
      </w:rPr>
    </w:lvl>
    <w:lvl w:ilvl="1" w:tentative="0">
      <w:start w:val="4"/>
      <w:numFmt w:val="decimal"/>
      <w:lvlText w:val="%1.%2"/>
      <w:lvlJc w:val="left"/>
      <w:pPr>
        <w:ind w:left="138" w:hanging="529"/>
      </w:pPr>
      <w:rPr>
        <w:rFonts w:hint="default" w:ascii="Times New Roman" w:hAnsi="Times New Roman" w:cs="Times New Roman"/>
      </w:rPr>
    </w:lvl>
    <w:lvl w:ilvl="2" w:tentative="0">
      <w:start w:val="1"/>
      <w:numFmt w:val="decimal"/>
      <w:lvlText w:val="%1.%2.%3"/>
      <w:lvlJc w:val="left"/>
      <w:pPr>
        <w:ind w:left="138" w:hanging="529"/>
      </w:pPr>
      <w:rPr>
        <w:rFonts w:hint="eastAsia" w:ascii="宋体" w:hAnsi="宋体" w:eastAsia="宋体" w:cs="宋体"/>
        <w:spacing w:val="-3"/>
        <w:sz w:val="19"/>
        <w:szCs w:val="19"/>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42">
    <w:nsid w:val="E475D1A5"/>
    <w:multiLevelType w:val="multilevel"/>
    <w:tmpl w:val="E475D1A5"/>
    <w:lvl w:ilvl="0" w:tentative="0">
      <w:start w:val="15"/>
      <w:numFmt w:val="decimal"/>
      <w:lvlText w:val="%1"/>
      <w:lvlJc w:val="left"/>
      <w:pPr>
        <w:ind w:left="138" w:hanging="635"/>
      </w:pPr>
      <w:rPr>
        <w:rFonts w:hint="default" w:ascii="Times New Roman" w:hAnsi="Times New Roman" w:cs="Times New Roman"/>
      </w:rPr>
    </w:lvl>
    <w:lvl w:ilvl="1" w:tentative="0">
      <w:start w:val="5"/>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43">
    <w:nsid w:val="E4B18E4D"/>
    <w:multiLevelType w:val="multilevel"/>
    <w:tmpl w:val="E4B18E4D"/>
    <w:lvl w:ilvl="0" w:tentative="0">
      <w:start w:val="23"/>
      <w:numFmt w:val="decimal"/>
      <w:lvlText w:val="%1"/>
      <w:lvlJc w:val="left"/>
      <w:pPr>
        <w:ind w:left="138" w:hanging="635"/>
      </w:pPr>
      <w:rPr>
        <w:rFonts w:hint="default" w:ascii="Times New Roman" w:hAnsi="Times New Roman" w:cs="Times New Roman"/>
      </w:rPr>
    </w:lvl>
    <w:lvl w:ilvl="1" w:tentative="0">
      <w:start w:val="3"/>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44">
    <w:nsid w:val="E9370BD7"/>
    <w:multiLevelType w:val="multilevel"/>
    <w:tmpl w:val="E9370BD7"/>
    <w:lvl w:ilvl="0" w:tentative="0">
      <w:start w:val="1"/>
      <w:numFmt w:val="decimal"/>
      <w:lvlText w:val="（%1）"/>
      <w:lvlJc w:val="left"/>
      <w:pPr>
        <w:ind w:left="1087" w:hanging="529"/>
      </w:pPr>
      <w:rPr>
        <w:rFonts w:hint="eastAsia" w:ascii="宋体" w:hAnsi="宋体" w:eastAsia="宋体" w:cs="宋体"/>
        <w:spacing w:val="-32"/>
        <w:sz w:val="19"/>
        <w:szCs w:val="19"/>
      </w:rPr>
    </w:lvl>
    <w:lvl w:ilvl="1" w:tentative="0">
      <w:start w:val="0"/>
      <w:numFmt w:val="bullet"/>
      <w:lvlText w:val="•"/>
      <w:lvlJc w:val="left"/>
      <w:pPr>
        <w:ind w:left="1848" w:hanging="529"/>
      </w:pPr>
      <w:rPr>
        <w:rFonts w:hint="default" w:ascii="Times New Roman" w:hAnsi="Times New Roman" w:cs="Times New Roman"/>
      </w:rPr>
    </w:lvl>
    <w:lvl w:ilvl="2" w:tentative="0">
      <w:start w:val="0"/>
      <w:numFmt w:val="bullet"/>
      <w:lvlText w:val="•"/>
      <w:lvlJc w:val="left"/>
      <w:pPr>
        <w:ind w:left="2617" w:hanging="529"/>
      </w:pPr>
      <w:rPr>
        <w:rFonts w:hint="default" w:ascii="Times New Roman" w:hAnsi="Times New Roman" w:cs="Times New Roman"/>
      </w:rPr>
    </w:lvl>
    <w:lvl w:ilvl="3" w:tentative="0">
      <w:start w:val="0"/>
      <w:numFmt w:val="bullet"/>
      <w:lvlText w:val="•"/>
      <w:lvlJc w:val="left"/>
      <w:pPr>
        <w:ind w:left="3385" w:hanging="529"/>
      </w:pPr>
      <w:rPr>
        <w:rFonts w:hint="default" w:ascii="Times New Roman" w:hAnsi="Times New Roman" w:cs="Times New Roman"/>
      </w:rPr>
    </w:lvl>
    <w:lvl w:ilvl="4" w:tentative="0">
      <w:start w:val="0"/>
      <w:numFmt w:val="bullet"/>
      <w:lvlText w:val="•"/>
      <w:lvlJc w:val="left"/>
      <w:pPr>
        <w:ind w:left="4154" w:hanging="529"/>
      </w:pPr>
      <w:rPr>
        <w:rFonts w:hint="default" w:ascii="Times New Roman" w:hAnsi="Times New Roman" w:cs="Times New Roman"/>
      </w:rPr>
    </w:lvl>
    <w:lvl w:ilvl="5" w:tentative="0">
      <w:start w:val="0"/>
      <w:numFmt w:val="bullet"/>
      <w:lvlText w:val="•"/>
      <w:lvlJc w:val="left"/>
      <w:pPr>
        <w:ind w:left="4923" w:hanging="529"/>
      </w:pPr>
      <w:rPr>
        <w:rFonts w:hint="default" w:ascii="Times New Roman" w:hAnsi="Times New Roman" w:cs="Times New Roman"/>
      </w:rPr>
    </w:lvl>
    <w:lvl w:ilvl="6" w:tentative="0">
      <w:start w:val="0"/>
      <w:numFmt w:val="bullet"/>
      <w:lvlText w:val="•"/>
      <w:lvlJc w:val="left"/>
      <w:pPr>
        <w:ind w:left="5691" w:hanging="529"/>
      </w:pPr>
      <w:rPr>
        <w:rFonts w:hint="default" w:ascii="Times New Roman" w:hAnsi="Times New Roman" w:cs="Times New Roman"/>
      </w:rPr>
    </w:lvl>
    <w:lvl w:ilvl="7" w:tentative="0">
      <w:start w:val="0"/>
      <w:numFmt w:val="bullet"/>
      <w:lvlText w:val="•"/>
      <w:lvlJc w:val="left"/>
      <w:pPr>
        <w:ind w:left="6460" w:hanging="529"/>
      </w:pPr>
      <w:rPr>
        <w:rFonts w:hint="default" w:ascii="Times New Roman" w:hAnsi="Times New Roman" w:cs="Times New Roman"/>
      </w:rPr>
    </w:lvl>
    <w:lvl w:ilvl="8" w:tentative="0">
      <w:start w:val="0"/>
      <w:numFmt w:val="bullet"/>
      <w:lvlText w:val="•"/>
      <w:lvlJc w:val="left"/>
      <w:pPr>
        <w:ind w:left="7229" w:hanging="529"/>
      </w:pPr>
      <w:rPr>
        <w:rFonts w:hint="default" w:ascii="Times New Roman" w:hAnsi="Times New Roman" w:cs="Times New Roman"/>
      </w:rPr>
    </w:lvl>
  </w:abstractNum>
  <w:abstractNum w:abstractNumId="45">
    <w:nsid w:val="E974EE02"/>
    <w:multiLevelType w:val="multilevel"/>
    <w:tmpl w:val="E974EE02"/>
    <w:lvl w:ilvl="0" w:tentative="0">
      <w:start w:val="1"/>
      <w:numFmt w:val="decimal"/>
      <w:lvlText w:val="%1"/>
      <w:lvlJc w:val="left"/>
      <w:pPr>
        <w:ind w:left="138" w:hanging="529"/>
      </w:pPr>
      <w:rPr>
        <w:rFonts w:hint="default" w:ascii="Times New Roman" w:hAnsi="Times New Roman" w:cs="Times New Roman"/>
      </w:rPr>
    </w:lvl>
    <w:lvl w:ilvl="1" w:tentative="0">
      <w:start w:val="7"/>
      <w:numFmt w:val="decimal"/>
      <w:lvlText w:val="%1.%2"/>
      <w:lvlJc w:val="left"/>
      <w:pPr>
        <w:ind w:left="138" w:hanging="529"/>
      </w:pPr>
      <w:rPr>
        <w:rFonts w:hint="default" w:ascii="Times New Roman" w:hAnsi="Times New Roman" w:cs="Times New Roman"/>
      </w:rPr>
    </w:lvl>
    <w:lvl w:ilvl="2" w:tentative="0">
      <w:start w:val="1"/>
      <w:numFmt w:val="decimal"/>
      <w:lvlText w:val="%1.%2.%3"/>
      <w:lvlJc w:val="left"/>
      <w:pPr>
        <w:ind w:left="138" w:hanging="529"/>
      </w:pPr>
      <w:rPr>
        <w:rFonts w:hint="eastAsia" w:ascii="宋体" w:hAnsi="宋体" w:eastAsia="宋体" w:cs="宋体"/>
        <w:sz w:val="19"/>
        <w:szCs w:val="19"/>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46">
    <w:nsid w:val="EAB18243"/>
    <w:multiLevelType w:val="multilevel"/>
    <w:tmpl w:val="EAB18243"/>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47">
    <w:nsid w:val="F04D97B0"/>
    <w:multiLevelType w:val="multilevel"/>
    <w:tmpl w:val="F04D97B0"/>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48">
    <w:nsid w:val="F0724776"/>
    <w:multiLevelType w:val="multilevel"/>
    <w:tmpl w:val="F0724776"/>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58" w:hanging="529"/>
      </w:pPr>
      <w:rPr>
        <w:rFonts w:hint="default" w:ascii="Times New Roman" w:hAnsi="Times New Roman" w:cs="Times New Roman"/>
      </w:rPr>
    </w:lvl>
    <w:lvl w:ilvl="2" w:tentative="0">
      <w:start w:val="0"/>
      <w:numFmt w:val="bullet"/>
      <w:lvlText w:val="•"/>
      <w:lvlJc w:val="left"/>
      <w:pPr>
        <w:ind w:left="2537" w:hanging="529"/>
      </w:pPr>
      <w:rPr>
        <w:rFonts w:hint="default" w:ascii="Times New Roman" w:hAnsi="Times New Roman" w:cs="Times New Roman"/>
      </w:rPr>
    </w:lvl>
    <w:lvl w:ilvl="3" w:tentative="0">
      <w:start w:val="0"/>
      <w:numFmt w:val="bullet"/>
      <w:lvlText w:val="•"/>
      <w:lvlJc w:val="left"/>
      <w:pPr>
        <w:ind w:left="3315" w:hanging="529"/>
      </w:pPr>
      <w:rPr>
        <w:rFonts w:hint="default" w:ascii="Times New Roman" w:hAnsi="Times New Roman" w:cs="Times New Roman"/>
      </w:rPr>
    </w:lvl>
    <w:lvl w:ilvl="4" w:tentative="0">
      <w:start w:val="0"/>
      <w:numFmt w:val="bullet"/>
      <w:lvlText w:val="•"/>
      <w:lvlJc w:val="left"/>
      <w:pPr>
        <w:ind w:left="409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51" w:hanging="529"/>
      </w:pPr>
      <w:rPr>
        <w:rFonts w:hint="default" w:ascii="Times New Roman" w:hAnsi="Times New Roman" w:cs="Times New Roman"/>
      </w:rPr>
    </w:lvl>
    <w:lvl w:ilvl="7" w:tentative="0">
      <w:start w:val="0"/>
      <w:numFmt w:val="bullet"/>
      <w:lvlText w:val="•"/>
      <w:lvlJc w:val="left"/>
      <w:pPr>
        <w:ind w:left="6430" w:hanging="529"/>
      </w:pPr>
      <w:rPr>
        <w:rFonts w:hint="default" w:ascii="Times New Roman" w:hAnsi="Times New Roman" w:cs="Times New Roman"/>
      </w:rPr>
    </w:lvl>
    <w:lvl w:ilvl="8" w:tentative="0">
      <w:start w:val="0"/>
      <w:numFmt w:val="bullet"/>
      <w:lvlText w:val="•"/>
      <w:lvlJc w:val="left"/>
      <w:pPr>
        <w:ind w:left="7209" w:hanging="529"/>
      </w:pPr>
      <w:rPr>
        <w:rFonts w:hint="default" w:ascii="Times New Roman" w:hAnsi="Times New Roman" w:cs="Times New Roman"/>
      </w:rPr>
    </w:lvl>
  </w:abstractNum>
  <w:abstractNum w:abstractNumId="49">
    <w:nsid w:val="F174A1CA"/>
    <w:multiLevelType w:val="singleLevel"/>
    <w:tmpl w:val="F174A1CA"/>
    <w:lvl w:ilvl="0" w:tentative="0">
      <w:start w:val="5"/>
      <w:numFmt w:val="chineseCounting"/>
      <w:suff w:val="nothing"/>
      <w:lvlText w:val="%1、"/>
      <w:lvlJc w:val="left"/>
      <w:rPr>
        <w:rFonts w:hint="eastAsia"/>
      </w:rPr>
    </w:lvl>
  </w:abstractNum>
  <w:abstractNum w:abstractNumId="50">
    <w:nsid w:val="F46AD405"/>
    <w:multiLevelType w:val="multilevel"/>
    <w:tmpl w:val="F46AD405"/>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1"/>
      <w:numFmt w:val="decimal"/>
      <w:lvlText w:val="（%2）"/>
      <w:lvlJc w:val="left"/>
      <w:pPr>
        <w:ind w:left="138" w:hanging="529"/>
      </w:pPr>
      <w:rPr>
        <w:rFonts w:hint="eastAsia" w:ascii="宋体" w:hAnsi="宋体" w:eastAsia="宋体" w:cs="宋体"/>
        <w:spacing w:val="-89"/>
        <w:sz w:val="19"/>
        <w:szCs w:val="19"/>
      </w:rPr>
    </w:lvl>
    <w:lvl w:ilvl="2" w:tentative="0">
      <w:start w:val="0"/>
      <w:numFmt w:val="bullet"/>
      <w:lvlText w:val="•"/>
      <w:lvlJc w:val="left"/>
      <w:pPr>
        <w:ind w:left="1845" w:hanging="529"/>
      </w:pPr>
      <w:rPr>
        <w:rFonts w:hint="default" w:ascii="Times New Roman" w:hAnsi="Times New Roman" w:cs="Times New Roman"/>
      </w:rPr>
    </w:lvl>
    <w:lvl w:ilvl="3" w:tentative="0">
      <w:start w:val="0"/>
      <w:numFmt w:val="bullet"/>
      <w:lvlText w:val="•"/>
      <w:lvlJc w:val="left"/>
      <w:pPr>
        <w:ind w:left="2710" w:hanging="529"/>
      </w:pPr>
      <w:rPr>
        <w:rFonts w:hint="default" w:ascii="Times New Roman" w:hAnsi="Times New Roman" w:cs="Times New Roman"/>
      </w:rPr>
    </w:lvl>
    <w:lvl w:ilvl="4" w:tentative="0">
      <w:start w:val="0"/>
      <w:numFmt w:val="bullet"/>
      <w:lvlText w:val="•"/>
      <w:lvlJc w:val="left"/>
      <w:pPr>
        <w:ind w:left="3575" w:hanging="529"/>
      </w:pPr>
      <w:rPr>
        <w:rFonts w:hint="default" w:ascii="Times New Roman" w:hAnsi="Times New Roman" w:cs="Times New Roman"/>
      </w:rPr>
    </w:lvl>
    <w:lvl w:ilvl="5" w:tentative="0">
      <w:start w:val="0"/>
      <w:numFmt w:val="bullet"/>
      <w:lvlText w:val="•"/>
      <w:lvlJc w:val="left"/>
      <w:pPr>
        <w:ind w:left="4440" w:hanging="529"/>
      </w:pPr>
      <w:rPr>
        <w:rFonts w:hint="default" w:ascii="Times New Roman" w:hAnsi="Times New Roman" w:cs="Times New Roman"/>
      </w:rPr>
    </w:lvl>
    <w:lvl w:ilvl="6" w:tentative="0">
      <w:start w:val="0"/>
      <w:numFmt w:val="bullet"/>
      <w:lvlText w:val="•"/>
      <w:lvlJc w:val="left"/>
      <w:pPr>
        <w:ind w:left="5305" w:hanging="529"/>
      </w:pPr>
      <w:rPr>
        <w:rFonts w:hint="default" w:ascii="Times New Roman" w:hAnsi="Times New Roman" w:cs="Times New Roman"/>
      </w:rPr>
    </w:lvl>
    <w:lvl w:ilvl="7" w:tentative="0">
      <w:start w:val="0"/>
      <w:numFmt w:val="bullet"/>
      <w:lvlText w:val="•"/>
      <w:lvlJc w:val="left"/>
      <w:pPr>
        <w:ind w:left="6170" w:hanging="529"/>
      </w:pPr>
      <w:rPr>
        <w:rFonts w:hint="default" w:ascii="Times New Roman" w:hAnsi="Times New Roman" w:cs="Times New Roman"/>
      </w:rPr>
    </w:lvl>
    <w:lvl w:ilvl="8" w:tentative="0">
      <w:start w:val="0"/>
      <w:numFmt w:val="bullet"/>
      <w:lvlText w:val="•"/>
      <w:lvlJc w:val="left"/>
      <w:pPr>
        <w:ind w:left="7036" w:hanging="529"/>
      </w:pPr>
      <w:rPr>
        <w:rFonts w:hint="default" w:ascii="Times New Roman" w:hAnsi="Times New Roman" w:cs="Times New Roman"/>
      </w:rPr>
    </w:lvl>
  </w:abstractNum>
  <w:abstractNum w:abstractNumId="51">
    <w:nsid w:val="F50E6B07"/>
    <w:multiLevelType w:val="multilevel"/>
    <w:tmpl w:val="F50E6B07"/>
    <w:lvl w:ilvl="0" w:tentative="0">
      <w:start w:val="1"/>
      <w:numFmt w:val="decimal"/>
      <w:lvlText w:val="%1"/>
      <w:lvlJc w:val="left"/>
      <w:pPr>
        <w:ind w:left="499" w:hanging="361"/>
      </w:pPr>
      <w:rPr>
        <w:rFonts w:hint="default" w:ascii="Times New Roman" w:hAnsi="Times New Roman" w:cs="Times New Roman"/>
      </w:rPr>
    </w:lvl>
    <w:lvl w:ilvl="1" w:tentative="0">
      <w:start w:val="4"/>
      <w:numFmt w:val="decimal"/>
      <w:lvlText w:val="%1.%2"/>
      <w:lvlJc w:val="left"/>
      <w:pPr>
        <w:ind w:left="499" w:hanging="361"/>
      </w:pPr>
      <w:rPr>
        <w:rFonts w:hint="eastAsia" w:ascii="宋体" w:hAnsi="宋体" w:eastAsia="宋体" w:cs="宋体"/>
        <w:spacing w:val="-1"/>
        <w:sz w:val="22"/>
        <w:szCs w:val="22"/>
      </w:rPr>
    </w:lvl>
    <w:lvl w:ilvl="2" w:tentative="0">
      <w:start w:val="1"/>
      <w:numFmt w:val="decimal"/>
      <w:lvlText w:val="（%3）"/>
      <w:lvlJc w:val="left"/>
      <w:pPr>
        <w:ind w:left="981" w:hanging="529"/>
      </w:pPr>
      <w:rPr>
        <w:rFonts w:hint="eastAsia" w:ascii="宋体" w:hAnsi="宋体" w:eastAsia="宋体" w:cs="宋体"/>
        <w:spacing w:val="-3"/>
        <w:sz w:val="19"/>
        <w:szCs w:val="19"/>
      </w:rPr>
    </w:lvl>
    <w:lvl w:ilvl="3" w:tentative="0">
      <w:start w:val="0"/>
      <w:numFmt w:val="bullet"/>
      <w:lvlText w:val="•"/>
      <w:lvlJc w:val="left"/>
      <w:pPr>
        <w:ind w:left="2710" w:hanging="529"/>
      </w:pPr>
      <w:rPr>
        <w:rFonts w:hint="default" w:ascii="Times New Roman" w:hAnsi="Times New Roman" w:cs="Times New Roman"/>
      </w:rPr>
    </w:lvl>
    <w:lvl w:ilvl="4" w:tentative="0">
      <w:start w:val="0"/>
      <w:numFmt w:val="bullet"/>
      <w:lvlText w:val="•"/>
      <w:lvlJc w:val="left"/>
      <w:pPr>
        <w:ind w:left="3575" w:hanging="529"/>
      </w:pPr>
      <w:rPr>
        <w:rFonts w:hint="default" w:ascii="Times New Roman" w:hAnsi="Times New Roman" w:cs="Times New Roman"/>
      </w:rPr>
    </w:lvl>
    <w:lvl w:ilvl="5" w:tentative="0">
      <w:start w:val="0"/>
      <w:numFmt w:val="bullet"/>
      <w:lvlText w:val="•"/>
      <w:lvlJc w:val="left"/>
      <w:pPr>
        <w:ind w:left="4440" w:hanging="529"/>
      </w:pPr>
      <w:rPr>
        <w:rFonts w:hint="default" w:ascii="Times New Roman" w:hAnsi="Times New Roman" w:cs="Times New Roman"/>
      </w:rPr>
    </w:lvl>
    <w:lvl w:ilvl="6" w:tentative="0">
      <w:start w:val="0"/>
      <w:numFmt w:val="bullet"/>
      <w:lvlText w:val="•"/>
      <w:lvlJc w:val="left"/>
      <w:pPr>
        <w:ind w:left="5305" w:hanging="529"/>
      </w:pPr>
      <w:rPr>
        <w:rFonts w:hint="default" w:ascii="Times New Roman" w:hAnsi="Times New Roman" w:cs="Times New Roman"/>
      </w:rPr>
    </w:lvl>
    <w:lvl w:ilvl="7" w:tentative="0">
      <w:start w:val="0"/>
      <w:numFmt w:val="bullet"/>
      <w:lvlText w:val="•"/>
      <w:lvlJc w:val="left"/>
      <w:pPr>
        <w:ind w:left="6170" w:hanging="529"/>
      </w:pPr>
      <w:rPr>
        <w:rFonts w:hint="default" w:ascii="Times New Roman" w:hAnsi="Times New Roman" w:cs="Times New Roman"/>
      </w:rPr>
    </w:lvl>
    <w:lvl w:ilvl="8" w:tentative="0">
      <w:start w:val="0"/>
      <w:numFmt w:val="bullet"/>
      <w:lvlText w:val="•"/>
      <w:lvlJc w:val="left"/>
      <w:pPr>
        <w:ind w:left="7036" w:hanging="529"/>
      </w:pPr>
      <w:rPr>
        <w:rFonts w:hint="default" w:ascii="Times New Roman" w:hAnsi="Times New Roman" w:cs="Times New Roman"/>
      </w:rPr>
    </w:lvl>
  </w:abstractNum>
  <w:abstractNum w:abstractNumId="52">
    <w:nsid w:val="F51C010A"/>
    <w:multiLevelType w:val="multilevel"/>
    <w:tmpl w:val="F51C010A"/>
    <w:lvl w:ilvl="0" w:tentative="0">
      <w:start w:val="4"/>
      <w:numFmt w:val="decimal"/>
      <w:lvlText w:val="%1"/>
      <w:lvlJc w:val="left"/>
      <w:pPr>
        <w:ind w:left="138" w:hanging="529"/>
      </w:pPr>
      <w:rPr>
        <w:rFonts w:hint="default" w:ascii="Times New Roman" w:hAnsi="Times New Roman" w:cs="Times New Roman"/>
      </w:rPr>
    </w:lvl>
    <w:lvl w:ilvl="1" w:tentative="0">
      <w:start w:val="3"/>
      <w:numFmt w:val="decimal"/>
      <w:lvlText w:val="%1.%2"/>
      <w:lvlJc w:val="left"/>
      <w:pPr>
        <w:ind w:left="138" w:hanging="529"/>
      </w:pPr>
      <w:rPr>
        <w:rFonts w:hint="default" w:ascii="Times New Roman" w:hAnsi="Times New Roman" w:cs="Times New Roman"/>
      </w:rPr>
    </w:lvl>
    <w:lvl w:ilvl="2" w:tentative="0">
      <w:start w:val="1"/>
      <w:numFmt w:val="decimal"/>
      <w:lvlText w:val="%1.%2.%3"/>
      <w:lvlJc w:val="left"/>
      <w:pPr>
        <w:ind w:left="138" w:hanging="529"/>
      </w:pPr>
      <w:rPr>
        <w:rFonts w:hint="eastAsia" w:ascii="宋体" w:hAnsi="宋体" w:eastAsia="宋体" w:cs="宋体"/>
        <w:spacing w:val="-3"/>
        <w:sz w:val="19"/>
        <w:szCs w:val="19"/>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53">
    <w:nsid w:val="FCE85E6C"/>
    <w:multiLevelType w:val="multilevel"/>
    <w:tmpl w:val="FCE85E6C"/>
    <w:lvl w:ilvl="0" w:tentative="0">
      <w:start w:val="17"/>
      <w:numFmt w:val="decimal"/>
      <w:lvlText w:val="%1"/>
      <w:lvlJc w:val="left"/>
      <w:pPr>
        <w:ind w:left="1192" w:hanging="635"/>
      </w:pPr>
      <w:rPr>
        <w:rFonts w:hint="default" w:ascii="Times New Roman" w:hAnsi="Times New Roman" w:cs="Times New Roman"/>
      </w:rPr>
    </w:lvl>
    <w:lvl w:ilvl="1" w:tentative="0">
      <w:start w:val="4"/>
      <w:numFmt w:val="decimal"/>
      <w:lvlText w:val="%1.%2"/>
      <w:lvlJc w:val="left"/>
      <w:pPr>
        <w:ind w:left="1192" w:hanging="635"/>
      </w:pPr>
      <w:rPr>
        <w:rFonts w:hint="default" w:ascii="Times New Roman" w:hAnsi="Times New Roman" w:cs="Times New Roman"/>
      </w:rPr>
    </w:lvl>
    <w:lvl w:ilvl="2" w:tentative="0">
      <w:start w:val="2"/>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3469" w:hanging="635"/>
      </w:pPr>
      <w:rPr>
        <w:rFonts w:hint="default" w:ascii="Times New Roman" w:hAnsi="Times New Roman" w:cs="Times New Roman"/>
      </w:rPr>
    </w:lvl>
    <w:lvl w:ilvl="4" w:tentative="0">
      <w:start w:val="0"/>
      <w:numFmt w:val="bullet"/>
      <w:lvlText w:val="•"/>
      <w:lvlJc w:val="left"/>
      <w:pPr>
        <w:ind w:left="4226" w:hanging="635"/>
      </w:pPr>
      <w:rPr>
        <w:rFonts w:hint="default" w:ascii="Times New Roman" w:hAnsi="Times New Roman" w:cs="Times New Roman"/>
      </w:rPr>
    </w:lvl>
    <w:lvl w:ilvl="5" w:tentative="0">
      <w:start w:val="0"/>
      <w:numFmt w:val="bullet"/>
      <w:lvlText w:val="•"/>
      <w:lvlJc w:val="left"/>
      <w:pPr>
        <w:ind w:left="4983" w:hanging="635"/>
      </w:pPr>
      <w:rPr>
        <w:rFonts w:hint="default" w:ascii="Times New Roman" w:hAnsi="Times New Roman" w:cs="Times New Roman"/>
      </w:rPr>
    </w:lvl>
    <w:lvl w:ilvl="6" w:tentative="0">
      <w:start w:val="0"/>
      <w:numFmt w:val="bullet"/>
      <w:lvlText w:val="•"/>
      <w:lvlJc w:val="left"/>
      <w:pPr>
        <w:ind w:left="5739" w:hanging="635"/>
      </w:pPr>
      <w:rPr>
        <w:rFonts w:hint="default" w:ascii="Times New Roman" w:hAnsi="Times New Roman" w:cs="Times New Roman"/>
      </w:rPr>
    </w:lvl>
    <w:lvl w:ilvl="7" w:tentative="0">
      <w:start w:val="0"/>
      <w:numFmt w:val="bullet"/>
      <w:lvlText w:val="•"/>
      <w:lvlJc w:val="left"/>
      <w:pPr>
        <w:ind w:left="6496" w:hanging="635"/>
      </w:pPr>
      <w:rPr>
        <w:rFonts w:hint="default" w:ascii="Times New Roman" w:hAnsi="Times New Roman" w:cs="Times New Roman"/>
      </w:rPr>
    </w:lvl>
    <w:lvl w:ilvl="8" w:tentative="0">
      <w:start w:val="0"/>
      <w:numFmt w:val="bullet"/>
      <w:lvlText w:val="•"/>
      <w:lvlJc w:val="left"/>
      <w:pPr>
        <w:ind w:left="7253" w:hanging="635"/>
      </w:pPr>
      <w:rPr>
        <w:rFonts w:hint="default" w:ascii="Times New Roman" w:hAnsi="Times New Roman" w:cs="Times New Roman"/>
      </w:rPr>
    </w:lvl>
  </w:abstractNum>
  <w:abstractNum w:abstractNumId="54">
    <w:nsid w:val="FDF92D6F"/>
    <w:multiLevelType w:val="multilevel"/>
    <w:tmpl w:val="FDF92D6F"/>
    <w:lvl w:ilvl="0" w:tentative="0">
      <w:start w:val="13"/>
      <w:numFmt w:val="decimal"/>
      <w:lvlText w:val="%1"/>
      <w:lvlJc w:val="left"/>
      <w:pPr>
        <w:ind w:left="1192" w:hanging="635"/>
      </w:pPr>
      <w:rPr>
        <w:rFonts w:hint="default" w:ascii="Times New Roman" w:hAnsi="Times New Roman" w:cs="Times New Roman"/>
      </w:rPr>
    </w:lvl>
    <w:lvl w:ilvl="1" w:tentative="0">
      <w:start w:val="1"/>
      <w:numFmt w:val="decimal"/>
      <w:lvlText w:val="%1.%2"/>
      <w:lvlJc w:val="left"/>
      <w:pPr>
        <w:ind w:left="1192" w:hanging="635"/>
      </w:pPr>
      <w:rPr>
        <w:rFonts w:hint="default" w:ascii="Times New Roman" w:hAnsi="Times New Roman" w:cs="Times New Roman"/>
      </w:rPr>
    </w:lvl>
    <w:lvl w:ilvl="2" w:tentative="0">
      <w:start w:val="1"/>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3469" w:hanging="635"/>
      </w:pPr>
      <w:rPr>
        <w:rFonts w:hint="default" w:ascii="Times New Roman" w:hAnsi="Times New Roman" w:cs="Times New Roman"/>
      </w:rPr>
    </w:lvl>
    <w:lvl w:ilvl="4" w:tentative="0">
      <w:start w:val="0"/>
      <w:numFmt w:val="bullet"/>
      <w:lvlText w:val="•"/>
      <w:lvlJc w:val="left"/>
      <w:pPr>
        <w:ind w:left="4226" w:hanging="635"/>
      </w:pPr>
      <w:rPr>
        <w:rFonts w:hint="default" w:ascii="Times New Roman" w:hAnsi="Times New Roman" w:cs="Times New Roman"/>
      </w:rPr>
    </w:lvl>
    <w:lvl w:ilvl="5" w:tentative="0">
      <w:start w:val="0"/>
      <w:numFmt w:val="bullet"/>
      <w:lvlText w:val="•"/>
      <w:lvlJc w:val="left"/>
      <w:pPr>
        <w:ind w:left="4983" w:hanging="635"/>
      </w:pPr>
      <w:rPr>
        <w:rFonts w:hint="default" w:ascii="Times New Roman" w:hAnsi="Times New Roman" w:cs="Times New Roman"/>
      </w:rPr>
    </w:lvl>
    <w:lvl w:ilvl="6" w:tentative="0">
      <w:start w:val="0"/>
      <w:numFmt w:val="bullet"/>
      <w:lvlText w:val="•"/>
      <w:lvlJc w:val="left"/>
      <w:pPr>
        <w:ind w:left="5739" w:hanging="635"/>
      </w:pPr>
      <w:rPr>
        <w:rFonts w:hint="default" w:ascii="Times New Roman" w:hAnsi="Times New Roman" w:cs="Times New Roman"/>
      </w:rPr>
    </w:lvl>
    <w:lvl w:ilvl="7" w:tentative="0">
      <w:start w:val="0"/>
      <w:numFmt w:val="bullet"/>
      <w:lvlText w:val="•"/>
      <w:lvlJc w:val="left"/>
      <w:pPr>
        <w:ind w:left="6496" w:hanging="635"/>
      </w:pPr>
      <w:rPr>
        <w:rFonts w:hint="default" w:ascii="Times New Roman" w:hAnsi="Times New Roman" w:cs="Times New Roman"/>
      </w:rPr>
    </w:lvl>
    <w:lvl w:ilvl="8" w:tentative="0">
      <w:start w:val="0"/>
      <w:numFmt w:val="bullet"/>
      <w:lvlText w:val="•"/>
      <w:lvlJc w:val="left"/>
      <w:pPr>
        <w:ind w:left="7253" w:hanging="635"/>
      </w:pPr>
      <w:rPr>
        <w:rFonts w:hint="default" w:ascii="Times New Roman" w:hAnsi="Times New Roman" w:cs="Times New Roman"/>
      </w:rPr>
    </w:lvl>
  </w:abstractNum>
  <w:abstractNum w:abstractNumId="55">
    <w:nsid w:val="FEF6A771"/>
    <w:multiLevelType w:val="singleLevel"/>
    <w:tmpl w:val="FEF6A771"/>
    <w:lvl w:ilvl="0" w:tentative="0">
      <w:start w:val="1"/>
      <w:numFmt w:val="lowerLetter"/>
      <w:suff w:val="space"/>
      <w:lvlText w:val="(%1)"/>
      <w:lvlJc w:val="left"/>
    </w:lvl>
  </w:abstractNum>
  <w:abstractNum w:abstractNumId="56">
    <w:nsid w:val="01567050"/>
    <w:multiLevelType w:val="multilevel"/>
    <w:tmpl w:val="01567050"/>
    <w:lvl w:ilvl="0" w:tentative="0">
      <w:start w:val="9"/>
      <w:numFmt w:val="decimal"/>
      <w:lvlText w:val="%1"/>
      <w:lvlJc w:val="left"/>
      <w:pPr>
        <w:ind w:left="138" w:hanging="529"/>
      </w:pPr>
      <w:rPr>
        <w:rFonts w:hint="default" w:ascii="Times New Roman" w:hAnsi="Times New Roman" w:cs="Times New Roman"/>
      </w:rPr>
    </w:lvl>
    <w:lvl w:ilvl="1" w:tentative="0">
      <w:start w:val="1"/>
      <w:numFmt w:val="decimal"/>
      <w:lvlText w:val="%1.%2"/>
      <w:lvlJc w:val="left"/>
      <w:pPr>
        <w:ind w:left="138" w:hanging="529"/>
      </w:pPr>
      <w:rPr>
        <w:rFonts w:hint="default" w:ascii="Times New Roman" w:hAnsi="Times New Roman" w:cs="Times New Roman"/>
      </w:rPr>
    </w:lvl>
    <w:lvl w:ilvl="2" w:tentative="0">
      <w:start w:val="1"/>
      <w:numFmt w:val="decimal"/>
      <w:lvlText w:val="%1.%2.%3"/>
      <w:lvlJc w:val="left"/>
      <w:pPr>
        <w:ind w:left="138" w:hanging="529"/>
      </w:pPr>
      <w:rPr>
        <w:rFonts w:hint="eastAsia" w:ascii="宋体" w:hAnsi="宋体" w:eastAsia="宋体" w:cs="宋体"/>
        <w:spacing w:val="-3"/>
        <w:sz w:val="19"/>
        <w:szCs w:val="19"/>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57">
    <w:nsid w:val="01856EE9"/>
    <w:multiLevelType w:val="multilevel"/>
    <w:tmpl w:val="01856EE9"/>
    <w:lvl w:ilvl="0" w:tentative="0">
      <w:start w:val="17"/>
      <w:numFmt w:val="decimal"/>
      <w:lvlText w:val="%1"/>
      <w:lvlJc w:val="left"/>
      <w:pPr>
        <w:ind w:left="619" w:hanging="481"/>
      </w:pPr>
      <w:rPr>
        <w:rFonts w:hint="default" w:ascii="Times New Roman" w:hAnsi="Times New Roman" w:cs="Times New Roman"/>
      </w:rPr>
    </w:lvl>
    <w:lvl w:ilvl="1" w:tentative="0">
      <w:start w:val="4"/>
      <w:numFmt w:val="decimal"/>
      <w:lvlText w:val="%1.%2"/>
      <w:lvlJc w:val="left"/>
      <w:pPr>
        <w:ind w:left="619" w:hanging="481"/>
      </w:pPr>
      <w:rPr>
        <w:rFonts w:hint="default" w:ascii="Times New Roman" w:hAnsi="Times New Roman" w:cs="Times New Roman"/>
        <w:spacing w:val="-1"/>
      </w:rPr>
    </w:lvl>
    <w:lvl w:ilvl="2" w:tentative="0">
      <w:start w:val="1"/>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2881" w:hanging="635"/>
      </w:pPr>
      <w:rPr>
        <w:rFonts w:hint="default" w:ascii="Times New Roman" w:hAnsi="Times New Roman" w:cs="Times New Roman"/>
      </w:rPr>
    </w:lvl>
    <w:lvl w:ilvl="4" w:tentative="0">
      <w:start w:val="0"/>
      <w:numFmt w:val="bullet"/>
      <w:lvlText w:val="•"/>
      <w:lvlJc w:val="left"/>
      <w:pPr>
        <w:ind w:left="3722" w:hanging="635"/>
      </w:pPr>
      <w:rPr>
        <w:rFonts w:hint="default" w:ascii="Times New Roman" w:hAnsi="Times New Roman" w:cs="Times New Roman"/>
      </w:rPr>
    </w:lvl>
    <w:lvl w:ilvl="5" w:tentative="0">
      <w:start w:val="0"/>
      <w:numFmt w:val="bullet"/>
      <w:lvlText w:val="•"/>
      <w:lvlJc w:val="left"/>
      <w:pPr>
        <w:ind w:left="4562" w:hanging="635"/>
      </w:pPr>
      <w:rPr>
        <w:rFonts w:hint="default" w:ascii="Times New Roman" w:hAnsi="Times New Roman" w:cs="Times New Roman"/>
      </w:rPr>
    </w:lvl>
    <w:lvl w:ilvl="6" w:tentative="0">
      <w:start w:val="0"/>
      <w:numFmt w:val="bullet"/>
      <w:lvlText w:val="•"/>
      <w:lvlJc w:val="left"/>
      <w:pPr>
        <w:ind w:left="5403" w:hanging="635"/>
      </w:pPr>
      <w:rPr>
        <w:rFonts w:hint="default" w:ascii="Times New Roman" w:hAnsi="Times New Roman" w:cs="Times New Roman"/>
      </w:rPr>
    </w:lvl>
    <w:lvl w:ilvl="7" w:tentative="0">
      <w:start w:val="0"/>
      <w:numFmt w:val="bullet"/>
      <w:lvlText w:val="•"/>
      <w:lvlJc w:val="left"/>
      <w:pPr>
        <w:ind w:left="6244" w:hanging="635"/>
      </w:pPr>
      <w:rPr>
        <w:rFonts w:hint="default" w:ascii="Times New Roman" w:hAnsi="Times New Roman" w:cs="Times New Roman"/>
      </w:rPr>
    </w:lvl>
    <w:lvl w:ilvl="8" w:tentative="0">
      <w:start w:val="0"/>
      <w:numFmt w:val="bullet"/>
      <w:lvlText w:val="•"/>
      <w:lvlJc w:val="left"/>
      <w:pPr>
        <w:ind w:left="7084" w:hanging="635"/>
      </w:pPr>
      <w:rPr>
        <w:rFonts w:hint="default" w:ascii="Times New Roman" w:hAnsi="Times New Roman" w:cs="Times New Roman"/>
      </w:rPr>
    </w:lvl>
  </w:abstractNum>
  <w:abstractNum w:abstractNumId="58">
    <w:nsid w:val="01A3DCA7"/>
    <w:multiLevelType w:val="multilevel"/>
    <w:tmpl w:val="01A3DCA7"/>
    <w:lvl w:ilvl="0" w:tentative="0">
      <w:start w:val="1"/>
      <w:numFmt w:val="decimal"/>
      <w:lvlText w:val="（%1）"/>
      <w:lvlJc w:val="left"/>
      <w:pPr>
        <w:ind w:left="106" w:hanging="527"/>
      </w:pPr>
      <w:rPr>
        <w:rFonts w:hint="eastAsia" w:ascii="宋体" w:hAnsi="宋体" w:eastAsia="宋体" w:cs="宋体"/>
        <w:spacing w:val="-44"/>
        <w:sz w:val="19"/>
        <w:szCs w:val="19"/>
      </w:rPr>
    </w:lvl>
    <w:lvl w:ilvl="1" w:tentative="0">
      <w:start w:val="0"/>
      <w:numFmt w:val="bullet"/>
      <w:lvlText w:val="•"/>
      <w:lvlJc w:val="left"/>
      <w:pPr>
        <w:ind w:left="1002" w:hanging="527"/>
      </w:pPr>
      <w:rPr>
        <w:rFonts w:hint="default" w:ascii="Times New Roman" w:hAnsi="Times New Roman" w:cs="Times New Roman"/>
      </w:rPr>
    </w:lvl>
    <w:lvl w:ilvl="2" w:tentative="0">
      <w:start w:val="0"/>
      <w:numFmt w:val="bullet"/>
      <w:lvlText w:val="•"/>
      <w:lvlJc w:val="left"/>
      <w:pPr>
        <w:ind w:left="1865" w:hanging="527"/>
      </w:pPr>
      <w:rPr>
        <w:rFonts w:hint="default" w:ascii="Times New Roman" w:hAnsi="Times New Roman" w:cs="Times New Roman"/>
      </w:rPr>
    </w:lvl>
    <w:lvl w:ilvl="3" w:tentative="0">
      <w:start w:val="0"/>
      <w:numFmt w:val="bullet"/>
      <w:lvlText w:val="•"/>
      <w:lvlJc w:val="left"/>
      <w:pPr>
        <w:ind w:left="2727" w:hanging="527"/>
      </w:pPr>
      <w:rPr>
        <w:rFonts w:hint="default" w:ascii="Times New Roman" w:hAnsi="Times New Roman" w:cs="Times New Roman"/>
      </w:rPr>
    </w:lvl>
    <w:lvl w:ilvl="4" w:tentative="0">
      <w:start w:val="0"/>
      <w:numFmt w:val="bullet"/>
      <w:lvlText w:val="•"/>
      <w:lvlJc w:val="left"/>
      <w:pPr>
        <w:ind w:left="3590" w:hanging="527"/>
      </w:pPr>
      <w:rPr>
        <w:rFonts w:hint="default" w:ascii="Times New Roman" w:hAnsi="Times New Roman" w:cs="Times New Roman"/>
      </w:rPr>
    </w:lvl>
    <w:lvl w:ilvl="5" w:tentative="0">
      <w:start w:val="0"/>
      <w:numFmt w:val="bullet"/>
      <w:lvlText w:val="•"/>
      <w:lvlJc w:val="left"/>
      <w:pPr>
        <w:ind w:left="4453" w:hanging="527"/>
      </w:pPr>
      <w:rPr>
        <w:rFonts w:hint="default" w:ascii="Times New Roman" w:hAnsi="Times New Roman" w:cs="Times New Roman"/>
      </w:rPr>
    </w:lvl>
    <w:lvl w:ilvl="6" w:tentative="0">
      <w:start w:val="0"/>
      <w:numFmt w:val="bullet"/>
      <w:lvlText w:val="•"/>
      <w:lvlJc w:val="left"/>
      <w:pPr>
        <w:ind w:left="5315" w:hanging="527"/>
      </w:pPr>
      <w:rPr>
        <w:rFonts w:hint="default" w:ascii="Times New Roman" w:hAnsi="Times New Roman" w:cs="Times New Roman"/>
      </w:rPr>
    </w:lvl>
    <w:lvl w:ilvl="7" w:tentative="0">
      <w:start w:val="0"/>
      <w:numFmt w:val="bullet"/>
      <w:lvlText w:val="•"/>
      <w:lvlJc w:val="left"/>
      <w:pPr>
        <w:ind w:left="6178" w:hanging="527"/>
      </w:pPr>
      <w:rPr>
        <w:rFonts w:hint="default" w:ascii="Times New Roman" w:hAnsi="Times New Roman" w:cs="Times New Roman"/>
      </w:rPr>
    </w:lvl>
    <w:lvl w:ilvl="8" w:tentative="0">
      <w:start w:val="0"/>
      <w:numFmt w:val="bullet"/>
      <w:lvlText w:val="•"/>
      <w:lvlJc w:val="left"/>
      <w:pPr>
        <w:ind w:left="7041" w:hanging="527"/>
      </w:pPr>
      <w:rPr>
        <w:rFonts w:hint="default" w:ascii="Times New Roman" w:hAnsi="Times New Roman" w:cs="Times New Roman"/>
      </w:rPr>
    </w:lvl>
  </w:abstractNum>
  <w:abstractNum w:abstractNumId="59">
    <w:nsid w:val="029B9B85"/>
    <w:multiLevelType w:val="multilevel"/>
    <w:tmpl w:val="029B9B85"/>
    <w:lvl w:ilvl="0" w:tentative="0">
      <w:start w:val="10"/>
      <w:numFmt w:val="decimal"/>
      <w:lvlText w:val="%1"/>
      <w:lvlJc w:val="left"/>
      <w:pPr>
        <w:ind w:left="138" w:hanging="635"/>
      </w:pPr>
      <w:rPr>
        <w:rFonts w:hint="default" w:ascii="Times New Roman" w:hAnsi="Times New Roman" w:cs="Times New Roman"/>
      </w:rPr>
    </w:lvl>
    <w:lvl w:ilvl="1" w:tentative="0">
      <w:start w:val="2"/>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60">
    <w:nsid w:val="03FFF9EB"/>
    <w:multiLevelType w:val="multilevel"/>
    <w:tmpl w:val="03FFF9EB"/>
    <w:lvl w:ilvl="0" w:tentative="0">
      <w:start w:val="1"/>
      <w:numFmt w:val="decimal"/>
      <w:lvlText w:val="（%1）"/>
      <w:lvlJc w:val="left"/>
      <w:pPr>
        <w:ind w:left="138" w:hanging="529"/>
      </w:pPr>
      <w:rPr>
        <w:rFonts w:hint="eastAsia" w:ascii="宋体" w:hAnsi="宋体" w:eastAsia="宋体" w:cs="宋体"/>
        <w:spacing w:val="-25"/>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61">
    <w:nsid w:val="066C4AF4"/>
    <w:multiLevelType w:val="multilevel"/>
    <w:tmpl w:val="066C4AF4"/>
    <w:lvl w:ilvl="0" w:tentative="0">
      <w:start w:val="19"/>
      <w:numFmt w:val="decimal"/>
      <w:lvlText w:val="%1"/>
      <w:lvlJc w:val="left"/>
      <w:pPr>
        <w:ind w:left="138" w:hanging="635"/>
      </w:pPr>
      <w:rPr>
        <w:rFonts w:hint="default" w:ascii="Times New Roman" w:hAnsi="Times New Roman" w:cs="Times New Roman"/>
      </w:rPr>
    </w:lvl>
    <w:lvl w:ilvl="1" w:tentative="0">
      <w:start w:val="7"/>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62">
    <w:nsid w:val="07627CC8"/>
    <w:multiLevelType w:val="multilevel"/>
    <w:tmpl w:val="07627CC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3">
    <w:nsid w:val="079A976A"/>
    <w:multiLevelType w:val="multilevel"/>
    <w:tmpl w:val="079A976A"/>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64">
    <w:nsid w:val="0BDAF59A"/>
    <w:multiLevelType w:val="multilevel"/>
    <w:tmpl w:val="0BDAF59A"/>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58" w:hanging="529"/>
      </w:pPr>
      <w:rPr>
        <w:rFonts w:hint="default" w:ascii="Times New Roman" w:hAnsi="Times New Roman" w:cs="Times New Roman"/>
      </w:rPr>
    </w:lvl>
    <w:lvl w:ilvl="2" w:tentative="0">
      <w:start w:val="0"/>
      <w:numFmt w:val="bullet"/>
      <w:lvlText w:val="•"/>
      <w:lvlJc w:val="left"/>
      <w:pPr>
        <w:ind w:left="2537" w:hanging="529"/>
      </w:pPr>
      <w:rPr>
        <w:rFonts w:hint="default" w:ascii="Times New Roman" w:hAnsi="Times New Roman" w:cs="Times New Roman"/>
      </w:rPr>
    </w:lvl>
    <w:lvl w:ilvl="3" w:tentative="0">
      <w:start w:val="0"/>
      <w:numFmt w:val="bullet"/>
      <w:lvlText w:val="•"/>
      <w:lvlJc w:val="left"/>
      <w:pPr>
        <w:ind w:left="3315" w:hanging="529"/>
      </w:pPr>
      <w:rPr>
        <w:rFonts w:hint="default" w:ascii="Times New Roman" w:hAnsi="Times New Roman" w:cs="Times New Roman"/>
      </w:rPr>
    </w:lvl>
    <w:lvl w:ilvl="4" w:tentative="0">
      <w:start w:val="0"/>
      <w:numFmt w:val="bullet"/>
      <w:lvlText w:val="•"/>
      <w:lvlJc w:val="left"/>
      <w:pPr>
        <w:ind w:left="409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51" w:hanging="529"/>
      </w:pPr>
      <w:rPr>
        <w:rFonts w:hint="default" w:ascii="Times New Roman" w:hAnsi="Times New Roman" w:cs="Times New Roman"/>
      </w:rPr>
    </w:lvl>
    <w:lvl w:ilvl="7" w:tentative="0">
      <w:start w:val="0"/>
      <w:numFmt w:val="bullet"/>
      <w:lvlText w:val="•"/>
      <w:lvlJc w:val="left"/>
      <w:pPr>
        <w:ind w:left="6430" w:hanging="529"/>
      </w:pPr>
      <w:rPr>
        <w:rFonts w:hint="default" w:ascii="Times New Roman" w:hAnsi="Times New Roman" w:cs="Times New Roman"/>
      </w:rPr>
    </w:lvl>
    <w:lvl w:ilvl="8" w:tentative="0">
      <w:start w:val="0"/>
      <w:numFmt w:val="bullet"/>
      <w:lvlText w:val="•"/>
      <w:lvlJc w:val="left"/>
      <w:pPr>
        <w:ind w:left="7209" w:hanging="529"/>
      </w:pPr>
      <w:rPr>
        <w:rFonts w:hint="default" w:ascii="Times New Roman" w:hAnsi="Times New Roman" w:cs="Times New Roman"/>
      </w:rPr>
    </w:lvl>
  </w:abstractNum>
  <w:abstractNum w:abstractNumId="65">
    <w:nsid w:val="0E5A5672"/>
    <w:multiLevelType w:val="multilevel"/>
    <w:tmpl w:val="0E5A5672"/>
    <w:lvl w:ilvl="0" w:tentative="0">
      <w:start w:val="1"/>
      <w:numFmt w:val="decimal"/>
      <w:lvlText w:val="（%1）"/>
      <w:lvlJc w:val="left"/>
      <w:pPr>
        <w:ind w:left="138" w:hanging="529"/>
      </w:pPr>
      <w:rPr>
        <w:rFonts w:hint="eastAsia" w:ascii="宋体" w:hAnsi="宋体" w:eastAsia="宋体" w:cs="宋体"/>
        <w:spacing w:val="-41"/>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66">
    <w:nsid w:val="0F5728AA"/>
    <w:multiLevelType w:val="multilevel"/>
    <w:tmpl w:val="0F5728AA"/>
    <w:lvl w:ilvl="0" w:tentative="0">
      <w:start w:val="1"/>
      <w:numFmt w:val="decimal"/>
      <w:lvlText w:val="16.%1."/>
      <w:lvlJc w:val="left"/>
      <w:rPr>
        <w:rFonts w:ascii="Times New Roman" w:hAnsi="Times New Roman" w:eastAsia="Times New Roman" w:cs="Times New Roman"/>
        <w:b w:val="0"/>
        <w:bCs w:val="0"/>
        <w:i w:val="0"/>
        <w:iCs w:val="0"/>
        <w:smallCaps w:val="0"/>
        <w:strike w:val="0"/>
        <w:color w:val="000000"/>
        <w:spacing w:val="0"/>
        <w:w w:val="100"/>
        <w:position w:val="0"/>
        <w:sz w:val="22"/>
        <w:szCs w:val="22"/>
        <w:u w:val="none"/>
        <w:shd w:val="clear" w:color="auto" w:fill="auto"/>
        <w:lang w:val="en-US" w:eastAsia="en-US" w:bidi="en-US"/>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67">
    <w:nsid w:val="127C2AD3"/>
    <w:multiLevelType w:val="multilevel"/>
    <w:tmpl w:val="127C2AD3"/>
    <w:lvl w:ilvl="0" w:tentative="0">
      <w:start w:val="1"/>
      <w:numFmt w:val="decimal"/>
      <w:lvlText w:val="（%1）"/>
      <w:lvlJc w:val="left"/>
      <w:pPr>
        <w:ind w:left="1084" w:hanging="527"/>
      </w:pPr>
      <w:rPr>
        <w:rFonts w:hint="eastAsia" w:ascii="宋体" w:hAnsi="宋体" w:eastAsia="宋体" w:cs="宋体"/>
        <w:spacing w:val="-44"/>
        <w:sz w:val="19"/>
        <w:szCs w:val="19"/>
      </w:rPr>
    </w:lvl>
    <w:lvl w:ilvl="1" w:tentative="0">
      <w:start w:val="0"/>
      <w:numFmt w:val="bullet"/>
      <w:lvlText w:val="•"/>
      <w:lvlJc w:val="left"/>
      <w:pPr>
        <w:ind w:left="1848" w:hanging="527"/>
      </w:pPr>
      <w:rPr>
        <w:rFonts w:hint="default" w:ascii="Times New Roman" w:hAnsi="Times New Roman" w:cs="Times New Roman"/>
      </w:rPr>
    </w:lvl>
    <w:lvl w:ilvl="2" w:tentative="0">
      <w:start w:val="0"/>
      <w:numFmt w:val="bullet"/>
      <w:lvlText w:val="•"/>
      <w:lvlJc w:val="left"/>
      <w:pPr>
        <w:ind w:left="2617" w:hanging="527"/>
      </w:pPr>
      <w:rPr>
        <w:rFonts w:hint="default" w:ascii="Times New Roman" w:hAnsi="Times New Roman" w:cs="Times New Roman"/>
      </w:rPr>
    </w:lvl>
    <w:lvl w:ilvl="3" w:tentative="0">
      <w:start w:val="0"/>
      <w:numFmt w:val="bullet"/>
      <w:lvlText w:val="•"/>
      <w:lvlJc w:val="left"/>
      <w:pPr>
        <w:ind w:left="3385" w:hanging="527"/>
      </w:pPr>
      <w:rPr>
        <w:rFonts w:hint="default" w:ascii="Times New Roman" w:hAnsi="Times New Roman" w:cs="Times New Roman"/>
      </w:rPr>
    </w:lvl>
    <w:lvl w:ilvl="4" w:tentative="0">
      <w:start w:val="0"/>
      <w:numFmt w:val="bullet"/>
      <w:lvlText w:val="•"/>
      <w:lvlJc w:val="left"/>
      <w:pPr>
        <w:ind w:left="4154" w:hanging="527"/>
      </w:pPr>
      <w:rPr>
        <w:rFonts w:hint="default" w:ascii="Times New Roman" w:hAnsi="Times New Roman" w:cs="Times New Roman"/>
      </w:rPr>
    </w:lvl>
    <w:lvl w:ilvl="5" w:tentative="0">
      <w:start w:val="0"/>
      <w:numFmt w:val="bullet"/>
      <w:lvlText w:val="•"/>
      <w:lvlJc w:val="left"/>
      <w:pPr>
        <w:ind w:left="4923" w:hanging="527"/>
      </w:pPr>
      <w:rPr>
        <w:rFonts w:hint="default" w:ascii="Times New Roman" w:hAnsi="Times New Roman" w:cs="Times New Roman"/>
      </w:rPr>
    </w:lvl>
    <w:lvl w:ilvl="6" w:tentative="0">
      <w:start w:val="0"/>
      <w:numFmt w:val="bullet"/>
      <w:lvlText w:val="•"/>
      <w:lvlJc w:val="left"/>
      <w:pPr>
        <w:ind w:left="5691" w:hanging="527"/>
      </w:pPr>
      <w:rPr>
        <w:rFonts w:hint="default" w:ascii="Times New Roman" w:hAnsi="Times New Roman" w:cs="Times New Roman"/>
      </w:rPr>
    </w:lvl>
    <w:lvl w:ilvl="7" w:tentative="0">
      <w:start w:val="0"/>
      <w:numFmt w:val="bullet"/>
      <w:lvlText w:val="•"/>
      <w:lvlJc w:val="left"/>
      <w:pPr>
        <w:ind w:left="6460" w:hanging="527"/>
      </w:pPr>
      <w:rPr>
        <w:rFonts w:hint="default" w:ascii="Times New Roman" w:hAnsi="Times New Roman" w:cs="Times New Roman"/>
      </w:rPr>
    </w:lvl>
    <w:lvl w:ilvl="8" w:tentative="0">
      <w:start w:val="0"/>
      <w:numFmt w:val="bullet"/>
      <w:lvlText w:val="•"/>
      <w:lvlJc w:val="left"/>
      <w:pPr>
        <w:ind w:left="7229" w:hanging="527"/>
      </w:pPr>
      <w:rPr>
        <w:rFonts w:hint="default" w:ascii="Times New Roman" w:hAnsi="Times New Roman" w:cs="Times New Roman"/>
      </w:rPr>
    </w:lvl>
  </w:abstractNum>
  <w:abstractNum w:abstractNumId="68">
    <w:nsid w:val="135E281B"/>
    <w:multiLevelType w:val="multilevel"/>
    <w:tmpl w:val="135E281B"/>
    <w:lvl w:ilvl="0" w:tentative="0">
      <w:start w:val="1"/>
      <w:numFmt w:val="japaneseCounting"/>
      <w:lvlText w:val="%1、"/>
      <w:lvlJc w:val="left"/>
      <w:pPr>
        <w:tabs>
          <w:tab w:val="left" w:pos="900"/>
        </w:tabs>
        <w:ind w:left="900" w:hanging="480"/>
      </w:pPr>
      <w:rPr>
        <w:rFonts w:hint="eastAsia"/>
      </w:rPr>
    </w:lvl>
    <w:lvl w:ilvl="1" w:tentative="0">
      <w:start w:val="1"/>
      <w:numFmt w:val="decimal"/>
      <w:lvlText w:val="%2、"/>
      <w:lvlJc w:val="left"/>
      <w:pPr>
        <w:tabs>
          <w:tab w:val="left" w:pos="1200"/>
        </w:tabs>
        <w:ind w:left="1200" w:hanging="360"/>
      </w:pPr>
      <w:rPr>
        <w:rFonts w:hint="eastAsia"/>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9">
    <w:nsid w:val="14FAE49F"/>
    <w:multiLevelType w:val="multilevel"/>
    <w:tmpl w:val="14FAE49F"/>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70">
    <w:nsid w:val="15B41936"/>
    <w:multiLevelType w:val="multilevel"/>
    <w:tmpl w:val="15B41936"/>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71">
    <w:nsid w:val="193FB77C"/>
    <w:multiLevelType w:val="multilevel"/>
    <w:tmpl w:val="193FB77C"/>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48" w:hanging="529"/>
      </w:pPr>
      <w:rPr>
        <w:rFonts w:hint="default" w:ascii="Times New Roman" w:hAnsi="Times New Roman" w:cs="Times New Roman"/>
      </w:rPr>
    </w:lvl>
    <w:lvl w:ilvl="2" w:tentative="0">
      <w:start w:val="0"/>
      <w:numFmt w:val="bullet"/>
      <w:lvlText w:val="•"/>
      <w:lvlJc w:val="left"/>
      <w:pPr>
        <w:ind w:left="2617" w:hanging="529"/>
      </w:pPr>
      <w:rPr>
        <w:rFonts w:hint="default" w:ascii="Times New Roman" w:hAnsi="Times New Roman" w:cs="Times New Roman"/>
      </w:rPr>
    </w:lvl>
    <w:lvl w:ilvl="3" w:tentative="0">
      <w:start w:val="0"/>
      <w:numFmt w:val="bullet"/>
      <w:lvlText w:val="•"/>
      <w:lvlJc w:val="left"/>
      <w:pPr>
        <w:ind w:left="3385" w:hanging="529"/>
      </w:pPr>
      <w:rPr>
        <w:rFonts w:hint="default" w:ascii="Times New Roman" w:hAnsi="Times New Roman" w:cs="Times New Roman"/>
      </w:rPr>
    </w:lvl>
    <w:lvl w:ilvl="4" w:tentative="0">
      <w:start w:val="0"/>
      <w:numFmt w:val="bullet"/>
      <w:lvlText w:val="•"/>
      <w:lvlJc w:val="left"/>
      <w:pPr>
        <w:ind w:left="4154" w:hanging="529"/>
      </w:pPr>
      <w:rPr>
        <w:rFonts w:hint="default" w:ascii="Times New Roman" w:hAnsi="Times New Roman" w:cs="Times New Roman"/>
      </w:rPr>
    </w:lvl>
    <w:lvl w:ilvl="5" w:tentative="0">
      <w:start w:val="0"/>
      <w:numFmt w:val="bullet"/>
      <w:lvlText w:val="•"/>
      <w:lvlJc w:val="left"/>
      <w:pPr>
        <w:ind w:left="4923" w:hanging="529"/>
      </w:pPr>
      <w:rPr>
        <w:rFonts w:hint="default" w:ascii="Times New Roman" w:hAnsi="Times New Roman" w:cs="Times New Roman"/>
      </w:rPr>
    </w:lvl>
    <w:lvl w:ilvl="6" w:tentative="0">
      <w:start w:val="0"/>
      <w:numFmt w:val="bullet"/>
      <w:lvlText w:val="•"/>
      <w:lvlJc w:val="left"/>
      <w:pPr>
        <w:ind w:left="5691" w:hanging="529"/>
      </w:pPr>
      <w:rPr>
        <w:rFonts w:hint="default" w:ascii="Times New Roman" w:hAnsi="Times New Roman" w:cs="Times New Roman"/>
      </w:rPr>
    </w:lvl>
    <w:lvl w:ilvl="7" w:tentative="0">
      <w:start w:val="0"/>
      <w:numFmt w:val="bullet"/>
      <w:lvlText w:val="•"/>
      <w:lvlJc w:val="left"/>
      <w:pPr>
        <w:ind w:left="6460" w:hanging="529"/>
      </w:pPr>
      <w:rPr>
        <w:rFonts w:hint="default" w:ascii="Times New Roman" w:hAnsi="Times New Roman" w:cs="Times New Roman"/>
      </w:rPr>
    </w:lvl>
    <w:lvl w:ilvl="8" w:tentative="0">
      <w:start w:val="0"/>
      <w:numFmt w:val="bullet"/>
      <w:lvlText w:val="•"/>
      <w:lvlJc w:val="left"/>
      <w:pPr>
        <w:ind w:left="7229" w:hanging="529"/>
      </w:pPr>
      <w:rPr>
        <w:rFonts w:hint="default" w:ascii="Times New Roman" w:hAnsi="Times New Roman" w:cs="Times New Roman"/>
      </w:rPr>
    </w:lvl>
  </w:abstractNum>
  <w:abstractNum w:abstractNumId="72">
    <w:nsid w:val="1CC4CB21"/>
    <w:multiLevelType w:val="multilevel"/>
    <w:tmpl w:val="1CC4CB21"/>
    <w:lvl w:ilvl="0" w:tentative="0">
      <w:start w:val="1"/>
      <w:numFmt w:val="decimal"/>
      <w:lvlText w:val="（%1）"/>
      <w:lvlJc w:val="left"/>
      <w:pPr>
        <w:ind w:left="138" w:hanging="527"/>
      </w:pPr>
      <w:rPr>
        <w:rFonts w:hint="eastAsia" w:ascii="宋体" w:hAnsi="宋体" w:eastAsia="宋体" w:cs="宋体"/>
        <w:spacing w:val="-44"/>
        <w:sz w:val="19"/>
        <w:szCs w:val="19"/>
      </w:rPr>
    </w:lvl>
    <w:lvl w:ilvl="1" w:tentative="0">
      <w:start w:val="0"/>
      <w:numFmt w:val="bullet"/>
      <w:lvlText w:val="•"/>
      <w:lvlJc w:val="left"/>
      <w:pPr>
        <w:ind w:left="1002" w:hanging="527"/>
      </w:pPr>
      <w:rPr>
        <w:rFonts w:hint="default" w:ascii="Times New Roman" w:hAnsi="Times New Roman" w:cs="Times New Roman"/>
      </w:rPr>
    </w:lvl>
    <w:lvl w:ilvl="2" w:tentative="0">
      <w:start w:val="0"/>
      <w:numFmt w:val="bullet"/>
      <w:lvlText w:val="•"/>
      <w:lvlJc w:val="left"/>
      <w:pPr>
        <w:ind w:left="1865" w:hanging="527"/>
      </w:pPr>
      <w:rPr>
        <w:rFonts w:hint="default" w:ascii="Times New Roman" w:hAnsi="Times New Roman" w:cs="Times New Roman"/>
      </w:rPr>
    </w:lvl>
    <w:lvl w:ilvl="3" w:tentative="0">
      <w:start w:val="0"/>
      <w:numFmt w:val="bullet"/>
      <w:lvlText w:val="•"/>
      <w:lvlJc w:val="left"/>
      <w:pPr>
        <w:ind w:left="2727" w:hanging="527"/>
      </w:pPr>
      <w:rPr>
        <w:rFonts w:hint="default" w:ascii="Times New Roman" w:hAnsi="Times New Roman" w:cs="Times New Roman"/>
      </w:rPr>
    </w:lvl>
    <w:lvl w:ilvl="4" w:tentative="0">
      <w:start w:val="0"/>
      <w:numFmt w:val="bullet"/>
      <w:lvlText w:val="•"/>
      <w:lvlJc w:val="left"/>
      <w:pPr>
        <w:ind w:left="3590" w:hanging="527"/>
      </w:pPr>
      <w:rPr>
        <w:rFonts w:hint="default" w:ascii="Times New Roman" w:hAnsi="Times New Roman" w:cs="Times New Roman"/>
      </w:rPr>
    </w:lvl>
    <w:lvl w:ilvl="5" w:tentative="0">
      <w:start w:val="0"/>
      <w:numFmt w:val="bullet"/>
      <w:lvlText w:val="•"/>
      <w:lvlJc w:val="left"/>
      <w:pPr>
        <w:ind w:left="4453" w:hanging="527"/>
      </w:pPr>
      <w:rPr>
        <w:rFonts w:hint="default" w:ascii="Times New Roman" w:hAnsi="Times New Roman" w:cs="Times New Roman"/>
      </w:rPr>
    </w:lvl>
    <w:lvl w:ilvl="6" w:tentative="0">
      <w:start w:val="0"/>
      <w:numFmt w:val="bullet"/>
      <w:lvlText w:val="•"/>
      <w:lvlJc w:val="left"/>
      <w:pPr>
        <w:ind w:left="5315" w:hanging="527"/>
      </w:pPr>
      <w:rPr>
        <w:rFonts w:hint="default" w:ascii="Times New Roman" w:hAnsi="Times New Roman" w:cs="Times New Roman"/>
      </w:rPr>
    </w:lvl>
    <w:lvl w:ilvl="7" w:tentative="0">
      <w:start w:val="0"/>
      <w:numFmt w:val="bullet"/>
      <w:lvlText w:val="•"/>
      <w:lvlJc w:val="left"/>
      <w:pPr>
        <w:ind w:left="6178" w:hanging="527"/>
      </w:pPr>
      <w:rPr>
        <w:rFonts w:hint="default" w:ascii="Times New Roman" w:hAnsi="Times New Roman" w:cs="Times New Roman"/>
      </w:rPr>
    </w:lvl>
    <w:lvl w:ilvl="8" w:tentative="0">
      <w:start w:val="0"/>
      <w:numFmt w:val="bullet"/>
      <w:lvlText w:val="•"/>
      <w:lvlJc w:val="left"/>
      <w:pPr>
        <w:ind w:left="7041" w:hanging="527"/>
      </w:pPr>
      <w:rPr>
        <w:rFonts w:hint="default" w:ascii="Times New Roman" w:hAnsi="Times New Roman" w:cs="Times New Roman"/>
      </w:rPr>
    </w:lvl>
  </w:abstractNum>
  <w:abstractNum w:abstractNumId="73">
    <w:nsid w:val="1DE7739F"/>
    <w:multiLevelType w:val="multilevel"/>
    <w:tmpl w:val="1DE7739F"/>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74">
    <w:nsid w:val="20732A3F"/>
    <w:multiLevelType w:val="multilevel"/>
    <w:tmpl w:val="20732A3F"/>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58" w:hanging="529"/>
      </w:pPr>
      <w:rPr>
        <w:rFonts w:hint="default" w:ascii="Times New Roman" w:hAnsi="Times New Roman" w:cs="Times New Roman"/>
      </w:rPr>
    </w:lvl>
    <w:lvl w:ilvl="2" w:tentative="0">
      <w:start w:val="0"/>
      <w:numFmt w:val="bullet"/>
      <w:lvlText w:val="•"/>
      <w:lvlJc w:val="left"/>
      <w:pPr>
        <w:ind w:left="2537" w:hanging="529"/>
      </w:pPr>
      <w:rPr>
        <w:rFonts w:hint="default" w:ascii="Times New Roman" w:hAnsi="Times New Roman" w:cs="Times New Roman"/>
      </w:rPr>
    </w:lvl>
    <w:lvl w:ilvl="3" w:tentative="0">
      <w:start w:val="0"/>
      <w:numFmt w:val="bullet"/>
      <w:lvlText w:val="•"/>
      <w:lvlJc w:val="left"/>
      <w:pPr>
        <w:ind w:left="3315" w:hanging="529"/>
      </w:pPr>
      <w:rPr>
        <w:rFonts w:hint="default" w:ascii="Times New Roman" w:hAnsi="Times New Roman" w:cs="Times New Roman"/>
      </w:rPr>
    </w:lvl>
    <w:lvl w:ilvl="4" w:tentative="0">
      <w:start w:val="0"/>
      <w:numFmt w:val="bullet"/>
      <w:lvlText w:val="•"/>
      <w:lvlJc w:val="left"/>
      <w:pPr>
        <w:ind w:left="409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51" w:hanging="529"/>
      </w:pPr>
      <w:rPr>
        <w:rFonts w:hint="default" w:ascii="Times New Roman" w:hAnsi="Times New Roman" w:cs="Times New Roman"/>
      </w:rPr>
    </w:lvl>
    <w:lvl w:ilvl="7" w:tentative="0">
      <w:start w:val="0"/>
      <w:numFmt w:val="bullet"/>
      <w:lvlText w:val="•"/>
      <w:lvlJc w:val="left"/>
      <w:pPr>
        <w:ind w:left="6430" w:hanging="529"/>
      </w:pPr>
      <w:rPr>
        <w:rFonts w:hint="default" w:ascii="Times New Roman" w:hAnsi="Times New Roman" w:cs="Times New Roman"/>
      </w:rPr>
    </w:lvl>
    <w:lvl w:ilvl="8" w:tentative="0">
      <w:start w:val="0"/>
      <w:numFmt w:val="bullet"/>
      <w:lvlText w:val="•"/>
      <w:lvlJc w:val="left"/>
      <w:pPr>
        <w:ind w:left="7209" w:hanging="529"/>
      </w:pPr>
      <w:rPr>
        <w:rFonts w:hint="default" w:ascii="Times New Roman" w:hAnsi="Times New Roman" w:cs="Times New Roman"/>
      </w:rPr>
    </w:lvl>
  </w:abstractNum>
  <w:abstractNum w:abstractNumId="75">
    <w:nsid w:val="22C469B8"/>
    <w:multiLevelType w:val="multilevel"/>
    <w:tmpl w:val="22C469B8"/>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2"/>
        <w:szCs w:val="22"/>
        <w:u w:val="none"/>
        <w:shd w:val="clear" w:color="auto" w:fill="auto"/>
        <w:lang w:val="zh-TW" w:eastAsia="zh-TW" w:bidi="zh-TW"/>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76">
    <w:nsid w:val="23C773BA"/>
    <w:multiLevelType w:val="multilevel"/>
    <w:tmpl w:val="23C773BA"/>
    <w:lvl w:ilvl="0" w:tentative="0">
      <w:start w:val="14"/>
      <w:numFmt w:val="decimal"/>
      <w:lvlText w:val="%1"/>
      <w:lvlJc w:val="left"/>
      <w:pPr>
        <w:ind w:left="138" w:hanging="635"/>
      </w:pPr>
      <w:rPr>
        <w:rFonts w:hint="default" w:ascii="Times New Roman" w:hAnsi="Times New Roman" w:cs="Times New Roman"/>
      </w:rPr>
    </w:lvl>
    <w:lvl w:ilvl="1" w:tentative="0">
      <w:start w:val="1"/>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77">
    <w:nsid w:val="2C1C4622"/>
    <w:multiLevelType w:val="multilevel"/>
    <w:tmpl w:val="2C1C4622"/>
    <w:lvl w:ilvl="0" w:tentative="0">
      <w:start w:val="1"/>
      <w:numFmt w:val="decimal"/>
      <w:lvlText w:val="%1"/>
      <w:lvlJc w:val="left"/>
      <w:pPr>
        <w:ind w:left="1087" w:hanging="529"/>
      </w:pPr>
      <w:rPr>
        <w:rFonts w:hint="default" w:ascii="Times New Roman" w:hAnsi="Times New Roman" w:cs="Times New Roman"/>
      </w:rPr>
    </w:lvl>
    <w:lvl w:ilvl="1" w:tentative="0">
      <w:start w:val="1"/>
      <w:numFmt w:val="decimal"/>
      <w:lvlText w:val="%1.%2"/>
      <w:lvlJc w:val="left"/>
      <w:pPr>
        <w:ind w:left="1087" w:hanging="529"/>
      </w:pPr>
      <w:rPr>
        <w:rFonts w:hint="default" w:ascii="Times New Roman" w:hAnsi="Times New Roman" w:cs="Times New Roman"/>
      </w:rPr>
    </w:lvl>
    <w:lvl w:ilvl="2" w:tentative="0">
      <w:start w:val="2"/>
      <w:numFmt w:val="decimal"/>
      <w:lvlText w:val="%1.%2.%3"/>
      <w:lvlJc w:val="left"/>
      <w:pPr>
        <w:ind w:left="1087" w:hanging="529"/>
      </w:pPr>
      <w:rPr>
        <w:rFonts w:hint="eastAsia" w:ascii="宋体" w:hAnsi="宋体" w:eastAsia="宋体" w:cs="宋体"/>
        <w:sz w:val="19"/>
        <w:szCs w:val="19"/>
      </w:rPr>
    </w:lvl>
    <w:lvl w:ilvl="3" w:tentative="0">
      <w:start w:val="1"/>
      <w:numFmt w:val="decimal"/>
      <w:lvlText w:val="%1.%2.%3.%4"/>
      <w:lvlJc w:val="left"/>
      <w:pPr>
        <w:ind w:left="1399" w:hanging="738"/>
      </w:pPr>
      <w:rPr>
        <w:rFonts w:hint="eastAsia" w:ascii="宋体" w:hAnsi="宋体" w:eastAsia="宋体" w:cs="宋体"/>
        <w:spacing w:val="-3"/>
        <w:sz w:val="19"/>
        <w:szCs w:val="19"/>
      </w:rPr>
    </w:lvl>
    <w:lvl w:ilvl="4" w:tentative="0">
      <w:start w:val="0"/>
      <w:numFmt w:val="bullet"/>
      <w:lvlText w:val="•"/>
      <w:lvlJc w:val="left"/>
      <w:pPr>
        <w:ind w:left="3922" w:hanging="738"/>
      </w:pPr>
      <w:rPr>
        <w:rFonts w:hint="default" w:ascii="Times New Roman" w:hAnsi="Times New Roman" w:cs="Times New Roman"/>
      </w:rPr>
    </w:lvl>
    <w:lvl w:ilvl="5" w:tentative="0">
      <w:start w:val="0"/>
      <w:numFmt w:val="bullet"/>
      <w:lvlText w:val="•"/>
      <w:lvlJc w:val="left"/>
      <w:pPr>
        <w:ind w:left="4729" w:hanging="738"/>
      </w:pPr>
      <w:rPr>
        <w:rFonts w:hint="default" w:ascii="Times New Roman" w:hAnsi="Times New Roman" w:cs="Times New Roman"/>
      </w:rPr>
    </w:lvl>
    <w:lvl w:ilvl="6" w:tentative="0">
      <w:start w:val="0"/>
      <w:numFmt w:val="bullet"/>
      <w:lvlText w:val="•"/>
      <w:lvlJc w:val="left"/>
      <w:pPr>
        <w:ind w:left="5536" w:hanging="738"/>
      </w:pPr>
      <w:rPr>
        <w:rFonts w:hint="default" w:ascii="Times New Roman" w:hAnsi="Times New Roman" w:cs="Times New Roman"/>
      </w:rPr>
    </w:lvl>
    <w:lvl w:ilvl="7" w:tentative="0">
      <w:start w:val="0"/>
      <w:numFmt w:val="bullet"/>
      <w:lvlText w:val="•"/>
      <w:lvlJc w:val="left"/>
      <w:pPr>
        <w:ind w:left="6344" w:hanging="738"/>
      </w:pPr>
      <w:rPr>
        <w:rFonts w:hint="default" w:ascii="Times New Roman" w:hAnsi="Times New Roman" w:cs="Times New Roman"/>
      </w:rPr>
    </w:lvl>
    <w:lvl w:ilvl="8" w:tentative="0">
      <w:start w:val="0"/>
      <w:numFmt w:val="bullet"/>
      <w:lvlText w:val="•"/>
      <w:lvlJc w:val="left"/>
      <w:pPr>
        <w:ind w:left="7151" w:hanging="738"/>
      </w:pPr>
      <w:rPr>
        <w:rFonts w:hint="default" w:ascii="Times New Roman" w:hAnsi="Times New Roman" w:cs="Times New Roman"/>
      </w:rPr>
    </w:lvl>
  </w:abstractNum>
  <w:abstractNum w:abstractNumId="78">
    <w:nsid w:val="2C8F5A68"/>
    <w:multiLevelType w:val="multilevel"/>
    <w:tmpl w:val="2C8F5A68"/>
    <w:lvl w:ilvl="0" w:tentative="0">
      <w:start w:val="20"/>
      <w:numFmt w:val="decimal"/>
      <w:lvlText w:val="%1"/>
      <w:lvlJc w:val="left"/>
      <w:pPr>
        <w:ind w:left="138" w:hanging="635"/>
      </w:pPr>
      <w:rPr>
        <w:rFonts w:hint="default" w:ascii="Times New Roman" w:hAnsi="Times New Roman" w:cs="Times New Roman"/>
      </w:rPr>
    </w:lvl>
    <w:lvl w:ilvl="1" w:tentative="0">
      <w:start w:val="3"/>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79">
    <w:nsid w:val="2FC3139E"/>
    <w:multiLevelType w:val="multilevel"/>
    <w:tmpl w:val="2FC3139E"/>
    <w:lvl w:ilvl="0" w:tentative="0">
      <w:start w:val="9"/>
      <w:numFmt w:val="decimal"/>
      <w:lvlText w:val="%1"/>
      <w:lvlJc w:val="left"/>
      <w:pPr>
        <w:ind w:left="138" w:hanging="529"/>
      </w:pPr>
      <w:rPr>
        <w:rFonts w:hint="default" w:ascii="Times New Roman" w:hAnsi="Times New Roman" w:cs="Times New Roman"/>
      </w:rPr>
    </w:lvl>
    <w:lvl w:ilvl="1" w:tentative="0">
      <w:start w:val="3"/>
      <w:numFmt w:val="decimal"/>
      <w:lvlText w:val="%1.%2"/>
      <w:lvlJc w:val="left"/>
      <w:pPr>
        <w:ind w:left="138" w:hanging="529"/>
      </w:pPr>
      <w:rPr>
        <w:rFonts w:hint="default" w:ascii="Times New Roman" w:hAnsi="Times New Roman" w:cs="Times New Roman"/>
      </w:rPr>
    </w:lvl>
    <w:lvl w:ilvl="2" w:tentative="0">
      <w:start w:val="1"/>
      <w:numFmt w:val="decimal"/>
      <w:lvlText w:val="%1.%2.%3"/>
      <w:lvlJc w:val="left"/>
      <w:pPr>
        <w:ind w:left="138" w:hanging="529"/>
      </w:pPr>
      <w:rPr>
        <w:rFonts w:hint="eastAsia" w:ascii="宋体" w:hAnsi="宋体" w:eastAsia="宋体" w:cs="宋体"/>
        <w:spacing w:val="-3"/>
        <w:sz w:val="19"/>
        <w:szCs w:val="19"/>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80">
    <w:nsid w:val="3505E7BF"/>
    <w:multiLevelType w:val="multilevel"/>
    <w:tmpl w:val="3505E7BF"/>
    <w:lvl w:ilvl="0" w:tentative="0">
      <w:start w:val="13"/>
      <w:numFmt w:val="decimal"/>
      <w:lvlText w:val="%1"/>
      <w:lvlJc w:val="left"/>
      <w:pPr>
        <w:ind w:left="138" w:hanging="635"/>
      </w:pPr>
      <w:rPr>
        <w:rFonts w:hint="default" w:ascii="Times New Roman" w:hAnsi="Times New Roman" w:cs="Times New Roman"/>
      </w:rPr>
    </w:lvl>
    <w:lvl w:ilvl="1" w:tentative="0">
      <w:start w:val="6"/>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81">
    <w:nsid w:val="35299BB5"/>
    <w:multiLevelType w:val="multilevel"/>
    <w:tmpl w:val="35299BB5"/>
    <w:lvl w:ilvl="0" w:tentative="0">
      <w:start w:val="15"/>
      <w:numFmt w:val="decimal"/>
      <w:lvlText w:val="%1"/>
      <w:lvlJc w:val="left"/>
      <w:pPr>
        <w:ind w:left="1192" w:hanging="635"/>
      </w:pPr>
      <w:rPr>
        <w:rFonts w:hint="default" w:ascii="Times New Roman" w:hAnsi="Times New Roman" w:cs="Times New Roman"/>
      </w:rPr>
    </w:lvl>
    <w:lvl w:ilvl="1" w:tentative="0">
      <w:start w:val="4"/>
      <w:numFmt w:val="decimal"/>
      <w:lvlText w:val="%1.%2"/>
      <w:lvlJc w:val="left"/>
      <w:pPr>
        <w:ind w:left="1192" w:hanging="635"/>
      </w:pPr>
      <w:rPr>
        <w:rFonts w:hint="default" w:ascii="Times New Roman" w:hAnsi="Times New Roman" w:cs="Times New Roman"/>
      </w:rPr>
    </w:lvl>
    <w:lvl w:ilvl="2" w:tentative="0">
      <w:start w:val="1"/>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3469" w:hanging="635"/>
      </w:pPr>
      <w:rPr>
        <w:rFonts w:hint="default" w:ascii="Times New Roman" w:hAnsi="Times New Roman" w:cs="Times New Roman"/>
      </w:rPr>
    </w:lvl>
    <w:lvl w:ilvl="4" w:tentative="0">
      <w:start w:val="0"/>
      <w:numFmt w:val="bullet"/>
      <w:lvlText w:val="•"/>
      <w:lvlJc w:val="left"/>
      <w:pPr>
        <w:ind w:left="4226" w:hanging="635"/>
      </w:pPr>
      <w:rPr>
        <w:rFonts w:hint="default" w:ascii="Times New Roman" w:hAnsi="Times New Roman" w:cs="Times New Roman"/>
      </w:rPr>
    </w:lvl>
    <w:lvl w:ilvl="5" w:tentative="0">
      <w:start w:val="0"/>
      <w:numFmt w:val="bullet"/>
      <w:lvlText w:val="•"/>
      <w:lvlJc w:val="left"/>
      <w:pPr>
        <w:ind w:left="4983" w:hanging="635"/>
      </w:pPr>
      <w:rPr>
        <w:rFonts w:hint="default" w:ascii="Times New Roman" w:hAnsi="Times New Roman" w:cs="Times New Roman"/>
      </w:rPr>
    </w:lvl>
    <w:lvl w:ilvl="6" w:tentative="0">
      <w:start w:val="0"/>
      <w:numFmt w:val="bullet"/>
      <w:lvlText w:val="•"/>
      <w:lvlJc w:val="left"/>
      <w:pPr>
        <w:ind w:left="5739" w:hanging="635"/>
      </w:pPr>
      <w:rPr>
        <w:rFonts w:hint="default" w:ascii="Times New Roman" w:hAnsi="Times New Roman" w:cs="Times New Roman"/>
      </w:rPr>
    </w:lvl>
    <w:lvl w:ilvl="7" w:tentative="0">
      <w:start w:val="0"/>
      <w:numFmt w:val="bullet"/>
      <w:lvlText w:val="•"/>
      <w:lvlJc w:val="left"/>
      <w:pPr>
        <w:ind w:left="6496" w:hanging="635"/>
      </w:pPr>
      <w:rPr>
        <w:rFonts w:hint="default" w:ascii="Times New Roman" w:hAnsi="Times New Roman" w:cs="Times New Roman"/>
      </w:rPr>
    </w:lvl>
    <w:lvl w:ilvl="8" w:tentative="0">
      <w:start w:val="0"/>
      <w:numFmt w:val="bullet"/>
      <w:lvlText w:val="•"/>
      <w:lvlJc w:val="left"/>
      <w:pPr>
        <w:ind w:left="7253" w:hanging="635"/>
      </w:pPr>
      <w:rPr>
        <w:rFonts w:hint="default" w:ascii="Times New Roman" w:hAnsi="Times New Roman" w:cs="Times New Roman"/>
      </w:rPr>
    </w:lvl>
  </w:abstractNum>
  <w:abstractNum w:abstractNumId="82">
    <w:nsid w:val="375E6919"/>
    <w:multiLevelType w:val="multilevel"/>
    <w:tmpl w:val="375E6919"/>
    <w:lvl w:ilvl="0" w:tentative="0">
      <w:start w:val="17"/>
      <w:numFmt w:val="decimal"/>
      <w:lvlText w:val="%1"/>
      <w:lvlJc w:val="left"/>
      <w:pPr>
        <w:ind w:left="619" w:hanging="481"/>
      </w:pPr>
      <w:rPr>
        <w:rFonts w:hint="default" w:ascii="Times New Roman" w:hAnsi="Times New Roman" w:cs="Times New Roman"/>
      </w:rPr>
    </w:lvl>
    <w:lvl w:ilvl="1" w:tentative="0">
      <w:start w:val="2"/>
      <w:numFmt w:val="decimal"/>
      <w:lvlText w:val="%1.%2"/>
      <w:lvlJc w:val="left"/>
      <w:pPr>
        <w:ind w:left="619" w:hanging="481"/>
      </w:pPr>
      <w:rPr>
        <w:rFonts w:hint="eastAsia" w:ascii="宋体" w:hAnsi="宋体" w:eastAsia="宋体" w:cs="宋体"/>
        <w:spacing w:val="-1"/>
        <w:sz w:val="22"/>
        <w:szCs w:val="22"/>
      </w:rPr>
    </w:lvl>
    <w:lvl w:ilvl="2" w:tentative="0">
      <w:start w:val="1"/>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2881" w:hanging="635"/>
      </w:pPr>
      <w:rPr>
        <w:rFonts w:hint="default" w:ascii="Times New Roman" w:hAnsi="Times New Roman" w:cs="Times New Roman"/>
      </w:rPr>
    </w:lvl>
    <w:lvl w:ilvl="4" w:tentative="0">
      <w:start w:val="0"/>
      <w:numFmt w:val="bullet"/>
      <w:lvlText w:val="•"/>
      <w:lvlJc w:val="left"/>
      <w:pPr>
        <w:ind w:left="3722" w:hanging="635"/>
      </w:pPr>
      <w:rPr>
        <w:rFonts w:hint="default" w:ascii="Times New Roman" w:hAnsi="Times New Roman" w:cs="Times New Roman"/>
      </w:rPr>
    </w:lvl>
    <w:lvl w:ilvl="5" w:tentative="0">
      <w:start w:val="0"/>
      <w:numFmt w:val="bullet"/>
      <w:lvlText w:val="•"/>
      <w:lvlJc w:val="left"/>
      <w:pPr>
        <w:ind w:left="4562" w:hanging="635"/>
      </w:pPr>
      <w:rPr>
        <w:rFonts w:hint="default" w:ascii="Times New Roman" w:hAnsi="Times New Roman" w:cs="Times New Roman"/>
      </w:rPr>
    </w:lvl>
    <w:lvl w:ilvl="6" w:tentative="0">
      <w:start w:val="0"/>
      <w:numFmt w:val="bullet"/>
      <w:lvlText w:val="•"/>
      <w:lvlJc w:val="left"/>
      <w:pPr>
        <w:ind w:left="5403" w:hanging="635"/>
      </w:pPr>
      <w:rPr>
        <w:rFonts w:hint="default" w:ascii="Times New Roman" w:hAnsi="Times New Roman" w:cs="Times New Roman"/>
      </w:rPr>
    </w:lvl>
    <w:lvl w:ilvl="7" w:tentative="0">
      <w:start w:val="0"/>
      <w:numFmt w:val="bullet"/>
      <w:lvlText w:val="•"/>
      <w:lvlJc w:val="left"/>
      <w:pPr>
        <w:ind w:left="6244" w:hanging="635"/>
      </w:pPr>
      <w:rPr>
        <w:rFonts w:hint="default" w:ascii="Times New Roman" w:hAnsi="Times New Roman" w:cs="Times New Roman"/>
      </w:rPr>
    </w:lvl>
    <w:lvl w:ilvl="8" w:tentative="0">
      <w:start w:val="0"/>
      <w:numFmt w:val="bullet"/>
      <w:lvlText w:val="•"/>
      <w:lvlJc w:val="left"/>
      <w:pPr>
        <w:ind w:left="7084" w:hanging="635"/>
      </w:pPr>
      <w:rPr>
        <w:rFonts w:hint="default" w:ascii="Times New Roman" w:hAnsi="Times New Roman" w:cs="Times New Roman"/>
      </w:rPr>
    </w:lvl>
  </w:abstractNum>
  <w:abstractNum w:abstractNumId="83">
    <w:nsid w:val="38025E76"/>
    <w:multiLevelType w:val="multilevel"/>
    <w:tmpl w:val="38025E76"/>
    <w:lvl w:ilvl="0" w:tentative="0">
      <w:start w:val="2"/>
      <w:numFmt w:val="decimal"/>
      <w:lvlText w:val="%1"/>
      <w:lvlJc w:val="left"/>
      <w:pPr>
        <w:ind w:left="1200" w:hanging="500"/>
      </w:pPr>
      <w:rPr>
        <w:rFonts w:hint="default"/>
      </w:rPr>
    </w:lvl>
    <w:lvl w:ilvl="1" w:tentative="0">
      <w:start w:val="1"/>
      <w:numFmt w:val="decimal"/>
      <w:lvlText w:val="%1.%2"/>
      <w:lvlJc w:val="left"/>
      <w:pPr>
        <w:ind w:left="1200" w:hanging="500"/>
      </w:pPr>
      <w:rPr>
        <w:rFonts w:hint="default" w:cs="Arial" w:asciiTheme="minorEastAsia" w:hAnsiTheme="minorEastAsia" w:eastAsiaTheme="minorEastAsia"/>
        <w:spacing w:val="-2"/>
        <w:w w:val="114"/>
        <w:sz w:val="24"/>
        <w:szCs w:val="24"/>
      </w:rPr>
    </w:lvl>
    <w:lvl w:ilvl="2" w:tentative="0">
      <w:start w:val="0"/>
      <w:numFmt w:val="bullet"/>
      <w:lvlText w:val="•"/>
      <w:lvlJc w:val="left"/>
      <w:pPr>
        <w:ind w:left="2853" w:hanging="500"/>
      </w:pPr>
      <w:rPr>
        <w:rFonts w:hint="default"/>
      </w:rPr>
    </w:lvl>
    <w:lvl w:ilvl="3" w:tentative="0">
      <w:start w:val="0"/>
      <w:numFmt w:val="bullet"/>
      <w:lvlText w:val="•"/>
      <w:lvlJc w:val="left"/>
      <w:pPr>
        <w:ind w:left="3680" w:hanging="500"/>
      </w:pPr>
      <w:rPr>
        <w:rFonts w:hint="default"/>
      </w:rPr>
    </w:lvl>
    <w:lvl w:ilvl="4" w:tentative="0">
      <w:start w:val="0"/>
      <w:numFmt w:val="bullet"/>
      <w:lvlText w:val="•"/>
      <w:lvlJc w:val="left"/>
      <w:pPr>
        <w:ind w:left="4506" w:hanging="500"/>
      </w:pPr>
      <w:rPr>
        <w:rFonts w:hint="default"/>
      </w:rPr>
    </w:lvl>
    <w:lvl w:ilvl="5" w:tentative="0">
      <w:start w:val="0"/>
      <w:numFmt w:val="bullet"/>
      <w:lvlText w:val="•"/>
      <w:lvlJc w:val="left"/>
      <w:pPr>
        <w:ind w:left="5333" w:hanging="500"/>
      </w:pPr>
      <w:rPr>
        <w:rFonts w:hint="default"/>
      </w:rPr>
    </w:lvl>
    <w:lvl w:ilvl="6" w:tentative="0">
      <w:start w:val="0"/>
      <w:numFmt w:val="bullet"/>
      <w:lvlText w:val="•"/>
      <w:lvlJc w:val="left"/>
      <w:pPr>
        <w:ind w:left="6160" w:hanging="500"/>
      </w:pPr>
      <w:rPr>
        <w:rFonts w:hint="default"/>
      </w:rPr>
    </w:lvl>
    <w:lvl w:ilvl="7" w:tentative="0">
      <w:start w:val="0"/>
      <w:numFmt w:val="bullet"/>
      <w:lvlText w:val="•"/>
      <w:lvlJc w:val="left"/>
      <w:pPr>
        <w:ind w:left="6986" w:hanging="500"/>
      </w:pPr>
      <w:rPr>
        <w:rFonts w:hint="default"/>
      </w:rPr>
    </w:lvl>
    <w:lvl w:ilvl="8" w:tentative="0">
      <w:start w:val="0"/>
      <w:numFmt w:val="bullet"/>
      <w:lvlText w:val="•"/>
      <w:lvlJc w:val="left"/>
      <w:pPr>
        <w:ind w:left="7813" w:hanging="500"/>
      </w:pPr>
      <w:rPr>
        <w:rFonts w:hint="default"/>
      </w:rPr>
    </w:lvl>
  </w:abstractNum>
  <w:abstractNum w:abstractNumId="84">
    <w:nsid w:val="39A78D04"/>
    <w:multiLevelType w:val="multilevel"/>
    <w:tmpl w:val="39A78D04"/>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48" w:hanging="529"/>
      </w:pPr>
      <w:rPr>
        <w:rFonts w:hint="default" w:ascii="Times New Roman" w:hAnsi="Times New Roman" w:cs="Times New Roman"/>
      </w:rPr>
    </w:lvl>
    <w:lvl w:ilvl="2" w:tentative="0">
      <w:start w:val="0"/>
      <w:numFmt w:val="bullet"/>
      <w:lvlText w:val="•"/>
      <w:lvlJc w:val="left"/>
      <w:pPr>
        <w:ind w:left="2617" w:hanging="529"/>
      </w:pPr>
      <w:rPr>
        <w:rFonts w:hint="default" w:ascii="Times New Roman" w:hAnsi="Times New Roman" w:cs="Times New Roman"/>
      </w:rPr>
    </w:lvl>
    <w:lvl w:ilvl="3" w:tentative="0">
      <w:start w:val="0"/>
      <w:numFmt w:val="bullet"/>
      <w:lvlText w:val="•"/>
      <w:lvlJc w:val="left"/>
      <w:pPr>
        <w:ind w:left="3385" w:hanging="529"/>
      </w:pPr>
      <w:rPr>
        <w:rFonts w:hint="default" w:ascii="Times New Roman" w:hAnsi="Times New Roman" w:cs="Times New Roman"/>
      </w:rPr>
    </w:lvl>
    <w:lvl w:ilvl="4" w:tentative="0">
      <w:start w:val="0"/>
      <w:numFmt w:val="bullet"/>
      <w:lvlText w:val="•"/>
      <w:lvlJc w:val="left"/>
      <w:pPr>
        <w:ind w:left="4154" w:hanging="529"/>
      </w:pPr>
      <w:rPr>
        <w:rFonts w:hint="default" w:ascii="Times New Roman" w:hAnsi="Times New Roman" w:cs="Times New Roman"/>
      </w:rPr>
    </w:lvl>
    <w:lvl w:ilvl="5" w:tentative="0">
      <w:start w:val="0"/>
      <w:numFmt w:val="bullet"/>
      <w:lvlText w:val="•"/>
      <w:lvlJc w:val="left"/>
      <w:pPr>
        <w:ind w:left="4923" w:hanging="529"/>
      </w:pPr>
      <w:rPr>
        <w:rFonts w:hint="default" w:ascii="Times New Roman" w:hAnsi="Times New Roman" w:cs="Times New Roman"/>
      </w:rPr>
    </w:lvl>
    <w:lvl w:ilvl="6" w:tentative="0">
      <w:start w:val="0"/>
      <w:numFmt w:val="bullet"/>
      <w:lvlText w:val="•"/>
      <w:lvlJc w:val="left"/>
      <w:pPr>
        <w:ind w:left="5691" w:hanging="529"/>
      </w:pPr>
      <w:rPr>
        <w:rFonts w:hint="default" w:ascii="Times New Roman" w:hAnsi="Times New Roman" w:cs="Times New Roman"/>
      </w:rPr>
    </w:lvl>
    <w:lvl w:ilvl="7" w:tentative="0">
      <w:start w:val="0"/>
      <w:numFmt w:val="bullet"/>
      <w:lvlText w:val="•"/>
      <w:lvlJc w:val="left"/>
      <w:pPr>
        <w:ind w:left="6460" w:hanging="529"/>
      </w:pPr>
      <w:rPr>
        <w:rFonts w:hint="default" w:ascii="Times New Roman" w:hAnsi="Times New Roman" w:cs="Times New Roman"/>
      </w:rPr>
    </w:lvl>
    <w:lvl w:ilvl="8" w:tentative="0">
      <w:start w:val="0"/>
      <w:numFmt w:val="bullet"/>
      <w:lvlText w:val="•"/>
      <w:lvlJc w:val="left"/>
      <w:pPr>
        <w:ind w:left="7229" w:hanging="529"/>
      </w:pPr>
      <w:rPr>
        <w:rFonts w:hint="default" w:ascii="Times New Roman" w:hAnsi="Times New Roman" w:cs="Times New Roman"/>
      </w:rPr>
    </w:lvl>
  </w:abstractNum>
  <w:abstractNum w:abstractNumId="85">
    <w:nsid w:val="39F51B00"/>
    <w:multiLevelType w:val="multilevel"/>
    <w:tmpl w:val="39F51B00"/>
    <w:lvl w:ilvl="0" w:tentative="0">
      <w:start w:val="1"/>
      <w:numFmt w:val="decimal"/>
      <w:lvlText w:val="%1"/>
      <w:lvlJc w:val="left"/>
      <w:pPr>
        <w:ind w:left="425" w:hanging="425"/>
      </w:pPr>
      <w:rPr>
        <w:rFonts w:hint="default"/>
        <w:w w:val="114"/>
        <w:sz w:val="24"/>
      </w:rPr>
    </w:lvl>
    <w:lvl w:ilvl="1" w:tentative="0">
      <w:start w:val="1"/>
      <w:numFmt w:val="decimal"/>
      <w:lvlText w:val="%1.%2"/>
      <w:lvlJc w:val="left"/>
      <w:pPr>
        <w:ind w:left="992" w:hanging="567"/>
      </w:pPr>
      <w:rPr>
        <w:rFonts w:hint="default"/>
        <w:spacing w:val="-2"/>
        <w:w w:val="100"/>
        <w:sz w:val="24"/>
      </w:rPr>
    </w:lvl>
    <w:lvl w:ilvl="2" w:tentative="0">
      <w:start w:val="1"/>
      <w:numFmt w:val="decimal"/>
      <w:lvlText w:val="%1.%2.%3"/>
      <w:lvlJc w:val="left"/>
      <w:pPr>
        <w:ind w:left="1418" w:hanging="567"/>
      </w:pPr>
      <w:rPr>
        <w:rFonts w:hint="default"/>
        <w:spacing w:val="-2"/>
        <w:w w:val="114"/>
        <w:sz w:val="24"/>
      </w:rPr>
    </w:lvl>
    <w:lvl w:ilvl="3" w:tentative="0">
      <w:start w:val="1"/>
      <w:numFmt w:val="decimal"/>
      <w:lvlText w:val="%1.%2.%3.%4"/>
      <w:lvlJc w:val="left"/>
      <w:pPr>
        <w:ind w:left="1984" w:hanging="708"/>
      </w:pPr>
      <w:rPr>
        <w:rFonts w:hint="eastAsia"/>
        <w:spacing w:val="-2"/>
        <w:w w:val="100"/>
        <w:sz w:val="24"/>
        <w:szCs w:val="24"/>
      </w:rPr>
    </w:lvl>
    <w:lvl w:ilvl="4" w:tentative="0">
      <w:start w:val="1"/>
      <w:numFmt w:val="decimal"/>
      <w:lvlText w:val="%1.%2.%3.%4.%5"/>
      <w:lvlJc w:val="left"/>
      <w:pPr>
        <w:ind w:left="2551" w:hanging="850"/>
      </w:pPr>
      <w:rPr>
        <w:rFonts w:hint="default"/>
      </w:rPr>
    </w:lvl>
    <w:lvl w:ilvl="5" w:tentative="0">
      <w:start w:val="1"/>
      <w:numFmt w:val="decimal"/>
      <w:lvlText w:val="%1.%2.%3.%4.%5.%6"/>
      <w:lvlJc w:val="left"/>
      <w:pPr>
        <w:ind w:left="3260" w:hanging="1134"/>
      </w:pPr>
      <w:rPr>
        <w:rFonts w:hint="default"/>
      </w:rPr>
    </w:lvl>
    <w:lvl w:ilvl="6" w:tentative="0">
      <w:start w:val="1"/>
      <w:numFmt w:val="decimal"/>
      <w:lvlText w:val="%1.%2.%3.%4.%5.%6.%7"/>
      <w:lvlJc w:val="left"/>
      <w:pPr>
        <w:ind w:left="3827" w:hanging="1276"/>
      </w:pPr>
      <w:rPr>
        <w:rFonts w:hint="default"/>
      </w:rPr>
    </w:lvl>
    <w:lvl w:ilvl="7" w:tentative="0">
      <w:start w:val="1"/>
      <w:numFmt w:val="decimal"/>
      <w:lvlText w:val="%1.%2.%3.%4.%5.%6.%7.%8"/>
      <w:lvlJc w:val="left"/>
      <w:pPr>
        <w:ind w:left="4394" w:hanging="1418"/>
      </w:pPr>
      <w:rPr>
        <w:rFonts w:hint="default"/>
      </w:rPr>
    </w:lvl>
    <w:lvl w:ilvl="8" w:tentative="0">
      <w:start w:val="1"/>
      <w:numFmt w:val="decimal"/>
      <w:lvlText w:val="%1.%2.%3.%4.%5.%6.%7.%8.%9"/>
      <w:lvlJc w:val="left"/>
      <w:pPr>
        <w:ind w:left="5102" w:hanging="1700"/>
      </w:pPr>
      <w:rPr>
        <w:rFonts w:hint="default"/>
      </w:rPr>
    </w:lvl>
  </w:abstractNum>
  <w:abstractNum w:abstractNumId="86">
    <w:nsid w:val="3BA48014"/>
    <w:multiLevelType w:val="multilevel"/>
    <w:tmpl w:val="3BA48014"/>
    <w:lvl w:ilvl="0" w:tentative="0">
      <w:start w:val="1"/>
      <w:numFmt w:val="decimal"/>
      <w:lvlText w:val="（%1）"/>
      <w:lvlJc w:val="left"/>
      <w:pPr>
        <w:ind w:left="981" w:hanging="529"/>
      </w:pPr>
      <w:rPr>
        <w:rFonts w:hint="eastAsia" w:ascii="宋体" w:hAnsi="宋体" w:eastAsia="宋体" w:cs="宋体"/>
        <w:spacing w:val="-3"/>
        <w:sz w:val="19"/>
        <w:szCs w:val="19"/>
      </w:rPr>
    </w:lvl>
    <w:lvl w:ilvl="1" w:tentative="0">
      <w:start w:val="0"/>
      <w:numFmt w:val="bullet"/>
      <w:lvlText w:val="•"/>
      <w:lvlJc w:val="left"/>
      <w:pPr>
        <w:ind w:left="1758" w:hanging="529"/>
      </w:pPr>
      <w:rPr>
        <w:rFonts w:hint="default" w:ascii="Times New Roman" w:hAnsi="Times New Roman" w:cs="Times New Roman"/>
      </w:rPr>
    </w:lvl>
    <w:lvl w:ilvl="2" w:tentative="0">
      <w:start w:val="0"/>
      <w:numFmt w:val="bullet"/>
      <w:lvlText w:val="•"/>
      <w:lvlJc w:val="left"/>
      <w:pPr>
        <w:ind w:left="2537" w:hanging="529"/>
      </w:pPr>
      <w:rPr>
        <w:rFonts w:hint="default" w:ascii="Times New Roman" w:hAnsi="Times New Roman" w:cs="Times New Roman"/>
      </w:rPr>
    </w:lvl>
    <w:lvl w:ilvl="3" w:tentative="0">
      <w:start w:val="0"/>
      <w:numFmt w:val="bullet"/>
      <w:lvlText w:val="•"/>
      <w:lvlJc w:val="left"/>
      <w:pPr>
        <w:ind w:left="3315" w:hanging="529"/>
      </w:pPr>
      <w:rPr>
        <w:rFonts w:hint="default" w:ascii="Times New Roman" w:hAnsi="Times New Roman" w:cs="Times New Roman"/>
      </w:rPr>
    </w:lvl>
    <w:lvl w:ilvl="4" w:tentative="0">
      <w:start w:val="0"/>
      <w:numFmt w:val="bullet"/>
      <w:lvlText w:val="•"/>
      <w:lvlJc w:val="left"/>
      <w:pPr>
        <w:ind w:left="4094" w:hanging="529"/>
      </w:pPr>
      <w:rPr>
        <w:rFonts w:hint="default" w:ascii="Times New Roman" w:hAnsi="Times New Roman" w:cs="Times New Roman"/>
      </w:rPr>
    </w:lvl>
    <w:lvl w:ilvl="5" w:tentative="0">
      <w:start w:val="0"/>
      <w:numFmt w:val="bullet"/>
      <w:lvlText w:val="•"/>
      <w:lvlJc w:val="left"/>
      <w:pPr>
        <w:ind w:left="4873" w:hanging="529"/>
      </w:pPr>
      <w:rPr>
        <w:rFonts w:hint="default" w:ascii="Times New Roman" w:hAnsi="Times New Roman" w:cs="Times New Roman"/>
      </w:rPr>
    </w:lvl>
    <w:lvl w:ilvl="6" w:tentative="0">
      <w:start w:val="0"/>
      <w:numFmt w:val="bullet"/>
      <w:lvlText w:val="•"/>
      <w:lvlJc w:val="left"/>
      <w:pPr>
        <w:ind w:left="5651" w:hanging="529"/>
      </w:pPr>
      <w:rPr>
        <w:rFonts w:hint="default" w:ascii="Times New Roman" w:hAnsi="Times New Roman" w:cs="Times New Roman"/>
      </w:rPr>
    </w:lvl>
    <w:lvl w:ilvl="7" w:tentative="0">
      <w:start w:val="0"/>
      <w:numFmt w:val="bullet"/>
      <w:lvlText w:val="•"/>
      <w:lvlJc w:val="left"/>
      <w:pPr>
        <w:ind w:left="6430" w:hanging="529"/>
      </w:pPr>
      <w:rPr>
        <w:rFonts w:hint="default" w:ascii="Times New Roman" w:hAnsi="Times New Roman" w:cs="Times New Roman"/>
      </w:rPr>
    </w:lvl>
    <w:lvl w:ilvl="8" w:tentative="0">
      <w:start w:val="0"/>
      <w:numFmt w:val="bullet"/>
      <w:lvlText w:val="•"/>
      <w:lvlJc w:val="left"/>
      <w:pPr>
        <w:ind w:left="7209" w:hanging="529"/>
      </w:pPr>
      <w:rPr>
        <w:rFonts w:hint="default" w:ascii="Times New Roman" w:hAnsi="Times New Roman" w:cs="Times New Roman"/>
      </w:rPr>
    </w:lvl>
  </w:abstractNum>
  <w:abstractNum w:abstractNumId="87">
    <w:nsid w:val="3E451D2B"/>
    <w:multiLevelType w:val="multilevel"/>
    <w:tmpl w:val="3E451D2B"/>
    <w:lvl w:ilvl="0" w:tentative="0">
      <w:start w:val="3"/>
      <w:numFmt w:val="decimal"/>
      <w:lvlText w:val="%1"/>
      <w:lvlJc w:val="left"/>
      <w:pPr>
        <w:ind w:left="1040" w:hanging="440"/>
      </w:pPr>
      <w:rPr>
        <w:rFonts w:hint="default"/>
      </w:rPr>
    </w:lvl>
    <w:lvl w:ilvl="1" w:tentative="0">
      <w:start w:val="1"/>
      <w:numFmt w:val="decimal"/>
      <w:lvlText w:val="%1.%2"/>
      <w:lvlJc w:val="left"/>
      <w:pPr>
        <w:ind w:left="1040" w:hanging="440"/>
      </w:pPr>
      <w:rPr>
        <w:rFonts w:hint="default" w:cs="Century Gothic" w:asciiTheme="minorEastAsia" w:hAnsiTheme="minorEastAsia" w:eastAsiaTheme="minorEastAsia"/>
        <w:spacing w:val="-2"/>
        <w:w w:val="114"/>
        <w:sz w:val="24"/>
        <w:szCs w:val="24"/>
      </w:rPr>
    </w:lvl>
    <w:lvl w:ilvl="2" w:tentative="0">
      <w:start w:val="0"/>
      <w:numFmt w:val="bullet"/>
      <w:lvlText w:val="•"/>
      <w:lvlJc w:val="left"/>
      <w:pPr>
        <w:ind w:left="2705" w:hanging="440"/>
      </w:pPr>
      <w:rPr>
        <w:rFonts w:hint="default"/>
      </w:rPr>
    </w:lvl>
    <w:lvl w:ilvl="3" w:tentative="0">
      <w:start w:val="0"/>
      <w:numFmt w:val="bullet"/>
      <w:lvlText w:val="•"/>
      <w:lvlJc w:val="left"/>
      <w:pPr>
        <w:ind w:left="3538" w:hanging="440"/>
      </w:pPr>
      <w:rPr>
        <w:rFonts w:hint="default"/>
      </w:rPr>
    </w:lvl>
    <w:lvl w:ilvl="4" w:tentative="0">
      <w:start w:val="0"/>
      <w:numFmt w:val="bullet"/>
      <w:lvlText w:val="•"/>
      <w:lvlJc w:val="left"/>
      <w:pPr>
        <w:ind w:left="4370" w:hanging="440"/>
      </w:pPr>
      <w:rPr>
        <w:rFonts w:hint="default"/>
      </w:rPr>
    </w:lvl>
    <w:lvl w:ilvl="5" w:tentative="0">
      <w:start w:val="0"/>
      <w:numFmt w:val="bullet"/>
      <w:lvlText w:val="•"/>
      <w:lvlJc w:val="left"/>
      <w:pPr>
        <w:ind w:left="5203" w:hanging="440"/>
      </w:pPr>
      <w:rPr>
        <w:rFonts w:hint="default"/>
      </w:rPr>
    </w:lvl>
    <w:lvl w:ilvl="6" w:tentative="0">
      <w:start w:val="0"/>
      <w:numFmt w:val="bullet"/>
      <w:lvlText w:val="•"/>
      <w:lvlJc w:val="left"/>
      <w:pPr>
        <w:ind w:left="6036" w:hanging="440"/>
      </w:pPr>
      <w:rPr>
        <w:rFonts w:hint="default"/>
      </w:rPr>
    </w:lvl>
    <w:lvl w:ilvl="7" w:tentative="0">
      <w:start w:val="0"/>
      <w:numFmt w:val="bullet"/>
      <w:lvlText w:val="•"/>
      <w:lvlJc w:val="left"/>
      <w:pPr>
        <w:ind w:left="6868" w:hanging="440"/>
      </w:pPr>
      <w:rPr>
        <w:rFonts w:hint="default"/>
      </w:rPr>
    </w:lvl>
    <w:lvl w:ilvl="8" w:tentative="0">
      <w:start w:val="0"/>
      <w:numFmt w:val="bullet"/>
      <w:lvlText w:val="•"/>
      <w:lvlJc w:val="left"/>
      <w:pPr>
        <w:ind w:left="7701" w:hanging="440"/>
      </w:pPr>
      <w:rPr>
        <w:rFonts w:hint="default"/>
      </w:rPr>
    </w:lvl>
  </w:abstractNum>
  <w:abstractNum w:abstractNumId="88">
    <w:nsid w:val="3F86402C"/>
    <w:multiLevelType w:val="multilevel"/>
    <w:tmpl w:val="3F86402C"/>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89">
    <w:nsid w:val="44941BDC"/>
    <w:multiLevelType w:val="multilevel"/>
    <w:tmpl w:val="44941BDC"/>
    <w:lvl w:ilvl="0" w:tentative="0">
      <w:start w:val="1"/>
      <w:numFmt w:val="decimal"/>
      <w:lvlText w:val="%1."/>
      <w:lvlJc w:val="left"/>
      <w:pPr>
        <w:ind w:left="421" w:hanging="283"/>
      </w:pPr>
      <w:rPr>
        <w:rFonts w:hint="eastAsia" w:ascii="宋体" w:hAnsi="宋体" w:eastAsia="宋体" w:cs="宋体"/>
        <w:spacing w:val="-2"/>
        <w:sz w:val="26"/>
        <w:szCs w:val="26"/>
      </w:rPr>
    </w:lvl>
    <w:lvl w:ilvl="1" w:tentative="0">
      <w:start w:val="1"/>
      <w:numFmt w:val="decimal"/>
      <w:lvlText w:val="%1.%2"/>
      <w:lvlJc w:val="left"/>
      <w:pPr>
        <w:ind w:left="499" w:hanging="361"/>
      </w:pPr>
      <w:rPr>
        <w:rFonts w:hint="eastAsia" w:ascii="宋体" w:hAnsi="宋体" w:eastAsia="宋体" w:cs="宋体"/>
        <w:b/>
        <w:spacing w:val="-1"/>
        <w:sz w:val="22"/>
        <w:szCs w:val="22"/>
      </w:rPr>
    </w:lvl>
    <w:lvl w:ilvl="2" w:tentative="0">
      <w:start w:val="1"/>
      <w:numFmt w:val="decimal"/>
      <w:lvlText w:val="（%3）"/>
      <w:lvlJc w:val="left"/>
      <w:pPr>
        <w:ind w:left="138" w:hanging="529"/>
      </w:pPr>
      <w:rPr>
        <w:rFonts w:hint="eastAsia" w:ascii="宋体" w:hAnsi="宋体" w:eastAsia="宋体" w:cs="宋体"/>
        <w:spacing w:val="-89"/>
        <w:sz w:val="19"/>
        <w:szCs w:val="19"/>
      </w:rPr>
    </w:lvl>
    <w:lvl w:ilvl="3" w:tentative="0">
      <w:start w:val="0"/>
      <w:numFmt w:val="bullet"/>
      <w:lvlText w:val="•"/>
      <w:lvlJc w:val="left"/>
      <w:pPr>
        <w:ind w:left="620" w:hanging="529"/>
      </w:pPr>
      <w:rPr>
        <w:rFonts w:hint="default" w:ascii="Times New Roman" w:hAnsi="Times New Roman" w:cs="Times New Roman"/>
      </w:rPr>
    </w:lvl>
    <w:lvl w:ilvl="4" w:tentative="0">
      <w:start w:val="0"/>
      <w:numFmt w:val="bullet"/>
      <w:lvlText w:val="•"/>
      <w:lvlJc w:val="left"/>
      <w:pPr>
        <w:ind w:left="1783" w:hanging="529"/>
      </w:pPr>
      <w:rPr>
        <w:rFonts w:hint="default" w:ascii="Times New Roman" w:hAnsi="Times New Roman" w:cs="Times New Roman"/>
      </w:rPr>
    </w:lvl>
    <w:lvl w:ilvl="5" w:tentative="0">
      <w:start w:val="0"/>
      <w:numFmt w:val="bullet"/>
      <w:lvlText w:val="•"/>
      <w:lvlJc w:val="left"/>
      <w:pPr>
        <w:ind w:left="2947" w:hanging="529"/>
      </w:pPr>
      <w:rPr>
        <w:rFonts w:hint="default" w:ascii="Times New Roman" w:hAnsi="Times New Roman" w:cs="Times New Roman"/>
      </w:rPr>
    </w:lvl>
    <w:lvl w:ilvl="6" w:tentative="0">
      <w:start w:val="0"/>
      <w:numFmt w:val="bullet"/>
      <w:lvlText w:val="•"/>
      <w:lvlJc w:val="left"/>
      <w:pPr>
        <w:ind w:left="4111" w:hanging="529"/>
      </w:pPr>
      <w:rPr>
        <w:rFonts w:hint="default" w:ascii="Times New Roman" w:hAnsi="Times New Roman" w:cs="Times New Roman"/>
      </w:rPr>
    </w:lvl>
    <w:lvl w:ilvl="7" w:tentative="0">
      <w:start w:val="0"/>
      <w:numFmt w:val="bullet"/>
      <w:lvlText w:val="•"/>
      <w:lvlJc w:val="left"/>
      <w:pPr>
        <w:ind w:left="5275" w:hanging="529"/>
      </w:pPr>
      <w:rPr>
        <w:rFonts w:hint="default" w:ascii="Times New Roman" w:hAnsi="Times New Roman" w:cs="Times New Roman"/>
      </w:rPr>
    </w:lvl>
    <w:lvl w:ilvl="8" w:tentative="0">
      <w:start w:val="0"/>
      <w:numFmt w:val="bullet"/>
      <w:lvlText w:val="•"/>
      <w:lvlJc w:val="left"/>
      <w:pPr>
        <w:ind w:left="6438" w:hanging="529"/>
      </w:pPr>
      <w:rPr>
        <w:rFonts w:hint="default" w:ascii="Times New Roman" w:hAnsi="Times New Roman" w:cs="Times New Roman"/>
      </w:rPr>
    </w:lvl>
  </w:abstractNum>
  <w:abstractNum w:abstractNumId="90">
    <w:nsid w:val="44ED001E"/>
    <w:multiLevelType w:val="multilevel"/>
    <w:tmpl w:val="44ED001E"/>
    <w:lvl w:ilvl="0" w:tentative="0">
      <w:start w:val="20"/>
      <w:numFmt w:val="decimal"/>
      <w:lvlText w:val="%1"/>
      <w:lvlJc w:val="left"/>
      <w:pPr>
        <w:ind w:left="138" w:hanging="635"/>
      </w:pPr>
      <w:rPr>
        <w:rFonts w:hint="default" w:ascii="Times New Roman" w:hAnsi="Times New Roman" w:cs="Times New Roman"/>
      </w:rPr>
    </w:lvl>
    <w:lvl w:ilvl="1" w:tentative="0">
      <w:start w:val="4"/>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91">
    <w:nsid w:val="45322D62"/>
    <w:multiLevelType w:val="singleLevel"/>
    <w:tmpl w:val="45322D62"/>
    <w:lvl w:ilvl="0" w:tentative="0">
      <w:start w:val="10"/>
      <w:numFmt w:val="decimal"/>
      <w:suff w:val="space"/>
      <w:lvlText w:val="%1."/>
      <w:lvlJc w:val="left"/>
    </w:lvl>
  </w:abstractNum>
  <w:abstractNum w:abstractNumId="92">
    <w:nsid w:val="49469806"/>
    <w:multiLevelType w:val="multilevel"/>
    <w:tmpl w:val="49469806"/>
    <w:lvl w:ilvl="0" w:tentative="0">
      <w:start w:val="18"/>
      <w:numFmt w:val="decimal"/>
      <w:lvlText w:val="%1"/>
      <w:lvlJc w:val="left"/>
      <w:pPr>
        <w:ind w:left="1192" w:hanging="635"/>
      </w:pPr>
      <w:rPr>
        <w:rFonts w:hint="default" w:ascii="Times New Roman" w:hAnsi="Times New Roman" w:cs="Times New Roman"/>
      </w:rPr>
    </w:lvl>
    <w:lvl w:ilvl="1" w:tentative="0">
      <w:start w:val="3"/>
      <w:numFmt w:val="decimal"/>
      <w:lvlText w:val="%1.%2"/>
      <w:lvlJc w:val="left"/>
      <w:pPr>
        <w:ind w:left="1192" w:hanging="635"/>
      </w:pPr>
      <w:rPr>
        <w:rFonts w:hint="default" w:ascii="Times New Roman" w:hAnsi="Times New Roman" w:cs="Times New Roman"/>
      </w:rPr>
    </w:lvl>
    <w:lvl w:ilvl="2" w:tentative="0">
      <w:start w:val="1"/>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3469" w:hanging="635"/>
      </w:pPr>
      <w:rPr>
        <w:rFonts w:hint="default" w:ascii="Times New Roman" w:hAnsi="Times New Roman" w:cs="Times New Roman"/>
      </w:rPr>
    </w:lvl>
    <w:lvl w:ilvl="4" w:tentative="0">
      <w:start w:val="0"/>
      <w:numFmt w:val="bullet"/>
      <w:lvlText w:val="•"/>
      <w:lvlJc w:val="left"/>
      <w:pPr>
        <w:ind w:left="4226" w:hanging="635"/>
      </w:pPr>
      <w:rPr>
        <w:rFonts w:hint="default" w:ascii="Times New Roman" w:hAnsi="Times New Roman" w:cs="Times New Roman"/>
      </w:rPr>
    </w:lvl>
    <w:lvl w:ilvl="5" w:tentative="0">
      <w:start w:val="0"/>
      <w:numFmt w:val="bullet"/>
      <w:lvlText w:val="•"/>
      <w:lvlJc w:val="left"/>
      <w:pPr>
        <w:ind w:left="4983" w:hanging="635"/>
      </w:pPr>
      <w:rPr>
        <w:rFonts w:hint="default" w:ascii="Times New Roman" w:hAnsi="Times New Roman" w:cs="Times New Roman"/>
      </w:rPr>
    </w:lvl>
    <w:lvl w:ilvl="6" w:tentative="0">
      <w:start w:val="0"/>
      <w:numFmt w:val="bullet"/>
      <w:lvlText w:val="•"/>
      <w:lvlJc w:val="left"/>
      <w:pPr>
        <w:ind w:left="5739" w:hanging="635"/>
      </w:pPr>
      <w:rPr>
        <w:rFonts w:hint="default" w:ascii="Times New Roman" w:hAnsi="Times New Roman" w:cs="Times New Roman"/>
      </w:rPr>
    </w:lvl>
    <w:lvl w:ilvl="7" w:tentative="0">
      <w:start w:val="0"/>
      <w:numFmt w:val="bullet"/>
      <w:lvlText w:val="•"/>
      <w:lvlJc w:val="left"/>
      <w:pPr>
        <w:ind w:left="6496" w:hanging="635"/>
      </w:pPr>
      <w:rPr>
        <w:rFonts w:hint="default" w:ascii="Times New Roman" w:hAnsi="Times New Roman" w:cs="Times New Roman"/>
      </w:rPr>
    </w:lvl>
    <w:lvl w:ilvl="8" w:tentative="0">
      <w:start w:val="0"/>
      <w:numFmt w:val="bullet"/>
      <w:lvlText w:val="•"/>
      <w:lvlJc w:val="left"/>
      <w:pPr>
        <w:ind w:left="7253" w:hanging="635"/>
      </w:pPr>
      <w:rPr>
        <w:rFonts w:hint="default" w:ascii="Times New Roman" w:hAnsi="Times New Roman" w:cs="Times New Roman"/>
      </w:rPr>
    </w:lvl>
  </w:abstractNum>
  <w:abstractNum w:abstractNumId="93">
    <w:nsid w:val="4D5F6496"/>
    <w:multiLevelType w:val="multilevel"/>
    <w:tmpl w:val="4D5F6496"/>
    <w:lvl w:ilvl="0" w:tentative="0">
      <w:start w:val="21"/>
      <w:numFmt w:val="decimal"/>
      <w:lvlText w:val="%1"/>
      <w:lvlJc w:val="left"/>
      <w:pPr>
        <w:ind w:left="619" w:hanging="481"/>
      </w:pPr>
      <w:rPr>
        <w:rFonts w:hint="default" w:ascii="Times New Roman" w:hAnsi="Times New Roman" w:cs="Times New Roman"/>
      </w:rPr>
    </w:lvl>
    <w:lvl w:ilvl="1" w:tentative="0">
      <w:start w:val="2"/>
      <w:numFmt w:val="decimal"/>
      <w:lvlText w:val="%1.%2"/>
      <w:lvlJc w:val="left"/>
      <w:pPr>
        <w:ind w:left="619" w:hanging="481"/>
      </w:pPr>
      <w:rPr>
        <w:rFonts w:hint="eastAsia" w:ascii="宋体" w:hAnsi="宋体" w:eastAsia="宋体" w:cs="宋体"/>
        <w:spacing w:val="-1"/>
        <w:sz w:val="22"/>
        <w:szCs w:val="22"/>
      </w:rPr>
    </w:lvl>
    <w:lvl w:ilvl="2" w:tentative="0">
      <w:start w:val="1"/>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2881" w:hanging="635"/>
      </w:pPr>
      <w:rPr>
        <w:rFonts w:hint="default" w:ascii="Times New Roman" w:hAnsi="Times New Roman" w:cs="Times New Roman"/>
      </w:rPr>
    </w:lvl>
    <w:lvl w:ilvl="4" w:tentative="0">
      <w:start w:val="0"/>
      <w:numFmt w:val="bullet"/>
      <w:lvlText w:val="•"/>
      <w:lvlJc w:val="left"/>
      <w:pPr>
        <w:ind w:left="3722" w:hanging="635"/>
      </w:pPr>
      <w:rPr>
        <w:rFonts w:hint="default" w:ascii="Times New Roman" w:hAnsi="Times New Roman" w:cs="Times New Roman"/>
      </w:rPr>
    </w:lvl>
    <w:lvl w:ilvl="5" w:tentative="0">
      <w:start w:val="0"/>
      <w:numFmt w:val="bullet"/>
      <w:lvlText w:val="•"/>
      <w:lvlJc w:val="left"/>
      <w:pPr>
        <w:ind w:left="4562" w:hanging="635"/>
      </w:pPr>
      <w:rPr>
        <w:rFonts w:hint="default" w:ascii="Times New Roman" w:hAnsi="Times New Roman" w:cs="Times New Roman"/>
      </w:rPr>
    </w:lvl>
    <w:lvl w:ilvl="6" w:tentative="0">
      <w:start w:val="0"/>
      <w:numFmt w:val="bullet"/>
      <w:lvlText w:val="•"/>
      <w:lvlJc w:val="left"/>
      <w:pPr>
        <w:ind w:left="5403" w:hanging="635"/>
      </w:pPr>
      <w:rPr>
        <w:rFonts w:hint="default" w:ascii="Times New Roman" w:hAnsi="Times New Roman" w:cs="Times New Roman"/>
      </w:rPr>
    </w:lvl>
    <w:lvl w:ilvl="7" w:tentative="0">
      <w:start w:val="0"/>
      <w:numFmt w:val="bullet"/>
      <w:lvlText w:val="•"/>
      <w:lvlJc w:val="left"/>
      <w:pPr>
        <w:ind w:left="6244" w:hanging="635"/>
      </w:pPr>
      <w:rPr>
        <w:rFonts w:hint="default" w:ascii="Times New Roman" w:hAnsi="Times New Roman" w:cs="Times New Roman"/>
      </w:rPr>
    </w:lvl>
    <w:lvl w:ilvl="8" w:tentative="0">
      <w:start w:val="0"/>
      <w:numFmt w:val="bullet"/>
      <w:lvlText w:val="•"/>
      <w:lvlJc w:val="left"/>
      <w:pPr>
        <w:ind w:left="7084" w:hanging="635"/>
      </w:pPr>
      <w:rPr>
        <w:rFonts w:hint="default" w:ascii="Times New Roman" w:hAnsi="Times New Roman" w:cs="Times New Roman"/>
      </w:rPr>
    </w:lvl>
  </w:abstractNum>
  <w:abstractNum w:abstractNumId="94">
    <w:nsid w:val="4E4174C5"/>
    <w:multiLevelType w:val="multilevel"/>
    <w:tmpl w:val="4E4174C5"/>
    <w:lvl w:ilvl="0" w:tentative="0">
      <w:start w:val="9"/>
      <w:numFmt w:val="decimal"/>
      <w:lvlText w:val="%1"/>
      <w:lvlJc w:val="left"/>
      <w:pPr>
        <w:ind w:left="138" w:hanging="579"/>
      </w:pPr>
      <w:rPr>
        <w:rFonts w:hint="default" w:ascii="Times New Roman" w:hAnsi="Times New Roman" w:cs="Times New Roman"/>
      </w:rPr>
    </w:lvl>
    <w:lvl w:ilvl="1" w:tentative="0">
      <w:start w:val="7"/>
      <w:numFmt w:val="decimal"/>
      <w:lvlText w:val="%1.%2"/>
      <w:lvlJc w:val="left"/>
      <w:pPr>
        <w:ind w:left="138" w:hanging="579"/>
      </w:pPr>
      <w:rPr>
        <w:rFonts w:hint="default" w:ascii="Times New Roman" w:hAnsi="Times New Roman" w:cs="Times New Roman"/>
      </w:rPr>
    </w:lvl>
    <w:lvl w:ilvl="2" w:tentative="0">
      <w:start w:val="1"/>
      <w:numFmt w:val="decimal"/>
      <w:lvlText w:val="%1.%2.%3"/>
      <w:lvlJc w:val="left"/>
      <w:pPr>
        <w:ind w:left="138" w:hanging="579"/>
      </w:pPr>
      <w:rPr>
        <w:rFonts w:hint="eastAsia" w:ascii="宋体" w:hAnsi="宋体" w:eastAsia="宋体" w:cs="宋体"/>
        <w:sz w:val="21"/>
        <w:szCs w:val="21"/>
      </w:rPr>
    </w:lvl>
    <w:lvl w:ilvl="3" w:tentative="0">
      <w:start w:val="0"/>
      <w:numFmt w:val="bullet"/>
      <w:lvlText w:val="•"/>
      <w:lvlJc w:val="left"/>
      <w:pPr>
        <w:ind w:left="2727" w:hanging="579"/>
      </w:pPr>
      <w:rPr>
        <w:rFonts w:hint="default" w:ascii="Times New Roman" w:hAnsi="Times New Roman" w:cs="Times New Roman"/>
      </w:rPr>
    </w:lvl>
    <w:lvl w:ilvl="4" w:tentative="0">
      <w:start w:val="0"/>
      <w:numFmt w:val="bullet"/>
      <w:lvlText w:val="•"/>
      <w:lvlJc w:val="left"/>
      <w:pPr>
        <w:ind w:left="3590" w:hanging="579"/>
      </w:pPr>
      <w:rPr>
        <w:rFonts w:hint="default" w:ascii="Times New Roman" w:hAnsi="Times New Roman" w:cs="Times New Roman"/>
      </w:rPr>
    </w:lvl>
    <w:lvl w:ilvl="5" w:tentative="0">
      <w:start w:val="0"/>
      <w:numFmt w:val="bullet"/>
      <w:lvlText w:val="•"/>
      <w:lvlJc w:val="left"/>
      <w:pPr>
        <w:ind w:left="4453" w:hanging="579"/>
      </w:pPr>
      <w:rPr>
        <w:rFonts w:hint="default" w:ascii="Times New Roman" w:hAnsi="Times New Roman" w:cs="Times New Roman"/>
      </w:rPr>
    </w:lvl>
    <w:lvl w:ilvl="6" w:tentative="0">
      <w:start w:val="0"/>
      <w:numFmt w:val="bullet"/>
      <w:lvlText w:val="•"/>
      <w:lvlJc w:val="left"/>
      <w:pPr>
        <w:ind w:left="5315" w:hanging="579"/>
      </w:pPr>
      <w:rPr>
        <w:rFonts w:hint="default" w:ascii="Times New Roman" w:hAnsi="Times New Roman" w:cs="Times New Roman"/>
      </w:rPr>
    </w:lvl>
    <w:lvl w:ilvl="7" w:tentative="0">
      <w:start w:val="0"/>
      <w:numFmt w:val="bullet"/>
      <w:lvlText w:val="•"/>
      <w:lvlJc w:val="left"/>
      <w:pPr>
        <w:ind w:left="6178" w:hanging="579"/>
      </w:pPr>
      <w:rPr>
        <w:rFonts w:hint="default" w:ascii="Times New Roman" w:hAnsi="Times New Roman" w:cs="Times New Roman"/>
      </w:rPr>
    </w:lvl>
    <w:lvl w:ilvl="8" w:tentative="0">
      <w:start w:val="0"/>
      <w:numFmt w:val="bullet"/>
      <w:lvlText w:val="•"/>
      <w:lvlJc w:val="left"/>
      <w:pPr>
        <w:ind w:left="7041" w:hanging="579"/>
      </w:pPr>
      <w:rPr>
        <w:rFonts w:hint="default" w:ascii="Times New Roman" w:hAnsi="Times New Roman" w:cs="Times New Roman"/>
      </w:rPr>
    </w:lvl>
  </w:abstractNum>
  <w:abstractNum w:abstractNumId="95">
    <w:nsid w:val="4F028BE8"/>
    <w:multiLevelType w:val="multilevel"/>
    <w:tmpl w:val="4F028BE8"/>
    <w:lvl w:ilvl="0" w:tentative="0">
      <w:start w:val="12"/>
      <w:numFmt w:val="decimal"/>
      <w:lvlText w:val="%1"/>
      <w:lvlJc w:val="left"/>
      <w:pPr>
        <w:ind w:left="1185" w:hanging="635"/>
      </w:pPr>
      <w:rPr>
        <w:rFonts w:hint="default" w:ascii="Times New Roman" w:hAnsi="Times New Roman" w:cs="Times New Roman"/>
      </w:rPr>
    </w:lvl>
    <w:lvl w:ilvl="1" w:tentative="0">
      <w:start w:val="5"/>
      <w:numFmt w:val="decimal"/>
      <w:lvlText w:val="%1.%2"/>
      <w:lvlJc w:val="left"/>
      <w:pPr>
        <w:ind w:left="1185" w:hanging="635"/>
      </w:pPr>
      <w:rPr>
        <w:rFonts w:hint="default" w:ascii="Times New Roman" w:hAnsi="Times New Roman" w:cs="Times New Roman"/>
      </w:rPr>
    </w:lvl>
    <w:lvl w:ilvl="2" w:tentative="0">
      <w:start w:val="1"/>
      <w:numFmt w:val="decimal"/>
      <w:lvlText w:val="%1.%2.%3"/>
      <w:lvlJc w:val="left"/>
      <w:pPr>
        <w:ind w:left="1185" w:hanging="635"/>
      </w:pPr>
      <w:rPr>
        <w:rFonts w:hint="eastAsia" w:ascii="宋体" w:hAnsi="宋体" w:eastAsia="宋体" w:cs="宋体"/>
        <w:spacing w:val="-3"/>
        <w:sz w:val="19"/>
        <w:szCs w:val="19"/>
      </w:rPr>
    </w:lvl>
    <w:lvl w:ilvl="3" w:tentative="0">
      <w:start w:val="0"/>
      <w:numFmt w:val="bullet"/>
      <w:lvlText w:val="•"/>
      <w:lvlJc w:val="left"/>
      <w:pPr>
        <w:ind w:left="3455" w:hanging="635"/>
      </w:pPr>
      <w:rPr>
        <w:rFonts w:hint="default" w:ascii="Times New Roman" w:hAnsi="Times New Roman" w:cs="Times New Roman"/>
      </w:rPr>
    </w:lvl>
    <w:lvl w:ilvl="4" w:tentative="0">
      <w:start w:val="0"/>
      <w:numFmt w:val="bullet"/>
      <w:lvlText w:val="•"/>
      <w:lvlJc w:val="left"/>
      <w:pPr>
        <w:ind w:left="4214" w:hanging="635"/>
      </w:pPr>
      <w:rPr>
        <w:rFonts w:hint="default" w:ascii="Times New Roman" w:hAnsi="Times New Roman" w:cs="Times New Roman"/>
      </w:rPr>
    </w:lvl>
    <w:lvl w:ilvl="5" w:tentative="0">
      <w:start w:val="0"/>
      <w:numFmt w:val="bullet"/>
      <w:lvlText w:val="•"/>
      <w:lvlJc w:val="left"/>
      <w:pPr>
        <w:ind w:left="4973" w:hanging="635"/>
      </w:pPr>
      <w:rPr>
        <w:rFonts w:hint="default" w:ascii="Times New Roman" w:hAnsi="Times New Roman" w:cs="Times New Roman"/>
      </w:rPr>
    </w:lvl>
    <w:lvl w:ilvl="6" w:tentative="0">
      <w:start w:val="0"/>
      <w:numFmt w:val="bullet"/>
      <w:lvlText w:val="•"/>
      <w:lvlJc w:val="left"/>
      <w:pPr>
        <w:ind w:left="5731" w:hanging="635"/>
      </w:pPr>
      <w:rPr>
        <w:rFonts w:hint="default" w:ascii="Times New Roman" w:hAnsi="Times New Roman" w:cs="Times New Roman"/>
      </w:rPr>
    </w:lvl>
    <w:lvl w:ilvl="7" w:tentative="0">
      <w:start w:val="0"/>
      <w:numFmt w:val="bullet"/>
      <w:lvlText w:val="•"/>
      <w:lvlJc w:val="left"/>
      <w:pPr>
        <w:ind w:left="6490" w:hanging="635"/>
      </w:pPr>
      <w:rPr>
        <w:rFonts w:hint="default" w:ascii="Times New Roman" w:hAnsi="Times New Roman" w:cs="Times New Roman"/>
      </w:rPr>
    </w:lvl>
    <w:lvl w:ilvl="8" w:tentative="0">
      <w:start w:val="0"/>
      <w:numFmt w:val="bullet"/>
      <w:lvlText w:val="•"/>
      <w:lvlJc w:val="left"/>
      <w:pPr>
        <w:ind w:left="7249" w:hanging="635"/>
      </w:pPr>
      <w:rPr>
        <w:rFonts w:hint="default" w:ascii="Times New Roman" w:hAnsi="Times New Roman" w:cs="Times New Roman"/>
      </w:rPr>
    </w:lvl>
  </w:abstractNum>
  <w:abstractNum w:abstractNumId="96">
    <w:nsid w:val="4F85F3A7"/>
    <w:multiLevelType w:val="multilevel"/>
    <w:tmpl w:val="4F85F3A7"/>
    <w:lvl w:ilvl="0" w:tentative="0">
      <w:start w:val="5"/>
      <w:numFmt w:val="decimal"/>
      <w:lvlText w:val="%1"/>
      <w:lvlJc w:val="left"/>
      <w:pPr>
        <w:ind w:left="138" w:hanging="529"/>
      </w:pPr>
      <w:rPr>
        <w:rFonts w:hint="default" w:ascii="Times New Roman" w:hAnsi="Times New Roman" w:cs="Times New Roman"/>
      </w:rPr>
    </w:lvl>
    <w:lvl w:ilvl="1" w:tentative="0">
      <w:start w:val="3"/>
      <w:numFmt w:val="decimal"/>
      <w:lvlText w:val="%1.%2"/>
      <w:lvlJc w:val="left"/>
      <w:pPr>
        <w:ind w:left="138" w:hanging="529"/>
      </w:pPr>
      <w:rPr>
        <w:rFonts w:hint="default" w:ascii="Times New Roman" w:hAnsi="Times New Roman" w:cs="Times New Roman"/>
      </w:rPr>
    </w:lvl>
    <w:lvl w:ilvl="2" w:tentative="0">
      <w:start w:val="1"/>
      <w:numFmt w:val="decimal"/>
      <w:lvlText w:val="%1.%2.%3"/>
      <w:lvlJc w:val="left"/>
      <w:pPr>
        <w:ind w:left="138" w:hanging="529"/>
      </w:pPr>
      <w:rPr>
        <w:rFonts w:hint="eastAsia" w:ascii="宋体" w:hAnsi="宋体" w:eastAsia="宋体" w:cs="宋体"/>
        <w:sz w:val="19"/>
        <w:szCs w:val="19"/>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97">
    <w:nsid w:val="4FB9E8C2"/>
    <w:multiLevelType w:val="multilevel"/>
    <w:tmpl w:val="4FB9E8C2"/>
    <w:lvl w:ilvl="0" w:tentative="0">
      <w:start w:val="8"/>
      <w:numFmt w:val="decimal"/>
      <w:lvlText w:val="%1"/>
      <w:lvlJc w:val="left"/>
      <w:pPr>
        <w:ind w:left="138" w:hanging="529"/>
      </w:pPr>
      <w:rPr>
        <w:rFonts w:hint="default" w:ascii="Times New Roman" w:hAnsi="Times New Roman" w:cs="Times New Roman"/>
      </w:rPr>
    </w:lvl>
    <w:lvl w:ilvl="1" w:tentative="0">
      <w:start w:val="2"/>
      <w:numFmt w:val="decimal"/>
      <w:lvlText w:val="%1.%2"/>
      <w:lvlJc w:val="left"/>
      <w:pPr>
        <w:ind w:left="138" w:hanging="529"/>
      </w:pPr>
      <w:rPr>
        <w:rFonts w:hint="default" w:ascii="Times New Roman" w:hAnsi="Times New Roman" w:cs="Times New Roman"/>
      </w:rPr>
    </w:lvl>
    <w:lvl w:ilvl="2" w:tentative="0">
      <w:start w:val="1"/>
      <w:numFmt w:val="decimal"/>
      <w:lvlText w:val="%1.%2.%3"/>
      <w:lvlJc w:val="left"/>
      <w:pPr>
        <w:ind w:left="138" w:hanging="529"/>
      </w:pPr>
      <w:rPr>
        <w:rFonts w:hint="eastAsia" w:ascii="宋体" w:hAnsi="宋体" w:eastAsia="宋体" w:cs="宋体"/>
        <w:sz w:val="19"/>
        <w:szCs w:val="19"/>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98">
    <w:nsid w:val="54366E2B"/>
    <w:multiLevelType w:val="multilevel"/>
    <w:tmpl w:val="54366E2B"/>
    <w:lvl w:ilvl="0" w:tentative="0">
      <w:start w:val="1"/>
      <w:numFmt w:val="decimal"/>
      <w:lvlText w:val="%1"/>
      <w:lvlJc w:val="left"/>
      <w:pPr>
        <w:ind w:left="425" w:hanging="425"/>
      </w:pPr>
      <w:rPr>
        <w:rFonts w:hint="default"/>
        <w:w w:val="114"/>
        <w:sz w:val="24"/>
      </w:rPr>
    </w:lvl>
    <w:lvl w:ilvl="1" w:tentative="0">
      <w:start w:val="1"/>
      <w:numFmt w:val="decimal"/>
      <w:lvlText w:val="%1.%2"/>
      <w:lvlJc w:val="left"/>
      <w:pPr>
        <w:ind w:left="992" w:hanging="567"/>
      </w:pPr>
      <w:rPr>
        <w:rFonts w:hint="default"/>
        <w:spacing w:val="-2"/>
        <w:w w:val="100"/>
        <w:sz w:val="24"/>
      </w:rPr>
    </w:lvl>
    <w:lvl w:ilvl="2" w:tentative="0">
      <w:start w:val="1"/>
      <w:numFmt w:val="decimal"/>
      <w:lvlText w:val="%1.%2.%3"/>
      <w:lvlJc w:val="left"/>
      <w:pPr>
        <w:ind w:left="1418" w:hanging="567"/>
      </w:pPr>
      <w:rPr>
        <w:rFonts w:hint="default"/>
        <w:spacing w:val="-2"/>
        <w:w w:val="114"/>
        <w:sz w:val="24"/>
      </w:rPr>
    </w:lvl>
    <w:lvl w:ilvl="3" w:tentative="0">
      <w:start w:val="1"/>
      <w:numFmt w:val="decimal"/>
      <w:lvlText w:val="%1.%2.%3.%4"/>
      <w:lvlJc w:val="left"/>
      <w:pPr>
        <w:ind w:left="1984" w:hanging="708"/>
      </w:pPr>
      <w:rPr>
        <w:rFonts w:hint="eastAsia"/>
        <w:spacing w:val="-2"/>
        <w:w w:val="100"/>
        <w:sz w:val="24"/>
        <w:szCs w:val="24"/>
      </w:rPr>
    </w:lvl>
    <w:lvl w:ilvl="4" w:tentative="0">
      <w:start w:val="1"/>
      <w:numFmt w:val="decimal"/>
      <w:lvlText w:val="%1.%2.%3.%4.%5"/>
      <w:lvlJc w:val="left"/>
      <w:pPr>
        <w:ind w:left="2551" w:hanging="850"/>
      </w:pPr>
      <w:rPr>
        <w:rFonts w:hint="default"/>
      </w:rPr>
    </w:lvl>
    <w:lvl w:ilvl="5" w:tentative="0">
      <w:start w:val="1"/>
      <w:numFmt w:val="decimal"/>
      <w:lvlText w:val="%1.%2.%3.%4.%5.%6"/>
      <w:lvlJc w:val="left"/>
      <w:pPr>
        <w:ind w:left="3260" w:hanging="1134"/>
      </w:pPr>
      <w:rPr>
        <w:rFonts w:hint="default"/>
      </w:rPr>
    </w:lvl>
    <w:lvl w:ilvl="6" w:tentative="0">
      <w:start w:val="1"/>
      <w:numFmt w:val="decimal"/>
      <w:lvlText w:val="%1.%2.%3.%4.%5.%6.%7"/>
      <w:lvlJc w:val="left"/>
      <w:pPr>
        <w:ind w:left="3827" w:hanging="1276"/>
      </w:pPr>
      <w:rPr>
        <w:rFonts w:hint="default"/>
      </w:rPr>
    </w:lvl>
    <w:lvl w:ilvl="7" w:tentative="0">
      <w:start w:val="1"/>
      <w:numFmt w:val="decimal"/>
      <w:lvlText w:val="%1.%2.%3.%4.%5.%6.%7.%8"/>
      <w:lvlJc w:val="left"/>
      <w:pPr>
        <w:ind w:left="4394" w:hanging="1418"/>
      </w:pPr>
      <w:rPr>
        <w:rFonts w:hint="default"/>
      </w:rPr>
    </w:lvl>
    <w:lvl w:ilvl="8" w:tentative="0">
      <w:start w:val="1"/>
      <w:numFmt w:val="decimal"/>
      <w:lvlText w:val="%1.%2.%3.%4.%5.%6.%7.%8.%9"/>
      <w:lvlJc w:val="left"/>
      <w:pPr>
        <w:ind w:left="5102" w:hanging="1700"/>
      </w:pPr>
      <w:rPr>
        <w:rFonts w:hint="default"/>
      </w:rPr>
    </w:lvl>
  </w:abstractNum>
  <w:abstractNum w:abstractNumId="99">
    <w:nsid w:val="54D11762"/>
    <w:multiLevelType w:val="multilevel"/>
    <w:tmpl w:val="54D11762"/>
    <w:lvl w:ilvl="0" w:tentative="0">
      <w:start w:val="1"/>
      <w:numFmt w:val="decimal"/>
      <w:lvlText w:val="%1"/>
      <w:lvlJc w:val="left"/>
      <w:pPr>
        <w:ind w:left="425" w:hanging="425"/>
      </w:pPr>
      <w:rPr>
        <w:rFonts w:hint="default"/>
        <w:w w:val="114"/>
        <w:sz w:val="24"/>
      </w:rPr>
    </w:lvl>
    <w:lvl w:ilvl="1" w:tentative="0">
      <w:start w:val="1"/>
      <w:numFmt w:val="decimal"/>
      <w:lvlText w:val="%1.%2"/>
      <w:lvlJc w:val="left"/>
      <w:pPr>
        <w:ind w:left="992" w:hanging="567"/>
      </w:pPr>
      <w:rPr>
        <w:rFonts w:hint="default"/>
        <w:spacing w:val="-2"/>
        <w:w w:val="100"/>
        <w:sz w:val="24"/>
      </w:rPr>
    </w:lvl>
    <w:lvl w:ilvl="2" w:tentative="0">
      <w:start w:val="1"/>
      <w:numFmt w:val="decimal"/>
      <w:lvlText w:val="%1.%2.%3"/>
      <w:lvlJc w:val="left"/>
      <w:pPr>
        <w:ind w:left="1418" w:hanging="567"/>
      </w:pPr>
      <w:rPr>
        <w:rFonts w:hint="default"/>
        <w:spacing w:val="-2"/>
        <w:w w:val="114"/>
        <w:sz w:val="24"/>
      </w:rPr>
    </w:lvl>
    <w:lvl w:ilvl="3" w:tentative="0">
      <w:start w:val="1"/>
      <w:numFmt w:val="decimal"/>
      <w:lvlText w:val="%1.%2.%3.%4"/>
      <w:lvlJc w:val="left"/>
      <w:pPr>
        <w:ind w:left="1984" w:hanging="708"/>
      </w:pPr>
      <w:rPr>
        <w:rFonts w:hint="eastAsia"/>
        <w:spacing w:val="-2"/>
        <w:w w:val="100"/>
        <w:sz w:val="24"/>
        <w:szCs w:val="24"/>
      </w:rPr>
    </w:lvl>
    <w:lvl w:ilvl="4" w:tentative="0">
      <w:start w:val="1"/>
      <w:numFmt w:val="decimal"/>
      <w:lvlText w:val="%1.%2.%3.%4.%5"/>
      <w:lvlJc w:val="left"/>
      <w:pPr>
        <w:ind w:left="2551" w:hanging="850"/>
      </w:pPr>
      <w:rPr>
        <w:rFonts w:hint="default"/>
      </w:rPr>
    </w:lvl>
    <w:lvl w:ilvl="5" w:tentative="0">
      <w:start w:val="1"/>
      <w:numFmt w:val="decimal"/>
      <w:lvlText w:val="%1.%2.%3.%4.%5.%6"/>
      <w:lvlJc w:val="left"/>
      <w:pPr>
        <w:ind w:left="3260" w:hanging="1134"/>
      </w:pPr>
      <w:rPr>
        <w:rFonts w:hint="default"/>
      </w:rPr>
    </w:lvl>
    <w:lvl w:ilvl="6" w:tentative="0">
      <w:start w:val="1"/>
      <w:numFmt w:val="decimal"/>
      <w:lvlText w:val="%1.%2.%3.%4.%5.%6.%7"/>
      <w:lvlJc w:val="left"/>
      <w:pPr>
        <w:ind w:left="3827" w:hanging="1276"/>
      </w:pPr>
      <w:rPr>
        <w:rFonts w:hint="default"/>
      </w:rPr>
    </w:lvl>
    <w:lvl w:ilvl="7" w:tentative="0">
      <w:start w:val="1"/>
      <w:numFmt w:val="decimal"/>
      <w:lvlText w:val="%1.%2.%3.%4.%5.%6.%7.%8"/>
      <w:lvlJc w:val="left"/>
      <w:pPr>
        <w:ind w:left="4394" w:hanging="1418"/>
      </w:pPr>
      <w:rPr>
        <w:rFonts w:hint="default"/>
      </w:rPr>
    </w:lvl>
    <w:lvl w:ilvl="8" w:tentative="0">
      <w:start w:val="1"/>
      <w:numFmt w:val="decimal"/>
      <w:lvlText w:val="%1.%2.%3.%4.%5.%6.%7.%8.%9"/>
      <w:lvlJc w:val="left"/>
      <w:pPr>
        <w:ind w:left="5102" w:hanging="1700"/>
      </w:pPr>
      <w:rPr>
        <w:rFonts w:hint="default"/>
      </w:rPr>
    </w:lvl>
  </w:abstractNum>
  <w:abstractNum w:abstractNumId="100">
    <w:nsid w:val="56D73AD6"/>
    <w:multiLevelType w:val="multilevel"/>
    <w:tmpl w:val="56D73AD6"/>
    <w:lvl w:ilvl="0" w:tentative="0">
      <w:start w:val="21"/>
      <w:numFmt w:val="decimal"/>
      <w:lvlText w:val="%1"/>
      <w:lvlJc w:val="left"/>
      <w:pPr>
        <w:ind w:left="138" w:hanging="635"/>
      </w:pPr>
      <w:rPr>
        <w:rFonts w:hint="default" w:ascii="Times New Roman" w:hAnsi="Times New Roman" w:cs="Times New Roman"/>
      </w:rPr>
    </w:lvl>
    <w:lvl w:ilvl="1" w:tentative="0">
      <w:start w:val="1"/>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101">
    <w:nsid w:val="5790BE2A"/>
    <w:multiLevelType w:val="multilevel"/>
    <w:tmpl w:val="5790BE2A"/>
    <w:lvl w:ilvl="0" w:tentative="0">
      <w:start w:val="12"/>
      <w:numFmt w:val="decimal"/>
      <w:lvlText w:val="%1"/>
      <w:lvlJc w:val="left"/>
      <w:pPr>
        <w:ind w:left="138" w:hanging="635"/>
      </w:pPr>
      <w:rPr>
        <w:rFonts w:hint="default" w:ascii="Times New Roman" w:hAnsi="Times New Roman" w:cs="Times New Roman"/>
      </w:rPr>
    </w:lvl>
    <w:lvl w:ilvl="1" w:tentative="0">
      <w:start w:val="4"/>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102">
    <w:nsid w:val="59F172A7"/>
    <w:multiLevelType w:val="multilevel"/>
    <w:tmpl w:val="59F172A7"/>
    <w:lvl w:ilvl="0" w:tentative="0">
      <w:start w:val="11"/>
      <w:numFmt w:val="decimal"/>
      <w:lvlText w:val="%1"/>
      <w:lvlJc w:val="left"/>
      <w:pPr>
        <w:ind w:left="138" w:hanging="635"/>
      </w:pPr>
      <w:rPr>
        <w:rFonts w:hint="default" w:ascii="Times New Roman" w:hAnsi="Times New Roman" w:cs="Times New Roman"/>
      </w:rPr>
    </w:lvl>
    <w:lvl w:ilvl="1" w:tentative="0">
      <w:start w:val="5"/>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103">
    <w:nsid w:val="5C8C1A18"/>
    <w:multiLevelType w:val="multilevel"/>
    <w:tmpl w:val="5C8C1A18"/>
    <w:lvl w:ilvl="0" w:tentative="0">
      <w:start w:val="17"/>
      <w:numFmt w:val="decimal"/>
      <w:lvlText w:val="%1"/>
      <w:lvlJc w:val="left"/>
      <w:pPr>
        <w:ind w:left="1192" w:hanging="635"/>
      </w:pPr>
      <w:rPr>
        <w:rFonts w:hint="default" w:ascii="Times New Roman" w:hAnsi="Times New Roman" w:cs="Times New Roman"/>
      </w:rPr>
    </w:lvl>
    <w:lvl w:ilvl="1" w:tentative="0">
      <w:start w:val="3"/>
      <w:numFmt w:val="decimal"/>
      <w:lvlText w:val="%1.%2"/>
      <w:lvlJc w:val="left"/>
      <w:pPr>
        <w:ind w:left="1192" w:hanging="635"/>
      </w:pPr>
      <w:rPr>
        <w:rFonts w:hint="default" w:ascii="Times New Roman" w:hAnsi="Times New Roman" w:cs="Times New Roman"/>
      </w:rPr>
    </w:lvl>
    <w:lvl w:ilvl="2" w:tentative="0">
      <w:start w:val="4"/>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3469" w:hanging="635"/>
      </w:pPr>
      <w:rPr>
        <w:rFonts w:hint="default" w:ascii="Times New Roman" w:hAnsi="Times New Roman" w:cs="Times New Roman"/>
      </w:rPr>
    </w:lvl>
    <w:lvl w:ilvl="4" w:tentative="0">
      <w:start w:val="0"/>
      <w:numFmt w:val="bullet"/>
      <w:lvlText w:val="•"/>
      <w:lvlJc w:val="left"/>
      <w:pPr>
        <w:ind w:left="4226" w:hanging="635"/>
      </w:pPr>
      <w:rPr>
        <w:rFonts w:hint="default" w:ascii="Times New Roman" w:hAnsi="Times New Roman" w:cs="Times New Roman"/>
      </w:rPr>
    </w:lvl>
    <w:lvl w:ilvl="5" w:tentative="0">
      <w:start w:val="0"/>
      <w:numFmt w:val="bullet"/>
      <w:lvlText w:val="•"/>
      <w:lvlJc w:val="left"/>
      <w:pPr>
        <w:ind w:left="4983" w:hanging="635"/>
      </w:pPr>
      <w:rPr>
        <w:rFonts w:hint="default" w:ascii="Times New Roman" w:hAnsi="Times New Roman" w:cs="Times New Roman"/>
      </w:rPr>
    </w:lvl>
    <w:lvl w:ilvl="6" w:tentative="0">
      <w:start w:val="0"/>
      <w:numFmt w:val="bullet"/>
      <w:lvlText w:val="•"/>
      <w:lvlJc w:val="left"/>
      <w:pPr>
        <w:ind w:left="5739" w:hanging="635"/>
      </w:pPr>
      <w:rPr>
        <w:rFonts w:hint="default" w:ascii="Times New Roman" w:hAnsi="Times New Roman" w:cs="Times New Roman"/>
      </w:rPr>
    </w:lvl>
    <w:lvl w:ilvl="7" w:tentative="0">
      <w:start w:val="0"/>
      <w:numFmt w:val="bullet"/>
      <w:lvlText w:val="•"/>
      <w:lvlJc w:val="left"/>
      <w:pPr>
        <w:ind w:left="6496" w:hanging="635"/>
      </w:pPr>
      <w:rPr>
        <w:rFonts w:hint="default" w:ascii="Times New Roman" w:hAnsi="Times New Roman" w:cs="Times New Roman"/>
      </w:rPr>
    </w:lvl>
    <w:lvl w:ilvl="8" w:tentative="0">
      <w:start w:val="0"/>
      <w:numFmt w:val="bullet"/>
      <w:lvlText w:val="•"/>
      <w:lvlJc w:val="left"/>
      <w:pPr>
        <w:ind w:left="7253" w:hanging="635"/>
      </w:pPr>
      <w:rPr>
        <w:rFonts w:hint="default" w:ascii="Times New Roman" w:hAnsi="Times New Roman" w:cs="Times New Roman"/>
      </w:rPr>
    </w:lvl>
  </w:abstractNum>
  <w:abstractNum w:abstractNumId="104">
    <w:nsid w:val="5FF7BD43"/>
    <w:multiLevelType w:val="multilevel"/>
    <w:tmpl w:val="5FF7BD43"/>
    <w:lvl w:ilvl="0" w:tentative="0">
      <w:start w:val="1"/>
      <w:numFmt w:val="decimal"/>
      <w:lvlText w:val="（%1）"/>
      <w:lvlJc w:val="left"/>
      <w:pPr>
        <w:ind w:left="138" w:hanging="529"/>
      </w:pPr>
      <w:rPr>
        <w:rFonts w:hint="eastAsia" w:ascii="宋体" w:hAnsi="宋体" w:eastAsia="宋体" w:cs="宋体"/>
        <w:spacing w:val="-46"/>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105">
    <w:nsid w:val="6192798D"/>
    <w:multiLevelType w:val="multilevel"/>
    <w:tmpl w:val="6192798D"/>
    <w:lvl w:ilvl="0" w:tentative="0">
      <w:start w:val="1"/>
      <w:numFmt w:val="decimal"/>
      <w:lvlText w:val="%1"/>
      <w:lvlJc w:val="left"/>
      <w:pPr>
        <w:ind w:left="425" w:hanging="425"/>
      </w:pPr>
      <w:rPr>
        <w:rFonts w:hint="default"/>
        <w:w w:val="114"/>
        <w:sz w:val="24"/>
      </w:rPr>
    </w:lvl>
    <w:lvl w:ilvl="1" w:tentative="0">
      <w:start w:val="1"/>
      <w:numFmt w:val="decimal"/>
      <w:lvlText w:val="%1.%2"/>
      <w:lvlJc w:val="left"/>
      <w:pPr>
        <w:ind w:left="992" w:hanging="567"/>
      </w:pPr>
      <w:rPr>
        <w:rFonts w:hint="default"/>
        <w:spacing w:val="-2"/>
        <w:w w:val="100"/>
        <w:sz w:val="24"/>
      </w:rPr>
    </w:lvl>
    <w:lvl w:ilvl="2" w:tentative="0">
      <w:start w:val="1"/>
      <w:numFmt w:val="decimal"/>
      <w:lvlText w:val="%1.%2.%3"/>
      <w:lvlJc w:val="left"/>
      <w:pPr>
        <w:ind w:left="1418" w:hanging="567"/>
      </w:pPr>
      <w:rPr>
        <w:rFonts w:hint="default"/>
        <w:spacing w:val="-2"/>
        <w:w w:val="114"/>
        <w:sz w:val="24"/>
      </w:rPr>
    </w:lvl>
    <w:lvl w:ilvl="3" w:tentative="0">
      <w:start w:val="1"/>
      <w:numFmt w:val="decimal"/>
      <w:lvlText w:val="%1.%2.%3.%4"/>
      <w:lvlJc w:val="left"/>
      <w:pPr>
        <w:ind w:left="1984" w:hanging="708"/>
      </w:pPr>
      <w:rPr>
        <w:rFonts w:hint="eastAsia"/>
        <w:spacing w:val="-2"/>
        <w:w w:val="100"/>
        <w:sz w:val="24"/>
        <w:szCs w:val="24"/>
      </w:rPr>
    </w:lvl>
    <w:lvl w:ilvl="4" w:tentative="0">
      <w:start w:val="1"/>
      <w:numFmt w:val="decimal"/>
      <w:lvlText w:val="%1.%2.%3.%4.%5"/>
      <w:lvlJc w:val="left"/>
      <w:pPr>
        <w:ind w:left="2551" w:hanging="850"/>
      </w:pPr>
      <w:rPr>
        <w:rFonts w:hint="default"/>
      </w:rPr>
    </w:lvl>
    <w:lvl w:ilvl="5" w:tentative="0">
      <w:start w:val="1"/>
      <w:numFmt w:val="decimal"/>
      <w:lvlText w:val="%1.%2.%3.%4.%5.%6"/>
      <w:lvlJc w:val="left"/>
      <w:pPr>
        <w:ind w:left="3260" w:hanging="1134"/>
      </w:pPr>
      <w:rPr>
        <w:rFonts w:hint="default"/>
      </w:rPr>
    </w:lvl>
    <w:lvl w:ilvl="6" w:tentative="0">
      <w:start w:val="1"/>
      <w:numFmt w:val="decimal"/>
      <w:lvlText w:val="%1.%2.%3.%4.%5.%6.%7"/>
      <w:lvlJc w:val="left"/>
      <w:pPr>
        <w:ind w:left="3827" w:hanging="1276"/>
      </w:pPr>
      <w:rPr>
        <w:rFonts w:hint="default"/>
      </w:rPr>
    </w:lvl>
    <w:lvl w:ilvl="7" w:tentative="0">
      <w:start w:val="1"/>
      <w:numFmt w:val="decimal"/>
      <w:lvlText w:val="%1.%2.%3.%4.%5.%6.%7.%8"/>
      <w:lvlJc w:val="left"/>
      <w:pPr>
        <w:ind w:left="4394" w:hanging="1418"/>
      </w:pPr>
      <w:rPr>
        <w:rFonts w:hint="default"/>
      </w:rPr>
    </w:lvl>
    <w:lvl w:ilvl="8" w:tentative="0">
      <w:start w:val="1"/>
      <w:numFmt w:val="decimal"/>
      <w:lvlText w:val="%1.%2.%3.%4.%5.%6.%7.%8.%9"/>
      <w:lvlJc w:val="left"/>
      <w:pPr>
        <w:ind w:left="5102" w:hanging="1700"/>
      </w:pPr>
      <w:rPr>
        <w:rFonts w:hint="default"/>
      </w:rPr>
    </w:lvl>
  </w:abstractNum>
  <w:abstractNum w:abstractNumId="106">
    <w:nsid w:val="62ED3964"/>
    <w:multiLevelType w:val="multilevel"/>
    <w:tmpl w:val="62ED3964"/>
    <w:lvl w:ilvl="0" w:tentative="0">
      <w:start w:val="24"/>
      <w:numFmt w:val="decimal"/>
      <w:lvlText w:val="%1"/>
      <w:lvlJc w:val="left"/>
      <w:pPr>
        <w:ind w:left="138" w:hanging="635"/>
      </w:pPr>
      <w:rPr>
        <w:rFonts w:hint="default" w:ascii="Times New Roman" w:hAnsi="Times New Roman" w:cs="Times New Roman"/>
      </w:rPr>
    </w:lvl>
    <w:lvl w:ilvl="1" w:tentative="0">
      <w:start w:val="3"/>
      <w:numFmt w:val="decimal"/>
      <w:lvlText w:val="%1.%2"/>
      <w:lvlJc w:val="left"/>
      <w:pPr>
        <w:ind w:left="138" w:hanging="635"/>
      </w:pPr>
      <w:rPr>
        <w:rFonts w:hint="default" w:ascii="Times New Roman" w:hAnsi="Times New Roman" w:cs="Times New Roman"/>
      </w:rPr>
    </w:lvl>
    <w:lvl w:ilvl="2" w:tentative="0">
      <w:start w:val="5"/>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107">
    <w:nsid w:val="6587A1A3"/>
    <w:multiLevelType w:val="multilevel"/>
    <w:tmpl w:val="6587A1A3"/>
    <w:lvl w:ilvl="0" w:tentative="0">
      <w:start w:val="11"/>
      <w:numFmt w:val="decimal"/>
      <w:lvlText w:val="%1"/>
      <w:lvlJc w:val="left"/>
      <w:pPr>
        <w:ind w:left="138" w:hanging="635"/>
      </w:pPr>
      <w:rPr>
        <w:rFonts w:hint="default" w:ascii="Times New Roman" w:hAnsi="Times New Roman" w:cs="Times New Roman"/>
      </w:rPr>
    </w:lvl>
    <w:lvl w:ilvl="1" w:tentative="0">
      <w:start w:val="1"/>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108">
    <w:nsid w:val="68931AC8"/>
    <w:multiLevelType w:val="multilevel"/>
    <w:tmpl w:val="68931AC8"/>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2"/>
        <w:szCs w:val="22"/>
        <w:u w:val="none"/>
        <w:shd w:val="clear" w:color="auto" w:fill="auto"/>
        <w:lang w:val="zh-TW" w:eastAsia="zh-TW" w:bidi="zh-TW"/>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09">
    <w:nsid w:val="6C601CF5"/>
    <w:multiLevelType w:val="multilevel"/>
    <w:tmpl w:val="6C601CF5"/>
    <w:lvl w:ilvl="0" w:tentative="0">
      <w:start w:val="13"/>
      <w:numFmt w:val="decimal"/>
      <w:lvlText w:val="%1"/>
      <w:lvlJc w:val="left"/>
      <w:pPr>
        <w:ind w:left="138" w:hanging="635"/>
      </w:pPr>
      <w:rPr>
        <w:rFonts w:hint="default" w:ascii="Times New Roman" w:hAnsi="Times New Roman" w:cs="Times New Roman"/>
      </w:rPr>
    </w:lvl>
    <w:lvl w:ilvl="1" w:tentative="0">
      <w:start w:val="2"/>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110">
    <w:nsid w:val="6C880653"/>
    <w:multiLevelType w:val="multilevel"/>
    <w:tmpl w:val="6C880653"/>
    <w:lvl w:ilvl="0" w:tentative="0">
      <w:start w:val="15"/>
      <w:numFmt w:val="decimal"/>
      <w:lvlText w:val="%1"/>
      <w:lvlJc w:val="left"/>
      <w:pPr>
        <w:ind w:left="1192" w:hanging="635"/>
      </w:pPr>
      <w:rPr>
        <w:rFonts w:hint="default" w:ascii="Times New Roman" w:hAnsi="Times New Roman" w:cs="Times New Roman"/>
      </w:rPr>
    </w:lvl>
    <w:lvl w:ilvl="1" w:tentative="0">
      <w:start w:val="1"/>
      <w:numFmt w:val="decimal"/>
      <w:lvlText w:val="%1.%2"/>
      <w:lvlJc w:val="left"/>
      <w:pPr>
        <w:ind w:left="1192" w:hanging="635"/>
      </w:pPr>
      <w:rPr>
        <w:rFonts w:hint="default" w:ascii="Times New Roman" w:hAnsi="Times New Roman" w:cs="Times New Roman"/>
      </w:rPr>
    </w:lvl>
    <w:lvl w:ilvl="2" w:tentative="0">
      <w:start w:val="1"/>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3469" w:hanging="635"/>
      </w:pPr>
      <w:rPr>
        <w:rFonts w:hint="default" w:ascii="Times New Roman" w:hAnsi="Times New Roman" w:cs="Times New Roman"/>
      </w:rPr>
    </w:lvl>
    <w:lvl w:ilvl="4" w:tentative="0">
      <w:start w:val="0"/>
      <w:numFmt w:val="bullet"/>
      <w:lvlText w:val="•"/>
      <w:lvlJc w:val="left"/>
      <w:pPr>
        <w:ind w:left="4226" w:hanging="635"/>
      </w:pPr>
      <w:rPr>
        <w:rFonts w:hint="default" w:ascii="Times New Roman" w:hAnsi="Times New Roman" w:cs="Times New Roman"/>
      </w:rPr>
    </w:lvl>
    <w:lvl w:ilvl="5" w:tentative="0">
      <w:start w:val="0"/>
      <w:numFmt w:val="bullet"/>
      <w:lvlText w:val="•"/>
      <w:lvlJc w:val="left"/>
      <w:pPr>
        <w:ind w:left="4983" w:hanging="635"/>
      </w:pPr>
      <w:rPr>
        <w:rFonts w:hint="default" w:ascii="Times New Roman" w:hAnsi="Times New Roman" w:cs="Times New Roman"/>
      </w:rPr>
    </w:lvl>
    <w:lvl w:ilvl="6" w:tentative="0">
      <w:start w:val="0"/>
      <w:numFmt w:val="bullet"/>
      <w:lvlText w:val="•"/>
      <w:lvlJc w:val="left"/>
      <w:pPr>
        <w:ind w:left="5739" w:hanging="635"/>
      </w:pPr>
      <w:rPr>
        <w:rFonts w:hint="default" w:ascii="Times New Roman" w:hAnsi="Times New Roman" w:cs="Times New Roman"/>
      </w:rPr>
    </w:lvl>
    <w:lvl w:ilvl="7" w:tentative="0">
      <w:start w:val="0"/>
      <w:numFmt w:val="bullet"/>
      <w:lvlText w:val="•"/>
      <w:lvlJc w:val="left"/>
      <w:pPr>
        <w:ind w:left="6496" w:hanging="635"/>
      </w:pPr>
      <w:rPr>
        <w:rFonts w:hint="default" w:ascii="Times New Roman" w:hAnsi="Times New Roman" w:cs="Times New Roman"/>
      </w:rPr>
    </w:lvl>
    <w:lvl w:ilvl="8" w:tentative="0">
      <w:start w:val="0"/>
      <w:numFmt w:val="bullet"/>
      <w:lvlText w:val="•"/>
      <w:lvlJc w:val="left"/>
      <w:pPr>
        <w:ind w:left="7253" w:hanging="635"/>
      </w:pPr>
      <w:rPr>
        <w:rFonts w:hint="default" w:ascii="Times New Roman" w:hAnsi="Times New Roman" w:cs="Times New Roman"/>
      </w:rPr>
    </w:lvl>
  </w:abstractNum>
  <w:abstractNum w:abstractNumId="111">
    <w:nsid w:val="6CAB7748"/>
    <w:multiLevelType w:val="multilevel"/>
    <w:tmpl w:val="6CAB7748"/>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112">
    <w:nsid w:val="703EECDE"/>
    <w:multiLevelType w:val="multilevel"/>
    <w:tmpl w:val="703EECDE"/>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113">
    <w:nsid w:val="709D88E4"/>
    <w:multiLevelType w:val="multilevel"/>
    <w:tmpl w:val="709D88E4"/>
    <w:lvl w:ilvl="0" w:tentative="0">
      <w:start w:val="1"/>
      <w:numFmt w:val="decimal"/>
      <w:lvlText w:val="（%1）"/>
      <w:lvlJc w:val="left"/>
      <w:pPr>
        <w:ind w:left="1087" w:hanging="529"/>
      </w:pPr>
      <w:rPr>
        <w:rFonts w:hint="eastAsia" w:ascii="宋体" w:hAnsi="宋体" w:eastAsia="宋体" w:cs="宋体"/>
        <w:spacing w:val="-3"/>
        <w:sz w:val="19"/>
        <w:szCs w:val="19"/>
      </w:rPr>
    </w:lvl>
    <w:lvl w:ilvl="1" w:tentative="0">
      <w:start w:val="0"/>
      <w:numFmt w:val="bullet"/>
      <w:lvlText w:val="•"/>
      <w:lvlJc w:val="left"/>
      <w:pPr>
        <w:ind w:left="1848" w:hanging="529"/>
      </w:pPr>
      <w:rPr>
        <w:rFonts w:hint="default" w:ascii="Times New Roman" w:hAnsi="Times New Roman" w:cs="Times New Roman"/>
      </w:rPr>
    </w:lvl>
    <w:lvl w:ilvl="2" w:tentative="0">
      <w:start w:val="0"/>
      <w:numFmt w:val="bullet"/>
      <w:lvlText w:val="•"/>
      <w:lvlJc w:val="left"/>
      <w:pPr>
        <w:ind w:left="2617" w:hanging="529"/>
      </w:pPr>
      <w:rPr>
        <w:rFonts w:hint="default" w:ascii="Times New Roman" w:hAnsi="Times New Roman" w:cs="Times New Roman"/>
      </w:rPr>
    </w:lvl>
    <w:lvl w:ilvl="3" w:tentative="0">
      <w:start w:val="0"/>
      <w:numFmt w:val="bullet"/>
      <w:lvlText w:val="•"/>
      <w:lvlJc w:val="left"/>
      <w:pPr>
        <w:ind w:left="3385" w:hanging="529"/>
      </w:pPr>
      <w:rPr>
        <w:rFonts w:hint="default" w:ascii="Times New Roman" w:hAnsi="Times New Roman" w:cs="Times New Roman"/>
      </w:rPr>
    </w:lvl>
    <w:lvl w:ilvl="4" w:tentative="0">
      <w:start w:val="0"/>
      <w:numFmt w:val="bullet"/>
      <w:lvlText w:val="•"/>
      <w:lvlJc w:val="left"/>
      <w:pPr>
        <w:ind w:left="4154" w:hanging="529"/>
      </w:pPr>
      <w:rPr>
        <w:rFonts w:hint="default" w:ascii="Times New Roman" w:hAnsi="Times New Roman" w:cs="Times New Roman"/>
      </w:rPr>
    </w:lvl>
    <w:lvl w:ilvl="5" w:tentative="0">
      <w:start w:val="0"/>
      <w:numFmt w:val="bullet"/>
      <w:lvlText w:val="•"/>
      <w:lvlJc w:val="left"/>
      <w:pPr>
        <w:ind w:left="4923" w:hanging="529"/>
      </w:pPr>
      <w:rPr>
        <w:rFonts w:hint="default" w:ascii="Times New Roman" w:hAnsi="Times New Roman" w:cs="Times New Roman"/>
      </w:rPr>
    </w:lvl>
    <w:lvl w:ilvl="6" w:tentative="0">
      <w:start w:val="0"/>
      <w:numFmt w:val="bullet"/>
      <w:lvlText w:val="•"/>
      <w:lvlJc w:val="left"/>
      <w:pPr>
        <w:ind w:left="5691" w:hanging="529"/>
      </w:pPr>
      <w:rPr>
        <w:rFonts w:hint="default" w:ascii="Times New Roman" w:hAnsi="Times New Roman" w:cs="Times New Roman"/>
      </w:rPr>
    </w:lvl>
    <w:lvl w:ilvl="7" w:tentative="0">
      <w:start w:val="0"/>
      <w:numFmt w:val="bullet"/>
      <w:lvlText w:val="•"/>
      <w:lvlJc w:val="left"/>
      <w:pPr>
        <w:ind w:left="6460" w:hanging="529"/>
      </w:pPr>
      <w:rPr>
        <w:rFonts w:hint="default" w:ascii="Times New Roman" w:hAnsi="Times New Roman" w:cs="Times New Roman"/>
      </w:rPr>
    </w:lvl>
    <w:lvl w:ilvl="8" w:tentative="0">
      <w:start w:val="0"/>
      <w:numFmt w:val="bullet"/>
      <w:lvlText w:val="•"/>
      <w:lvlJc w:val="left"/>
      <w:pPr>
        <w:ind w:left="7229" w:hanging="529"/>
      </w:pPr>
      <w:rPr>
        <w:rFonts w:hint="default" w:ascii="Times New Roman" w:hAnsi="Times New Roman" w:cs="Times New Roman"/>
      </w:rPr>
    </w:lvl>
  </w:abstractNum>
  <w:abstractNum w:abstractNumId="114">
    <w:nsid w:val="70E66314"/>
    <w:multiLevelType w:val="multilevel"/>
    <w:tmpl w:val="70E66314"/>
    <w:lvl w:ilvl="0" w:tentative="0">
      <w:start w:val="22"/>
      <w:numFmt w:val="decimal"/>
      <w:lvlText w:val="%1"/>
      <w:lvlJc w:val="left"/>
      <w:pPr>
        <w:ind w:left="1192" w:hanging="635"/>
      </w:pPr>
      <w:rPr>
        <w:rFonts w:hint="default" w:ascii="Times New Roman" w:hAnsi="Times New Roman" w:cs="Times New Roman"/>
      </w:rPr>
    </w:lvl>
    <w:lvl w:ilvl="1" w:tentative="0">
      <w:start w:val="1"/>
      <w:numFmt w:val="decimal"/>
      <w:lvlText w:val="%1.%2"/>
      <w:lvlJc w:val="left"/>
      <w:pPr>
        <w:ind w:left="1192" w:hanging="635"/>
      </w:pPr>
      <w:rPr>
        <w:rFonts w:hint="default" w:ascii="Times New Roman" w:hAnsi="Times New Roman" w:cs="Times New Roman"/>
      </w:rPr>
    </w:lvl>
    <w:lvl w:ilvl="2" w:tentative="0">
      <w:start w:val="3"/>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3469" w:hanging="635"/>
      </w:pPr>
      <w:rPr>
        <w:rFonts w:hint="default" w:ascii="Times New Roman" w:hAnsi="Times New Roman" w:cs="Times New Roman"/>
      </w:rPr>
    </w:lvl>
    <w:lvl w:ilvl="4" w:tentative="0">
      <w:start w:val="0"/>
      <w:numFmt w:val="bullet"/>
      <w:lvlText w:val="•"/>
      <w:lvlJc w:val="left"/>
      <w:pPr>
        <w:ind w:left="4226" w:hanging="635"/>
      </w:pPr>
      <w:rPr>
        <w:rFonts w:hint="default" w:ascii="Times New Roman" w:hAnsi="Times New Roman" w:cs="Times New Roman"/>
      </w:rPr>
    </w:lvl>
    <w:lvl w:ilvl="5" w:tentative="0">
      <w:start w:val="0"/>
      <w:numFmt w:val="bullet"/>
      <w:lvlText w:val="•"/>
      <w:lvlJc w:val="left"/>
      <w:pPr>
        <w:ind w:left="4983" w:hanging="635"/>
      </w:pPr>
      <w:rPr>
        <w:rFonts w:hint="default" w:ascii="Times New Roman" w:hAnsi="Times New Roman" w:cs="Times New Roman"/>
      </w:rPr>
    </w:lvl>
    <w:lvl w:ilvl="6" w:tentative="0">
      <w:start w:val="0"/>
      <w:numFmt w:val="bullet"/>
      <w:lvlText w:val="•"/>
      <w:lvlJc w:val="left"/>
      <w:pPr>
        <w:ind w:left="5739" w:hanging="635"/>
      </w:pPr>
      <w:rPr>
        <w:rFonts w:hint="default" w:ascii="Times New Roman" w:hAnsi="Times New Roman" w:cs="Times New Roman"/>
      </w:rPr>
    </w:lvl>
    <w:lvl w:ilvl="7" w:tentative="0">
      <w:start w:val="0"/>
      <w:numFmt w:val="bullet"/>
      <w:lvlText w:val="•"/>
      <w:lvlJc w:val="left"/>
      <w:pPr>
        <w:ind w:left="6496" w:hanging="635"/>
      </w:pPr>
      <w:rPr>
        <w:rFonts w:hint="default" w:ascii="Times New Roman" w:hAnsi="Times New Roman" w:cs="Times New Roman"/>
      </w:rPr>
    </w:lvl>
    <w:lvl w:ilvl="8" w:tentative="0">
      <w:start w:val="0"/>
      <w:numFmt w:val="bullet"/>
      <w:lvlText w:val="•"/>
      <w:lvlJc w:val="left"/>
      <w:pPr>
        <w:ind w:left="7253" w:hanging="635"/>
      </w:pPr>
      <w:rPr>
        <w:rFonts w:hint="default" w:ascii="Times New Roman" w:hAnsi="Times New Roman" w:cs="Times New Roman"/>
      </w:rPr>
    </w:lvl>
  </w:abstractNum>
  <w:abstractNum w:abstractNumId="115">
    <w:nsid w:val="719A6A45"/>
    <w:multiLevelType w:val="multilevel"/>
    <w:tmpl w:val="719A6A45"/>
    <w:lvl w:ilvl="0" w:tentative="0">
      <w:start w:val="1"/>
      <w:numFmt w:val="decimal"/>
      <w:lvlText w:val="（%1）"/>
      <w:lvlJc w:val="left"/>
      <w:pPr>
        <w:ind w:left="1084" w:hanging="527"/>
      </w:pPr>
      <w:rPr>
        <w:rFonts w:hint="eastAsia" w:ascii="宋体" w:hAnsi="宋体" w:eastAsia="宋体" w:cs="宋体"/>
        <w:spacing w:val="-44"/>
        <w:sz w:val="19"/>
        <w:szCs w:val="19"/>
      </w:rPr>
    </w:lvl>
    <w:lvl w:ilvl="1" w:tentative="0">
      <w:start w:val="0"/>
      <w:numFmt w:val="bullet"/>
      <w:lvlText w:val="•"/>
      <w:lvlJc w:val="left"/>
      <w:pPr>
        <w:ind w:left="1848" w:hanging="527"/>
      </w:pPr>
      <w:rPr>
        <w:rFonts w:hint="default" w:ascii="Times New Roman" w:hAnsi="Times New Roman" w:cs="Times New Roman"/>
      </w:rPr>
    </w:lvl>
    <w:lvl w:ilvl="2" w:tentative="0">
      <w:start w:val="0"/>
      <w:numFmt w:val="bullet"/>
      <w:lvlText w:val="•"/>
      <w:lvlJc w:val="left"/>
      <w:pPr>
        <w:ind w:left="2617" w:hanging="527"/>
      </w:pPr>
      <w:rPr>
        <w:rFonts w:hint="default" w:ascii="Times New Roman" w:hAnsi="Times New Roman" w:cs="Times New Roman"/>
      </w:rPr>
    </w:lvl>
    <w:lvl w:ilvl="3" w:tentative="0">
      <w:start w:val="0"/>
      <w:numFmt w:val="bullet"/>
      <w:lvlText w:val="•"/>
      <w:lvlJc w:val="left"/>
      <w:pPr>
        <w:ind w:left="3385" w:hanging="527"/>
      </w:pPr>
      <w:rPr>
        <w:rFonts w:hint="default" w:ascii="Times New Roman" w:hAnsi="Times New Roman" w:cs="Times New Roman"/>
      </w:rPr>
    </w:lvl>
    <w:lvl w:ilvl="4" w:tentative="0">
      <w:start w:val="0"/>
      <w:numFmt w:val="bullet"/>
      <w:lvlText w:val="•"/>
      <w:lvlJc w:val="left"/>
      <w:pPr>
        <w:ind w:left="4154" w:hanging="527"/>
      </w:pPr>
      <w:rPr>
        <w:rFonts w:hint="default" w:ascii="Times New Roman" w:hAnsi="Times New Roman" w:cs="Times New Roman"/>
      </w:rPr>
    </w:lvl>
    <w:lvl w:ilvl="5" w:tentative="0">
      <w:start w:val="0"/>
      <w:numFmt w:val="bullet"/>
      <w:lvlText w:val="•"/>
      <w:lvlJc w:val="left"/>
      <w:pPr>
        <w:ind w:left="4923" w:hanging="527"/>
      </w:pPr>
      <w:rPr>
        <w:rFonts w:hint="default" w:ascii="Times New Roman" w:hAnsi="Times New Roman" w:cs="Times New Roman"/>
      </w:rPr>
    </w:lvl>
    <w:lvl w:ilvl="6" w:tentative="0">
      <w:start w:val="0"/>
      <w:numFmt w:val="bullet"/>
      <w:lvlText w:val="•"/>
      <w:lvlJc w:val="left"/>
      <w:pPr>
        <w:ind w:left="5691" w:hanging="527"/>
      </w:pPr>
      <w:rPr>
        <w:rFonts w:hint="default" w:ascii="Times New Roman" w:hAnsi="Times New Roman" w:cs="Times New Roman"/>
      </w:rPr>
    </w:lvl>
    <w:lvl w:ilvl="7" w:tentative="0">
      <w:start w:val="0"/>
      <w:numFmt w:val="bullet"/>
      <w:lvlText w:val="•"/>
      <w:lvlJc w:val="left"/>
      <w:pPr>
        <w:ind w:left="6460" w:hanging="527"/>
      </w:pPr>
      <w:rPr>
        <w:rFonts w:hint="default" w:ascii="Times New Roman" w:hAnsi="Times New Roman" w:cs="Times New Roman"/>
      </w:rPr>
    </w:lvl>
    <w:lvl w:ilvl="8" w:tentative="0">
      <w:start w:val="0"/>
      <w:numFmt w:val="bullet"/>
      <w:lvlText w:val="•"/>
      <w:lvlJc w:val="left"/>
      <w:pPr>
        <w:ind w:left="7229" w:hanging="527"/>
      </w:pPr>
      <w:rPr>
        <w:rFonts w:hint="default" w:ascii="Times New Roman" w:hAnsi="Times New Roman" w:cs="Times New Roman"/>
      </w:rPr>
    </w:lvl>
  </w:abstractNum>
  <w:abstractNum w:abstractNumId="116">
    <w:nsid w:val="74D848B8"/>
    <w:multiLevelType w:val="multilevel"/>
    <w:tmpl w:val="74D848B8"/>
    <w:lvl w:ilvl="0" w:tentative="0">
      <w:start w:val="15"/>
      <w:numFmt w:val="decimal"/>
      <w:lvlText w:val="%1"/>
      <w:lvlJc w:val="left"/>
      <w:pPr>
        <w:ind w:left="138" w:hanging="635"/>
      </w:pPr>
      <w:rPr>
        <w:rFonts w:hint="default" w:ascii="Times New Roman" w:hAnsi="Times New Roman" w:cs="Times New Roman"/>
      </w:rPr>
    </w:lvl>
    <w:lvl w:ilvl="1" w:tentative="0">
      <w:start w:val="8"/>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117">
    <w:nsid w:val="76B9E6F6"/>
    <w:multiLevelType w:val="multilevel"/>
    <w:tmpl w:val="76B9E6F6"/>
    <w:lvl w:ilvl="0" w:tentative="0">
      <w:start w:val="1"/>
      <w:numFmt w:val="decimal"/>
      <w:lvlText w:val="（%1）"/>
      <w:lvlJc w:val="left"/>
      <w:pPr>
        <w:ind w:left="138" w:hanging="529"/>
      </w:pPr>
      <w:rPr>
        <w:rFonts w:hint="eastAsia" w:ascii="宋体" w:hAnsi="宋体" w:eastAsia="宋体" w:cs="宋体"/>
        <w:spacing w:val="-3"/>
        <w:sz w:val="19"/>
        <w:szCs w:val="19"/>
      </w:rPr>
    </w:lvl>
    <w:lvl w:ilvl="1" w:tentative="0">
      <w:start w:val="0"/>
      <w:numFmt w:val="bullet"/>
      <w:lvlText w:val="•"/>
      <w:lvlJc w:val="left"/>
      <w:pPr>
        <w:ind w:left="1002" w:hanging="529"/>
      </w:pPr>
      <w:rPr>
        <w:rFonts w:hint="default" w:ascii="Times New Roman" w:hAnsi="Times New Roman" w:cs="Times New Roman"/>
      </w:rPr>
    </w:lvl>
    <w:lvl w:ilvl="2" w:tentative="0">
      <w:start w:val="0"/>
      <w:numFmt w:val="bullet"/>
      <w:lvlText w:val="•"/>
      <w:lvlJc w:val="left"/>
      <w:pPr>
        <w:ind w:left="1865" w:hanging="529"/>
      </w:pPr>
      <w:rPr>
        <w:rFonts w:hint="default" w:ascii="Times New Roman" w:hAnsi="Times New Roman" w:cs="Times New Roman"/>
      </w:rPr>
    </w:lvl>
    <w:lvl w:ilvl="3" w:tentative="0">
      <w:start w:val="0"/>
      <w:numFmt w:val="bullet"/>
      <w:lvlText w:val="•"/>
      <w:lvlJc w:val="left"/>
      <w:pPr>
        <w:ind w:left="2727" w:hanging="529"/>
      </w:pPr>
      <w:rPr>
        <w:rFonts w:hint="default" w:ascii="Times New Roman" w:hAnsi="Times New Roman" w:cs="Times New Roman"/>
      </w:rPr>
    </w:lvl>
    <w:lvl w:ilvl="4" w:tentative="0">
      <w:start w:val="0"/>
      <w:numFmt w:val="bullet"/>
      <w:lvlText w:val="•"/>
      <w:lvlJc w:val="left"/>
      <w:pPr>
        <w:ind w:left="3590" w:hanging="529"/>
      </w:pPr>
      <w:rPr>
        <w:rFonts w:hint="default" w:ascii="Times New Roman" w:hAnsi="Times New Roman" w:cs="Times New Roman"/>
      </w:rPr>
    </w:lvl>
    <w:lvl w:ilvl="5" w:tentative="0">
      <w:start w:val="0"/>
      <w:numFmt w:val="bullet"/>
      <w:lvlText w:val="•"/>
      <w:lvlJc w:val="left"/>
      <w:pPr>
        <w:ind w:left="4453" w:hanging="529"/>
      </w:pPr>
      <w:rPr>
        <w:rFonts w:hint="default" w:ascii="Times New Roman" w:hAnsi="Times New Roman" w:cs="Times New Roman"/>
      </w:rPr>
    </w:lvl>
    <w:lvl w:ilvl="6" w:tentative="0">
      <w:start w:val="0"/>
      <w:numFmt w:val="bullet"/>
      <w:lvlText w:val="•"/>
      <w:lvlJc w:val="left"/>
      <w:pPr>
        <w:ind w:left="5315" w:hanging="529"/>
      </w:pPr>
      <w:rPr>
        <w:rFonts w:hint="default" w:ascii="Times New Roman" w:hAnsi="Times New Roman" w:cs="Times New Roman"/>
      </w:rPr>
    </w:lvl>
    <w:lvl w:ilvl="7" w:tentative="0">
      <w:start w:val="0"/>
      <w:numFmt w:val="bullet"/>
      <w:lvlText w:val="•"/>
      <w:lvlJc w:val="left"/>
      <w:pPr>
        <w:ind w:left="6178" w:hanging="529"/>
      </w:pPr>
      <w:rPr>
        <w:rFonts w:hint="default" w:ascii="Times New Roman" w:hAnsi="Times New Roman" w:cs="Times New Roman"/>
      </w:rPr>
    </w:lvl>
    <w:lvl w:ilvl="8" w:tentative="0">
      <w:start w:val="0"/>
      <w:numFmt w:val="bullet"/>
      <w:lvlText w:val="•"/>
      <w:lvlJc w:val="left"/>
      <w:pPr>
        <w:ind w:left="7041" w:hanging="529"/>
      </w:pPr>
      <w:rPr>
        <w:rFonts w:hint="default" w:ascii="Times New Roman" w:hAnsi="Times New Roman" w:cs="Times New Roman"/>
      </w:rPr>
    </w:lvl>
  </w:abstractNum>
  <w:abstractNum w:abstractNumId="118">
    <w:nsid w:val="7722BF54"/>
    <w:multiLevelType w:val="multilevel"/>
    <w:tmpl w:val="7722BF54"/>
    <w:lvl w:ilvl="0" w:tentative="0">
      <w:start w:val="1"/>
      <w:numFmt w:val="decimal"/>
      <w:lvlText w:val="（%1）"/>
      <w:lvlJc w:val="left"/>
      <w:pPr>
        <w:ind w:left="1380" w:hanging="529"/>
      </w:pPr>
      <w:rPr>
        <w:rFonts w:hint="eastAsia" w:ascii="宋体" w:hAnsi="宋体" w:eastAsia="宋体" w:cs="宋体"/>
        <w:spacing w:val="-3"/>
        <w:sz w:val="19"/>
        <w:szCs w:val="19"/>
      </w:rPr>
    </w:lvl>
    <w:lvl w:ilvl="1" w:tentative="0">
      <w:start w:val="0"/>
      <w:numFmt w:val="bullet"/>
      <w:lvlText w:val="•"/>
      <w:lvlJc w:val="left"/>
      <w:pPr>
        <w:ind w:left="1848" w:hanging="529"/>
      </w:pPr>
      <w:rPr>
        <w:rFonts w:hint="default" w:ascii="Times New Roman" w:hAnsi="Times New Roman" w:cs="Times New Roman"/>
      </w:rPr>
    </w:lvl>
    <w:lvl w:ilvl="2" w:tentative="0">
      <w:start w:val="0"/>
      <w:numFmt w:val="bullet"/>
      <w:lvlText w:val="•"/>
      <w:lvlJc w:val="left"/>
      <w:pPr>
        <w:ind w:left="2617" w:hanging="529"/>
      </w:pPr>
      <w:rPr>
        <w:rFonts w:hint="default" w:ascii="Times New Roman" w:hAnsi="Times New Roman" w:cs="Times New Roman"/>
      </w:rPr>
    </w:lvl>
    <w:lvl w:ilvl="3" w:tentative="0">
      <w:start w:val="0"/>
      <w:numFmt w:val="bullet"/>
      <w:lvlText w:val="•"/>
      <w:lvlJc w:val="left"/>
      <w:pPr>
        <w:ind w:left="3385" w:hanging="529"/>
      </w:pPr>
      <w:rPr>
        <w:rFonts w:hint="default" w:ascii="Times New Roman" w:hAnsi="Times New Roman" w:cs="Times New Roman"/>
      </w:rPr>
    </w:lvl>
    <w:lvl w:ilvl="4" w:tentative="0">
      <w:start w:val="0"/>
      <w:numFmt w:val="bullet"/>
      <w:lvlText w:val="•"/>
      <w:lvlJc w:val="left"/>
      <w:pPr>
        <w:ind w:left="4154" w:hanging="529"/>
      </w:pPr>
      <w:rPr>
        <w:rFonts w:hint="default" w:ascii="Times New Roman" w:hAnsi="Times New Roman" w:cs="Times New Roman"/>
      </w:rPr>
    </w:lvl>
    <w:lvl w:ilvl="5" w:tentative="0">
      <w:start w:val="0"/>
      <w:numFmt w:val="bullet"/>
      <w:lvlText w:val="•"/>
      <w:lvlJc w:val="left"/>
      <w:pPr>
        <w:ind w:left="4923" w:hanging="529"/>
      </w:pPr>
      <w:rPr>
        <w:rFonts w:hint="default" w:ascii="Times New Roman" w:hAnsi="Times New Roman" w:cs="Times New Roman"/>
      </w:rPr>
    </w:lvl>
    <w:lvl w:ilvl="6" w:tentative="0">
      <w:start w:val="0"/>
      <w:numFmt w:val="bullet"/>
      <w:lvlText w:val="•"/>
      <w:lvlJc w:val="left"/>
      <w:pPr>
        <w:ind w:left="5691" w:hanging="529"/>
      </w:pPr>
      <w:rPr>
        <w:rFonts w:hint="default" w:ascii="Times New Roman" w:hAnsi="Times New Roman" w:cs="Times New Roman"/>
      </w:rPr>
    </w:lvl>
    <w:lvl w:ilvl="7" w:tentative="0">
      <w:start w:val="0"/>
      <w:numFmt w:val="bullet"/>
      <w:lvlText w:val="•"/>
      <w:lvlJc w:val="left"/>
      <w:pPr>
        <w:ind w:left="6460" w:hanging="529"/>
      </w:pPr>
      <w:rPr>
        <w:rFonts w:hint="default" w:ascii="Times New Roman" w:hAnsi="Times New Roman" w:cs="Times New Roman"/>
      </w:rPr>
    </w:lvl>
    <w:lvl w:ilvl="8" w:tentative="0">
      <w:start w:val="0"/>
      <w:numFmt w:val="bullet"/>
      <w:lvlText w:val="•"/>
      <w:lvlJc w:val="left"/>
      <w:pPr>
        <w:ind w:left="7229" w:hanging="529"/>
      </w:pPr>
      <w:rPr>
        <w:rFonts w:hint="default" w:ascii="Times New Roman" w:hAnsi="Times New Roman" w:cs="Times New Roman"/>
      </w:rPr>
    </w:lvl>
  </w:abstractNum>
  <w:abstractNum w:abstractNumId="119">
    <w:nsid w:val="78CA7CAE"/>
    <w:multiLevelType w:val="multilevel"/>
    <w:tmpl w:val="78CA7CAE"/>
    <w:lvl w:ilvl="0" w:tentative="0">
      <w:start w:val="24"/>
      <w:numFmt w:val="decimal"/>
      <w:lvlText w:val="%1"/>
      <w:lvlJc w:val="left"/>
      <w:pPr>
        <w:ind w:left="138" w:hanging="635"/>
      </w:pPr>
      <w:rPr>
        <w:rFonts w:hint="default" w:ascii="Times New Roman" w:hAnsi="Times New Roman" w:cs="Times New Roman"/>
      </w:rPr>
    </w:lvl>
    <w:lvl w:ilvl="1" w:tentative="0">
      <w:start w:val="3"/>
      <w:numFmt w:val="decimal"/>
      <w:lvlText w:val="%1.%2"/>
      <w:lvlJc w:val="left"/>
      <w:pPr>
        <w:ind w:left="138" w:hanging="635"/>
      </w:pPr>
      <w:rPr>
        <w:rFonts w:hint="default" w:ascii="Times New Roman" w:hAnsi="Times New Roman" w:cs="Times New Roman"/>
      </w:rPr>
    </w:lvl>
    <w:lvl w:ilvl="2" w:tentative="0">
      <w:start w:val="1"/>
      <w:numFmt w:val="decimal"/>
      <w:lvlText w:val="%1.%2.%3"/>
      <w:lvlJc w:val="left"/>
      <w:pPr>
        <w:ind w:left="138" w:hanging="635"/>
      </w:pPr>
      <w:rPr>
        <w:rFonts w:hint="eastAsia" w:ascii="宋体" w:hAnsi="宋体" w:eastAsia="宋体" w:cs="宋体"/>
        <w:spacing w:val="-3"/>
        <w:sz w:val="19"/>
        <w:szCs w:val="19"/>
      </w:rPr>
    </w:lvl>
    <w:lvl w:ilvl="3" w:tentative="0">
      <w:start w:val="0"/>
      <w:numFmt w:val="bullet"/>
      <w:lvlText w:val="•"/>
      <w:lvlJc w:val="left"/>
      <w:pPr>
        <w:ind w:left="2727" w:hanging="635"/>
      </w:pPr>
      <w:rPr>
        <w:rFonts w:hint="default" w:ascii="Times New Roman" w:hAnsi="Times New Roman" w:cs="Times New Roman"/>
      </w:rPr>
    </w:lvl>
    <w:lvl w:ilvl="4" w:tentative="0">
      <w:start w:val="0"/>
      <w:numFmt w:val="bullet"/>
      <w:lvlText w:val="•"/>
      <w:lvlJc w:val="left"/>
      <w:pPr>
        <w:ind w:left="3590" w:hanging="635"/>
      </w:pPr>
      <w:rPr>
        <w:rFonts w:hint="default" w:ascii="Times New Roman" w:hAnsi="Times New Roman" w:cs="Times New Roman"/>
      </w:rPr>
    </w:lvl>
    <w:lvl w:ilvl="5" w:tentative="0">
      <w:start w:val="0"/>
      <w:numFmt w:val="bullet"/>
      <w:lvlText w:val="•"/>
      <w:lvlJc w:val="left"/>
      <w:pPr>
        <w:ind w:left="4453" w:hanging="635"/>
      </w:pPr>
      <w:rPr>
        <w:rFonts w:hint="default" w:ascii="Times New Roman" w:hAnsi="Times New Roman" w:cs="Times New Roman"/>
      </w:rPr>
    </w:lvl>
    <w:lvl w:ilvl="6" w:tentative="0">
      <w:start w:val="0"/>
      <w:numFmt w:val="bullet"/>
      <w:lvlText w:val="•"/>
      <w:lvlJc w:val="left"/>
      <w:pPr>
        <w:ind w:left="5315" w:hanging="635"/>
      </w:pPr>
      <w:rPr>
        <w:rFonts w:hint="default" w:ascii="Times New Roman" w:hAnsi="Times New Roman" w:cs="Times New Roman"/>
      </w:rPr>
    </w:lvl>
    <w:lvl w:ilvl="7" w:tentative="0">
      <w:start w:val="0"/>
      <w:numFmt w:val="bullet"/>
      <w:lvlText w:val="•"/>
      <w:lvlJc w:val="left"/>
      <w:pPr>
        <w:ind w:left="6178" w:hanging="635"/>
      </w:pPr>
      <w:rPr>
        <w:rFonts w:hint="default" w:ascii="Times New Roman" w:hAnsi="Times New Roman" w:cs="Times New Roman"/>
      </w:rPr>
    </w:lvl>
    <w:lvl w:ilvl="8" w:tentative="0">
      <w:start w:val="0"/>
      <w:numFmt w:val="bullet"/>
      <w:lvlText w:val="•"/>
      <w:lvlJc w:val="left"/>
      <w:pPr>
        <w:ind w:left="7041" w:hanging="635"/>
      </w:pPr>
      <w:rPr>
        <w:rFonts w:hint="default" w:ascii="Times New Roman" w:hAnsi="Times New Roman" w:cs="Times New Roman"/>
      </w:rPr>
    </w:lvl>
  </w:abstractNum>
  <w:abstractNum w:abstractNumId="120">
    <w:nsid w:val="7AFB3C79"/>
    <w:multiLevelType w:val="multilevel"/>
    <w:tmpl w:val="7AFB3C79"/>
    <w:lvl w:ilvl="0" w:tentative="0">
      <w:start w:val="14"/>
      <w:numFmt w:val="decimal"/>
      <w:lvlText w:val="%1"/>
      <w:lvlJc w:val="left"/>
      <w:pPr>
        <w:ind w:left="783" w:hanging="663"/>
      </w:pPr>
      <w:rPr>
        <w:rFonts w:hint="default"/>
      </w:rPr>
    </w:lvl>
    <w:lvl w:ilvl="1" w:tentative="0">
      <w:start w:val="1"/>
      <w:numFmt w:val="decimal"/>
      <w:lvlText w:val="%1-%2"/>
      <w:lvlJc w:val="left"/>
      <w:pPr>
        <w:ind w:left="783" w:hanging="663"/>
      </w:pPr>
      <w:rPr>
        <w:rFonts w:hint="default" w:ascii="Bookman Old Style" w:hAnsi="Bookman Old Style" w:eastAsia="Bookman Old Style" w:cs="Bookman Old Style"/>
        <w:spacing w:val="-2"/>
        <w:w w:val="90"/>
        <w:sz w:val="24"/>
        <w:szCs w:val="24"/>
      </w:rPr>
    </w:lvl>
    <w:lvl w:ilvl="2" w:tentative="0">
      <w:start w:val="0"/>
      <w:numFmt w:val="bullet"/>
      <w:lvlText w:val="•"/>
      <w:lvlJc w:val="left"/>
      <w:pPr>
        <w:ind w:left="2485" w:hanging="663"/>
      </w:pPr>
      <w:rPr>
        <w:rFonts w:hint="default"/>
      </w:rPr>
    </w:lvl>
    <w:lvl w:ilvl="3" w:tentative="0">
      <w:start w:val="0"/>
      <w:numFmt w:val="bullet"/>
      <w:lvlText w:val="•"/>
      <w:lvlJc w:val="left"/>
      <w:pPr>
        <w:ind w:left="3338" w:hanging="663"/>
      </w:pPr>
      <w:rPr>
        <w:rFonts w:hint="default"/>
      </w:rPr>
    </w:lvl>
    <w:lvl w:ilvl="4" w:tentative="0">
      <w:start w:val="0"/>
      <w:numFmt w:val="bullet"/>
      <w:lvlText w:val="•"/>
      <w:lvlJc w:val="left"/>
      <w:pPr>
        <w:ind w:left="4190" w:hanging="663"/>
      </w:pPr>
      <w:rPr>
        <w:rFonts w:hint="default"/>
      </w:rPr>
    </w:lvl>
    <w:lvl w:ilvl="5" w:tentative="0">
      <w:start w:val="0"/>
      <w:numFmt w:val="bullet"/>
      <w:lvlText w:val="•"/>
      <w:lvlJc w:val="left"/>
      <w:pPr>
        <w:ind w:left="5043" w:hanging="663"/>
      </w:pPr>
      <w:rPr>
        <w:rFonts w:hint="default"/>
      </w:rPr>
    </w:lvl>
    <w:lvl w:ilvl="6" w:tentative="0">
      <w:start w:val="0"/>
      <w:numFmt w:val="bullet"/>
      <w:lvlText w:val="•"/>
      <w:lvlJc w:val="left"/>
      <w:pPr>
        <w:ind w:left="5896" w:hanging="663"/>
      </w:pPr>
      <w:rPr>
        <w:rFonts w:hint="default"/>
      </w:rPr>
    </w:lvl>
    <w:lvl w:ilvl="7" w:tentative="0">
      <w:start w:val="0"/>
      <w:numFmt w:val="bullet"/>
      <w:lvlText w:val="•"/>
      <w:lvlJc w:val="left"/>
      <w:pPr>
        <w:ind w:left="6748" w:hanging="663"/>
      </w:pPr>
      <w:rPr>
        <w:rFonts w:hint="default"/>
      </w:rPr>
    </w:lvl>
    <w:lvl w:ilvl="8" w:tentative="0">
      <w:start w:val="0"/>
      <w:numFmt w:val="bullet"/>
      <w:lvlText w:val="•"/>
      <w:lvlJc w:val="left"/>
      <w:pPr>
        <w:ind w:left="7601" w:hanging="663"/>
      </w:pPr>
      <w:rPr>
        <w:rFonts w:hint="default"/>
      </w:rPr>
    </w:lvl>
  </w:abstractNum>
  <w:abstractNum w:abstractNumId="121">
    <w:nsid w:val="7DA15B08"/>
    <w:multiLevelType w:val="multilevel"/>
    <w:tmpl w:val="7DA15B08"/>
    <w:lvl w:ilvl="0" w:tentative="0">
      <w:start w:val="9"/>
      <w:numFmt w:val="decimal"/>
      <w:lvlText w:val="%1"/>
      <w:lvlJc w:val="left"/>
      <w:pPr>
        <w:ind w:left="138" w:hanging="579"/>
      </w:pPr>
      <w:rPr>
        <w:rFonts w:hint="default" w:ascii="Times New Roman" w:hAnsi="Times New Roman" w:cs="Times New Roman"/>
      </w:rPr>
    </w:lvl>
    <w:lvl w:ilvl="1" w:tentative="0">
      <w:start w:val="6"/>
      <w:numFmt w:val="decimal"/>
      <w:lvlText w:val="%1.%2"/>
      <w:lvlJc w:val="left"/>
      <w:pPr>
        <w:ind w:left="138" w:hanging="579"/>
      </w:pPr>
      <w:rPr>
        <w:rFonts w:hint="default" w:ascii="Times New Roman" w:hAnsi="Times New Roman" w:cs="Times New Roman"/>
      </w:rPr>
    </w:lvl>
    <w:lvl w:ilvl="2" w:tentative="0">
      <w:start w:val="1"/>
      <w:numFmt w:val="decimal"/>
      <w:lvlText w:val="%1.%2.%3"/>
      <w:lvlJc w:val="left"/>
      <w:pPr>
        <w:ind w:left="138" w:hanging="579"/>
      </w:pPr>
      <w:rPr>
        <w:rFonts w:hint="eastAsia" w:ascii="宋体" w:hAnsi="宋体" w:eastAsia="宋体" w:cs="宋体"/>
        <w:sz w:val="21"/>
        <w:szCs w:val="21"/>
      </w:rPr>
    </w:lvl>
    <w:lvl w:ilvl="3" w:tentative="0">
      <w:start w:val="0"/>
      <w:numFmt w:val="bullet"/>
      <w:lvlText w:val="•"/>
      <w:lvlJc w:val="left"/>
      <w:pPr>
        <w:ind w:left="2727" w:hanging="579"/>
      </w:pPr>
      <w:rPr>
        <w:rFonts w:hint="default" w:ascii="Times New Roman" w:hAnsi="Times New Roman" w:cs="Times New Roman"/>
      </w:rPr>
    </w:lvl>
    <w:lvl w:ilvl="4" w:tentative="0">
      <w:start w:val="0"/>
      <w:numFmt w:val="bullet"/>
      <w:lvlText w:val="•"/>
      <w:lvlJc w:val="left"/>
      <w:pPr>
        <w:ind w:left="3590" w:hanging="579"/>
      </w:pPr>
      <w:rPr>
        <w:rFonts w:hint="default" w:ascii="Times New Roman" w:hAnsi="Times New Roman" w:cs="Times New Roman"/>
      </w:rPr>
    </w:lvl>
    <w:lvl w:ilvl="5" w:tentative="0">
      <w:start w:val="0"/>
      <w:numFmt w:val="bullet"/>
      <w:lvlText w:val="•"/>
      <w:lvlJc w:val="left"/>
      <w:pPr>
        <w:ind w:left="4453" w:hanging="579"/>
      </w:pPr>
      <w:rPr>
        <w:rFonts w:hint="default" w:ascii="Times New Roman" w:hAnsi="Times New Roman" w:cs="Times New Roman"/>
      </w:rPr>
    </w:lvl>
    <w:lvl w:ilvl="6" w:tentative="0">
      <w:start w:val="0"/>
      <w:numFmt w:val="bullet"/>
      <w:lvlText w:val="•"/>
      <w:lvlJc w:val="left"/>
      <w:pPr>
        <w:ind w:left="5315" w:hanging="579"/>
      </w:pPr>
      <w:rPr>
        <w:rFonts w:hint="default" w:ascii="Times New Roman" w:hAnsi="Times New Roman" w:cs="Times New Roman"/>
      </w:rPr>
    </w:lvl>
    <w:lvl w:ilvl="7" w:tentative="0">
      <w:start w:val="0"/>
      <w:numFmt w:val="bullet"/>
      <w:lvlText w:val="•"/>
      <w:lvlJc w:val="left"/>
      <w:pPr>
        <w:ind w:left="6178" w:hanging="579"/>
      </w:pPr>
      <w:rPr>
        <w:rFonts w:hint="default" w:ascii="Times New Roman" w:hAnsi="Times New Roman" w:cs="Times New Roman"/>
      </w:rPr>
    </w:lvl>
    <w:lvl w:ilvl="8" w:tentative="0">
      <w:start w:val="0"/>
      <w:numFmt w:val="bullet"/>
      <w:lvlText w:val="•"/>
      <w:lvlJc w:val="left"/>
      <w:pPr>
        <w:ind w:left="7041" w:hanging="579"/>
      </w:pPr>
      <w:rPr>
        <w:rFonts w:hint="default" w:ascii="Times New Roman" w:hAnsi="Times New Roman" w:cs="Times New Roman"/>
      </w:rPr>
    </w:lvl>
  </w:abstractNum>
  <w:abstractNum w:abstractNumId="122">
    <w:nsid w:val="7F721D24"/>
    <w:multiLevelType w:val="multilevel"/>
    <w:tmpl w:val="7F721D24"/>
    <w:lvl w:ilvl="0" w:tentative="0">
      <w:start w:val="1"/>
      <w:numFmt w:val="decimal"/>
      <w:pStyle w:val="3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3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33"/>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3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35"/>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3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23">
    <w:nsid w:val="7FC11EB9"/>
    <w:multiLevelType w:val="multilevel"/>
    <w:tmpl w:val="7FC11EB9"/>
    <w:lvl w:ilvl="0" w:tentative="0">
      <w:start w:val="19"/>
      <w:numFmt w:val="decimal"/>
      <w:lvlText w:val="%1"/>
      <w:lvlJc w:val="left"/>
      <w:pPr>
        <w:ind w:left="1192" w:hanging="635"/>
      </w:pPr>
      <w:rPr>
        <w:rFonts w:hint="default" w:ascii="Times New Roman" w:hAnsi="Times New Roman" w:cs="Times New Roman"/>
      </w:rPr>
    </w:lvl>
    <w:lvl w:ilvl="1" w:tentative="0">
      <w:start w:val="2"/>
      <w:numFmt w:val="decimal"/>
      <w:lvlText w:val="%1.%2"/>
      <w:lvlJc w:val="left"/>
      <w:pPr>
        <w:ind w:left="1192" w:hanging="635"/>
      </w:pPr>
      <w:rPr>
        <w:rFonts w:hint="default" w:ascii="Times New Roman" w:hAnsi="Times New Roman" w:cs="Times New Roman"/>
      </w:rPr>
    </w:lvl>
    <w:lvl w:ilvl="2" w:tentative="0">
      <w:start w:val="1"/>
      <w:numFmt w:val="decimal"/>
      <w:lvlText w:val="%1.%2.%3"/>
      <w:lvlJc w:val="left"/>
      <w:pPr>
        <w:ind w:left="1192" w:hanging="635"/>
      </w:pPr>
      <w:rPr>
        <w:rFonts w:hint="eastAsia" w:ascii="宋体" w:hAnsi="宋体" w:eastAsia="宋体" w:cs="宋体"/>
        <w:spacing w:val="-3"/>
        <w:sz w:val="19"/>
        <w:szCs w:val="19"/>
      </w:rPr>
    </w:lvl>
    <w:lvl w:ilvl="3" w:tentative="0">
      <w:start w:val="0"/>
      <w:numFmt w:val="bullet"/>
      <w:lvlText w:val="•"/>
      <w:lvlJc w:val="left"/>
      <w:pPr>
        <w:ind w:left="3469" w:hanging="635"/>
      </w:pPr>
      <w:rPr>
        <w:rFonts w:hint="default" w:ascii="Times New Roman" w:hAnsi="Times New Roman" w:cs="Times New Roman"/>
      </w:rPr>
    </w:lvl>
    <w:lvl w:ilvl="4" w:tentative="0">
      <w:start w:val="0"/>
      <w:numFmt w:val="bullet"/>
      <w:lvlText w:val="•"/>
      <w:lvlJc w:val="left"/>
      <w:pPr>
        <w:ind w:left="4226" w:hanging="635"/>
      </w:pPr>
      <w:rPr>
        <w:rFonts w:hint="default" w:ascii="Times New Roman" w:hAnsi="Times New Roman" w:cs="Times New Roman"/>
      </w:rPr>
    </w:lvl>
    <w:lvl w:ilvl="5" w:tentative="0">
      <w:start w:val="0"/>
      <w:numFmt w:val="bullet"/>
      <w:lvlText w:val="•"/>
      <w:lvlJc w:val="left"/>
      <w:pPr>
        <w:ind w:left="4983" w:hanging="635"/>
      </w:pPr>
      <w:rPr>
        <w:rFonts w:hint="default" w:ascii="Times New Roman" w:hAnsi="Times New Roman" w:cs="Times New Roman"/>
      </w:rPr>
    </w:lvl>
    <w:lvl w:ilvl="6" w:tentative="0">
      <w:start w:val="0"/>
      <w:numFmt w:val="bullet"/>
      <w:lvlText w:val="•"/>
      <w:lvlJc w:val="left"/>
      <w:pPr>
        <w:ind w:left="5739" w:hanging="635"/>
      </w:pPr>
      <w:rPr>
        <w:rFonts w:hint="default" w:ascii="Times New Roman" w:hAnsi="Times New Roman" w:cs="Times New Roman"/>
      </w:rPr>
    </w:lvl>
    <w:lvl w:ilvl="7" w:tentative="0">
      <w:start w:val="0"/>
      <w:numFmt w:val="bullet"/>
      <w:lvlText w:val="•"/>
      <w:lvlJc w:val="left"/>
      <w:pPr>
        <w:ind w:left="6496" w:hanging="635"/>
      </w:pPr>
      <w:rPr>
        <w:rFonts w:hint="default" w:ascii="Times New Roman" w:hAnsi="Times New Roman" w:cs="Times New Roman"/>
      </w:rPr>
    </w:lvl>
    <w:lvl w:ilvl="8" w:tentative="0">
      <w:start w:val="0"/>
      <w:numFmt w:val="bullet"/>
      <w:lvlText w:val="•"/>
      <w:lvlJc w:val="left"/>
      <w:pPr>
        <w:ind w:left="7253" w:hanging="635"/>
      </w:pPr>
      <w:rPr>
        <w:rFonts w:hint="default" w:ascii="Times New Roman" w:hAnsi="Times New Roman" w:cs="Times New Roman"/>
      </w:rPr>
    </w:lvl>
  </w:abstractNum>
  <w:num w:numId="1">
    <w:abstractNumId w:val="122"/>
  </w:num>
  <w:num w:numId="2">
    <w:abstractNumId w:val="83"/>
  </w:num>
  <w:num w:numId="3">
    <w:abstractNumId w:val="87"/>
  </w:num>
  <w:num w:numId="4">
    <w:abstractNumId w:val="98"/>
  </w:num>
  <w:num w:numId="5">
    <w:abstractNumId w:val="85"/>
  </w:num>
  <w:num w:numId="6">
    <w:abstractNumId w:val="99"/>
  </w:num>
  <w:num w:numId="7">
    <w:abstractNumId w:val="49"/>
  </w:num>
  <w:num w:numId="8">
    <w:abstractNumId w:val="21"/>
  </w:num>
  <w:num w:numId="9">
    <w:abstractNumId w:val="91"/>
  </w:num>
  <w:num w:numId="10">
    <w:abstractNumId w:val="55"/>
  </w:num>
  <w:num w:numId="11">
    <w:abstractNumId w:val="108"/>
  </w:num>
  <w:num w:numId="12">
    <w:abstractNumId w:val="75"/>
  </w:num>
  <w:num w:numId="13">
    <w:abstractNumId w:val="66"/>
  </w:num>
  <w:num w:numId="14">
    <w:abstractNumId w:val="89"/>
  </w:num>
  <w:num w:numId="15">
    <w:abstractNumId w:val="77"/>
  </w:num>
  <w:num w:numId="16">
    <w:abstractNumId w:val="30"/>
  </w:num>
  <w:num w:numId="17">
    <w:abstractNumId w:val="51"/>
  </w:num>
  <w:num w:numId="18">
    <w:abstractNumId w:val="17"/>
  </w:num>
  <w:num w:numId="19">
    <w:abstractNumId w:val="45"/>
  </w:num>
  <w:num w:numId="20">
    <w:abstractNumId w:val="63"/>
  </w:num>
  <w:num w:numId="21">
    <w:abstractNumId w:val="11"/>
  </w:num>
  <w:num w:numId="22">
    <w:abstractNumId w:val="16"/>
  </w:num>
  <w:num w:numId="23">
    <w:abstractNumId w:val="6"/>
  </w:num>
  <w:num w:numId="24">
    <w:abstractNumId w:val="44"/>
  </w:num>
  <w:num w:numId="25">
    <w:abstractNumId w:val="15"/>
  </w:num>
  <w:num w:numId="26">
    <w:abstractNumId w:val="60"/>
  </w:num>
  <w:num w:numId="27">
    <w:abstractNumId w:val="35"/>
  </w:num>
  <w:num w:numId="28">
    <w:abstractNumId w:val="52"/>
  </w:num>
  <w:num w:numId="29">
    <w:abstractNumId w:val="1"/>
  </w:num>
  <w:num w:numId="30">
    <w:abstractNumId w:val="34"/>
  </w:num>
  <w:num w:numId="31">
    <w:abstractNumId w:val="29"/>
  </w:num>
  <w:num w:numId="32">
    <w:abstractNumId w:val="22"/>
  </w:num>
  <w:num w:numId="33">
    <w:abstractNumId w:val="96"/>
  </w:num>
  <w:num w:numId="34">
    <w:abstractNumId w:val="27"/>
  </w:num>
  <w:num w:numId="35">
    <w:abstractNumId w:val="33"/>
  </w:num>
  <w:num w:numId="36">
    <w:abstractNumId w:val="14"/>
  </w:num>
  <w:num w:numId="37">
    <w:abstractNumId w:val="7"/>
  </w:num>
  <w:num w:numId="38">
    <w:abstractNumId w:val="97"/>
  </w:num>
  <w:num w:numId="39">
    <w:abstractNumId w:val="56"/>
  </w:num>
  <w:num w:numId="40">
    <w:abstractNumId w:val="86"/>
  </w:num>
  <w:num w:numId="41">
    <w:abstractNumId w:val="79"/>
  </w:num>
  <w:num w:numId="42">
    <w:abstractNumId w:val="41"/>
  </w:num>
  <w:num w:numId="43">
    <w:abstractNumId w:val="121"/>
  </w:num>
  <w:num w:numId="44">
    <w:abstractNumId w:val="94"/>
  </w:num>
  <w:num w:numId="45">
    <w:abstractNumId w:val="36"/>
  </w:num>
  <w:num w:numId="46">
    <w:abstractNumId w:val="59"/>
  </w:num>
  <w:num w:numId="47">
    <w:abstractNumId w:val="107"/>
  </w:num>
  <w:num w:numId="48">
    <w:abstractNumId w:val="31"/>
  </w:num>
  <w:num w:numId="49">
    <w:abstractNumId w:val="102"/>
  </w:num>
  <w:num w:numId="50">
    <w:abstractNumId w:val="74"/>
  </w:num>
  <w:num w:numId="51">
    <w:abstractNumId w:val="28"/>
  </w:num>
  <w:num w:numId="52">
    <w:abstractNumId w:val="101"/>
  </w:num>
  <w:num w:numId="53">
    <w:abstractNumId w:val="95"/>
  </w:num>
  <w:num w:numId="54">
    <w:abstractNumId w:val="54"/>
  </w:num>
  <w:num w:numId="55">
    <w:abstractNumId w:val="109"/>
  </w:num>
  <w:num w:numId="56">
    <w:abstractNumId w:val="26"/>
  </w:num>
  <w:num w:numId="57">
    <w:abstractNumId w:val="80"/>
  </w:num>
  <w:num w:numId="58">
    <w:abstractNumId w:val="76"/>
  </w:num>
  <w:num w:numId="59">
    <w:abstractNumId w:val="9"/>
  </w:num>
  <w:num w:numId="60">
    <w:abstractNumId w:val="110"/>
  </w:num>
  <w:num w:numId="61">
    <w:abstractNumId w:val="48"/>
  </w:num>
  <w:num w:numId="62">
    <w:abstractNumId w:val="40"/>
  </w:num>
  <w:num w:numId="63">
    <w:abstractNumId w:val="112"/>
  </w:num>
  <w:num w:numId="64">
    <w:abstractNumId w:val="72"/>
  </w:num>
  <w:num w:numId="65">
    <w:abstractNumId w:val="19"/>
  </w:num>
  <w:num w:numId="66">
    <w:abstractNumId w:val="81"/>
  </w:num>
  <w:num w:numId="67">
    <w:abstractNumId w:val="42"/>
  </w:num>
  <w:num w:numId="68">
    <w:abstractNumId w:val="0"/>
  </w:num>
  <w:num w:numId="69">
    <w:abstractNumId w:val="64"/>
  </w:num>
  <w:num w:numId="70">
    <w:abstractNumId w:val="116"/>
  </w:num>
  <w:num w:numId="71">
    <w:abstractNumId w:val="58"/>
  </w:num>
  <w:num w:numId="72">
    <w:abstractNumId w:val="10"/>
  </w:num>
  <w:num w:numId="73">
    <w:abstractNumId w:val="25"/>
  </w:num>
  <w:num w:numId="74">
    <w:abstractNumId w:val="32"/>
  </w:num>
  <w:num w:numId="75">
    <w:abstractNumId w:val="12"/>
  </w:num>
  <w:num w:numId="76">
    <w:abstractNumId w:val="13"/>
  </w:num>
  <w:num w:numId="77">
    <w:abstractNumId w:val="65"/>
  </w:num>
  <w:num w:numId="78">
    <w:abstractNumId w:val="18"/>
  </w:num>
  <w:num w:numId="79">
    <w:abstractNumId w:val="84"/>
  </w:num>
  <w:num w:numId="80">
    <w:abstractNumId w:val="82"/>
  </w:num>
  <w:num w:numId="81">
    <w:abstractNumId w:val="50"/>
  </w:num>
  <w:num w:numId="82">
    <w:abstractNumId w:val="103"/>
  </w:num>
  <w:num w:numId="83">
    <w:abstractNumId w:val="57"/>
  </w:num>
  <w:num w:numId="84">
    <w:abstractNumId w:val="69"/>
  </w:num>
  <w:num w:numId="85">
    <w:abstractNumId w:val="53"/>
  </w:num>
  <w:num w:numId="86">
    <w:abstractNumId w:val="23"/>
  </w:num>
  <w:num w:numId="87">
    <w:abstractNumId w:val="38"/>
  </w:num>
  <w:num w:numId="88">
    <w:abstractNumId w:val="104"/>
  </w:num>
  <w:num w:numId="89">
    <w:abstractNumId w:val="67"/>
  </w:num>
  <w:num w:numId="90">
    <w:abstractNumId w:val="37"/>
  </w:num>
  <w:num w:numId="91">
    <w:abstractNumId w:val="20"/>
  </w:num>
  <w:num w:numId="92">
    <w:abstractNumId w:val="92"/>
  </w:num>
  <w:num w:numId="93">
    <w:abstractNumId w:val="8"/>
  </w:num>
  <w:num w:numId="94">
    <w:abstractNumId w:val="111"/>
  </w:num>
  <w:num w:numId="95">
    <w:abstractNumId w:val="113"/>
  </w:num>
  <w:num w:numId="96">
    <w:abstractNumId w:val="123"/>
  </w:num>
  <w:num w:numId="97">
    <w:abstractNumId w:val="61"/>
  </w:num>
  <w:num w:numId="98">
    <w:abstractNumId w:val="4"/>
  </w:num>
  <w:num w:numId="99">
    <w:abstractNumId w:val="78"/>
  </w:num>
  <w:num w:numId="100">
    <w:abstractNumId w:val="90"/>
  </w:num>
  <w:num w:numId="101">
    <w:abstractNumId w:val="24"/>
  </w:num>
  <w:num w:numId="102">
    <w:abstractNumId w:val="117"/>
  </w:num>
  <w:num w:numId="103">
    <w:abstractNumId w:val="100"/>
  </w:num>
  <w:num w:numId="104">
    <w:abstractNumId w:val="93"/>
  </w:num>
  <w:num w:numId="105">
    <w:abstractNumId w:val="70"/>
  </w:num>
  <w:num w:numId="106">
    <w:abstractNumId w:val="73"/>
  </w:num>
  <w:num w:numId="107">
    <w:abstractNumId w:val="47"/>
  </w:num>
  <w:num w:numId="108">
    <w:abstractNumId w:val="114"/>
  </w:num>
  <w:num w:numId="109">
    <w:abstractNumId w:val="5"/>
  </w:num>
  <w:num w:numId="110">
    <w:abstractNumId w:val="46"/>
  </w:num>
  <w:num w:numId="111">
    <w:abstractNumId w:val="2"/>
  </w:num>
  <w:num w:numId="112">
    <w:abstractNumId w:val="39"/>
  </w:num>
  <w:num w:numId="113">
    <w:abstractNumId w:val="118"/>
  </w:num>
  <w:num w:numId="114">
    <w:abstractNumId w:val="115"/>
  </w:num>
  <w:num w:numId="115">
    <w:abstractNumId w:val="88"/>
  </w:num>
  <w:num w:numId="116">
    <w:abstractNumId w:val="43"/>
  </w:num>
  <w:num w:numId="117">
    <w:abstractNumId w:val="3"/>
  </w:num>
  <w:num w:numId="118">
    <w:abstractNumId w:val="71"/>
  </w:num>
  <w:num w:numId="119">
    <w:abstractNumId w:val="119"/>
  </w:num>
  <w:num w:numId="120">
    <w:abstractNumId w:val="106"/>
  </w:num>
  <w:num w:numId="121">
    <w:abstractNumId w:val="68"/>
  </w:num>
  <w:num w:numId="122">
    <w:abstractNumId w:val="105"/>
  </w:num>
  <w:num w:numId="123">
    <w:abstractNumId w:val="62"/>
  </w:num>
  <w:num w:numId="124">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E83D09"/>
    <w:rsid w:val="0000401A"/>
    <w:rsid w:val="000314FC"/>
    <w:rsid w:val="00035A60"/>
    <w:rsid w:val="00036E01"/>
    <w:rsid w:val="00051D69"/>
    <w:rsid w:val="00077E9F"/>
    <w:rsid w:val="0008333F"/>
    <w:rsid w:val="000F37CE"/>
    <w:rsid w:val="001435F0"/>
    <w:rsid w:val="0014688B"/>
    <w:rsid w:val="00156486"/>
    <w:rsid w:val="001645FB"/>
    <w:rsid w:val="00174B84"/>
    <w:rsid w:val="00190EA2"/>
    <w:rsid w:val="0019552F"/>
    <w:rsid w:val="001958FA"/>
    <w:rsid w:val="001A4F26"/>
    <w:rsid w:val="001C5C66"/>
    <w:rsid w:val="001C7E67"/>
    <w:rsid w:val="001C7F3A"/>
    <w:rsid w:val="001D082E"/>
    <w:rsid w:val="001D7168"/>
    <w:rsid w:val="00226048"/>
    <w:rsid w:val="002577B3"/>
    <w:rsid w:val="00272F4C"/>
    <w:rsid w:val="002750EF"/>
    <w:rsid w:val="00275D88"/>
    <w:rsid w:val="002B68C2"/>
    <w:rsid w:val="002E4327"/>
    <w:rsid w:val="003051F6"/>
    <w:rsid w:val="00321232"/>
    <w:rsid w:val="00367CCD"/>
    <w:rsid w:val="00372EAB"/>
    <w:rsid w:val="00375F69"/>
    <w:rsid w:val="00394E87"/>
    <w:rsid w:val="003C66CD"/>
    <w:rsid w:val="003D7E1C"/>
    <w:rsid w:val="003E002D"/>
    <w:rsid w:val="003E65AD"/>
    <w:rsid w:val="00410A55"/>
    <w:rsid w:val="00414C7A"/>
    <w:rsid w:val="004201AC"/>
    <w:rsid w:val="00442F7B"/>
    <w:rsid w:val="00453BC9"/>
    <w:rsid w:val="00456C74"/>
    <w:rsid w:val="0048444F"/>
    <w:rsid w:val="004B6691"/>
    <w:rsid w:val="004D2CE1"/>
    <w:rsid w:val="00530EC4"/>
    <w:rsid w:val="005423F8"/>
    <w:rsid w:val="005719AA"/>
    <w:rsid w:val="00576D13"/>
    <w:rsid w:val="005E3976"/>
    <w:rsid w:val="005E73C2"/>
    <w:rsid w:val="00634EAF"/>
    <w:rsid w:val="00635A46"/>
    <w:rsid w:val="00695EC5"/>
    <w:rsid w:val="006A6639"/>
    <w:rsid w:val="00713BF4"/>
    <w:rsid w:val="007630E4"/>
    <w:rsid w:val="007774BD"/>
    <w:rsid w:val="00791F85"/>
    <w:rsid w:val="007A68A2"/>
    <w:rsid w:val="007B7E15"/>
    <w:rsid w:val="007D5FB7"/>
    <w:rsid w:val="007F6BBF"/>
    <w:rsid w:val="008755BC"/>
    <w:rsid w:val="00893E49"/>
    <w:rsid w:val="008A1DE9"/>
    <w:rsid w:val="008C028C"/>
    <w:rsid w:val="008C2DB2"/>
    <w:rsid w:val="00925132"/>
    <w:rsid w:val="00963A28"/>
    <w:rsid w:val="009677B3"/>
    <w:rsid w:val="00982B97"/>
    <w:rsid w:val="00982D03"/>
    <w:rsid w:val="00984D69"/>
    <w:rsid w:val="0098737E"/>
    <w:rsid w:val="009A30D4"/>
    <w:rsid w:val="009B5144"/>
    <w:rsid w:val="009F1A6B"/>
    <w:rsid w:val="00A131C6"/>
    <w:rsid w:val="00A203A9"/>
    <w:rsid w:val="00A71093"/>
    <w:rsid w:val="00AA3E44"/>
    <w:rsid w:val="00AB06C4"/>
    <w:rsid w:val="00AD29CD"/>
    <w:rsid w:val="00AE4D56"/>
    <w:rsid w:val="00B0016A"/>
    <w:rsid w:val="00B13595"/>
    <w:rsid w:val="00B15932"/>
    <w:rsid w:val="00B4177A"/>
    <w:rsid w:val="00B54B24"/>
    <w:rsid w:val="00B66B7C"/>
    <w:rsid w:val="00B80DCC"/>
    <w:rsid w:val="00B82C18"/>
    <w:rsid w:val="00BC5505"/>
    <w:rsid w:val="00BD4412"/>
    <w:rsid w:val="00C1094A"/>
    <w:rsid w:val="00C17B57"/>
    <w:rsid w:val="00C244C3"/>
    <w:rsid w:val="00C2672C"/>
    <w:rsid w:val="00C37DC4"/>
    <w:rsid w:val="00C5614E"/>
    <w:rsid w:val="00C91582"/>
    <w:rsid w:val="00CE0950"/>
    <w:rsid w:val="00D00AA6"/>
    <w:rsid w:val="00D20474"/>
    <w:rsid w:val="00D47EA4"/>
    <w:rsid w:val="00DA6666"/>
    <w:rsid w:val="00DC5A65"/>
    <w:rsid w:val="00DE632D"/>
    <w:rsid w:val="00DF51AB"/>
    <w:rsid w:val="00E54FDF"/>
    <w:rsid w:val="00E819A0"/>
    <w:rsid w:val="00E82A68"/>
    <w:rsid w:val="00E96CBE"/>
    <w:rsid w:val="00EE6BBF"/>
    <w:rsid w:val="00EE6F8D"/>
    <w:rsid w:val="00EF1D3E"/>
    <w:rsid w:val="00F1249C"/>
    <w:rsid w:val="00F178BC"/>
    <w:rsid w:val="00F32384"/>
    <w:rsid w:val="00F536A7"/>
    <w:rsid w:val="00F5404F"/>
    <w:rsid w:val="00F867CE"/>
    <w:rsid w:val="00F93B86"/>
    <w:rsid w:val="00FC43BE"/>
    <w:rsid w:val="00FF3330"/>
    <w:rsid w:val="029318A7"/>
    <w:rsid w:val="04E83D09"/>
    <w:rsid w:val="1598723F"/>
    <w:rsid w:val="2238756A"/>
    <w:rsid w:val="2510660B"/>
    <w:rsid w:val="27FD3E74"/>
    <w:rsid w:val="2AA41887"/>
    <w:rsid w:val="2B4C2CA9"/>
    <w:rsid w:val="3C0658C4"/>
    <w:rsid w:val="3D5E6715"/>
    <w:rsid w:val="471B2E23"/>
    <w:rsid w:val="47E91332"/>
    <w:rsid w:val="49210045"/>
    <w:rsid w:val="614F4882"/>
    <w:rsid w:val="6BCB2B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99"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qFormat/>
    <w:uiPriority w:val="1"/>
    <w:pPr>
      <w:outlineLvl w:val="0"/>
    </w:pPr>
    <w:rPr>
      <w:sz w:val="36"/>
      <w:szCs w:val="36"/>
    </w:rPr>
  </w:style>
  <w:style w:type="paragraph" w:styleId="4">
    <w:name w:val="heading 2"/>
    <w:basedOn w:val="1"/>
    <w:next w:val="1"/>
    <w:qFormat/>
    <w:uiPriority w:val="1"/>
    <w:pPr>
      <w:ind w:left="121"/>
      <w:outlineLvl w:val="1"/>
    </w:pPr>
    <w:rPr>
      <w:sz w:val="32"/>
      <w:szCs w:val="32"/>
    </w:rPr>
  </w:style>
  <w:style w:type="paragraph" w:styleId="5">
    <w:name w:val="heading 3"/>
    <w:basedOn w:val="1"/>
    <w:next w:val="1"/>
    <w:qFormat/>
    <w:uiPriority w:val="1"/>
    <w:pPr>
      <w:spacing w:before="14"/>
      <w:jc w:val="center"/>
      <w:outlineLvl w:val="2"/>
    </w:pPr>
    <w:rPr>
      <w:sz w:val="28"/>
      <w:szCs w:val="28"/>
    </w:rPr>
  </w:style>
  <w:style w:type="paragraph" w:styleId="6">
    <w:name w:val="heading 4"/>
    <w:basedOn w:val="1"/>
    <w:next w:val="1"/>
    <w:qFormat/>
    <w:uiPriority w:val="1"/>
    <w:pPr>
      <w:spacing w:before="14"/>
      <w:ind w:left="208"/>
      <w:outlineLvl w:val="3"/>
    </w:pPr>
    <w:rPr>
      <w:i/>
      <w:sz w:val="25"/>
      <w:szCs w:val="25"/>
    </w:rPr>
  </w:style>
  <w:style w:type="paragraph" w:styleId="7">
    <w:name w:val="heading 5"/>
    <w:basedOn w:val="1"/>
    <w:next w:val="1"/>
    <w:link w:val="39"/>
    <w:unhideWhenUsed/>
    <w:qFormat/>
    <w:uiPriority w:val="0"/>
    <w:pPr>
      <w:keepNext/>
      <w:keepLines/>
      <w:spacing w:before="280" w:after="290" w:line="376" w:lineRule="auto"/>
      <w:outlineLvl w:val="4"/>
    </w:pPr>
    <w:rPr>
      <w:b/>
      <w:bCs/>
      <w:sz w:val="28"/>
      <w:szCs w:val="28"/>
    </w:rPr>
  </w:style>
  <w:style w:type="character" w:default="1" w:styleId="24">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1"/>
    <w:link w:val="42"/>
    <w:qFormat/>
    <w:uiPriority w:val="99"/>
    <w:pPr>
      <w:tabs>
        <w:tab w:val="center" w:pos="4153"/>
        <w:tab w:val="right" w:pos="8306"/>
      </w:tabs>
      <w:snapToGrid w:val="0"/>
    </w:pPr>
    <w:rPr>
      <w:sz w:val="18"/>
      <w:szCs w:val="18"/>
    </w:rPr>
  </w:style>
  <w:style w:type="paragraph" w:styleId="8">
    <w:name w:val="toc 7"/>
    <w:basedOn w:val="1"/>
    <w:next w:val="1"/>
    <w:qFormat/>
    <w:uiPriority w:val="99"/>
    <w:pPr>
      <w:autoSpaceDE/>
      <w:autoSpaceDN/>
      <w:ind w:left="2520" w:leftChars="1200"/>
      <w:jc w:val="both"/>
    </w:pPr>
    <w:rPr>
      <w:rFonts w:ascii="Times New Roman" w:hAnsi="Times New Roman" w:cs="Times New Roman"/>
      <w:kern w:val="2"/>
      <w:sz w:val="21"/>
      <w:szCs w:val="24"/>
      <w:lang w:eastAsia="zh-CN"/>
    </w:rPr>
  </w:style>
  <w:style w:type="paragraph" w:styleId="9">
    <w:name w:val="Note Heading"/>
    <w:basedOn w:val="1"/>
    <w:next w:val="1"/>
    <w:link w:val="46"/>
    <w:qFormat/>
    <w:uiPriority w:val="0"/>
    <w:pPr>
      <w:adjustRightInd w:val="0"/>
    </w:pPr>
    <w:rPr>
      <w:rFonts w:ascii="..ì." w:hAnsi="Times New Roman" w:eastAsia="..ì." w:cs="Times New Roman"/>
      <w:sz w:val="24"/>
      <w:szCs w:val="20"/>
      <w:lang w:eastAsia="zh-CN"/>
    </w:rPr>
  </w:style>
  <w:style w:type="paragraph" w:styleId="10">
    <w:name w:val="Normal Indent"/>
    <w:basedOn w:val="1"/>
    <w:qFormat/>
    <w:uiPriority w:val="99"/>
    <w:pPr>
      <w:autoSpaceDE w:val="0"/>
      <w:autoSpaceDN w:val="0"/>
      <w:adjustRightInd w:val="0"/>
      <w:ind w:firstLine="420"/>
      <w:jc w:val="left"/>
    </w:pPr>
    <w:rPr>
      <w:rFonts w:ascii="宋体"/>
      <w:sz w:val="24"/>
    </w:rPr>
  </w:style>
  <w:style w:type="paragraph" w:styleId="11">
    <w:name w:val="annotation text"/>
    <w:basedOn w:val="1"/>
    <w:link w:val="37"/>
    <w:qFormat/>
    <w:uiPriority w:val="99"/>
  </w:style>
  <w:style w:type="paragraph" w:styleId="12">
    <w:name w:val="Body Text"/>
    <w:basedOn w:val="1"/>
    <w:qFormat/>
    <w:uiPriority w:val="1"/>
    <w:rPr>
      <w:sz w:val="24"/>
      <w:szCs w:val="24"/>
    </w:rPr>
  </w:style>
  <w:style w:type="paragraph" w:styleId="13">
    <w:name w:val="Body Text Indent"/>
    <w:basedOn w:val="1"/>
    <w:qFormat/>
    <w:uiPriority w:val="99"/>
    <w:pPr>
      <w:spacing w:line="360" w:lineRule="auto"/>
      <w:ind w:firstLine="570"/>
    </w:pPr>
    <w:rPr>
      <w:sz w:val="24"/>
    </w:rPr>
  </w:style>
  <w:style w:type="paragraph" w:styleId="14">
    <w:name w:val="toc 3"/>
    <w:basedOn w:val="1"/>
    <w:next w:val="1"/>
    <w:qFormat/>
    <w:uiPriority w:val="39"/>
    <w:pPr>
      <w:ind w:left="840" w:leftChars="400"/>
    </w:pPr>
  </w:style>
  <w:style w:type="paragraph" w:styleId="15">
    <w:name w:val="Plain Text"/>
    <w:basedOn w:val="1"/>
    <w:qFormat/>
    <w:uiPriority w:val="0"/>
    <w:rPr>
      <w:rFonts w:hint="eastAsia" w:ascii="宋体" w:hAnsi="Courier New"/>
      <w:szCs w:val="20"/>
    </w:rPr>
  </w:style>
  <w:style w:type="paragraph" w:styleId="16">
    <w:name w:val="Body Text Indent 2"/>
    <w:basedOn w:val="1"/>
    <w:qFormat/>
    <w:uiPriority w:val="99"/>
    <w:pPr>
      <w:ind w:firstLine="480" w:firstLineChars="200"/>
    </w:pPr>
    <w:rPr>
      <w:rFonts w:ascii="仿宋_GB2312" w:eastAsia="仿宋_GB2312"/>
      <w:sz w:val="24"/>
    </w:rPr>
  </w:style>
  <w:style w:type="paragraph" w:styleId="17">
    <w:name w:val="Balloon Text"/>
    <w:basedOn w:val="1"/>
    <w:link w:val="30"/>
    <w:qFormat/>
    <w:uiPriority w:val="0"/>
    <w:rPr>
      <w:sz w:val="18"/>
      <w:szCs w:val="18"/>
    </w:rPr>
  </w:style>
  <w:style w:type="paragraph" w:styleId="18">
    <w:name w:val="header"/>
    <w:basedOn w:val="1"/>
    <w:link w:val="4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spacing w:before="136"/>
      <w:ind w:left="121"/>
    </w:pPr>
    <w:rPr>
      <w:sz w:val="24"/>
      <w:szCs w:val="24"/>
    </w:rPr>
  </w:style>
  <w:style w:type="paragraph" w:styleId="20">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21">
    <w:name w:val="annotation subject"/>
    <w:basedOn w:val="11"/>
    <w:next w:val="11"/>
    <w:link w:val="38"/>
    <w:qFormat/>
    <w:uiPriority w:val="0"/>
    <w:rPr>
      <w:b/>
      <w:bCs/>
    </w:rPr>
  </w:style>
  <w:style w:type="paragraph" w:styleId="22">
    <w:name w:val="Body Text First Indent 2"/>
    <w:basedOn w:val="13"/>
    <w:qFormat/>
    <w:uiPriority w:val="99"/>
    <w:pPr>
      <w:spacing w:after="120" w:line="480" w:lineRule="exact"/>
      <w:ind w:left="420" w:leftChars="200" w:firstLine="420" w:firstLineChars="200"/>
    </w:pPr>
    <w:rPr>
      <w:szCs w:val="20"/>
    </w:rPr>
  </w:style>
  <w:style w:type="character" w:styleId="25">
    <w:name w:val="Hyperlink"/>
    <w:basedOn w:val="24"/>
    <w:qFormat/>
    <w:uiPriority w:val="99"/>
    <w:rPr>
      <w:color w:val="0563C1" w:themeColor="hyperlink"/>
      <w:u w:val="single"/>
      <w14:textFill>
        <w14:solidFill>
          <w14:schemeClr w14:val="hlink"/>
        </w14:solidFill>
      </w14:textFill>
    </w:rPr>
  </w:style>
  <w:style w:type="character" w:styleId="26">
    <w:name w:val="annotation reference"/>
    <w:basedOn w:val="24"/>
    <w:qFormat/>
    <w:uiPriority w:val="99"/>
    <w:rPr>
      <w:sz w:val="21"/>
      <w:szCs w:val="21"/>
    </w:rPr>
  </w:style>
  <w:style w:type="paragraph" w:customStyle="1" w:styleId="27">
    <w:name w:val="Table Paragraph"/>
    <w:basedOn w:val="1"/>
    <w:qFormat/>
    <w:uiPriority w:val="1"/>
  </w:style>
  <w:style w:type="table" w:customStyle="1" w:styleId="28">
    <w:name w:val="Table Normal"/>
    <w:semiHidden/>
    <w:unhideWhenUsed/>
    <w:qFormat/>
    <w:uiPriority w:val="2"/>
    <w:tblPr>
      <w:tblCellMar>
        <w:top w:w="0" w:type="dxa"/>
        <w:left w:w="0" w:type="dxa"/>
        <w:bottom w:w="0" w:type="dxa"/>
        <w:right w:w="0" w:type="dxa"/>
      </w:tblCellMar>
    </w:tblPr>
  </w:style>
  <w:style w:type="paragraph" w:styleId="29">
    <w:name w:val="List Paragraph"/>
    <w:basedOn w:val="1"/>
    <w:qFormat/>
    <w:uiPriority w:val="1"/>
    <w:pPr>
      <w:ind w:left="1196" w:hanging="720"/>
    </w:pPr>
  </w:style>
  <w:style w:type="character" w:customStyle="1" w:styleId="30">
    <w:name w:val="批注框文本 Char"/>
    <w:basedOn w:val="24"/>
    <w:link w:val="17"/>
    <w:qFormat/>
    <w:uiPriority w:val="0"/>
    <w:rPr>
      <w:rFonts w:ascii="宋体" w:hAnsi="宋体" w:eastAsia="宋体" w:cs="宋体"/>
      <w:sz w:val="18"/>
      <w:szCs w:val="18"/>
      <w:lang w:eastAsia="en-US"/>
    </w:rPr>
  </w:style>
  <w:style w:type="paragraph" w:customStyle="1" w:styleId="31">
    <w:name w:val="样式 标题 1 + 四号 居中 段前: 12 磅 段后: 12 磅 行距: 单倍行距"/>
    <w:basedOn w:val="1"/>
    <w:qFormat/>
    <w:uiPriority w:val="0"/>
    <w:pPr>
      <w:numPr>
        <w:ilvl w:val="0"/>
        <w:numId w:val="1"/>
      </w:numPr>
    </w:pPr>
  </w:style>
  <w:style w:type="paragraph" w:customStyle="1" w:styleId="32">
    <w:name w:val="三级条标题"/>
    <w:basedOn w:val="1"/>
    <w:qFormat/>
    <w:uiPriority w:val="0"/>
    <w:pPr>
      <w:numPr>
        <w:ilvl w:val="3"/>
        <w:numId w:val="1"/>
      </w:numPr>
    </w:pPr>
  </w:style>
  <w:style w:type="paragraph" w:customStyle="1" w:styleId="33">
    <w:name w:val="四级条标题"/>
    <w:basedOn w:val="1"/>
    <w:qFormat/>
    <w:uiPriority w:val="0"/>
    <w:pPr>
      <w:numPr>
        <w:ilvl w:val="4"/>
        <w:numId w:val="1"/>
      </w:numPr>
    </w:pPr>
  </w:style>
  <w:style w:type="paragraph" w:customStyle="1" w:styleId="34">
    <w:name w:val="五级条标题"/>
    <w:basedOn w:val="1"/>
    <w:qFormat/>
    <w:uiPriority w:val="0"/>
    <w:pPr>
      <w:numPr>
        <w:ilvl w:val="5"/>
        <w:numId w:val="1"/>
      </w:numPr>
    </w:pPr>
  </w:style>
  <w:style w:type="paragraph" w:customStyle="1" w:styleId="35">
    <w:name w:val="正文列项_字母"/>
    <w:basedOn w:val="1"/>
    <w:qFormat/>
    <w:uiPriority w:val="0"/>
    <w:pPr>
      <w:numPr>
        <w:ilvl w:val="6"/>
        <w:numId w:val="1"/>
      </w:numPr>
    </w:pPr>
  </w:style>
  <w:style w:type="paragraph" w:customStyle="1" w:styleId="36">
    <w:name w:val="正文列项_数字"/>
    <w:basedOn w:val="1"/>
    <w:qFormat/>
    <w:uiPriority w:val="0"/>
    <w:pPr>
      <w:numPr>
        <w:ilvl w:val="7"/>
        <w:numId w:val="1"/>
      </w:numPr>
    </w:pPr>
  </w:style>
  <w:style w:type="character" w:customStyle="1" w:styleId="37">
    <w:name w:val="批注文字 Char"/>
    <w:basedOn w:val="24"/>
    <w:link w:val="11"/>
    <w:qFormat/>
    <w:uiPriority w:val="0"/>
    <w:rPr>
      <w:rFonts w:ascii="宋体" w:hAnsi="宋体" w:eastAsia="宋体" w:cs="宋体"/>
      <w:sz w:val="22"/>
      <w:szCs w:val="22"/>
      <w:lang w:eastAsia="en-US"/>
    </w:rPr>
  </w:style>
  <w:style w:type="character" w:customStyle="1" w:styleId="38">
    <w:name w:val="批注主题 Char"/>
    <w:basedOn w:val="37"/>
    <w:link w:val="21"/>
    <w:qFormat/>
    <w:uiPriority w:val="0"/>
    <w:rPr>
      <w:rFonts w:ascii="宋体" w:hAnsi="宋体" w:eastAsia="宋体" w:cs="宋体"/>
      <w:b/>
      <w:bCs/>
      <w:sz w:val="22"/>
      <w:szCs w:val="22"/>
      <w:lang w:eastAsia="en-US"/>
    </w:rPr>
  </w:style>
  <w:style w:type="character" w:customStyle="1" w:styleId="39">
    <w:name w:val="标题 5 Char"/>
    <w:basedOn w:val="24"/>
    <w:link w:val="7"/>
    <w:qFormat/>
    <w:uiPriority w:val="0"/>
    <w:rPr>
      <w:rFonts w:ascii="宋体" w:hAnsi="宋体" w:eastAsia="宋体" w:cs="宋体"/>
      <w:b/>
      <w:bCs/>
      <w:sz w:val="28"/>
      <w:szCs w:val="28"/>
      <w:lang w:eastAsia="en-US"/>
    </w:rPr>
  </w:style>
  <w:style w:type="paragraph" w:customStyle="1" w:styleId="40">
    <w:name w:val="TOC Heading"/>
    <w:basedOn w:val="3"/>
    <w:next w:val="1"/>
    <w:semiHidden/>
    <w:unhideWhenUsed/>
    <w:qFormat/>
    <w:uiPriority w:val="39"/>
    <w:pPr>
      <w:keepNext/>
      <w:keepLines/>
      <w:widowControl/>
      <w:autoSpaceDE/>
      <w:autoSpaceDN/>
      <w:spacing w:before="480" w:line="276" w:lineRule="auto"/>
      <w:outlineLvl w:val="9"/>
    </w:pPr>
    <w:rPr>
      <w:rFonts w:asciiTheme="majorHAnsi" w:hAnsiTheme="majorHAnsi" w:eastAsiaTheme="majorEastAsia" w:cstheme="majorBidi"/>
      <w:b/>
      <w:bCs/>
      <w:color w:val="2E75B6" w:themeColor="accent1" w:themeShade="BF"/>
      <w:sz w:val="28"/>
      <w:szCs w:val="28"/>
      <w:lang w:eastAsia="zh-CN"/>
    </w:rPr>
  </w:style>
  <w:style w:type="character" w:customStyle="1" w:styleId="41">
    <w:name w:val="页眉 Char"/>
    <w:basedOn w:val="24"/>
    <w:link w:val="18"/>
    <w:qFormat/>
    <w:uiPriority w:val="0"/>
    <w:rPr>
      <w:rFonts w:ascii="宋体" w:hAnsi="宋体" w:eastAsia="宋体" w:cs="宋体"/>
      <w:sz w:val="18"/>
      <w:szCs w:val="18"/>
      <w:lang w:eastAsia="en-US"/>
    </w:rPr>
  </w:style>
  <w:style w:type="character" w:customStyle="1" w:styleId="42">
    <w:name w:val="页脚 Char"/>
    <w:basedOn w:val="24"/>
    <w:link w:val="2"/>
    <w:qFormat/>
    <w:uiPriority w:val="99"/>
    <w:rPr>
      <w:rFonts w:ascii="宋体" w:hAnsi="宋体" w:eastAsia="宋体" w:cs="宋体"/>
      <w:sz w:val="18"/>
      <w:szCs w:val="18"/>
      <w:lang w:eastAsia="en-US"/>
    </w:rPr>
  </w:style>
  <w:style w:type="paragraph" w:customStyle="1" w:styleId="43">
    <w:name w:val="正文1"/>
    <w:basedOn w:val="1"/>
    <w:next w:val="1"/>
    <w:qFormat/>
    <w:uiPriority w:val="99"/>
    <w:pPr>
      <w:tabs>
        <w:tab w:val="left" w:pos="480"/>
      </w:tabs>
      <w:autoSpaceDE/>
      <w:autoSpaceDN/>
      <w:spacing w:line="500" w:lineRule="exact"/>
      <w:ind w:left="359" w:hanging="359" w:hangingChars="171"/>
      <w:jc w:val="both"/>
    </w:pPr>
    <w:rPr>
      <w:rFonts w:ascii="黑体" w:cs="黑体"/>
      <w:kern w:val="2"/>
      <w:sz w:val="21"/>
      <w:szCs w:val="21"/>
      <w:lang w:eastAsia="zh-CN"/>
    </w:rPr>
  </w:style>
  <w:style w:type="character" w:customStyle="1" w:styleId="44">
    <w:name w:val="页脚 Char1"/>
    <w:qFormat/>
    <w:uiPriority w:val="99"/>
    <w:rPr>
      <w:rFonts w:ascii="宋体" w:eastAsia="宋体"/>
      <w:sz w:val="18"/>
      <w:lang w:val="en-US" w:eastAsia="zh-CN" w:bidi="ar-SA"/>
    </w:rPr>
  </w:style>
  <w:style w:type="character" w:customStyle="1" w:styleId="45">
    <w:name w:val="批注文字 Char1"/>
    <w:qFormat/>
    <w:uiPriority w:val="99"/>
    <w:rPr>
      <w:kern w:val="2"/>
      <w:sz w:val="21"/>
      <w:szCs w:val="24"/>
    </w:rPr>
  </w:style>
  <w:style w:type="character" w:customStyle="1" w:styleId="46">
    <w:name w:val="注释标题 Char"/>
    <w:basedOn w:val="24"/>
    <w:link w:val="9"/>
    <w:qFormat/>
    <w:uiPriority w:val="0"/>
    <w:rPr>
      <w:rFonts w:ascii="..ì." w:hAnsi="Times New Roman" w:eastAsia="..ì." w:cs="Times New Roman"/>
      <w:sz w:val="24"/>
    </w:rPr>
  </w:style>
  <w:style w:type="paragraph" w:customStyle="1" w:styleId="47">
    <w:name w:val="1"/>
    <w:next w:val="1"/>
    <w:qFormat/>
    <w:uiPriority w:val="99"/>
    <w:rPr>
      <w:rFonts w:ascii="Times New Roman" w:hAnsi="Times New Roman" w:eastAsia="宋体" w:cs="Times New Roman"/>
      <w:kern w:val="2"/>
      <w:sz w:val="21"/>
      <w:szCs w:val="24"/>
      <w:lang w:val="zh-CN" w:eastAsia="zh-CN" w:bidi="ar-SA"/>
    </w:rPr>
  </w:style>
  <w:style w:type="paragraph" w:customStyle="1" w:styleId="48">
    <w:name w:val="样式 标题 2 + Times New Roman 四号 非加粗 段前: 5 磅 段后: 0 磅 行距: 固定值 20..."/>
    <w:basedOn w:val="4"/>
    <w:next w:val="1"/>
    <w:qFormat/>
    <w:uiPriority w:val="99"/>
    <w:pPr>
      <w:autoSpaceDE/>
      <w:autoSpaceDN/>
      <w:adjustRightInd/>
      <w:spacing w:before="260" w:beforeLines="50" w:after="260" w:afterLines="50" w:line="360" w:lineRule="auto"/>
    </w:pPr>
    <w:rPr>
      <w:rFonts w:ascii="宋体" w:hAnsi="Times New Roman" w:eastAsia="宋体" w:cs="宋体"/>
      <w:kern w:val="2"/>
      <w:sz w:val="28"/>
    </w:rPr>
  </w:style>
  <w:style w:type="paragraph" w:customStyle="1" w:styleId="49">
    <w:name w:val="样式 标题 3 + (中文) 黑体 小四 非加粗 段前: 7.8 磅 段后: 0 磅 行距: 固定值 20 磅"/>
    <w:basedOn w:val="5"/>
    <w:qFormat/>
    <w:uiPriority w:val="0"/>
    <w:pPr>
      <w:autoSpaceDE/>
      <w:autoSpaceDN/>
      <w:adjustRightInd/>
      <w:spacing w:before="260" w:beforeLines="50" w:after="260" w:afterLines="50" w:line="360" w:lineRule="auto"/>
      <w:jc w:val="both"/>
    </w:pPr>
    <w:rPr>
      <w:kern w:val="2"/>
      <w:u w:val="none"/>
    </w:rPr>
  </w:style>
  <w:style w:type="paragraph" w:customStyle="1" w:styleId="50">
    <w:name w:val="Body text|2"/>
    <w:basedOn w:val="1"/>
    <w:qFormat/>
    <w:uiPriority w:val="0"/>
    <w:pPr>
      <w:spacing w:line="382" w:lineRule="exact"/>
      <w:ind w:left="1800"/>
      <w:jc w:val="left"/>
    </w:pPr>
    <w:rPr>
      <w:rFonts w:ascii="宋体" w:hAnsi="宋体" w:cs="宋体"/>
      <w:kern w:val="0"/>
      <w:sz w:val="18"/>
      <w:szCs w:val="18"/>
      <w:lang w:val="zh-TW" w:eastAsia="zh-TW" w:bidi="zh-TW"/>
    </w:rPr>
  </w:style>
  <w:style w:type="paragraph" w:customStyle="1" w:styleId="51">
    <w:name w:val="Body text|1"/>
    <w:basedOn w:val="1"/>
    <w:qFormat/>
    <w:uiPriority w:val="0"/>
    <w:pPr>
      <w:spacing w:line="480" w:lineRule="auto"/>
      <w:ind w:firstLine="380"/>
      <w:jc w:val="left"/>
    </w:pPr>
    <w:rPr>
      <w:rFonts w:ascii="宋体" w:hAnsi="宋体" w:cs="宋体"/>
      <w:kern w:val="0"/>
      <w:sz w:val="20"/>
      <w:szCs w:val="20"/>
      <w:lang w:val="zh-TW" w:eastAsia="zh-TW" w:bidi="zh-TW"/>
    </w:rPr>
  </w:style>
  <w:style w:type="paragraph" w:customStyle="1" w:styleId="52">
    <w:name w:val="Body text|3"/>
    <w:basedOn w:val="1"/>
    <w:qFormat/>
    <w:uiPriority w:val="0"/>
    <w:pPr>
      <w:ind w:left="530"/>
      <w:jc w:val="left"/>
    </w:pPr>
    <w:rPr>
      <w:rFonts w:ascii="Calibri" w:hAnsi="Calibri"/>
      <w:color w:val="0000FF"/>
      <w:kern w:val="0"/>
      <w:sz w:val="22"/>
      <w:szCs w:val="22"/>
      <w:lang w:val="zh-TW" w:eastAsia="zh-TW" w:bidi="zh-TW"/>
    </w:rPr>
  </w:style>
  <w:style w:type="paragraph" w:customStyle="1" w:styleId="53">
    <w:name w:val="Header or footer|1"/>
    <w:basedOn w:val="1"/>
    <w:qFormat/>
    <w:uiPriority w:val="0"/>
    <w:pPr>
      <w:jc w:val="left"/>
    </w:pPr>
    <w:rPr>
      <w:rFonts w:ascii="宋体" w:hAnsi="宋体" w:cs="宋体"/>
      <w:kern w:val="0"/>
      <w:sz w:val="20"/>
      <w:szCs w:val="20"/>
      <w:lang w:val="zh-TW" w:eastAsia="zh-TW" w:bidi="zh-TW"/>
    </w:rPr>
  </w:style>
  <w:style w:type="paragraph" w:customStyle="1" w:styleId="54">
    <w:name w:val="列出段落1"/>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png"/><Relationship Id="rId24" Type="http://schemas.openxmlformats.org/officeDocument/2006/relationships/theme" Target="theme/theme1.xml"/><Relationship Id="rId23" Type="http://schemas.openxmlformats.org/officeDocument/2006/relationships/footer" Target="footer14.xml"/><Relationship Id="rId22" Type="http://schemas.openxmlformats.org/officeDocument/2006/relationships/header" Target="header7.xml"/><Relationship Id="rId21" Type="http://schemas.openxmlformats.org/officeDocument/2006/relationships/footer" Target="footer13.xml"/><Relationship Id="rId20" Type="http://schemas.openxmlformats.org/officeDocument/2006/relationships/header" Target="header6.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86B4C47-12AC-4709-9514-17BD7F09D0A7}">
  <ds:schemaRefs/>
</ds:datastoreItem>
</file>

<file path=docProps/app.xml><?xml version="1.0" encoding="utf-8"?>
<Properties xmlns="http://schemas.openxmlformats.org/officeDocument/2006/extended-properties" xmlns:vt="http://schemas.openxmlformats.org/officeDocument/2006/docPropsVTypes">
  <Template>Normal.dotm</Template>
  <Pages>74</Pages>
  <Words>5039</Words>
  <Characters>28726</Characters>
  <Lines>239</Lines>
  <Paragraphs>67</Paragraphs>
  <TotalTime>4</TotalTime>
  <ScaleCrop>false</ScaleCrop>
  <LinksUpToDate>false</LinksUpToDate>
  <CharactersWithSpaces>33698</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2024-04-12T08:29:00Z</dcterms:created>
  <dc:creator>nix</dc:creator>
  <cp:lastModifiedBy>Administrator</cp:lastModifiedBy>
  <dcterms:modified xsi:type="dcterms:W3CDTF">2024-05-08T06:21:35Z</dcterms:modified>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689551C9D2B74BB5962708CC5B42423B</vt:lpwstr>
  </property>
</Properties>
</file>