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409F24">
      <w:pPr>
        <w:pageBreakBefore w:val="0"/>
        <w:overflowPunct/>
        <w:topLinePunct w:val="0"/>
        <w:bidi w:val="0"/>
        <w:snapToGrid w:val="0"/>
        <w:spacing w:after="0" w:line="360" w:lineRule="auto"/>
        <w:jc w:val="both"/>
        <w:rPr>
          <w:rFonts w:hint="eastAsia" w:ascii="宋体" w:hAnsi="宋体" w:eastAsia="宋体" w:cs="宋体"/>
          <w:b/>
          <w:bCs/>
          <w:color w:val="auto"/>
          <w:sz w:val="52"/>
          <w:szCs w:val="52"/>
        </w:rPr>
      </w:pPr>
    </w:p>
    <w:p w14:paraId="29EA1846">
      <w:pPr>
        <w:pStyle w:val="7"/>
        <w:rPr>
          <w:rFonts w:hint="eastAsia" w:ascii="宋体" w:hAnsi="宋体" w:eastAsia="宋体" w:cs="宋体"/>
          <w:b/>
          <w:bCs/>
          <w:color w:val="auto"/>
          <w:sz w:val="52"/>
          <w:szCs w:val="52"/>
        </w:rPr>
      </w:pPr>
    </w:p>
    <w:p w14:paraId="7BFCD3CA">
      <w:pPr>
        <w:pStyle w:val="7"/>
        <w:rPr>
          <w:rFonts w:hint="eastAsia" w:ascii="宋体" w:hAnsi="宋体" w:eastAsia="宋体" w:cs="宋体"/>
          <w:b/>
          <w:bCs/>
          <w:color w:val="auto"/>
          <w:sz w:val="52"/>
          <w:szCs w:val="52"/>
        </w:rPr>
      </w:pPr>
    </w:p>
    <w:p w14:paraId="47A34716">
      <w:pPr>
        <w:pageBreakBefore w:val="0"/>
        <w:overflowPunct/>
        <w:topLinePunct w:val="0"/>
        <w:bidi w:val="0"/>
        <w:snapToGrid w:val="0"/>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北京市南水北调大宁管理处水利工程日常维修养护-水工建筑物维修养护</w:t>
      </w:r>
    </w:p>
    <w:p w14:paraId="186A3AF7">
      <w:pPr>
        <w:pStyle w:val="6"/>
        <w:pageBreakBefore w:val="0"/>
        <w:overflowPunct/>
        <w:topLinePunct w:val="0"/>
        <w:bidi w:val="0"/>
        <w:snapToGrid w:val="0"/>
        <w:spacing w:after="0" w:line="360" w:lineRule="auto"/>
        <w:rPr>
          <w:rFonts w:hint="eastAsia" w:hAnsi="宋体"/>
        </w:rPr>
      </w:pPr>
    </w:p>
    <w:p w14:paraId="0BD5BF58">
      <w:pPr>
        <w:pStyle w:val="6"/>
        <w:pageBreakBefore w:val="0"/>
        <w:overflowPunct/>
        <w:topLinePunct w:val="0"/>
        <w:bidi w:val="0"/>
        <w:snapToGrid w:val="0"/>
        <w:spacing w:after="0" w:line="360" w:lineRule="auto"/>
        <w:rPr>
          <w:rFonts w:hint="eastAsia" w:hAnsi="宋体"/>
        </w:rPr>
      </w:pPr>
    </w:p>
    <w:p w14:paraId="17213755">
      <w:pPr>
        <w:pStyle w:val="6"/>
        <w:pageBreakBefore w:val="0"/>
        <w:overflowPunct/>
        <w:topLinePunct w:val="0"/>
        <w:bidi w:val="0"/>
        <w:snapToGrid w:val="0"/>
        <w:spacing w:after="0" w:line="360" w:lineRule="auto"/>
        <w:rPr>
          <w:rFonts w:hint="eastAsia" w:hAnsi="宋体"/>
        </w:rPr>
      </w:pPr>
    </w:p>
    <w:p w14:paraId="087FBF7E">
      <w:pPr>
        <w:pStyle w:val="6"/>
        <w:pageBreakBefore w:val="0"/>
        <w:overflowPunct/>
        <w:topLinePunct w:val="0"/>
        <w:bidi w:val="0"/>
        <w:snapToGrid w:val="0"/>
        <w:spacing w:after="0" w:line="360" w:lineRule="auto"/>
        <w:rPr>
          <w:rFonts w:hint="eastAsia" w:hAnsi="宋体"/>
        </w:rPr>
      </w:pPr>
    </w:p>
    <w:p w14:paraId="0D199805">
      <w:pPr>
        <w:pStyle w:val="6"/>
        <w:pageBreakBefore w:val="0"/>
        <w:overflowPunct/>
        <w:topLinePunct w:val="0"/>
        <w:bidi w:val="0"/>
        <w:snapToGrid w:val="0"/>
        <w:spacing w:after="0" w:line="360" w:lineRule="auto"/>
        <w:rPr>
          <w:rFonts w:hint="eastAsia" w:hAnsi="宋体"/>
        </w:rPr>
      </w:pPr>
    </w:p>
    <w:p w14:paraId="5084160E">
      <w:pPr>
        <w:pStyle w:val="6"/>
        <w:pageBreakBefore w:val="0"/>
        <w:overflowPunct/>
        <w:topLinePunct w:val="0"/>
        <w:bidi w:val="0"/>
        <w:snapToGrid w:val="0"/>
        <w:spacing w:after="0" w:line="360" w:lineRule="auto"/>
        <w:rPr>
          <w:rFonts w:hint="eastAsia" w:hAnsi="宋体"/>
        </w:rPr>
      </w:pPr>
    </w:p>
    <w:p w14:paraId="58599B30">
      <w:pPr>
        <w:pageBreakBefore w:val="0"/>
        <w:overflowPunct/>
        <w:topLinePunct w:val="0"/>
        <w:bidi w:val="0"/>
        <w:snapToGrid w:val="0"/>
        <w:spacing w:after="0" w:line="360" w:lineRule="auto"/>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t>招标文件</w:t>
      </w:r>
    </w:p>
    <w:p w14:paraId="21E0A05B">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33BEEA4D">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35A409FC">
      <w:pPr>
        <w:pageBreakBefore w:val="0"/>
        <w:overflowPunct/>
        <w:topLinePunct w:val="0"/>
        <w:bidi w:val="0"/>
        <w:snapToGrid w:val="0"/>
        <w:spacing w:after="0" w:line="360" w:lineRule="auto"/>
        <w:jc w:val="center"/>
        <w:rPr>
          <w:rFonts w:hint="eastAsia" w:ascii="宋体" w:hAnsi="宋体" w:eastAsia="宋体" w:cs="宋体"/>
          <w:b/>
          <w:bCs/>
          <w:color w:val="auto"/>
          <w:sz w:val="44"/>
          <w:szCs w:val="44"/>
        </w:rPr>
      </w:pPr>
    </w:p>
    <w:p w14:paraId="22F93016">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项目编号：</w:t>
      </w:r>
      <w:bookmarkStart w:id="0" w:name="OLE_LINK8"/>
      <w:r>
        <w:rPr>
          <w:rFonts w:hint="eastAsia" w:ascii="宋体" w:hAnsi="宋体" w:eastAsia="宋体" w:cs="宋体"/>
          <w:color w:val="auto"/>
          <w:sz w:val="32"/>
          <w:szCs w:val="32"/>
        </w:rPr>
        <w:t>ZYZX-FW-25</w:t>
      </w:r>
      <w:r>
        <w:rPr>
          <w:rFonts w:hint="eastAsia" w:ascii="宋体" w:hAnsi="宋体" w:eastAsia="宋体" w:cs="宋体"/>
          <w:color w:val="auto"/>
          <w:sz w:val="32"/>
          <w:szCs w:val="32"/>
          <w:lang w:val="en-US" w:eastAsia="zh-CN"/>
        </w:rPr>
        <w:t>55</w:t>
      </w:r>
      <w:r>
        <w:rPr>
          <w:rFonts w:hint="eastAsia" w:ascii="宋体" w:hAnsi="宋体" w:eastAsia="宋体" w:cs="宋体"/>
          <w:color w:val="auto"/>
          <w:sz w:val="32"/>
          <w:szCs w:val="32"/>
        </w:rPr>
        <w:t xml:space="preserve"> </w:t>
      </w:r>
      <w:bookmarkEnd w:id="0"/>
    </w:p>
    <w:p w14:paraId="520E7D05">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 购 人：北京市水利工程管理中心  </w:t>
      </w:r>
    </w:p>
    <w:p w14:paraId="210B3A87">
      <w:pPr>
        <w:pageBreakBefore w:val="0"/>
        <w:overflowPunct/>
        <w:topLinePunct w:val="0"/>
        <w:bidi w:val="0"/>
        <w:snapToGrid w:val="0"/>
        <w:spacing w:after="0"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t xml:space="preserve">采购代理机构：北京中域正信工程咨询有限公司 </w:t>
      </w:r>
    </w:p>
    <w:p w14:paraId="7BD1E893">
      <w:pPr>
        <w:pageBreakBefore w:val="0"/>
        <w:overflowPunct/>
        <w:topLinePunct w:val="0"/>
        <w:bidi w:val="0"/>
        <w:snapToGrid w:val="0"/>
        <w:spacing w:after="0" w:line="360" w:lineRule="auto"/>
        <w:jc w:val="center"/>
        <w:rPr>
          <w:rFonts w:hint="eastAsia" w:ascii="宋体" w:hAnsi="宋体" w:eastAsia="宋体"/>
          <w:color w:val="auto"/>
        </w:rPr>
      </w:pPr>
      <w:r>
        <w:rPr>
          <w:rFonts w:hint="eastAsia" w:ascii="宋体" w:hAnsi="宋体" w:eastAsia="宋体" w:cs="宋体"/>
          <w:color w:val="auto"/>
          <w:sz w:val="32"/>
          <w:szCs w:val="32"/>
        </w:rPr>
        <w:t>2025年3月</w:t>
      </w:r>
    </w:p>
    <w:p w14:paraId="69DFC244">
      <w:pPr>
        <w:pStyle w:val="6"/>
        <w:pageBreakBefore w:val="0"/>
        <w:overflowPunct/>
        <w:topLinePunct w:val="0"/>
        <w:bidi w:val="0"/>
        <w:snapToGrid w:val="0"/>
        <w:spacing w:after="0" w:line="360" w:lineRule="auto"/>
        <w:rPr>
          <w:rFonts w:hint="eastAsia" w:hAnsi="宋体"/>
        </w:rPr>
      </w:pPr>
    </w:p>
    <w:p w14:paraId="0B7535A2">
      <w:pPr>
        <w:pStyle w:val="6"/>
        <w:pageBreakBefore w:val="0"/>
        <w:overflowPunct/>
        <w:topLinePunct w:val="0"/>
        <w:bidi w:val="0"/>
        <w:snapToGrid w:val="0"/>
        <w:spacing w:after="0" w:line="360" w:lineRule="auto"/>
        <w:ind w:firstLine="0"/>
        <w:jc w:val="both"/>
        <w:rPr>
          <w:rFonts w:hint="eastAsia" w:hAnsi="宋体"/>
          <w:b/>
          <w:bCs/>
        </w:rPr>
        <w:sectPr>
          <w:headerReference r:id="rId6" w:type="first"/>
          <w:footerReference r:id="rId8" w:type="first"/>
          <w:headerReference r:id="rId5" w:type="even"/>
          <w:footerReference r:id="rId7" w:type="even"/>
          <w:pgSz w:w="11907" w:h="16840"/>
          <w:pgMar w:top="1117" w:right="1047" w:bottom="1060" w:left="1700" w:header="878" w:footer="886" w:gutter="0"/>
          <w:cols w:space="720" w:num="1"/>
        </w:sectPr>
      </w:pPr>
    </w:p>
    <w:p w14:paraId="751D7A21">
      <w:pPr>
        <w:pStyle w:val="6"/>
        <w:pageBreakBefore w:val="0"/>
        <w:overflowPunct/>
        <w:topLinePunct w:val="0"/>
        <w:bidi w:val="0"/>
        <w:snapToGrid w:val="0"/>
        <w:spacing w:after="0" w:line="360" w:lineRule="auto"/>
        <w:jc w:val="center"/>
        <w:rPr>
          <w:rFonts w:hint="eastAsia" w:hAnsi="宋体"/>
          <w:b/>
          <w:bCs/>
        </w:rPr>
      </w:pPr>
      <w:r>
        <w:rPr>
          <w:rFonts w:hint="eastAsia" w:hAnsi="宋体"/>
          <w:b/>
          <w:bCs/>
        </w:rPr>
        <w:t>目录</w:t>
      </w:r>
    </w:p>
    <w:p w14:paraId="190EBA9C">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rPr>
          <w:rFonts w:ascii="宋体" w:hAnsi="宋体" w:eastAsia="宋体"/>
          <w:color w:val="auto"/>
          <w:sz w:val="24"/>
          <w:szCs w:val="24"/>
        </w:rPr>
        <w:fldChar w:fldCharType="begin"/>
      </w:r>
      <w:r>
        <w:rPr>
          <w:rFonts w:ascii="宋体" w:hAnsi="宋体" w:eastAsia="宋体"/>
          <w:color w:val="auto"/>
          <w:sz w:val="24"/>
          <w:szCs w:val="24"/>
        </w:rPr>
        <w:instrText xml:space="preserve"> TOC \o "1-1" \h \z \u </w:instrText>
      </w:r>
      <w:r>
        <w:rPr>
          <w:rFonts w:ascii="宋体" w:hAnsi="宋体" w:eastAsia="宋体"/>
          <w:color w:val="auto"/>
          <w:sz w:val="24"/>
          <w:szCs w:val="24"/>
        </w:rPr>
        <w:fldChar w:fldCharType="separate"/>
      </w:r>
      <w:r>
        <w:fldChar w:fldCharType="begin"/>
      </w:r>
      <w:r>
        <w:instrText xml:space="preserve"> HYPERLINK \l "_Toc183959673" </w:instrText>
      </w:r>
      <w:r>
        <w:fldChar w:fldCharType="separate"/>
      </w:r>
      <w:r>
        <w:rPr>
          <w:rStyle w:val="19"/>
          <w:rFonts w:hint="eastAsia" w:ascii="宋体" w:hAnsi="宋体" w:eastAsia="宋体"/>
          <w:b/>
          <w:bCs/>
          <w:color w:val="auto"/>
          <w:sz w:val="24"/>
          <w:szCs w:val="24"/>
        </w:rPr>
        <w:t>第一章   投标邀请</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_Toc183959673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1</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154ADC0C">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"_Toc183959674" </w:instrText>
      </w:r>
      <w:r>
        <w:fldChar w:fldCharType="separate"/>
      </w:r>
      <w:r>
        <w:rPr>
          <w:rStyle w:val="19"/>
          <w:rFonts w:hint="eastAsia" w:ascii="宋体" w:hAnsi="宋体" w:eastAsia="宋体"/>
          <w:b/>
          <w:bCs/>
          <w:color w:val="auto"/>
          <w:sz w:val="24"/>
          <w:szCs w:val="24"/>
        </w:rPr>
        <w:t>第二章   投标人须知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_Toc183959674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5</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2F2AA4E9">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"_Toc183959675" </w:instrText>
      </w:r>
      <w:r>
        <w:fldChar w:fldCharType="separate"/>
      </w:r>
      <w:r>
        <w:rPr>
          <w:rStyle w:val="19"/>
          <w:rFonts w:hint="eastAsia" w:ascii="宋体" w:hAnsi="宋体" w:eastAsia="宋体"/>
          <w:b/>
          <w:bCs/>
          <w:color w:val="auto"/>
          <w:sz w:val="24"/>
          <w:szCs w:val="24"/>
        </w:rPr>
        <w:t>第三章   资格审查</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_Toc183959675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20</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36B9A499">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"_Toc183959676" </w:instrText>
      </w:r>
      <w:r>
        <w:fldChar w:fldCharType="separate"/>
      </w:r>
      <w:r>
        <w:rPr>
          <w:rStyle w:val="19"/>
          <w:rFonts w:hint="eastAsia" w:ascii="宋体" w:hAnsi="宋体" w:eastAsia="宋体"/>
          <w:b/>
          <w:bCs/>
          <w:color w:val="auto"/>
          <w:sz w:val="24"/>
          <w:szCs w:val="24"/>
        </w:rPr>
        <w:t>第四章   评标程序、评标方法和评标标准</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_Toc183959676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22</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59A359F7">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"_Toc183959677" </w:instrText>
      </w:r>
      <w:r>
        <w:fldChar w:fldCharType="separate"/>
      </w:r>
      <w:r>
        <w:rPr>
          <w:rStyle w:val="19"/>
          <w:rFonts w:hint="eastAsia" w:ascii="宋体" w:hAnsi="宋体" w:eastAsia="宋体"/>
          <w:b/>
          <w:bCs/>
          <w:color w:val="auto"/>
          <w:sz w:val="24"/>
          <w:szCs w:val="24"/>
        </w:rPr>
        <w:t>第五章   采购需求</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_Toc183959677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29</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703EC2CC">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lang w:val="en-US" w:eastAsia="zh-CN"/>
          <w14:ligatures w14:val="standardContextual"/>
        </w:rPr>
      </w:pPr>
      <w:r>
        <w:fldChar w:fldCharType="begin"/>
      </w:r>
      <w:r>
        <w:instrText xml:space="preserve"> HYPERLINK \l "_Toc183959678" </w:instrText>
      </w:r>
      <w:r>
        <w:fldChar w:fldCharType="separate"/>
      </w:r>
      <w:r>
        <w:rPr>
          <w:rStyle w:val="19"/>
          <w:rFonts w:hint="eastAsia" w:ascii="宋体" w:hAnsi="宋体" w:eastAsia="宋体"/>
          <w:b/>
          <w:bCs/>
          <w:color w:val="auto"/>
          <w:sz w:val="24"/>
          <w:szCs w:val="24"/>
        </w:rPr>
        <w:t>第六章   拟签订的合同文本</w:t>
      </w:r>
      <w:r>
        <w:rPr>
          <w:rFonts w:hint="eastAsia" w:ascii="宋体" w:hAnsi="宋体" w:eastAsia="宋体"/>
          <w:color w:val="auto"/>
          <w:sz w:val="24"/>
          <w:szCs w:val="24"/>
        </w:rPr>
        <w:tab/>
      </w:r>
      <w:r>
        <w:rPr>
          <w:rFonts w:hint="eastAsia" w:ascii="宋体" w:hAnsi="宋体" w:eastAsia="宋体"/>
          <w:color w:val="auto"/>
          <w:sz w:val="24"/>
          <w:szCs w:val="24"/>
          <w:lang w:val="en-US" w:eastAsia="zh-CN"/>
        </w:rPr>
        <w:t>3</w:t>
      </w:r>
      <w:r>
        <w:rPr>
          <w:rFonts w:hint="eastAsia" w:ascii="宋体" w:hAnsi="宋体" w:eastAsia="宋体"/>
          <w:color w:val="auto"/>
          <w:sz w:val="24"/>
          <w:szCs w:val="24"/>
        </w:rPr>
        <w:fldChar w:fldCharType="end"/>
      </w:r>
      <w:r>
        <w:rPr>
          <w:rFonts w:hint="eastAsia" w:ascii="宋体" w:hAnsi="宋体" w:eastAsia="宋体"/>
          <w:color w:val="auto"/>
          <w:sz w:val="24"/>
          <w:szCs w:val="24"/>
          <w:lang w:val="en-US" w:eastAsia="zh-CN"/>
        </w:rPr>
        <w:t>7</w:t>
      </w:r>
    </w:p>
    <w:p w14:paraId="00E37CE4">
      <w:pPr>
        <w:pStyle w:val="2"/>
        <w:pageBreakBefore w:val="0"/>
        <w:tabs>
          <w:tab w:val="right" w:leader="dot" w:pos="9150"/>
        </w:tabs>
        <w:overflowPunct/>
        <w:topLinePunct w:val="0"/>
        <w:bidi w:val="0"/>
        <w:snapToGrid w:val="0"/>
        <w:spacing w:after="0" w:line="480" w:lineRule="auto"/>
        <w:rPr>
          <w:rFonts w:hint="eastAsia" w:ascii="宋体" w:hAnsi="宋体" w:eastAsia="宋体" w:cstheme="minorBidi"/>
          <w:snapToGrid/>
          <w:color w:val="auto"/>
          <w:kern w:val="2"/>
          <w:sz w:val="24"/>
          <w:szCs w:val="28"/>
          <w14:ligatures w14:val="standardContextual"/>
        </w:rPr>
      </w:pPr>
      <w:r>
        <w:fldChar w:fldCharType="begin"/>
      </w:r>
      <w:r>
        <w:instrText xml:space="preserve"> HYPERLINK \l "_Toc183959679" </w:instrText>
      </w:r>
      <w:r>
        <w:fldChar w:fldCharType="separate"/>
      </w:r>
      <w:r>
        <w:rPr>
          <w:rStyle w:val="19"/>
          <w:rFonts w:hint="eastAsia" w:ascii="宋体" w:hAnsi="宋体" w:eastAsia="宋体"/>
          <w:b/>
          <w:bCs/>
          <w:color w:val="auto"/>
          <w:sz w:val="24"/>
          <w:szCs w:val="24"/>
        </w:rPr>
        <w:t>第七章   投标文件格式</w:t>
      </w:r>
      <w:r>
        <w:rPr>
          <w:rFonts w:hint="eastAsia" w:ascii="宋体" w:hAnsi="宋体" w:eastAsia="宋体"/>
          <w:color w:val="auto"/>
          <w:sz w:val="24"/>
          <w:szCs w:val="24"/>
        </w:rPr>
        <w:tab/>
      </w:r>
      <w:r>
        <w:rPr>
          <w:rFonts w:hint="eastAsia" w:ascii="宋体" w:hAnsi="宋体" w:eastAsia="宋体"/>
          <w:color w:val="auto"/>
          <w:sz w:val="24"/>
          <w:szCs w:val="24"/>
        </w:rPr>
        <w:fldChar w:fldCharType="begin"/>
      </w:r>
      <w:r>
        <w:rPr>
          <w:rFonts w:hint="eastAsia" w:ascii="宋体" w:hAnsi="宋体" w:eastAsia="宋体"/>
          <w:color w:val="auto"/>
          <w:sz w:val="24"/>
          <w:szCs w:val="24"/>
        </w:rPr>
        <w:instrText xml:space="preserve"> </w:instrText>
      </w:r>
      <w:r>
        <w:rPr>
          <w:rFonts w:ascii="宋体" w:hAnsi="宋体" w:eastAsia="宋体"/>
          <w:color w:val="auto"/>
          <w:sz w:val="24"/>
          <w:szCs w:val="24"/>
        </w:rPr>
        <w:instrText xml:space="preserve">PAGEREF _Toc183959679 \h</w:instrText>
      </w:r>
      <w:r>
        <w:rPr>
          <w:rFonts w:hint="eastAsia" w:ascii="宋体" w:hAnsi="宋体" w:eastAsia="宋体"/>
          <w:color w:val="auto"/>
          <w:sz w:val="24"/>
          <w:szCs w:val="24"/>
        </w:rPr>
        <w:instrText xml:space="preserve"> </w:instrText>
      </w:r>
      <w:r>
        <w:rPr>
          <w:rFonts w:hint="eastAsia" w:ascii="宋体" w:hAnsi="宋体" w:eastAsia="宋体"/>
          <w:color w:val="auto"/>
          <w:sz w:val="24"/>
          <w:szCs w:val="24"/>
        </w:rPr>
        <w:fldChar w:fldCharType="separate"/>
      </w:r>
      <w:r>
        <w:rPr>
          <w:rFonts w:ascii="宋体" w:hAnsi="宋体" w:eastAsia="宋体"/>
          <w:color w:val="auto"/>
          <w:sz w:val="24"/>
          <w:szCs w:val="24"/>
        </w:rPr>
        <w:t>47</w:t>
      </w:r>
      <w:r>
        <w:rPr>
          <w:rFonts w:hint="eastAsia" w:ascii="宋体" w:hAnsi="宋体" w:eastAsia="宋体"/>
          <w:color w:val="auto"/>
          <w:sz w:val="24"/>
          <w:szCs w:val="24"/>
        </w:rPr>
        <w:fldChar w:fldCharType="end"/>
      </w:r>
      <w:r>
        <w:rPr>
          <w:rFonts w:hint="eastAsia" w:ascii="宋体" w:hAnsi="宋体" w:eastAsia="宋体"/>
          <w:color w:val="auto"/>
          <w:sz w:val="24"/>
          <w:szCs w:val="24"/>
        </w:rPr>
        <w:fldChar w:fldCharType="end"/>
      </w:r>
    </w:p>
    <w:p w14:paraId="1CC2A281">
      <w:pPr>
        <w:pStyle w:val="6"/>
        <w:pageBreakBefore w:val="0"/>
        <w:overflowPunct/>
        <w:topLinePunct w:val="0"/>
        <w:bidi w:val="0"/>
        <w:snapToGrid w:val="0"/>
        <w:spacing w:after="0" w:line="480" w:lineRule="auto"/>
        <w:rPr>
          <w:rFonts w:hint="eastAsia" w:hAnsi="宋体"/>
        </w:rPr>
      </w:pPr>
      <w:r>
        <w:rPr>
          <w:rFonts w:hAnsi="宋体"/>
          <w:sz w:val="32"/>
          <w:szCs w:val="22"/>
        </w:rPr>
        <w:fldChar w:fldCharType="end"/>
      </w:r>
    </w:p>
    <w:p w14:paraId="30E6D2CB">
      <w:pPr>
        <w:pStyle w:val="6"/>
        <w:pageBreakBefore w:val="0"/>
        <w:overflowPunct/>
        <w:topLinePunct w:val="0"/>
        <w:bidi w:val="0"/>
        <w:snapToGrid w:val="0"/>
        <w:spacing w:after="0" w:line="360" w:lineRule="auto"/>
        <w:rPr>
          <w:rFonts w:hint="eastAsia" w:hAnsi="宋体"/>
        </w:rPr>
      </w:pPr>
    </w:p>
    <w:p w14:paraId="74B0E67D">
      <w:pPr>
        <w:pStyle w:val="6"/>
        <w:pageBreakBefore w:val="0"/>
        <w:overflowPunct/>
        <w:topLinePunct w:val="0"/>
        <w:bidi w:val="0"/>
        <w:snapToGrid w:val="0"/>
        <w:spacing w:after="0" w:line="360" w:lineRule="auto"/>
        <w:rPr>
          <w:rFonts w:hint="eastAsia" w:hAnsi="宋体"/>
        </w:rPr>
      </w:pPr>
    </w:p>
    <w:p w14:paraId="0437F3FF">
      <w:pPr>
        <w:pStyle w:val="6"/>
        <w:pageBreakBefore w:val="0"/>
        <w:overflowPunct/>
        <w:topLinePunct w:val="0"/>
        <w:bidi w:val="0"/>
        <w:snapToGrid w:val="0"/>
        <w:spacing w:after="0" w:line="360" w:lineRule="auto"/>
        <w:rPr>
          <w:rFonts w:hint="eastAsia" w:hAnsi="宋体"/>
        </w:rPr>
      </w:pPr>
    </w:p>
    <w:p w14:paraId="7B4E4335">
      <w:pPr>
        <w:pStyle w:val="6"/>
        <w:pageBreakBefore w:val="0"/>
        <w:overflowPunct/>
        <w:topLinePunct w:val="0"/>
        <w:bidi w:val="0"/>
        <w:snapToGrid w:val="0"/>
        <w:spacing w:after="0" w:line="360" w:lineRule="auto"/>
        <w:rPr>
          <w:rFonts w:hint="eastAsia" w:hAnsi="宋体"/>
        </w:rPr>
      </w:pPr>
    </w:p>
    <w:p w14:paraId="527ABC0B">
      <w:pPr>
        <w:pStyle w:val="6"/>
        <w:pageBreakBefore w:val="0"/>
        <w:overflowPunct/>
        <w:topLinePunct w:val="0"/>
        <w:bidi w:val="0"/>
        <w:snapToGrid w:val="0"/>
        <w:spacing w:after="0" w:line="360" w:lineRule="auto"/>
        <w:rPr>
          <w:rFonts w:hint="eastAsia" w:hAnsi="宋体"/>
        </w:rPr>
      </w:pPr>
    </w:p>
    <w:p w14:paraId="11FEFA75">
      <w:pPr>
        <w:pStyle w:val="6"/>
        <w:pageBreakBefore w:val="0"/>
        <w:overflowPunct/>
        <w:topLinePunct w:val="0"/>
        <w:bidi w:val="0"/>
        <w:snapToGrid w:val="0"/>
        <w:spacing w:after="0" w:line="360" w:lineRule="auto"/>
        <w:rPr>
          <w:rFonts w:hint="eastAsia" w:hAnsi="宋体"/>
        </w:rPr>
      </w:pPr>
    </w:p>
    <w:p w14:paraId="6C0FA010">
      <w:pPr>
        <w:pStyle w:val="6"/>
        <w:pageBreakBefore w:val="0"/>
        <w:overflowPunct/>
        <w:topLinePunct w:val="0"/>
        <w:bidi w:val="0"/>
        <w:snapToGrid w:val="0"/>
        <w:spacing w:after="0" w:line="360" w:lineRule="auto"/>
        <w:rPr>
          <w:rFonts w:hint="eastAsia" w:hAnsi="宋体"/>
        </w:rPr>
      </w:pPr>
    </w:p>
    <w:p w14:paraId="6AD56394">
      <w:pPr>
        <w:pStyle w:val="6"/>
        <w:pageBreakBefore w:val="0"/>
        <w:overflowPunct/>
        <w:topLinePunct w:val="0"/>
        <w:bidi w:val="0"/>
        <w:snapToGrid w:val="0"/>
        <w:spacing w:after="0" w:line="360" w:lineRule="auto"/>
        <w:rPr>
          <w:rFonts w:hint="eastAsia" w:hAnsi="宋体"/>
        </w:rPr>
      </w:pPr>
    </w:p>
    <w:p w14:paraId="054A3888">
      <w:pPr>
        <w:pStyle w:val="6"/>
        <w:pageBreakBefore w:val="0"/>
        <w:overflowPunct/>
        <w:topLinePunct w:val="0"/>
        <w:bidi w:val="0"/>
        <w:snapToGrid w:val="0"/>
        <w:spacing w:after="0" w:line="360" w:lineRule="auto"/>
        <w:rPr>
          <w:rFonts w:hint="eastAsia" w:hAnsi="宋体"/>
        </w:rPr>
      </w:pPr>
    </w:p>
    <w:p w14:paraId="0EAD5CCE">
      <w:pPr>
        <w:pStyle w:val="6"/>
        <w:pageBreakBefore w:val="0"/>
        <w:overflowPunct/>
        <w:topLinePunct w:val="0"/>
        <w:bidi w:val="0"/>
        <w:snapToGrid w:val="0"/>
        <w:spacing w:after="0" w:line="360" w:lineRule="auto"/>
        <w:rPr>
          <w:rFonts w:hint="eastAsia" w:hAnsi="宋体"/>
        </w:rPr>
      </w:pPr>
    </w:p>
    <w:p w14:paraId="6493A37F">
      <w:pPr>
        <w:pStyle w:val="6"/>
        <w:pageBreakBefore w:val="0"/>
        <w:overflowPunct/>
        <w:topLinePunct w:val="0"/>
        <w:bidi w:val="0"/>
        <w:snapToGrid w:val="0"/>
        <w:spacing w:after="0" w:line="360" w:lineRule="auto"/>
        <w:rPr>
          <w:rFonts w:hint="eastAsia" w:hAnsi="宋体"/>
        </w:rPr>
      </w:pPr>
    </w:p>
    <w:p w14:paraId="5B6D0D5A">
      <w:pPr>
        <w:pStyle w:val="6"/>
        <w:pageBreakBefore w:val="0"/>
        <w:overflowPunct/>
        <w:topLinePunct w:val="0"/>
        <w:bidi w:val="0"/>
        <w:snapToGrid w:val="0"/>
        <w:spacing w:after="0" w:line="360" w:lineRule="auto"/>
        <w:rPr>
          <w:rFonts w:hint="eastAsia" w:hAnsi="宋体"/>
        </w:rPr>
      </w:pPr>
    </w:p>
    <w:p w14:paraId="3EADF0B3">
      <w:pPr>
        <w:pStyle w:val="6"/>
        <w:pageBreakBefore w:val="0"/>
        <w:overflowPunct/>
        <w:topLinePunct w:val="0"/>
        <w:bidi w:val="0"/>
        <w:snapToGrid w:val="0"/>
        <w:spacing w:after="0" w:line="360" w:lineRule="auto"/>
        <w:jc w:val="center"/>
        <w:outlineLvl w:val="0"/>
        <w:rPr>
          <w:rFonts w:hint="eastAsia" w:hAnsi="宋体"/>
          <w:b/>
          <w:bCs/>
          <w:sz w:val="36"/>
          <w:szCs w:val="36"/>
        </w:rPr>
        <w:sectPr>
          <w:footerReference r:id="rId9" w:type="default"/>
          <w:pgSz w:w="11907" w:h="16840"/>
          <w:pgMar w:top="1117" w:right="1047" w:bottom="1060" w:left="1700" w:header="878" w:footer="886" w:gutter="0"/>
          <w:pgNumType w:start="1"/>
          <w:cols w:space="720" w:num="1"/>
        </w:sectPr>
      </w:pPr>
      <w:bookmarkStart w:id="1" w:name="_Toc166149868"/>
      <w:bookmarkStart w:id="2" w:name="_Toc148096340"/>
      <w:bookmarkStart w:id="3" w:name="_Toc183959673"/>
    </w:p>
    <w:p w14:paraId="50B7C2E7">
      <w:pPr>
        <w:pStyle w:val="6"/>
        <w:pageBreakBefore w:val="0"/>
        <w:overflowPunct/>
        <w:topLinePunct w:val="0"/>
        <w:bidi w:val="0"/>
        <w:snapToGrid w:val="0"/>
        <w:spacing w:after="0" w:line="360" w:lineRule="auto"/>
        <w:jc w:val="center"/>
        <w:outlineLvl w:val="0"/>
        <w:rPr>
          <w:rFonts w:hint="eastAsia" w:hAnsi="宋体"/>
          <w:b/>
          <w:bCs/>
          <w:sz w:val="36"/>
          <w:szCs w:val="36"/>
        </w:rPr>
      </w:pPr>
      <w:r>
        <w:rPr>
          <w:rFonts w:hint="eastAsia" w:hAnsi="宋体"/>
          <w:b/>
          <w:bCs/>
          <w:sz w:val="36"/>
          <w:szCs w:val="36"/>
        </w:rPr>
        <w:t>第一章</w:t>
      </w:r>
      <w:r>
        <w:rPr>
          <w:rFonts w:hAnsi="宋体"/>
          <w:b/>
          <w:bCs/>
          <w:sz w:val="36"/>
          <w:szCs w:val="36"/>
        </w:rPr>
        <w:t xml:space="preserve">   </w:t>
      </w:r>
      <w:r>
        <w:rPr>
          <w:rFonts w:hint="eastAsia" w:hAnsi="宋体"/>
          <w:b/>
          <w:bCs/>
          <w:sz w:val="36"/>
          <w:szCs w:val="36"/>
        </w:rPr>
        <w:t>投标邀请</w:t>
      </w:r>
      <w:bookmarkEnd w:id="1"/>
      <w:bookmarkEnd w:id="2"/>
      <w:bookmarkEnd w:id="3"/>
    </w:p>
    <w:p w14:paraId="0C4CA049">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4" w:name="_Toc148096341"/>
      <w:r>
        <w:rPr>
          <w:rFonts w:hint="eastAsia" w:ascii="宋体" w:hAnsi="宋体" w:eastAsia="宋体"/>
          <w:b/>
          <w:bCs/>
          <w:color w:val="auto"/>
          <w:sz w:val="24"/>
          <w:szCs w:val="24"/>
        </w:rPr>
        <w:t>一、项目基本情况</w:t>
      </w:r>
      <w:bookmarkEnd w:id="4"/>
    </w:p>
    <w:p w14:paraId="1594670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1.项目编号：ZYZX-FW-2</w:t>
      </w:r>
      <w:r>
        <w:rPr>
          <w:rFonts w:hint="eastAsia" w:ascii="宋体" w:hAnsi="宋体" w:eastAsia="宋体"/>
          <w:color w:val="auto"/>
          <w:sz w:val="24"/>
          <w:szCs w:val="24"/>
          <w:lang w:val="en-US" w:eastAsia="zh-CN"/>
        </w:rPr>
        <w:t>555</w:t>
      </w:r>
      <w:r>
        <w:rPr>
          <w:rFonts w:hint="eastAsia" w:ascii="宋体" w:hAnsi="宋体" w:eastAsia="宋体"/>
          <w:color w:val="auto"/>
          <w:sz w:val="24"/>
          <w:szCs w:val="24"/>
        </w:rPr>
        <w:t xml:space="preserve"> </w:t>
      </w:r>
    </w:p>
    <w:p w14:paraId="1A98837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2.项目名称：</w:t>
      </w:r>
      <w:bookmarkStart w:id="5" w:name="OLE_LINK21"/>
      <w:r>
        <w:rPr>
          <w:rFonts w:hint="eastAsia" w:ascii="宋体" w:hAnsi="宋体" w:eastAsia="宋体"/>
          <w:color w:val="auto"/>
          <w:sz w:val="24"/>
          <w:szCs w:val="24"/>
        </w:rPr>
        <w:t xml:space="preserve">北京市南水北调大宁管理处水利工程日常维修养护-水工建筑物维修养护 </w:t>
      </w:r>
    </w:p>
    <w:bookmarkEnd w:id="5"/>
    <w:p w14:paraId="693E46F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3.项目预算金额：</w:t>
      </w:r>
      <w:r>
        <w:rPr>
          <w:rFonts w:hint="eastAsia" w:ascii="宋体" w:hAnsi="宋体" w:eastAsia="宋体"/>
          <w:color w:val="auto"/>
          <w:sz w:val="24"/>
          <w:szCs w:val="24"/>
          <w:lang w:val="en-US" w:eastAsia="zh-CN"/>
        </w:rPr>
        <w:t>459.970878</w:t>
      </w:r>
      <w:r>
        <w:rPr>
          <w:rFonts w:hint="eastAsia" w:ascii="宋体" w:hAnsi="宋体" w:eastAsia="宋体"/>
          <w:color w:val="auto"/>
          <w:sz w:val="24"/>
          <w:szCs w:val="24"/>
        </w:rPr>
        <w:t>万元、项目最高限价(如有)：</w:t>
      </w:r>
      <w:r>
        <w:rPr>
          <w:rFonts w:hint="eastAsia" w:ascii="宋体" w:hAnsi="宋体" w:eastAsia="宋体"/>
          <w:color w:val="auto"/>
          <w:sz w:val="24"/>
          <w:szCs w:val="24"/>
          <w:lang w:val="en-US" w:eastAsia="zh-CN"/>
        </w:rPr>
        <w:t>459.970878</w:t>
      </w:r>
      <w:r>
        <w:rPr>
          <w:rFonts w:hint="eastAsia" w:ascii="宋体" w:hAnsi="宋体" w:eastAsia="宋体"/>
          <w:color w:val="auto"/>
          <w:sz w:val="24"/>
          <w:szCs w:val="24"/>
        </w:rPr>
        <w:t>万元</w:t>
      </w:r>
    </w:p>
    <w:p w14:paraId="14F539B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4.采购需求：</w:t>
      </w:r>
    </w:p>
    <w:tbl>
      <w:tblPr>
        <w:tblStyle w:val="16"/>
        <w:tblW w:w="502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7"/>
        <w:gridCol w:w="1764"/>
        <w:gridCol w:w="1561"/>
        <w:gridCol w:w="867"/>
        <w:gridCol w:w="4686"/>
      </w:tblGrid>
      <w:tr w14:paraId="5F369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7FC76C38">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包号</w:t>
            </w:r>
          </w:p>
        </w:tc>
        <w:tc>
          <w:tcPr>
            <w:tcW w:w="936" w:type="pct"/>
            <w:vAlign w:val="center"/>
          </w:tcPr>
          <w:p w14:paraId="4BE392FB">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标的名称</w:t>
            </w:r>
          </w:p>
        </w:tc>
        <w:tc>
          <w:tcPr>
            <w:tcW w:w="828" w:type="pct"/>
            <w:vAlign w:val="center"/>
          </w:tcPr>
          <w:p w14:paraId="1F965D73">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采购包预算金额（万元）</w:t>
            </w:r>
          </w:p>
        </w:tc>
        <w:tc>
          <w:tcPr>
            <w:tcW w:w="460" w:type="pct"/>
            <w:vAlign w:val="center"/>
          </w:tcPr>
          <w:p w14:paraId="70656A5A">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数量</w:t>
            </w:r>
          </w:p>
        </w:tc>
        <w:tc>
          <w:tcPr>
            <w:tcW w:w="2486" w:type="pct"/>
            <w:vAlign w:val="center"/>
          </w:tcPr>
          <w:p w14:paraId="09AE05C1">
            <w:pPr>
              <w:pageBreakBefore w:val="0"/>
              <w:overflowPunct/>
              <w:topLinePunct w:val="0"/>
              <w:bidi w:val="0"/>
              <w:snapToGrid w:val="0"/>
              <w:spacing w:after="0" w:line="360" w:lineRule="auto"/>
              <w:jc w:val="center"/>
              <w:rPr>
                <w:rFonts w:hint="eastAsia" w:ascii="宋体" w:hAnsi="宋体" w:eastAsia="宋体" w:cs="宋体"/>
                <w:color w:val="auto"/>
              </w:rPr>
            </w:pPr>
            <w:r>
              <w:rPr>
                <w:rFonts w:hint="eastAsia" w:ascii="宋体" w:hAnsi="宋体" w:eastAsia="宋体" w:cs="宋体"/>
                <w:color w:val="auto"/>
              </w:rPr>
              <w:t>简要技术需求或服务要求</w:t>
            </w:r>
          </w:p>
        </w:tc>
      </w:tr>
      <w:tr w14:paraId="76AB3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290" w:type="pct"/>
            <w:vAlign w:val="center"/>
          </w:tcPr>
          <w:p w14:paraId="51E37002">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01</w:t>
            </w:r>
          </w:p>
        </w:tc>
        <w:tc>
          <w:tcPr>
            <w:tcW w:w="936" w:type="pct"/>
            <w:vAlign w:val="center"/>
          </w:tcPr>
          <w:p w14:paraId="3491157D">
            <w:pPr>
              <w:pageBreakBefore w:val="0"/>
              <w:overflowPunct/>
              <w:topLinePunct w:val="0"/>
              <w:bidi w:val="0"/>
              <w:snapToGrid w:val="0"/>
              <w:spacing w:after="0" w:line="360" w:lineRule="auto"/>
              <w:jc w:val="center"/>
              <w:rPr>
                <w:rFonts w:hint="eastAsia" w:ascii="宋体" w:hAnsi="宋体" w:eastAsia="宋体" w:cs="宋体"/>
                <w:color w:val="auto"/>
              </w:rPr>
            </w:pPr>
            <w:r>
              <w:rPr>
                <w:rFonts w:hint="eastAsia" w:ascii="宋体" w:hAnsi="宋体" w:eastAsia="宋体" w:cs="宋体"/>
                <w:color w:val="auto"/>
              </w:rPr>
              <w:t>北京市南水北调大宁管理处水利工程日常维修养护-水工建筑物维修养护</w:t>
            </w:r>
          </w:p>
        </w:tc>
        <w:tc>
          <w:tcPr>
            <w:tcW w:w="828" w:type="pct"/>
            <w:vAlign w:val="center"/>
          </w:tcPr>
          <w:p w14:paraId="04192F20">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cs="宋体"/>
                <w:i w:val="0"/>
                <w:iCs w:val="0"/>
                <w:color w:val="000000"/>
                <w:kern w:val="0"/>
                <w:sz w:val="21"/>
                <w:szCs w:val="21"/>
                <w:u w:val="none"/>
                <w:lang w:val="en-US" w:eastAsia="zh-CN" w:bidi="ar"/>
              </w:rPr>
              <w:t>459.970878</w:t>
            </w:r>
          </w:p>
        </w:tc>
        <w:tc>
          <w:tcPr>
            <w:tcW w:w="460" w:type="pct"/>
            <w:vAlign w:val="center"/>
          </w:tcPr>
          <w:p w14:paraId="5E9F965E">
            <w:pPr>
              <w:pageBreakBefore w:val="0"/>
              <w:overflowPunct/>
              <w:topLinePunct w:val="0"/>
              <w:bidi w:val="0"/>
              <w:snapToGrid w:val="0"/>
              <w:spacing w:after="0" w:line="360" w:lineRule="auto"/>
              <w:jc w:val="center"/>
              <w:rPr>
                <w:rFonts w:hint="eastAsia" w:ascii="宋体" w:hAnsi="宋体" w:eastAsia="宋体" w:cs="宋体"/>
                <w:bCs/>
                <w:color w:val="auto"/>
              </w:rPr>
            </w:pPr>
            <w:r>
              <w:rPr>
                <w:rFonts w:hint="eastAsia" w:ascii="宋体" w:hAnsi="宋体" w:eastAsia="宋体" w:cs="宋体"/>
                <w:bCs/>
                <w:color w:val="auto"/>
              </w:rPr>
              <w:t>1项</w:t>
            </w:r>
          </w:p>
        </w:tc>
        <w:tc>
          <w:tcPr>
            <w:tcW w:w="2486" w:type="pct"/>
            <w:vAlign w:val="center"/>
          </w:tcPr>
          <w:p w14:paraId="462FAF0C">
            <w:pPr>
              <w:pageBreakBefore w:val="0"/>
              <w:overflowPunct/>
              <w:topLinePunct w:val="0"/>
              <w:bidi w:val="0"/>
              <w:snapToGrid w:val="0"/>
              <w:spacing w:after="0" w:line="360" w:lineRule="auto"/>
              <w:rPr>
                <w:rFonts w:hint="eastAsia" w:ascii="宋体" w:hAnsi="宋体" w:eastAsia="宋体" w:cs="宋体"/>
                <w:color w:val="auto"/>
              </w:rPr>
            </w:pPr>
            <w:r>
              <w:rPr>
                <w:rFonts w:hint="eastAsia" w:ascii="宋体" w:hAnsi="宋体" w:eastAsia="宋体" w:cs="宋体"/>
                <w:color w:val="auto"/>
              </w:rPr>
              <w:t>保障大宁调蓄水库工程，河西支线工程、大宁调度中心的水工建筑物和工程设施正常安全运行，包括水工建筑物的运行检查、缺陷处理和日常维护养护。具体详见采购需求。</w:t>
            </w:r>
          </w:p>
        </w:tc>
      </w:tr>
    </w:tbl>
    <w:p w14:paraId="0B54B37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5.合同履行期限：</w:t>
      </w:r>
      <w:r>
        <w:rPr>
          <w:rFonts w:hint="eastAsia" w:ascii="宋体" w:hAnsi="宋体" w:eastAsia="宋体"/>
          <w:color w:val="auto"/>
          <w:sz w:val="24"/>
          <w:szCs w:val="24"/>
          <w:u w:val="single"/>
          <w:lang w:val="en-US" w:eastAsia="zh-CN"/>
        </w:rPr>
        <w:t>自</w:t>
      </w:r>
      <w:r>
        <w:rPr>
          <w:rFonts w:hint="eastAsia" w:ascii="宋体" w:hAnsi="宋体" w:eastAsia="宋体"/>
          <w:color w:val="auto"/>
          <w:sz w:val="24"/>
          <w:szCs w:val="24"/>
          <w:u w:val="single"/>
        </w:rPr>
        <w:t>合同签订之日</w:t>
      </w:r>
      <w:r>
        <w:rPr>
          <w:rFonts w:hint="eastAsia" w:ascii="宋体" w:hAnsi="宋体" w:eastAsia="宋体"/>
          <w:color w:val="auto"/>
          <w:sz w:val="24"/>
          <w:szCs w:val="24"/>
          <w:u w:val="single"/>
          <w:lang w:val="en-US" w:eastAsia="zh-CN"/>
        </w:rPr>
        <w:t>起</w:t>
      </w:r>
      <w:r>
        <w:rPr>
          <w:rFonts w:hint="eastAsia" w:ascii="宋体" w:hAnsi="宋体" w:eastAsia="宋体"/>
          <w:color w:val="auto"/>
          <w:sz w:val="24"/>
          <w:szCs w:val="24"/>
          <w:u w:val="single"/>
        </w:rPr>
        <w:t>至202</w:t>
      </w:r>
      <w:r>
        <w:rPr>
          <w:rFonts w:hint="eastAsia" w:ascii="宋体" w:hAnsi="宋体" w:eastAsia="宋体"/>
          <w:color w:val="auto"/>
          <w:sz w:val="24"/>
          <w:szCs w:val="24"/>
          <w:u w:val="single"/>
          <w:lang w:val="en-US" w:eastAsia="zh-CN"/>
        </w:rPr>
        <w:t>5</w:t>
      </w:r>
      <w:r>
        <w:rPr>
          <w:rFonts w:hint="eastAsia" w:ascii="宋体" w:hAnsi="宋体" w:eastAsia="宋体"/>
          <w:color w:val="auto"/>
          <w:sz w:val="24"/>
          <w:szCs w:val="24"/>
          <w:u w:val="single"/>
        </w:rPr>
        <w:t>年12月31日。</w:t>
      </w:r>
    </w:p>
    <w:p w14:paraId="69B7C371">
      <w:pPr>
        <w:pageBreakBefore w:val="0"/>
        <w:tabs>
          <w:tab w:val="left" w:pos="7006"/>
        </w:tabs>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6.本项目是否接受联合体投标： □是  ■否。</w:t>
      </w:r>
      <w:r>
        <w:rPr>
          <w:rFonts w:hint="eastAsia" w:ascii="宋体" w:hAnsi="宋体" w:eastAsia="宋体"/>
          <w:color w:val="auto"/>
          <w:sz w:val="24"/>
          <w:szCs w:val="24"/>
        </w:rPr>
        <w:tab/>
      </w:r>
    </w:p>
    <w:p w14:paraId="22EAC2AB">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6" w:name="_Toc148096342"/>
      <w:r>
        <w:rPr>
          <w:rFonts w:hint="eastAsia" w:ascii="宋体" w:hAnsi="宋体" w:eastAsia="宋体"/>
          <w:b/>
          <w:bCs/>
          <w:color w:val="auto"/>
          <w:sz w:val="24"/>
          <w:szCs w:val="24"/>
        </w:rPr>
        <w:t>二、申请人的资格要求（须同时满足）</w:t>
      </w:r>
      <w:bookmarkEnd w:id="6"/>
    </w:p>
    <w:p w14:paraId="4B0114F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1.满足《中华人民共和国政府采购法》第二十二条规定；</w:t>
      </w:r>
    </w:p>
    <w:p w14:paraId="4B939F7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2.落实政府采购政策需满足的资格要求：</w:t>
      </w:r>
    </w:p>
    <w:p w14:paraId="1DE3042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2.1</w:t>
      </w:r>
      <w:r>
        <w:rPr>
          <w:rFonts w:ascii="宋体" w:hAnsi="宋体" w:eastAsia="宋体"/>
          <w:color w:val="auto"/>
          <w:sz w:val="24"/>
          <w:szCs w:val="24"/>
        </w:rPr>
        <w:t xml:space="preserve"> </w:t>
      </w:r>
      <w:r>
        <w:rPr>
          <w:rFonts w:hint="eastAsia" w:ascii="宋体" w:hAnsi="宋体" w:eastAsia="宋体"/>
          <w:color w:val="auto"/>
          <w:sz w:val="24"/>
          <w:szCs w:val="24"/>
        </w:rPr>
        <w:t>中小企业政策</w:t>
      </w:r>
    </w:p>
    <w:p w14:paraId="19F5B748">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本项目不专门面向中小企业预留采购份额。</w:t>
      </w:r>
    </w:p>
    <w:p w14:paraId="5B17AFD7">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hint="eastAsia" w:ascii="宋体" w:hAnsi="宋体" w:eastAsia="宋体"/>
          <w:color w:val="auto"/>
        </w:rPr>
        <w:t>■</w:t>
      </w:r>
      <w:r>
        <w:rPr>
          <w:rFonts w:ascii="宋体" w:hAnsi="宋体" w:eastAsia="宋体"/>
          <w:color w:val="auto"/>
          <w:sz w:val="24"/>
        </w:rPr>
        <w:t xml:space="preserve">本项目专门面向  </w:t>
      </w:r>
      <w:r>
        <w:rPr>
          <w:rFonts w:hint="eastAsia" w:ascii="宋体" w:hAnsi="宋体" w:eastAsia="宋体"/>
          <w:color w:val="auto"/>
          <w:sz w:val="24"/>
          <w:szCs w:val="24"/>
        </w:rPr>
        <w:t>■</w:t>
      </w:r>
      <w:r>
        <w:rPr>
          <w:rFonts w:ascii="宋体" w:hAnsi="宋体" w:eastAsia="宋体"/>
          <w:color w:val="auto"/>
          <w:sz w:val="24"/>
        </w:rPr>
        <w:t xml:space="preserve">中小  </w:t>
      </w:r>
      <w:r>
        <w:rPr>
          <w:rFonts w:ascii="宋体" w:hAnsi="宋体" w:eastAsia="宋体"/>
          <w:color w:val="auto"/>
        </w:rPr>
        <w:t>□</w:t>
      </w:r>
      <w:r>
        <w:rPr>
          <w:rFonts w:ascii="宋体" w:hAnsi="宋体" w:eastAsia="宋体"/>
          <w:color w:val="auto"/>
          <w:sz w:val="24"/>
        </w:rPr>
        <w:t>小微企业  采购。即：提供的货物全部由符合政策要求的中小/小微企业制造、服务全部由符合政策要求的中小/小微企业承接。</w:t>
      </w:r>
    </w:p>
    <w:p w14:paraId="4A3BD2C3">
      <w:pPr>
        <w:pageBreakBefore w:val="0"/>
        <w:overflowPunct/>
        <w:topLinePunct w:val="0"/>
        <w:bidi w:val="0"/>
        <w:snapToGrid w:val="0"/>
        <w:spacing w:after="0" w:line="360" w:lineRule="auto"/>
        <w:ind w:firstLine="420" w:firstLineChars="200"/>
        <w:rPr>
          <w:rFonts w:hint="eastAsia" w:ascii="宋体" w:hAnsi="宋体" w:eastAsia="宋体"/>
          <w:color w:val="auto"/>
          <w:sz w:val="24"/>
        </w:rPr>
      </w:pPr>
      <w:r>
        <w:rPr>
          <w:rFonts w:ascii="宋体" w:hAnsi="宋体" w:eastAsia="宋体"/>
          <w:color w:val="auto"/>
        </w:rPr>
        <w:t>□</w:t>
      </w:r>
      <w:r>
        <w:rPr>
          <w:rFonts w:ascii="宋体" w:hAnsi="宋体" w:eastAsia="宋体"/>
          <w:color w:val="auto"/>
          <w:sz w:val="24"/>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eastAsia="宋体"/>
          <w:color w:val="auto"/>
          <w:sz w:val="24"/>
        </w:rPr>
        <w:t>。</w:t>
      </w:r>
    </w:p>
    <w:p w14:paraId="324527E8">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ascii="宋体" w:hAnsi="宋体" w:eastAsia="宋体"/>
          <w:color w:val="auto"/>
          <w:sz w:val="24"/>
        </w:rPr>
        <w:t xml:space="preserve">2.2 其它落实政府采购政策的资格要求（如有）： </w:t>
      </w:r>
    </w:p>
    <w:p w14:paraId="11EC777F">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2.2.1 依据《关于政府采购支持监狱企业发展有关问题的通知》（财库〔2014〕68号）、《关于促进残疾人就业政府采购政策的通知》（财库〔2017〕141号），监狱企业及残疾人福利性单位适用于政府采购促进中小企业发展的相关政策，但不重复享受政策；监狱企业或残疾人福利性单位视同小微企业。</w:t>
      </w:r>
    </w:p>
    <w:p w14:paraId="2020A8F8">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2.2.2 未被信用中国网站（www.creditchina.gov.cn）、中国政府采购网（www.ccgp.gov.cn）列入失信被执行人、重大税收违法案件当事人名单、政府采购严重违法失信行为记录名单（处罚执行有效期失效的除外）。</w:t>
      </w:r>
    </w:p>
    <w:p w14:paraId="2512C9B1">
      <w:pPr>
        <w:pageBreakBefore w:val="0"/>
        <w:overflowPunct/>
        <w:topLinePunct w:val="0"/>
        <w:bidi w:val="0"/>
        <w:snapToGrid w:val="0"/>
        <w:spacing w:after="0" w:line="360" w:lineRule="auto"/>
        <w:ind w:firstLine="480" w:firstLineChars="200"/>
        <w:rPr>
          <w:rFonts w:hint="eastAsia" w:ascii="宋体" w:hAnsi="宋体" w:eastAsia="宋体"/>
          <w:color w:val="auto"/>
          <w:sz w:val="24"/>
        </w:rPr>
      </w:pPr>
      <w:r>
        <w:rPr>
          <w:rFonts w:hint="eastAsia" w:ascii="宋体" w:hAnsi="宋体" w:eastAsia="宋体"/>
          <w:color w:val="auto"/>
          <w:sz w:val="24"/>
        </w:rPr>
        <w:t>2.2.3 采购人在政府采购活动中根据项目类别和性质执行相应的节约能源、保护环境、扶持不发达地区和少数民族地区等政府采购政策。</w:t>
      </w:r>
    </w:p>
    <w:p w14:paraId="752B945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3.本项目的特定资格要求：</w:t>
      </w:r>
    </w:p>
    <w:p w14:paraId="7810157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3.1 本项目是否接受分支机构参与投标：</w:t>
      </w:r>
      <w:bookmarkStart w:id="7" w:name="OLE_LINK11"/>
      <w:r>
        <w:rPr>
          <w:rFonts w:hint="eastAsia" w:ascii="宋体" w:hAnsi="宋体" w:eastAsia="宋体"/>
          <w:color w:val="auto"/>
          <w:sz w:val="24"/>
          <w:szCs w:val="24"/>
        </w:rPr>
        <w:t>□</w:t>
      </w:r>
      <w:bookmarkEnd w:id="7"/>
      <w:r>
        <w:rPr>
          <w:rFonts w:hint="eastAsia" w:ascii="宋体" w:hAnsi="宋体" w:eastAsia="宋体"/>
          <w:color w:val="auto"/>
          <w:sz w:val="24"/>
          <w:szCs w:val="24"/>
        </w:rPr>
        <w:t>是  ■否；（仅当项目涉及银行、保险、石油石化、电力、电信等行业有特殊情况的，可以接受分支机构参与）</w:t>
      </w:r>
    </w:p>
    <w:p w14:paraId="79C23FE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3.2</w:t>
      </w:r>
      <w:r>
        <w:rPr>
          <w:rFonts w:ascii="宋体" w:hAnsi="宋体" w:eastAsia="宋体"/>
          <w:color w:val="auto"/>
          <w:sz w:val="24"/>
          <w:szCs w:val="24"/>
        </w:rPr>
        <w:t xml:space="preserve"> </w:t>
      </w:r>
      <w:r>
        <w:rPr>
          <w:rFonts w:hint="eastAsia" w:ascii="宋体" w:hAnsi="宋体" w:eastAsia="宋体"/>
          <w:color w:val="auto"/>
          <w:sz w:val="24"/>
          <w:szCs w:val="24"/>
        </w:rPr>
        <w:t>本项目是否属于政府购买服务：</w:t>
      </w:r>
    </w:p>
    <w:p w14:paraId="1E738701">
      <w:pPr>
        <w:pageBreakBefore w:val="0"/>
        <w:overflowPunct/>
        <w:topLinePunct w:val="0"/>
        <w:bidi w:val="0"/>
        <w:snapToGrid w:val="0"/>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■否</w:t>
      </w:r>
    </w:p>
    <w:p w14:paraId="47D89E6F">
      <w:pPr>
        <w:pageBreakBefore w:val="0"/>
        <w:overflowPunct/>
        <w:topLinePunct w:val="0"/>
        <w:bidi w:val="0"/>
        <w:snapToGrid w:val="0"/>
        <w:spacing w:after="0" w:line="360" w:lineRule="auto"/>
        <w:ind w:firstLine="960" w:firstLineChars="400"/>
        <w:rPr>
          <w:rFonts w:hint="eastAsia" w:ascii="宋体" w:hAnsi="宋体" w:eastAsia="宋体"/>
          <w:color w:val="auto"/>
          <w:sz w:val="24"/>
          <w:szCs w:val="24"/>
        </w:rPr>
      </w:pPr>
      <w:r>
        <w:rPr>
          <w:rFonts w:hint="eastAsia" w:ascii="宋体" w:hAnsi="宋体" w:eastAsia="宋体"/>
          <w:color w:val="auto"/>
          <w:sz w:val="24"/>
          <w:szCs w:val="24"/>
        </w:rPr>
        <w:t>□是，公益一类事业单位、使用事业编制且由财政拨款保障的群团组织，不得作为承接主体；</w:t>
      </w:r>
    </w:p>
    <w:p w14:paraId="640D9ABD">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3.3</w:t>
      </w:r>
      <w:r>
        <w:rPr>
          <w:rFonts w:ascii="宋体" w:hAnsi="宋体" w:eastAsia="宋体"/>
          <w:color w:val="auto"/>
          <w:sz w:val="24"/>
          <w:szCs w:val="24"/>
        </w:rPr>
        <w:t xml:space="preserve"> </w:t>
      </w:r>
      <w:r>
        <w:rPr>
          <w:rFonts w:hint="eastAsia" w:ascii="宋体" w:hAnsi="宋体" w:eastAsia="宋体"/>
          <w:color w:val="auto"/>
          <w:sz w:val="24"/>
          <w:szCs w:val="24"/>
        </w:rPr>
        <w:t>其他特定资格要求</w:t>
      </w:r>
      <w:bookmarkStart w:id="8" w:name="OLE_LINK1"/>
      <w:r>
        <w:rPr>
          <w:rFonts w:hint="eastAsia" w:ascii="宋体" w:hAnsi="宋体" w:eastAsia="宋体"/>
          <w:color w:val="auto"/>
          <w:sz w:val="24"/>
          <w:szCs w:val="24"/>
        </w:rPr>
        <w:t>：</w:t>
      </w:r>
    </w:p>
    <w:p w14:paraId="47A0AB11">
      <w:pPr>
        <w:pageBreakBefore w:val="0"/>
        <w:overflowPunct/>
        <w:topLinePunct w:val="0"/>
        <w:bidi w:val="0"/>
        <w:snapToGrid w:val="0"/>
        <w:spacing w:after="0" w:line="360" w:lineRule="auto"/>
        <w:ind w:firstLine="480" w:firstLineChars="200"/>
        <w:rPr>
          <w:rFonts w:ascii="宋体" w:hAnsi="宋体" w:eastAsia="宋体" w:cs="宋体"/>
          <w:sz w:val="24"/>
          <w:szCs w:val="24"/>
        </w:rPr>
      </w:pPr>
      <w:r>
        <w:rPr>
          <w:rFonts w:hint="eastAsia" w:ascii="宋体" w:hAnsi="宋体" w:eastAsia="宋体" w:cs="宋体"/>
          <w:sz w:val="24"/>
          <w:szCs w:val="24"/>
        </w:rPr>
        <w:t>1）供应商应具备水利水电工程施工总承包三级（含）以上资质；</w:t>
      </w:r>
    </w:p>
    <w:p w14:paraId="1ED0D9E4">
      <w:pPr>
        <w:pageBreakBefore w:val="0"/>
        <w:overflowPunct/>
        <w:topLinePunct w:val="0"/>
        <w:bidi w:val="0"/>
        <w:snapToGrid w:val="0"/>
        <w:spacing w:after="0" w:line="360" w:lineRule="auto"/>
        <w:ind w:firstLine="480" w:firstLineChars="200"/>
        <w:rPr>
          <w:rFonts w:ascii="宋体" w:hAnsi="宋体" w:eastAsia="宋体" w:cs="宋体"/>
          <w:sz w:val="24"/>
          <w:szCs w:val="24"/>
        </w:rPr>
      </w:pPr>
      <w:r>
        <w:rPr>
          <w:rFonts w:hint="eastAsia" w:ascii="宋体" w:hAnsi="宋体" w:eastAsia="宋体" w:cs="宋体"/>
          <w:sz w:val="24"/>
          <w:szCs w:val="24"/>
        </w:rPr>
        <w:t>2）供应商应具有建设行政主管部门核发的有效的安全生产许可证；</w:t>
      </w:r>
    </w:p>
    <w:p w14:paraId="36C95479">
      <w:pPr>
        <w:keepNext w:val="0"/>
        <w:keepLines w:val="0"/>
        <w:pageBreakBefore w:val="0"/>
        <w:widowControl/>
        <w:kinsoku w:val="0"/>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3）拟任项目经理</w:t>
      </w:r>
      <w:r>
        <w:rPr>
          <w:rFonts w:hint="eastAsia" w:ascii="宋体" w:hAnsi="宋体" w:eastAsia="宋体" w:cs="宋体"/>
          <w:sz w:val="24"/>
          <w:szCs w:val="24"/>
          <w:lang w:val="en-US" w:eastAsia="zh-CN"/>
        </w:rPr>
        <w:t>需具有水利行业中级及以上职称</w:t>
      </w:r>
      <w:r>
        <w:rPr>
          <w:rFonts w:hint="eastAsia" w:ascii="宋体" w:hAnsi="宋体" w:eastAsia="宋体" w:cs="宋体"/>
          <w:sz w:val="24"/>
          <w:szCs w:val="24"/>
        </w:rPr>
        <w:t>；</w:t>
      </w:r>
    </w:p>
    <w:p w14:paraId="68269448">
      <w:pPr>
        <w:keepNext w:val="0"/>
        <w:keepLines w:val="0"/>
        <w:pageBreakBefore w:val="0"/>
        <w:widowControl/>
        <w:kinsoku w:val="0"/>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s="宋体"/>
          <w:sz w:val="24"/>
          <w:szCs w:val="24"/>
          <w:lang w:eastAsia="zh-CN"/>
        </w:rPr>
      </w:pPr>
      <w:r>
        <w:rPr>
          <w:rFonts w:hint="eastAsia" w:ascii="宋体" w:hAnsi="宋体" w:eastAsia="宋体" w:cs="宋体"/>
          <w:sz w:val="24"/>
          <w:szCs w:val="24"/>
        </w:rPr>
        <w:t>4）安全管理人员（专职安全生产管理人员）具有水行政主管部门颁发的C类安全生产考核合格证书</w:t>
      </w:r>
      <w:r>
        <w:rPr>
          <w:rFonts w:hint="eastAsia" w:ascii="宋体" w:hAnsi="宋体" w:eastAsia="宋体" w:cs="宋体"/>
          <w:sz w:val="24"/>
          <w:szCs w:val="24"/>
          <w:lang w:eastAsia="zh-CN"/>
        </w:rPr>
        <w:t>；</w:t>
      </w:r>
    </w:p>
    <w:p w14:paraId="0502801E">
      <w:pPr>
        <w:keepNext w:val="0"/>
        <w:keepLines w:val="0"/>
        <w:pageBreakBefore w:val="0"/>
        <w:widowControl/>
        <w:kinsoku w:val="0"/>
        <w:wordWrap/>
        <w:overflowPunct/>
        <w:topLinePunct w:val="0"/>
        <w:autoSpaceDE w:val="0"/>
        <w:autoSpaceDN w:val="0"/>
        <w:bidi w:val="0"/>
        <w:adjustRightInd w:val="0"/>
        <w:snapToGrid w:val="0"/>
        <w:spacing w:after="0" w:line="360" w:lineRule="auto"/>
        <w:ind w:firstLine="480" w:firstLineChars="200"/>
        <w:textAlignment w:val="baseline"/>
        <w:rPr>
          <w:rFonts w:hint="eastAsia" w:ascii="宋体" w:hAnsi="宋体" w:eastAsia="宋体"/>
          <w:color w:val="auto"/>
          <w:sz w:val="24"/>
          <w:szCs w:val="24"/>
        </w:rPr>
      </w:pPr>
      <w:r>
        <w:rPr>
          <w:rFonts w:hint="eastAsia" w:ascii="宋体" w:hAnsi="宋体" w:eastAsia="宋体" w:cs="宋体"/>
          <w:sz w:val="24"/>
          <w:szCs w:val="24"/>
        </w:rPr>
        <w:t>5）企业负责人具有水行政主管部门颁发的A类安全考核合格证书。</w:t>
      </w:r>
    </w:p>
    <w:bookmarkEnd w:id="8"/>
    <w:p w14:paraId="60F98A92">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9" w:name="_Toc148096343"/>
      <w:r>
        <w:rPr>
          <w:rFonts w:hint="eastAsia" w:ascii="宋体" w:hAnsi="宋体" w:eastAsia="宋体"/>
          <w:b/>
          <w:bCs/>
          <w:color w:val="auto"/>
          <w:sz w:val="24"/>
          <w:szCs w:val="24"/>
        </w:rPr>
        <w:t>三、获取招标文件</w:t>
      </w:r>
      <w:bookmarkEnd w:id="9"/>
    </w:p>
    <w:p w14:paraId="07C7F43D">
      <w:pPr>
        <w:pageBreakBefore w:val="0"/>
        <w:overflowPunct/>
        <w:topLinePunct w:val="0"/>
        <w:bidi w:val="0"/>
        <w:snapToGrid w:val="0"/>
        <w:spacing w:after="0" w:line="360" w:lineRule="auto"/>
        <w:ind w:firstLine="480" w:firstLineChars="200"/>
        <w:rPr>
          <w:rFonts w:hint="eastAsia" w:ascii="宋体" w:hAnsi="宋体" w:eastAsia="宋体"/>
          <w:color w:val="FF0000"/>
          <w:sz w:val="24"/>
          <w:szCs w:val="24"/>
        </w:rPr>
      </w:pPr>
      <w:r>
        <w:rPr>
          <w:rFonts w:hint="eastAsia" w:ascii="宋体" w:hAnsi="宋体" w:eastAsia="宋体"/>
          <w:color w:val="auto"/>
          <w:sz w:val="24"/>
          <w:szCs w:val="24"/>
        </w:rPr>
        <w:t>1.时间：2025年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18</w:t>
      </w:r>
      <w:r>
        <w:rPr>
          <w:rFonts w:hint="eastAsia" w:ascii="宋体" w:hAnsi="宋体" w:eastAsia="宋体"/>
          <w:color w:val="auto"/>
          <w:sz w:val="24"/>
          <w:szCs w:val="24"/>
        </w:rPr>
        <w:t>日至2025年</w:t>
      </w:r>
      <w:r>
        <w:rPr>
          <w:rFonts w:hint="eastAsia" w:ascii="宋体" w:hAnsi="宋体" w:eastAsia="宋体"/>
          <w:color w:val="auto"/>
          <w:sz w:val="24"/>
          <w:szCs w:val="24"/>
          <w:lang w:val="en-US" w:eastAsia="zh-CN"/>
        </w:rPr>
        <w:t>3</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24</w:t>
      </w:r>
      <w:r>
        <w:rPr>
          <w:rFonts w:hint="eastAsia" w:ascii="宋体" w:hAnsi="宋体" w:eastAsia="宋体"/>
          <w:color w:val="auto"/>
          <w:sz w:val="24"/>
          <w:szCs w:val="24"/>
        </w:rPr>
        <w:t>日，每天上午0:00至24:00(北京时间)。</w:t>
      </w:r>
    </w:p>
    <w:p w14:paraId="7C91ADE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2.地点：北京市政府采购电子交易平台</w:t>
      </w:r>
    </w:p>
    <w:p w14:paraId="72C3028B">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3.方式：供应商使用 CA 数字证书或电子营业执照登录北京市政府采购电子交易平台( </w:t>
      </w:r>
      <w:r>
        <w:fldChar w:fldCharType="begin"/>
      </w:r>
      <w:r>
        <w:instrText xml:space="preserve"> HYPERLINK "http://zbcg-bjzc.zhongcy.com/bjczj-portal-site/index.html" \l "/home" </w:instrText>
      </w:r>
      <w:r>
        <w:fldChar w:fldCharType="separate"/>
      </w:r>
      <w:r>
        <w:rPr>
          <w:rFonts w:hint="eastAsia" w:ascii="宋体" w:hAnsi="宋体" w:eastAsia="宋体"/>
          <w:color w:val="auto"/>
          <w:sz w:val="24"/>
          <w:szCs w:val="24"/>
        </w:rPr>
        <w:t>http://zbcg-bjzc.zhongcy.com/bjczj-portal-site/index.html#/home</w:t>
      </w:r>
      <w:r>
        <w:rPr>
          <w:rFonts w:hint="eastAsia" w:ascii="宋体" w:hAnsi="宋体" w:eastAsia="宋体"/>
          <w:color w:val="auto"/>
          <w:sz w:val="24"/>
          <w:szCs w:val="24"/>
        </w:rPr>
        <w:fldChar w:fldCharType="end"/>
      </w:r>
      <w:r>
        <w:rPr>
          <w:rFonts w:hint="eastAsia" w:ascii="宋体" w:hAnsi="宋体" w:eastAsia="宋体"/>
          <w:color w:val="auto"/>
          <w:sz w:val="24"/>
          <w:szCs w:val="24"/>
        </w:rPr>
        <w:t xml:space="preserve"> )获取电子版招标文件。</w:t>
      </w:r>
    </w:p>
    <w:p w14:paraId="637A681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4.售价：0元。</w:t>
      </w:r>
    </w:p>
    <w:p w14:paraId="10706DA5">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0" w:name="_Toc148096344"/>
      <w:r>
        <w:rPr>
          <w:rFonts w:hint="eastAsia" w:ascii="宋体" w:hAnsi="宋体" w:eastAsia="宋体"/>
          <w:b/>
          <w:bCs/>
          <w:color w:val="auto"/>
          <w:sz w:val="24"/>
          <w:szCs w:val="24"/>
        </w:rPr>
        <w:t>四、提交投标文件截止时间、开标时间和地点</w:t>
      </w:r>
      <w:bookmarkEnd w:id="10"/>
    </w:p>
    <w:p w14:paraId="676A2C6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1.投标截止时间、开标时间：2025年</w:t>
      </w:r>
      <w:r>
        <w:rPr>
          <w:rFonts w:hint="eastAsia" w:ascii="宋体" w:hAnsi="宋体" w:eastAsia="宋体"/>
          <w:color w:val="auto"/>
          <w:sz w:val="24"/>
          <w:szCs w:val="24"/>
          <w:lang w:val="en-US" w:eastAsia="zh-CN"/>
        </w:rPr>
        <w:t>4</w:t>
      </w:r>
      <w:r>
        <w:rPr>
          <w:rFonts w:hint="eastAsia" w:ascii="宋体" w:hAnsi="宋体" w:eastAsia="宋体"/>
          <w:color w:val="auto"/>
          <w:sz w:val="24"/>
          <w:szCs w:val="24"/>
        </w:rPr>
        <w:t>月</w:t>
      </w:r>
      <w:r>
        <w:rPr>
          <w:rFonts w:hint="eastAsia" w:ascii="宋体" w:hAnsi="宋体" w:eastAsia="宋体"/>
          <w:color w:val="auto"/>
          <w:sz w:val="24"/>
          <w:szCs w:val="24"/>
          <w:lang w:val="en-US" w:eastAsia="zh-CN"/>
        </w:rPr>
        <w:t>10</w:t>
      </w:r>
      <w:r>
        <w:rPr>
          <w:rFonts w:hint="eastAsia" w:ascii="宋体" w:hAnsi="宋体" w:eastAsia="宋体"/>
          <w:color w:val="auto"/>
          <w:sz w:val="24"/>
          <w:szCs w:val="24"/>
        </w:rPr>
        <w:t>日</w:t>
      </w:r>
      <w:r>
        <w:rPr>
          <w:rFonts w:hint="eastAsia" w:ascii="宋体" w:hAnsi="宋体" w:eastAsia="宋体"/>
          <w:color w:val="auto"/>
          <w:sz w:val="24"/>
          <w:szCs w:val="24"/>
          <w:lang w:val="en-US" w:eastAsia="zh-CN"/>
        </w:rPr>
        <w:t>9</w:t>
      </w:r>
      <w:r>
        <w:rPr>
          <w:rFonts w:hint="eastAsia" w:ascii="宋体" w:hAnsi="宋体" w:eastAsia="宋体"/>
          <w:color w:val="auto"/>
          <w:sz w:val="24"/>
          <w:szCs w:val="24"/>
        </w:rPr>
        <w:t>点</w:t>
      </w:r>
      <w:r>
        <w:rPr>
          <w:rFonts w:hint="eastAsia" w:ascii="宋体" w:hAnsi="宋体" w:eastAsia="宋体"/>
          <w:color w:val="auto"/>
          <w:sz w:val="24"/>
          <w:szCs w:val="24"/>
          <w:lang w:val="en-US" w:eastAsia="zh-CN"/>
        </w:rPr>
        <w:t>0</w:t>
      </w:r>
      <w:r>
        <w:rPr>
          <w:rFonts w:hint="eastAsia" w:ascii="宋体" w:hAnsi="宋体" w:eastAsia="宋体"/>
          <w:color w:val="auto"/>
          <w:sz w:val="24"/>
          <w:szCs w:val="24"/>
        </w:rPr>
        <w:t xml:space="preserve">0分(北京时间)。 </w:t>
      </w:r>
    </w:p>
    <w:p w14:paraId="16F61DC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2.地点：北京市昌平区碧水庄园3-20。 </w:t>
      </w:r>
    </w:p>
    <w:p w14:paraId="4F65F187">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1" w:name="_Toc148096345"/>
      <w:r>
        <w:rPr>
          <w:rFonts w:hint="eastAsia" w:ascii="宋体" w:hAnsi="宋体" w:eastAsia="宋体"/>
          <w:b/>
          <w:bCs/>
          <w:color w:val="auto"/>
          <w:sz w:val="24"/>
          <w:szCs w:val="24"/>
        </w:rPr>
        <w:t>五、公告期限</w:t>
      </w:r>
      <w:bookmarkEnd w:id="11"/>
    </w:p>
    <w:p w14:paraId="3A9DC883">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自本公告发布之日起 5 个工作日。</w:t>
      </w:r>
    </w:p>
    <w:p w14:paraId="661FAE4F">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bookmarkStart w:id="12" w:name="_Toc148096346"/>
      <w:r>
        <w:rPr>
          <w:rFonts w:hint="eastAsia" w:ascii="宋体" w:hAnsi="宋体" w:eastAsia="宋体"/>
          <w:b/>
          <w:bCs/>
          <w:color w:val="auto"/>
          <w:sz w:val="24"/>
          <w:szCs w:val="24"/>
        </w:rPr>
        <w:t>六、其他补充事宜</w:t>
      </w:r>
      <w:bookmarkEnd w:id="12"/>
    </w:p>
    <w:p w14:paraId="4B838CEC">
      <w:pPr>
        <w:pageBreakBefore w:val="0"/>
        <w:overflowPunct/>
        <w:topLinePunct w:val="0"/>
        <w:bidi w:val="0"/>
        <w:snapToGrid w:val="0"/>
        <w:spacing w:after="0" w:line="360" w:lineRule="auto"/>
        <w:rPr>
          <w:rFonts w:hint="eastAsia" w:ascii="宋体" w:hAnsi="宋体" w:eastAsia="宋体" w:cs="宋体"/>
          <w:color w:val="auto"/>
          <w:sz w:val="24"/>
          <w:szCs w:val="24"/>
        </w:rPr>
      </w:pPr>
      <w:bookmarkStart w:id="13" w:name="_Toc148096347"/>
      <w:r>
        <w:rPr>
          <w:rFonts w:hint="eastAsia" w:ascii="宋体" w:hAnsi="宋体" w:eastAsia="宋体" w:cs="宋体"/>
          <w:color w:val="auto"/>
          <w:sz w:val="24"/>
          <w:szCs w:val="24"/>
        </w:rPr>
        <w:t>本项目采用政府采购电子化招标（线上线下相结合形式）投标人按照规定办理CA数字认证证书（北京一证通数字证书）。</w:t>
      </w:r>
    </w:p>
    <w:p w14:paraId="5B9A6467">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1、办理CA认证证书（北京一证通数字证书），详见北京市政府采购电子交易平台（http://zbcg-bjzc.zhongcy.cn/bjczj-portal-site/index.html）查阅 “用户指南”—“操作指南”—“市场主体CA办理操作流程指引”，按照程序要求办理。</w:t>
      </w:r>
    </w:p>
    <w:p w14:paraId="38FCB601">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2、于北京市政府采购电子交易平台“用户指南”—“操作指南”—“市场主体注册入库操作流程指引”进行自助注册绑定。</w:t>
      </w:r>
    </w:p>
    <w:p w14:paraId="406A184A">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3、招标文件获取方式：投标人按照规定办理CA数字认证证书（北京一证通数字证书）后，自招标公告发布之日起持投标人自身数字证书登录北京市政府采购电子交易平台免费获取电子版招标文件。</w:t>
      </w:r>
    </w:p>
    <w:p w14:paraId="7A8A1B66">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4、未按上述获取方式和期限下载招标文件的投标无效。</w:t>
      </w:r>
    </w:p>
    <w:p w14:paraId="398F3F51">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5、证书驱动下载：</w:t>
      </w:r>
    </w:p>
    <w:p w14:paraId="4FB3D941">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（1）于北京市政府采购电子交易平台“用户指南”—“工具下载”—“招标采购系统文件驱动安装包”下载相关驱动。</w:t>
      </w:r>
    </w:p>
    <w:p w14:paraId="58623B13">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（2）CA认证证书服务热线 010-58511086</w:t>
      </w:r>
    </w:p>
    <w:p w14:paraId="5501F832">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技术支持服务热线    010-86483801    13669922829   </w:t>
      </w:r>
    </w:p>
    <w:p w14:paraId="2B9800A7">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注意：请投标人认真学习北京市政府采购电子交易平台发布的相关操作手册，认真核实数字认证证书情况确认是否符合本项目电子投标要求，如无法按照要求在电子投标文件中加盖电子签章和加密，请及时联系技术人员。</w:t>
      </w:r>
    </w:p>
    <w:p w14:paraId="15FE8804">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6、采购项目需要落实的政府采购政策：节约能源、保护环境、扶持不发达地区和少数民族地区、促进中小企业发展、支持监狱企业发展、促进残疾人就业等。</w:t>
      </w:r>
    </w:p>
    <w:p w14:paraId="439FAA6C">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7、公告发布媒介：本项目招标公告在中国政府采购网、北京市政府采购网及北京市水务局外网。</w:t>
      </w:r>
    </w:p>
    <w:p w14:paraId="1F9BFEB7">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8、 采购项目需要落实的政府采购政策：本项目需落实的节能环保、中小微型企业扶持、支持监狱企业、促进残疾人就业、融资担保等相关政府采购政策详见招标文件。</w:t>
      </w:r>
    </w:p>
    <w:p w14:paraId="31F9BC70">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9、采购代理机构账户信息： 开户行：中国光大银行股份有限公司北京京广桥支行</w:t>
      </w:r>
    </w:p>
    <w:p w14:paraId="4B36AA82">
      <w:pPr>
        <w:pageBreakBefore w:val="0"/>
        <w:overflowPunct/>
        <w:topLinePunct w:val="0"/>
        <w:bidi w:val="0"/>
        <w:snapToGrid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账  号：35310180809799668</w:t>
      </w:r>
    </w:p>
    <w:p w14:paraId="22EC19D9">
      <w:pPr>
        <w:pageBreakBefore w:val="0"/>
        <w:overflowPunct/>
        <w:topLinePunct w:val="0"/>
        <w:bidi w:val="0"/>
        <w:snapToGrid w:val="0"/>
        <w:spacing w:after="0" w:line="360" w:lineRule="auto"/>
        <w:outlineLvl w:val="1"/>
        <w:rPr>
          <w:rFonts w:hint="eastAsia" w:ascii="宋体" w:hAnsi="宋体" w:eastAsia="宋体"/>
          <w:b/>
          <w:bCs/>
          <w:color w:val="auto"/>
          <w:sz w:val="24"/>
          <w:szCs w:val="24"/>
        </w:rPr>
      </w:pPr>
      <w:r>
        <w:rPr>
          <w:rFonts w:hint="eastAsia" w:ascii="宋体" w:hAnsi="宋体" w:eastAsia="宋体"/>
          <w:b/>
          <w:bCs/>
          <w:color w:val="auto"/>
          <w:sz w:val="24"/>
          <w:szCs w:val="24"/>
        </w:rPr>
        <w:t>七、对本次招标提出询问， 请按以下方式联系。</w:t>
      </w:r>
      <w:bookmarkEnd w:id="13"/>
    </w:p>
    <w:p w14:paraId="0A345E97">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1.采购人信息</w:t>
      </w:r>
    </w:p>
    <w:p w14:paraId="4AE2FC97">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称：北京市水利工程管理中心</w:t>
      </w:r>
    </w:p>
    <w:p w14:paraId="3318C732">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olor w:val="auto"/>
          <w:sz w:val="24"/>
          <w:szCs w:val="24"/>
          <w:highlight w:val="none"/>
        </w:rPr>
        <w:t>北京市海淀区</w:t>
      </w:r>
      <w:r>
        <w:rPr>
          <w:rFonts w:hint="eastAsia" w:ascii="宋体" w:hAnsi="宋体" w:eastAsia="宋体"/>
          <w:color w:val="auto"/>
          <w:sz w:val="24"/>
          <w:szCs w:val="24"/>
          <w:highlight w:val="none"/>
          <w:lang w:eastAsia="zh-CN"/>
        </w:rPr>
        <w:t>翠微路甲</w:t>
      </w:r>
      <w:r>
        <w:rPr>
          <w:rFonts w:hint="eastAsia" w:ascii="宋体" w:hAnsi="宋体" w:eastAsia="宋体"/>
          <w:color w:val="auto"/>
          <w:sz w:val="24"/>
          <w:szCs w:val="24"/>
          <w:highlight w:val="none"/>
          <w:lang w:val="en-US" w:eastAsia="zh-CN"/>
        </w:rPr>
        <w:t>3</w:t>
      </w:r>
      <w:r>
        <w:rPr>
          <w:rFonts w:hint="eastAsia" w:ascii="宋体" w:hAnsi="宋体" w:eastAsia="宋体"/>
          <w:color w:val="auto"/>
          <w:sz w:val="24"/>
          <w:szCs w:val="24"/>
          <w:highlight w:val="none"/>
        </w:rPr>
        <w:t>号</w:t>
      </w:r>
    </w:p>
    <w:p w14:paraId="427B933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rPr>
        <w:t>联系方式：</w:t>
      </w:r>
      <w:r>
        <w:rPr>
          <w:rFonts w:hint="eastAsia" w:ascii="宋体" w:hAnsi="宋体" w:eastAsia="宋体"/>
          <w:color w:val="auto"/>
          <w:sz w:val="24"/>
          <w:szCs w:val="24"/>
        </w:rPr>
        <w:t xml:space="preserve">马工 </w:t>
      </w:r>
      <w:r>
        <w:rPr>
          <w:rFonts w:hint="eastAsia" w:ascii="宋体" w:hAnsi="宋体"/>
          <w:color w:val="auto"/>
          <w:sz w:val="24"/>
        </w:rPr>
        <w:t>010-80364712</w:t>
      </w:r>
      <w:r>
        <w:rPr>
          <w:rFonts w:hint="eastAsia" w:ascii="宋体" w:hAnsi="宋体" w:eastAsia="宋体"/>
          <w:color w:val="auto"/>
          <w:sz w:val="24"/>
          <w:szCs w:val="24"/>
        </w:rPr>
        <w:t xml:space="preserve"> </w:t>
      </w:r>
    </w:p>
    <w:p w14:paraId="4F1C7AC6">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2.采购代理机构信息</w:t>
      </w:r>
    </w:p>
    <w:p w14:paraId="7C70C0FB">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名   称：北京中域正信工程咨询有限公司</w:t>
      </w:r>
    </w:p>
    <w:p w14:paraId="4277B06E">
      <w:pPr>
        <w:pageBreakBefore w:val="0"/>
        <w:overflowPunct/>
        <w:topLinePunct w:val="0"/>
        <w:bidi w:val="0"/>
        <w:snapToGrid w:val="0"/>
        <w:spacing w:after="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地   址：北京市昌平区碧水庄园3-20</w:t>
      </w:r>
    </w:p>
    <w:p w14:paraId="692197B6">
      <w:pPr>
        <w:pageBreakBefore w:val="0"/>
        <w:overflowPunct/>
        <w:topLinePunct w:val="0"/>
        <w:bidi w:val="0"/>
        <w:snapToGrid w:val="0"/>
        <w:spacing w:after="0" w:line="360" w:lineRule="auto"/>
        <w:ind w:firstLine="480" w:firstLineChars="200"/>
        <w:rPr>
          <w:rFonts w:hint="default" w:ascii="宋体" w:hAnsi="宋体" w:eastAsia="宋体"/>
          <w:color w:val="auto"/>
          <w:sz w:val="24"/>
          <w:szCs w:val="24"/>
          <w:lang w:val="en-US" w:eastAsia="zh-CN"/>
        </w:rPr>
      </w:pPr>
      <w:r>
        <w:rPr>
          <w:rFonts w:hint="eastAsia" w:ascii="宋体" w:hAnsi="宋体" w:eastAsia="宋体" w:cs="宋体"/>
          <w:color w:val="auto"/>
          <w:sz w:val="24"/>
        </w:rPr>
        <w:t>联系方式：</w:t>
      </w:r>
      <w:r>
        <w:rPr>
          <w:rFonts w:hint="eastAsia" w:ascii="宋体" w:hAnsi="宋体" w:eastAsia="宋体" w:cs="宋体"/>
          <w:color w:val="auto"/>
          <w:sz w:val="24"/>
          <w:lang w:val="en-US" w:eastAsia="zh-CN"/>
        </w:rPr>
        <w:t>崔梦雪</w:t>
      </w:r>
      <w:r>
        <w:rPr>
          <w:rFonts w:hint="eastAsia" w:ascii="宋体" w:hAnsi="宋体" w:eastAsia="宋体" w:cs="宋体"/>
          <w:color w:val="auto"/>
          <w:sz w:val="24"/>
        </w:rPr>
        <w:t>、</w:t>
      </w:r>
      <w:bookmarkStart w:id="14" w:name="OLE_LINK16"/>
      <w:r>
        <w:rPr>
          <w:rFonts w:hint="eastAsia" w:ascii="宋体" w:hAnsi="宋体" w:eastAsia="宋体" w:cs="宋体"/>
          <w:color w:val="auto"/>
          <w:sz w:val="24"/>
        </w:rPr>
        <w:t>15</w:t>
      </w:r>
      <w:bookmarkEnd w:id="14"/>
      <w:r>
        <w:rPr>
          <w:rFonts w:hint="eastAsia" w:ascii="宋体" w:hAnsi="宋体" w:eastAsia="宋体" w:cs="宋体"/>
          <w:color w:val="auto"/>
          <w:sz w:val="24"/>
          <w:lang w:val="en-US" w:eastAsia="zh-CN"/>
        </w:rPr>
        <w:t>632222896</w:t>
      </w:r>
    </w:p>
    <w:p w14:paraId="1E3F4F07">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3.项目联系方式</w:t>
      </w:r>
    </w:p>
    <w:p w14:paraId="572B0E3A">
      <w:pPr>
        <w:pageBreakBefore w:val="0"/>
        <w:overflowPunct/>
        <w:topLinePunct w:val="0"/>
        <w:bidi w:val="0"/>
        <w:snapToGrid w:val="0"/>
        <w:spacing w:after="0" w:line="360" w:lineRule="auto"/>
        <w:ind w:firstLine="480" w:firstLineChars="200"/>
        <w:rPr>
          <w:rFonts w:hint="eastAsia" w:ascii="宋体" w:hAnsi="宋体" w:eastAsia="宋体" w:cs="宋体"/>
          <w:color w:val="auto"/>
          <w:sz w:val="24"/>
          <w:lang w:eastAsia="zh-CN"/>
        </w:rPr>
      </w:pPr>
      <w:bookmarkStart w:id="15" w:name="_Toc794"/>
      <w:r>
        <w:rPr>
          <w:rFonts w:hint="eastAsia" w:ascii="宋体" w:hAnsi="宋体" w:eastAsia="宋体" w:cs="宋体"/>
          <w:color w:val="auto"/>
          <w:sz w:val="24"/>
        </w:rPr>
        <w:t>项目联系人：</w:t>
      </w:r>
      <w:bookmarkEnd w:id="15"/>
      <w:r>
        <w:rPr>
          <w:rFonts w:hint="eastAsia" w:ascii="宋体" w:hAnsi="宋体" w:eastAsia="宋体" w:cs="宋体"/>
          <w:color w:val="auto"/>
          <w:sz w:val="24"/>
          <w:lang w:val="en-US" w:eastAsia="zh-CN"/>
        </w:rPr>
        <w:t>崔梦雪</w:t>
      </w:r>
    </w:p>
    <w:p w14:paraId="61FD43B1">
      <w:pPr>
        <w:pageBreakBefore w:val="0"/>
        <w:overflowPunct/>
        <w:topLinePunct w:val="0"/>
        <w:bidi w:val="0"/>
        <w:snapToGrid w:val="0"/>
        <w:spacing w:after="0" w:line="360" w:lineRule="auto"/>
        <w:ind w:firstLine="480" w:firstLineChars="200"/>
        <w:rPr>
          <w:rFonts w:hint="default" w:ascii="宋体" w:hAnsi="宋体" w:eastAsia="宋体"/>
          <w:color w:val="auto"/>
          <w:sz w:val="24"/>
          <w:szCs w:val="24"/>
          <w:lang w:val="en-US" w:eastAsia="zh-CN"/>
        </w:rPr>
      </w:pPr>
      <w:r>
        <w:rPr>
          <w:rFonts w:hint="eastAsia" w:ascii="宋体" w:hAnsi="宋体" w:eastAsia="宋体" w:cs="宋体"/>
          <w:color w:val="auto"/>
          <w:sz w:val="24"/>
        </w:rPr>
        <w:t>电      话：15</w:t>
      </w:r>
      <w:r>
        <w:rPr>
          <w:rFonts w:hint="eastAsia" w:ascii="宋体" w:hAnsi="宋体" w:eastAsia="宋体" w:cs="宋体"/>
          <w:color w:val="auto"/>
          <w:sz w:val="24"/>
          <w:lang w:val="en-US" w:eastAsia="zh-CN"/>
        </w:rPr>
        <w:t>632222896</w:t>
      </w:r>
    </w:p>
    <w:p w14:paraId="4FB0F4D5">
      <w:pPr>
        <w:pStyle w:val="6"/>
        <w:pageBreakBefore w:val="0"/>
        <w:overflowPunct/>
        <w:topLinePunct w:val="0"/>
        <w:bidi w:val="0"/>
        <w:snapToGrid w:val="0"/>
        <w:spacing w:after="0"/>
        <w:rPr>
          <w:rFonts w:hint="eastAsia" w:hAnsi="宋体"/>
        </w:rPr>
        <w:sectPr>
          <w:footerReference r:id="rId10" w:type="default"/>
          <w:pgSz w:w="11907" w:h="16840"/>
          <w:pgMar w:top="1117" w:right="1047" w:bottom="1060" w:left="1700" w:header="878" w:footer="886" w:gutter="0"/>
          <w:pgNumType w:fmt="decimal" w:start="1"/>
          <w:cols w:space="720" w:num="1"/>
        </w:sectPr>
      </w:pPr>
    </w:p>
    <w:p w14:paraId="1B7E10E4">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16" w:name="_Toc183959674"/>
      <w:bookmarkStart w:id="17" w:name="_Toc148096348"/>
      <w:r>
        <w:rPr>
          <w:rFonts w:hint="eastAsia" w:hAnsi="宋体"/>
          <w:b/>
          <w:bCs/>
          <w:sz w:val="36"/>
          <w:szCs w:val="36"/>
        </w:rPr>
        <w:t>第二章   投标人须知</w:t>
      </w:r>
      <w:bookmarkEnd w:id="16"/>
      <w:bookmarkEnd w:id="17"/>
    </w:p>
    <w:p w14:paraId="4F67D784">
      <w:pPr>
        <w:pageBreakBefore w:val="0"/>
        <w:overflowPunct/>
        <w:topLinePunct w:val="0"/>
        <w:bidi w:val="0"/>
        <w:snapToGrid w:val="0"/>
        <w:spacing w:after="0" w:line="360" w:lineRule="auto"/>
        <w:rPr>
          <w:rFonts w:hint="eastAsia" w:ascii="宋体" w:hAnsi="宋体" w:eastAsia="宋体"/>
          <w:color w:val="auto"/>
          <w:sz w:val="24"/>
        </w:rPr>
      </w:pPr>
      <w:r>
        <w:rPr>
          <w:rFonts w:ascii="宋体" w:hAnsi="宋体" w:eastAsia="宋体"/>
          <w:color w:val="auto"/>
          <w:sz w:val="24"/>
        </w:rPr>
        <w:t>本表是对供应商须知的具体补充和修改，如有矛盾，均以本资料表为准。标记“</w:t>
      </w:r>
      <w:r>
        <w:rPr>
          <w:rFonts w:ascii="宋体" w:hAnsi="宋体" w:eastAsia="宋体"/>
          <w:b/>
          <w:color w:val="auto"/>
          <w:sz w:val="24"/>
        </w:rPr>
        <w:t>■</w:t>
      </w:r>
      <w:r>
        <w:rPr>
          <w:rFonts w:ascii="宋体" w:hAnsi="宋体" w:eastAsia="宋体"/>
          <w:color w:val="auto"/>
          <w:sz w:val="24"/>
        </w:rPr>
        <w:t>”的选项意为适用于本项目，标记“</w:t>
      </w:r>
      <w:r>
        <w:rPr>
          <w:rFonts w:ascii="宋体" w:hAnsi="宋体" w:eastAsia="宋体"/>
          <w:color w:val="auto"/>
        </w:rPr>
        <w:t>□</w:t>
      </w:r>
      <w:r>
        <w:rPr>
          <w:rFonts w:ascii="宋体" w:hAnsi="宋体" w:eastAsia="宋体"/>
          <w:color w:val="auto"/>
          <w:sz w:val="24"/>
        </w:rPr>
        <w:t>”的选项意为不适用于本项目</w:t>
      </w:r>
      <w:r>
        <w:rPr>
          <w:rFonts w:hint="eastAsia" w:ascii="宋体" w:hAnsi="宋体" w:eastAsia="宋体"/>
          <w:color w:val="auto"/>
          <w:sz w:val="24"/>
        </w:rPr>
        <w:t>。</w:t>
      </w:r>
    </w:p>
    <w:p w14:paraId="027BC2EF">
      <w:pPr>
        <w:pageBreakBefore w:val="0"/>
        <w:overflowPunct/>
        <w:topLinePunct w:val="0"/>
        <w:bidi w:val="0"/>
        <w:snapToGrid w:val="0"/>
        <w:spacing w:after="0" w:line="43" w:lineRule="auto"/>
        <w:rPr>
          <w:rFonts w:hint="eastAsia" w:ascii="宋体" w:hAnsi="宋体" w:eastAsia="宋体" w:cs="宋体"/>
          <w:color w:val="auto"/>
          <w:sz w:val="2"/>
        </w:rPr>
      </w:pPr>
    </w:p>
    <w:tbl>
      <w:tblPr>
        <w:tblStyle w:val="27"/>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822"/>
        <w:gridCol w:w="2853"/>
        <w:gridCol w:w="3627"/>
        <w:gridCol w:w="240"/>
      </w:tblGrid>
      <w:tr w14:paraId="35A3D2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jc w:val="center"/>
        </w:trPr>
        <w:tc>
          <w:tcPr>
            <w:tcW w:w="992" w:type="dxa"/>
            <w:vAlign w:val="center"/>
          </w:tcPr>
          <w:p w14:paraId="61E85091">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vAlign w:val="center"/>
          </w:tcPr>
          <w:p w14:paraId="25DE24D2">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gridSpan w:val="4"/>
            <w:vAlign w:val="center"/>
          </w:tcPr>
          <w:p w14:paraId="6D93C00E">
            <w:pPr>
              <w:pageBreakBefore w:val="0"/>
              <w:overflowPunct/>
              <w:topLinePunct w:val="0"/>
              <w:bidi w:val="0"/>
              <w:snapToGrid w:val="0"/>
              <w:spacing w:before="180"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1"/>
                <w:sz w:val="24"/>
                <w:szCs w:val="24"/>
                <w14:textOutline w14:w="1536" w14:cap="flat" w14:cmpd="sng" w14:algn="ctr">
                  <w14:solidFill>
                    <w14:srgbClr w14:val="000000"/>
                  </w14:solidFill>
                  <w14:prstDash w14:val="solid"/>
                  <w14:miter w14:val="0"/>
                </w14:textOutline>
              </w:rPr>
              <w:t>内</w:t>
            </w:r>
            <w:r>
              <w:rPr>
                <w:rFonts w:hint="eastAsia" w:ascii="宋体" w:hAnsi="宋体" w:eastAsia="宋体" w:cs="宋体"/>
                <w:color w:val="auto"/>
                <w:spacing w:val="-9"/>
                <w:sz w:val="24"/>
                <w:szCs w:val="24"/>
                <w14:textOutline w14:w="1536" w14:cap="flat" w14:cmpd="sng" w14:algn="ctr">
                  <w14:solidFill>
                    <w14:srgbClr w14:val="000000"/>
                  </w14:solidFill>
                  <w14:prstDash w14:val="solid"/>
                  <w14:miter w14:val="0"/>
                </w14:textOutline>
              </w:rPr>
              <w:t>容</w:t>
            </w:r>
          </w:p>
        </w:tc>
      </w:tr>
      <w:tr w14:paraId="2C4F59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3" w:hRule="atLeast"/>
          <w:jc w:val="center"/>
        </w:trPr>
        <w:tc>
          <w:tcPr>
            <w:tcW w:w="992" w:type="dxa"/>
            <w:vAlign w:val="center"/>
          </w:tcPr>
          <w:p w14:paraId="0CD61C80">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2</w:t>
            </w:r>
          </w:p>
        </w:tc>
        <w:tc>
          <w:tcPr>
            <w:tcW w:w="1700" w:type="dxa"/>
            <w:vAlign w:val="center"/>
          </w:tcPr>
          <w:p w14:paraId="16B1BCFA">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项</w:t>
            </w:r>
            <w:r>
              <w:rPr>
                <w:rFonts w:hint="eastAsia" w:ascii="宋体" w:hAnsi="宋体" w:eastAsia="宋体" w:cs="宋体"/>
                <w:color w:val="auto"/>
                <w:spacing w:val="-2"/>
                <w:sz w:val="24"/>
                <w:szCs w:val="24"/>
              </w:rPr>
              <w:t>目属性</w:t>
            </w:r>
          </w:p>
        </w:tc>
        <w:tc>
          <w:tcPr>
            <w:tcW w:w="7542" w:type="dxa"/>
            <w:gridSpan w:val="4"/>
            <w:vAlign w:val="center"/>
          </w:tcPr>
          <w:p w14:paraId="26B8ECED">
            <w:pPr>
              <w:pageBreakBefore w:val="0"/>
              <w:overflowPunct/>
              <w:topLinePunct w:val="0"/>
              <w:bidi w:val="0"/>
              <w:snapToGrid w:val="0"/>
              <w:spacing w:before="25"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1"/>
                <w:sz w:val="24"/>
                <w:szCs w:val="24"/>
              </w:rPr>
              <w:t>项目属性：</w:t>
            </w:r>
            <w:r>
              <w:rPr>
                <w:rFonts w:hint="eastAsia" w:ascii="宋体" w:hAnsi="宋体" w:eastAsia="宋体" w:cs="宋体"/>
                <w:b/>
                <w:bCs/>
                <w:color w:val="auto"/>
                <w:spacing w:val="1"/>
                <w:sz w:val="24"/>
                <w:szCs w:val="24"/>
              </w:rPr>
              <w:t xml:space="preserve">■ </w:t>
            </w:r>
            <w:r>
              <w:rPr>
                <w:rFonts w:hint="eastAsia" w:ascii="宋体" w:hAnsi="宋体" w:eastAsia="宋体" w:cs="宋体"/>
                <w:color w:val="auto"/>
                <w:spacing w:val="19"/>
                <w:sz w:val="24"/>
                <w:szCs w:val="24"/>
              </w:rPr>
              <w:t xml:space="preserve">服务    </w:t>
            </w: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货物</w:t>
            </w:r>
          </w:p>
        </w:tc>
      </w:tr>
      <w:tr w14:paraId="535F2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jc w:val="center"/>
        </w:trPr>
        <w:tc>
          <w:tcPr>
            <w:tcW w:w="992" w:type="dxa"/>
            <w:vAlign w:val="center"/>
          </w:tcPr>
          <w:p w14:paraId="260FDB21">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3</w:t>
            </w:r>
          </w:p>
        </w:tc>
        <w:tc>
          <w:tcPr>
            <w:tcW w:w="1700" w:type="dxa"/>
            <w:vAlign w:val="center"/>
          </w:tcPr>
          <w:p w14:paraId="3F118A69">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科研</w:t>
            </w:r>
            <w:r>
              <w:rPr>
                <w:rFonts w:hint="eastAsia" w:ascii="宋体" w:hAnsi="宋体" w:eastAsia="宋体" w:cs="宋体"/>
                <w:color w:val="auto"/>
                <w:spacing w:val="-1"/>
                <w:sz w:val="24"/>
                <w:szCs w:val="24"/>
              </w:rPr>
              <w:t>仪器设备</w:t>
            </w:r>
          </w:p>
        </w:tc>
        <w:tc>
          <w:tcPr>
            <w:tcW w:w="7542" w:type="dxa"/>
            <w:gridSpan w:val="4"/>
            <w:vAlign w:val="center"/>
          </w:tcPr>
          <w:p w14:paraId="478CF910">
            <w:pPr>
              <w:pageBreakBefore w:val="0"/>
              <w:overflowPunct/>
              <w:topLinePunct w:val="0"/>
              <w:bidi w:val="0"/>
              <w:snapToGrid w:val="0"/>
              <w:spacing w:before="24"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8"/>
                <w:sz w:val="24"/>
                <w:szCs w:val="24"/>
              </w:rPr>
              <w:t>是</w:t>
            </w:r>
            <w:r>
              <w:rPr>
                <w:rFonts w:hint="eastAsia" w:ascii="宋体" w:hAnsi="宋体" w:eastAsia="宋体" w:cs="宋体"/>
                <w:color w:val="auto"/>
                <w:spacing w:val="-4"/>
                <w:sz w:val="24"/>
                <w:szCs w:val="24"/>
              </w:rPr>
              <w:t>否属于科研仪器设备采购项目：</w:t>
            </w:r>
            <w:bookmarkStart w:id="18" w:name="OLE_LINK12"/>
            <w:r>
              <w:rPr>
                <w:rFonts w:hint="eastAsia" w:ascii="宋体" w:hAnsi="宋体" w:eastAsia="宋体" w:cs="宋体"/>
                <w:color w:val="auto"/>
                <w:spacing w:val="30"/>
                <w:sz w:val="24"/>
                <w:szCs w:val="24"/>
              </w:rPr>
              <w:t>□</w:t>
            </w:r>
            <w:bookmarkEnd w:id="18"/>
            <w:r>
              <w:rPr>
                <w:rFonts w:hint="eastAsia" w:ascii="宋体" w:hAnsi="宋体" w:eastAsia="宋体" w:cs="宋体"/>
                <w:color w:val="auto"/>
                <w:spacing w:val="29"/>
                <w:sz w:val="24"/>
                <w:szCs w:val="24"/>
              </w:rPr>
              <w:t xml:space="preserve">是    </w:t>
            </w: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否</w:t>
            </w:r>
          </w:p>
        </w:tc>
      </w:tr>
      <w:tr w14:paraId="3E561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4" w:hRule="atLeast"/>
          <w:jc w:val="center"/>
        </w:trPr>
        <w:tc>
          <w:tcPr>
            <w:tcW w:w="992" w:type="dxa"/>
            <w:vAlign w:val="center"/>
          </w:tcPr>
          <w:p w14:paraId="4A77CCDA">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4</w:t>
            </w:r>
          </w:p>
        </w:tc>
        <w:tc>
          <w:tcPr>
            <w:tcW w:w="1700" w:type="dxa"/>
            <w:vAlign w:val="center"/>
          </w:tcPr>
          <w:p w14:paraId="36F43F05">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核</w:t>
            </w:r>
            <w:r>
              <w:rPr>
                <w:rFonts w:hint="eastAsia" w:ascii="宋体" w:hAnsi="宋体" w:eastAsia="宋体" w:cs="宋体"/>
                <w:color w:val="auto"/>
                <w:spacing w:val="-2"/>
                <w:sz w:val="24"/>
                <w:szCs w:val="24"/>
              </w:rPr>
              <w:t>心产品</w:t>
            </w:r>
          </w:p>
        </w:tc>
        <w:tc>
          <w:tcPr>
            <w:tcW w:w="7542" w:type="dxa"/>
            <w:gridSpan w:val="4"/>
            <w:vAlign w:val="center"/>
          </w:tcPr>
          <w:p w14:paraId="513E4E41">
            <w:pPr>
              <w:pageBreakBefore w:val="0"/>
              <w:overflowPunct/>
              <w:topLinePunct w:val="0"/>
              <w:bidi w:val="0"/>
              <w:snapToGrid w:val="0"/>
              <w:spacing w:before="3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
                <w:sz w:val="24"/>
                <w:szCs w:val="24"/>
              </w:rPr>
              <w:t>关于核</w:t>
            </w:r>
            <w:r>
              <w:rPr>
                <w:rFonts w:hint="eastAsia" w:ascii="宋体" w:hAnsi="宋体" w:eastAsia="宋体" w:cs="宋体"/>
                <w:color w:val="auto"/>
                <w:sz w:val="24"/>
                <w:szCs w:val="24"/>
              </w:rPr>
              <w:t>心产品本项目不适用。</w:t>
            </w:r>
          </w:p>
          <w:p w14:paraId="3D0F0FD9">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bookmarkStart w:id="19" w:name="OLE_LINK3"/>
            <w:r>
              <w:rPr>
                <w:rFonts w:hint="eastAsia" w:ascii="宋体" w:hAnsi="宋体" w:eastAsia="宋体" w:cs="宋体"/>
                <w:color w:val="auto"/>
                <w:spacing w:val="1"/>
                <w:sz w:val="24"/>
                <w:szCs w:val="24"/>
              </w:rPr>
              <w:t>□</w:t>
            </w:r>
            <w:bookmarkEnd w:id="19"/>
            <w:r>
              <w:rPr>
                <w:rFonts w:hint="eastAsia" w:ascii="宋体" w:hAnsi="宋体" w:eastAsia="宋体" w:cs="宋体"/>
                <w:color w:val="auto"/>
                <w:sz w:val="24"/>
                <w:szCs w:val="24"/>
              </w:rPr>
              <w:t>本项目</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包为单一产品采购项目。</w:t>
            </w:r>
          </w:p>
          <w:p w14:paraId="0BBC4D4B">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8"/>
                <w:sz w:val="24"/>
                <w:szCs w:val="24"/>
              </w:rPr>
              <w:t>本项目</w:t>
            </w:r>
            <w:r>
              <w:rPr>
                <w:rFonts w:hint="eastAsia" w:ascii="宋体" w:hAnsi="宋体" w:eastAsia="宋体" w:cs="宋体"/>
                <w:color w:val="auto"/>
                <w:spacing w:val="-8"/>
                <w:sz w:val="24"/>
                <w:szCs w:val="24"/>
                <w:u w:val="single"/>
              </w:rPr>
              <w:t xml:space="preserve">    </w:t>
            </w:r>
            <w:r>
              <w:rPr>
                <w:rFonts w:hint="eastAsia" w:ascii="宋体" w:hAnsi="宋体" w:eastAsia="宋体" w:cs="宋体"/>
                <w:color w:val="auto"/>
                <w:spacing w:val="-4"/>
                <w:sz w:val="24"/>
                <w:szCs w:val="24"/>
              </w:rPr>
              <w:t>包为非单一产品采购项目，核心产品为:</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p>
        </w:tc>
      </w:tr>
      <w:tr w14:paraId="7436E5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80" w:hRule="atLeast"/>
          <w:jc w:val="center"/>
        </w:trPr>
        <w:tc>
          <w:tcPr>
            <w:tcW w:w="992" w:type="dxa"/>
            <w:vMerge w:val="restart"/>
            <w:tcBorders>
              <w:bottom w:val="nil"/>
            </w:tcBorders>
            <w:vAlign w:val="center"/>
          </w:tcPr>
          <w:p w14:paraId="28D64124">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3</w:t>
            </w:r>
            <w:r>
              <w:rPr>
                <w:rFonts w:hint="eastAsia" w:ascii="宋体" w:hAnsi="宋体" w:eastAsia="宋体" w:cs="宋体"/>
                <w:color w:val="auto"/>
                <w:spacing w:val="9"/>
                <w:sz w:val="24"/>
                <w:szCs w:val="24"/>
              </w:rPr>
              <w:t>.1</w:t>
            </w:r>
          </w:p>
        </w:tc>
        <w:tc>
          <w:tcPr>
            <w:tcW w:w="1700" w:type="dxa"/>
            <w:vAlign w:val="center"/>
          </w:tcPr>
          <w:p w14:paraId="7DA37B47">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现</w:t>
            </w:r>
            <w:r>
              <w:rPr>
                <w:rFonts w:hint="eastAsia" w:ascii="宋体" w:hAnsi="宋体" w:eastAsia="宋体" w:cs="宋体"/>
                <w:color w:val="auto"/>
                <w:spacing w:val="-2"/>
                <w:sz w:val="24"/>
                <w:szCs w:val="24"/>
              </w:rPr>
              <w:t>场考察</w:t>
            </w:r>
          </w:p>
        </w:tc>
        <w:tc>
          <w:tcPr>
            <w:tcW w:w="7542" w:type="dxa"/>
            <w:gridSpan w:val="4"/>
            <w:vAlign w:val="center"/>
          </w:tcPr>
          <w:p w14:paraId="11AC9682">
            <w:pPr>
              <w:pageBreakBefore w:val="0"/>
              <w:overflowPunct/>
              <w:topLinePunct w:val="0"/>
              <w:bidi w:val="0"/>
              <w:snapToGrid w:val="0"/>
              <w:spacing w:after="0" w:line="360" w:lineRule="auto"/>
              <w:rPr>
                <w:rFonts w:hint="eastAsia" w:ascii="宋体" w:hAnsi="宋体" w:eastAsia="宋体"/>
                <w:color w:val="auto"/>
                <w:sz w:val="24"/>
              </w:rPr>
            </w:pPr>
            <w:r>
              <w:rPr>
                <w:rFonts w:hint="eastAsia" w:ascii="宋体" w:hAnsi="宋体" w:eastAsia="宋体"/>
                <w:color w:val="auto"/>
                <w:sz w:val="24"/>
              </w:rPr>
              <w:t>■不组织</w:t>
            </w:r>
          </w:p>
          <w:p w14:paraId="5AE420CE">
            <w:pPr>
              <w:pageBreakBefore w:val="0"/>
              <w:overflowPunct/>
              <w:topLinePunct w:val="0"/>
              <w:bidi w:val="0"/>
              <w:snapToGrid w:val="0"/>
              <w:spacing w:after="0" w:line="360" w:lineRule="auto"/>
              <w:rPr>
                <w:rFonts w:hint="eastAsia" w:ascii="宋体" w:hAnsi="宋体" w:eastAsia="宋体"/>
                <w:color w:val="auto"/>
                <w:sz w:val="24"/>
              </w:rPr>
            </w:pPr>
            <w:r>
              <w:rPr>
                <w:rFonts w:hint="eastAsia" w:ascii="宋体" w:hAnsi="宋体" w:eastAsia="宋体"/>
                <w:color w:val="auto"/>
                <w:sz w:val="24"/>
              </w:rPr>
              <w:t>□组织，考察时间：2025年 月 日</w:t>
            </w:r>
            <w:r>
              <w:rPr>
                <w:rFonts w:hint="eastAsia" w:ascii="宋体" w:hAnsi="宋体" w:eastAsia="宋体"/>
                <w:color w:val="auto"/>
                <w:sz w:val="24"/>
                <w:lang w:val="en-US" w:eastAsia="zh-CN"/>
              </w:rPr>
              <w:t>0</w:t>
            </w:r>
            <w:r>
              <w:rPr>
                <w:rFonts w:hint="eastAsia" w:ascii="宋体" w:hAnsi="宋体" w:eastAsia="宋体"/>
                <w:color w:val="auto"/>
                <w:sz w:val="24"/>
              </w:rPr>
              <w:t xml:space="preserve">时00分 </w:t>
            </w:r>
          </w:p>
          <w:p w14:paraId="3AF49A5B">
            <w:pPr>
              <w:pageBreakBefore w:val="0"/>
              <w:overflowPunct/>
              <w:topLinePunct w:val="0"/>
              <w:bidi w:val="0"/>
              <w:snapToGrid w:val="0"/>
              <w:spacing w:after="0"/>
              <w:rPr>
                <w:rFonts w:hint="eastAsia" w:ascii="宋体" w:hAnsi="宋体" w:eastAsia="宋体" w:cs="宋体"/>
                <w:color w:val="auto"/>
                <w:sz w:val="24"/>
                <w:szCs w:val="24"/>
                <w:highlight w:val="yellow"/>
              </w:rPr>
            </w:pPr>
            <w:r>
              <w:rPr>
                <w:rFonts w:hint="eastAsia" w:ascii="宋体" w:hAnsi="宋体" w:eastAsia="宋体" w:cs="宋体"/>
                <w:color w:val="auto"/>
                <w:sz w:val="24"/>
                <w:szCs w:val="24"/>
              </w:rPr>
              <w:t>考察地点：</w:t>
            </w:r>
            <w:r>
              <w:rPr>
                <w:rFonts w:hint="eastAsia" w:ascii="宋体" w:hAnsi="宋体" w:eastAsia="宋体" w:cs="宋体"/>
                <w:color w:val="auto"/>
                <w:sz w:val="24"/>
                <w:szCs w:val="24"/>
                <w:highlight w:val="none"/>
              </w:rPr>
              <w:t>/</w:t>
            </w:r>
          </w:p>
        </w:tc>
      </w:tr>
      <w:tr w14:paraId="2AFCFD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jc w:val="center"/>
        </w:trPr>
        <w:tc>
          <w:tcPr>
            <w:tcW w:w="992" w:type="dxa"/>
            <w:vMerge w:val="continue"/>
            <w:tcBorders>
              <w:top w:val="nil"/>
            </w:tcBorders>
            <w:vAlign w:val="center"/>
          </w:tcPr>
          <w:p w14:paraId="333A070C">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Align w:val="center"/>
          </w:tcPr>
          <w:p w14:paraId="33C60E83">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开标前</w:t>
            </w:r>
            <w:r>
              <w:rPr>
                <w:rFonts w:hint="eastAsia" w:ascii="宋体" w:hAnsi="宋体" w:eastAsia="宋体" w:cs="宋体"/>
                <w:color w:val="auto"/>
                <w:spacing w:val="-1"/>
                <w:sz w:val="24"/>
                <w:szCs w:val="24"/>
              </w:rPr>
              <w:t>答疑会</w:t>
            </w:r>
          </w:p>
        </w:tc>
        <w:tc>
          <w:tcPr>
            <w:tcW w:w="7542" w:type="dxa"/>
            <w:gridSpan w:val="4"/>
            <w:vAlign w:val="center"/>
          </w:tcPr>
          <w:p w14:paraId="31441947">
            <w:pPr>
              <w:pageBreakBefore w:val="0"/>
              <w:overflowPunct/>
              <w:topLinePunct w:val="0"/>
              <w:bidi w:val="0"/>
              <w:snapToGrid w:val="0"/>
              <w:spacing w:before="35"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不召开</w:t>
            </w:r>
          </w:p>
          <w:p w14:paraId="75D21248">
            <w:pPr>
              <w:pageBreakBefore w:val="0"/>
              <w:overflowPunct/>
              <w:topLinePunct w:val="0"/>
              <w:bidi w:val="0"/>
              <w:snapToGrid w:val="0"/>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8"/>
                <w:sz w:val="24"/>
                <w:szCs w:val="24"/>
              </w:rPr>
              <w:t>□</w:t>
            </w:r>
            <w:r>
              <w:rPr>
                <w:rFonts w:hint="eastAsia" w:ascii="宋体" w:hAnsi="宋体" w:eastAsia="宋体" w:cs="宋体"/>
                <w:color w:val="auto"/>
                <w:spacing w:val="-11"/>
                <w:sz w:val="24"/>
                <w:szCs w:val="24"/>
              </w:rPr>
              <w:t>召</w:t>
            </w:r>
            <w:r>
              <w:rPr>
                <w:rFonts w:hint="eastAsia" w:ascii="宋体" w:hAnsi="宋体" w:eastAsia="宋体" w:cs="宋体"/>
                <w:color w:val="auto"/>
                <w:spacing w:val="-9"/>
                <w:sz w:val="24"/>
                <w:szCs w:val="24"/>
              </w:rPr>
              <w:t>开，召开时间：年 月 日 点 分</w:t>
            </w:r>
            <w:r>
              <w:rPr>
                <w:rFonts w:hint="eastAsia" w:ascii="宋体" w:hAnsi="宋体" w:eastAsia="宋体" w:cs="宋体"/>
                <w:color w:val="auto"/>
                <w:sz w:val="24"/>
                <w:szCs w:val="24"/>
              </w:rPr>
              <w:t xml:space="preserve"> </w:t>
            </w:r>
          </w:p>
          <w:p w14:paraId="20E50CA3">
            <w:pPr>
              <w:pageBreakBefore w:val="0"/>
              <w:overflowPunct/>
              <w:topLinePunct w:val="0"/>
              <w:bidi w:val="0"/>
              <w:snapToGrid w:val="0"/>
              <w:spacing w:before="22" w:after="0" w:line="276" w:lineRule="auto"/>
              <w:ind w:left="123" w:right="3366" w:firstLine="3"/>
              <w:rPr>
                <w:rFonts w:hint="eastAsia" w:ascii="宋体" w:hAnsi="宋体" w:eastAsia="宋体" w:cs="宋体"/>
                <w:color w:val="auto"/>
                <w:sz w:val="24"/>
                <w:szCs w:val="24"/>
              </w:rPr>
            </w:pPr>
            <w:r>
              <w:rPr>
                <w:rFonts w:hint="eastAsia" w:ascii="宋体" w:hAnsi="宋体" w:eastAsia="宋体" w:cs="宋体"/>
                <w:color w:val="auto"/>
                <w:spacing w:val="-11"/>
                <w:sz w:val="24"/>
                <w:szCs w:val="24"/>
              </w:rPr>
              <w:t>召开地点</w:t>
            </w:r>
            <w:r>
              <w:rPr>
                <w:rFonts w:hint="eastAsia" w:ascii="宋体" w:hAnsi="宋体" w:eastAsia="宋体" w:cs="宋体"/>
                <w:color w:val="auto"/>
                <w:spacing w:val="-16"/>
                <w:sz w:val="24"/>
                <w:szCs w:val="24"/>
              </w:rPr>
              <w:t>： ____________</w:t>
            </w:r>
            <w:r>
              <w:rPr>
                <w:rFonts w:hint="eastAsia" w:ascii="宋体" w:hAnsi="宋体" w:eastAsia="宋体" w:cs="宋体"/>
                <w:color w:val="auto"/>
                <w:spacing w:val="-13"/>
                <w:sz w:val="24"/>
                <w:szCs w:val="24"/>
              </w:rPr>
              <w:t>。</w:t>
            </w:r>
          </w:p>
        </w:tc>
      </w:tr>
      <w:tr w14:paraId="476BF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jc w:val="center"/>
        </w:trPr>
        <w:tc>
          <w:tcPr>
            <w:tcW w:w="992" w:type="dxa"/>
            <w:vAlign w:val="center"/>
          </w:tcPr>
          <w:p w14:paraId="428FA90F">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3"/>
                <w:sz w:val="24"/>
                <w:szCs w:val="24"/>
              </w:rPr>
              <w:t>4</w:t>
            </w:r>
            <w:r>
              <w:rPr>
                <w:rFonts w:hint="eastAsia" w:ascii="宋体" w:hAnsi="宋体" w:eastAsia="宋体" w:cs="宋体"/>
                <w:color w:val="auto"/>
                <w:spacing w:val="11"/>
                <w:sz w:val="24"/>
                <w:szCs w:val="24"/>
              </w:rPr>
              <w:t>.1</w:t>
            </w:r>
          </w:p>
        </w:tc>
        <w:tc>
          <w:tcPr>
            <w:tcW w:w="1700" w:type="dxa"/>
            <w:vAlign w:val="center"/>
          </w:tcPr>
          <w:p w14:paraId="1262D637">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样</w:t>
            </w:r>
            <w:r>
              <w:rPr>
                <w:rFonts w:hint="eastAsia" w:ascii="宋体" w:hAnsi="宋体" w:eastAsia="宋体" w:cs="宋体"/>
                <w:color w:val="auto"/>
                <w:spacing w:val="-2"/>
                <w:sz w:val="24"/>
                <w:szCs w:val="24"/>
              </w:rPr>
              <w:t>品</w:t>
            </w:r>
          </w:p>
        </w:tc>
        <w:tc>
          <w:tcPr>
            <w:tcW w:w="7542" w:type="dxa"/>
            <w:gridSpan w:val="4"/>
            <w:vAlign w:val="center"/>
          </w:tcPr>
          <w:p w14:paraId="6C8FF435">
            <w:pPr>
              <w:pageBreakBefore w:val="0"/>
              <w:overflowPunct/>
              <w:topLinePunct w:val="0"/>
              <w:bidi w:val="0"/>
              <w:snapToGrid w:val="0"/>
              <w:spacing w:before="39" w:after="0" w:line="240" w:lineRule="auto"/>
              <w:ind w:left="117"/>
              <w:rPr>
                <w:rFonts w:hint="eastAsia" w:ascii="宋体" w:hAnsi="宋体" w:eastAsia="宋体" w:cs="宋体"/>
                <w:color w:val="auto"/>
                <w:sz w:val="24"/>
                <w:szCs w:val="24"/>
              </w:rPr>
            </w:pPr>
            <w:r>
              <w:rPr>
                <w:rFonts w:hint="eastAsia" w:ascii="宋体" w:hAnsi="宋体" w:eastAsia="宋体" w:cs="宋体"/>
                <w:color w:val="auto"/>
                <w:spacing w:val="-10"/>
                <w:sz w:val="24"/>
                <w:szCs w:val="24"/>
              </w:rPr>
              <w:t>投</w:t>
            </w:r>
            <w:r>
              <w:rPr>
                <w:rFonts w:hint="eastAsia" w:ascii="宋体" w:hAnsi="宋体" w:eastAsia="宋体" w:cs="宋体"/>
                <w:color w:val="auto"/>
                <w:spacing w:val="-8"/>
                <w:sz w:val="24"/>
                <w:szCs w:val="24"/>
              </w:rPr>
              <w:t>标样品递交：</w:t>
            </w:r>
          </w:p>
          <w:p w14:paraId="47910CFA">
            <w:pPr>
              <w:pageBreakBefore w:val="0"/>
              <w:overflowPunct/>
              <w:topLinePunct w:val="0"/>
              <w:bidi w:val="0"/>
              <w:snapToGrid w:val="0"/>
              <w:spacing w:before="23" w:after="0" w:line="240"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不需要</w:t>
            </w:r>
          </w:p>
          <w:p w14:paraId="22BC47E0">
            <w:pPr>
              <w:pageBreakBefore w:val="0"/>
              <w:overflowPunct/>
              <w:topLinePunct w:val="0"/>
              <w:bidi w:val="0"/>
              <w:snapToGrid w:val="0"/>
              <w:spacing w:before="24" w:after="0" w:line="240" w:lineRule="auto"/>
              <w:ind w:left="126"/>
              <w:rPr>
                <w:rFonts w:hint="eastAsia" w:ascii="宋体" w:hAnsi="宋体" w:eastAsia="宋体" w:cs="宋体"/>
                <w:color w:val="auto"/>
                <w:sz w:val="24"/>
                <w:szCs w:val="24"/>
              </w:rPr>
            </w:pPr>
            <w:r>
              <w:rPr>
                <w:rFonts w:hint="eastAsia" w:ascii="宋体" w:hAnsi="宋体" w:eastAsia="宋体" w:cs="宋体"/>
                <w:color w:val="auto"/>
                <w:spacing w:val="1"/>
                <w:sz w:val="24"/>
                <w:szCs w:val="24"/>
              </w:rPr>
              <w:t>□需要，具体要求如</w:t>
            </w:r>
            <w:r>
              <w:rPr>
                <w:rFonts w:hint="eastAsia" w:ascii="宋体" w:hAnsi="宋体" w:eastAsia="宋体" w:cs="宋体"/>
                <w:color w:val="auto"/>
                <w:sz w:val="24"/>
                <w:szCs w:val="24"/>
              </w:rPr>
              <w:t>下：</w:t>
            </w:r>
          </w:p>
          <w:p w14:paraId="0E8A30AD">
            <w:pPr>
              <w:pageBreakBefore w:val="0"/>
              <w:overflowPunct/>
              <w:topLinePunct w:val="0"/>
              <w:bidi w:val="0"/>
              <w:snapToGrid w:val="0"/>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(1)样品制作的标准和要求： _________；</w:t>
            </w:r>
          </w:p>
          <w:p w14:paraId="31CB34EF">
            <w:pPr>
              <w:pageBreakBefore w:val="0"/>
              <w:overflowPunct/>
              <w:topLinePunct w:val="0"/>
              <w:bidi w:val="0"/>
              <w:snapToGrid w:val="0"/>
              <w:spacing w:before="27" w:after="0" w:line="240" w:lineRule="auto"/>
              <w:ind w:left="120"/>
              <w:rPr>
                <w:rFonts w:hint="eastAsia" w:ascii="宋体" w:hAnsi="宋体" w:eastAsia="宋体" w:cs="宋体"/>
                <w:color w:val="auto"/>
                <w:sz w:val="24"/>
                <w:szCs w:val="24"/>
              </w:rPr>
            </w:pPr>
            <w:r>
              <w:rPr>
                <w:rFonts w:hint="eastAsia" w:ascii="宋体" w:hAnsi="宋体" w:eastAsia="宋体" w:cs="宋体"/>
                <w:color w:val="auto"/>
                <w:spacing w:val="10"/>
                <w:sz w:val="24"/>
                <w:szCs w:val="24"/>
              </w:rPr>
              <w:t>(2)是否需要随样品提交相关检测报告</w:t>
            </w:r>
            <w:r>
              <w:rPr>
                <w:rFonts w:hint="eastAsia" w:ascii="宋体" w:hAnsi="宋体" w:eastAsia="宋体" w:cs="宋体"/>
                <w:color w:val="auto"/>
                <w:spacing w:val="6"/>
                <w:sz w:val="24"/>
                <w:szCs w:val="24"/>
              </w:rPr>
              <w:t>：</w:t>
            </w:r>
          </w:p>
          <w:p w14:paraId="0923AE51">
            <w:pPr>
              <w:pageBreakBefore w:val="0"/>
              <w:overflowPunct/>
              <w:topLinePunct w:val="0"/>
              <w:bidi w:val="0"/>
              <w:snapToGrid w:val="0"/>
              <w:spacing w:before="27" w:after="0" w:line="240" w:lineRule="auto"/>
              <w:ind w:left="120" w:firstLine="548" w:firstLineChars="200"/>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不需要</w:t>
            </w:r>
          </w:p>
          <w:p w14:paraId="51DD4E6E">
            <w:pPr>
              <w:pageBreakBefore w:val="0"/>
              <w:overflowPunct/>
              <w:topLinePunct w:val="0"/>
              <w:bidi w:val="0"/>
              <w:snapToGrid w:val="0"/>
              <w:spacing w:before="25" w:after="0" w:line="240" w:lineRule="auto"/>
              <w:ind w:left="726"/>
              <w:rPr>
                <w:rFonts w:hint="eastAsia" w:ascii="宋体" w:hAnsi="宋体" w:eastAsia="宋体" w:cs="宋体"/>
                <w:color w:val="auto"/>
                <w:sz w:val="24"/>
                <w:szCs w:val="24"/>
              </w:rPr>
            </w:pPr>
            <w:r>
              <w:rPr>
                <w:rFonts w:hint="eastAsia" w:ascii="宋体" w:hAnsi="宋体" w:eastAsia="宋体" w:cs="宋体"/>
                <w:color w:val="auto"/>
                <w:spacing w:val="21"/>
                <w:sz w:val="24"/>
                <w:szCs w:val="24"/>
              </w:rPr>
              <w:t>□</w:t>
            </w:r>
            <w:r>
              <w:rPr>
                <w:rFonts w:hint="eastAsia" w:ascii="宋体" w:hAnsi="宋体" w:eastAsia="宋体" w:cs="宋体"/>
                <w:color w:val="auto"/>
                <w:spacing w:val="19"/>
                <w:sz w:val="24"/>
                <w:szCs w:val="24"/>
              </w:rPr>
              <w:t>需要</w:t>
            </w:r>
          </w:p>
          <w:p w14:paraId="2BDA597D">
            <w:pPr>
              <w:pageBreakBefore w:val="0"/>
              <w:overflowPunct/>
              <w:topLinePunct w:val="0"/>
              <w:bidi w:val="0"/>
              <w:snapToGrid w:val="0"/>
              <w:spacing w:before="22"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(3)样品递交要求： _________；</w:t>
            </w:r>
          </w:p>
          <w:p w14:paraId="2E4DFF27">
            <w:pPr>
              <w:pageBreakBefore w:val="0"/>
              <w:overflowPunct/>
              <w:topLinePunct w:val="0"/>
              <w:bidi w:val="0"/>
              <w:snapToGrid w:val="0"/>
              <w:spacing w:before="28" w:after="0" w:line="240"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(4)未中标人样品退还： _________；</w:t>
            </w:r>
          </w:p>
          <w:p w14:paraId="569FDE4F">
            <w:pPr>
              <w:pageBreakBefore w:val="0"/>
              <w:overflowPunct/>
              <w:topLinePunct w:val="0"/>
              <w:bidi w:val="0"/>
              <w:snapToGrid w:val="0"/>
              <w:spacing w:before="27" w:after="0" w:line="276" w:lineRule="auto"/>
              <w:ind w:left="120"/>
              <w:rPr>
                <w:rFonts w:hint="eastAsia" w:ascii="宋体" w:hAnsi="宋体" w:eastAsia="宋体" w:cs="宋体"/>
                <w:color w:val="auto"/>
                <w:sz w:val="24"/>
                <w:szCs w:val="24"/>
              </w:rPr>
            </w:pPr>
            <w:r>
              <w:rPr>
                <w:rFonts w:hint="eastAsia" w:ascii="宋体" w:hAnsi="宋体" w:eastAsia="宋体" w:cs="宋体"/>
                <w:color w:val="auto"/>
                <w:sz w:val="24"/>
                <w:szCs w:val="24"/>
              </w:rPr>
              <w:t>(5)中标人样品保管、封存及退还： _________；</w:t>
            </w:r>
          </w:p>
          <w:p w14:paraId="57881D11">
            <w:pPr>
              <w:pageBreakBefore w:val="0"/>
              <w:overflowPunct/>
              <w:topLinePunct w:val="0"/>
              <w:bidi w:val="0"/>
              <w:snapToGrid w:val="0"/>
              <w:spacing w:before="28" w:after="0" w:line="276" w:lineRule="auto"/>
              <w:ind w:left="120"/>
              <w:rPr>
                <w:rFonts w:hint="eastAsia" w:ascii="宋体" w:hAnsi="宋体" w:eastAsia="宋体" w:cs="宋体"/>
                <w:color w:val="auto"/>
                <w:sz w:val="24"/>
                <w:szCs w:val="24"/>
              </w:rPr>
            </w:pPr>
            <w:r>
              <w:rPr>
                <w:rFonts w:hint="eastAsia" w:ascii="宋体" w:hAnsi="宋体" w:eastAsia="宋体" w:cs="宋体"/>
                <w:color w:val="auto"/>
                <w:spacing w:val="11"/>
                <w:sz w:val="24"/>
                <w:szCs w:val="24"/>
              </w:rPr>
              <w:t>(6)其他要求(如有)：_________</w:t>
            </w:r>
            <w:r>
              <w:rPr>
                <w:rFonts w:hint="eastAsia" w:ascii="宋体" w:hAnsi="宋体" w:eastAsia="宋体" w:cs="宋体"/>
                <w:color w:val="auto"/>
                <w:spacing w:val="9"/>
                <w:sz w:val="24"/>
                <w:szCs w:val="24"/>
              </w:rPr>
              <w:t>。</w:t>
            </w:r>
          </w:p>
        </w:tc>
      </w:tr>
      <w:tr w14:paraId="0A5D17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9" w:hRule="atLeast"/>
          <w:jc w:val="center"/>
        </w:trPr>
        <w:tc>
          <w:tcPr>
            <w:tcW w:w="992" w:type="dxa"/>
            <w:vMerge w:val="restart"/>
            <w:tcBorders>
              <w:top w:val="single" w:color="auto" w:sz="4" w:space="0"/>
              <w:left w:val="single" w:color="auto" w:sz="4" w:space="0"/>
              <w:bottom w:val="single" w:color="auto" w:sz="4" w:space="0"/>
              <w:right w:val="single" w:color="auto" w:sz="4" w:space="0"/>
            </w:tcBorders>
            <w:vAlign w:val="center"/>
          </w:tcPr>
          <w:p w14:paraId="5CF895AC">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2"/>
                <w:sz w:val="24"/>
                <w:szCs w:val="24"/>
              </w:rPr>
              <w:t>5</w:t>
            </w:r>
            <w:r>
              <w:rPr>
                <w:rFonts w:hint="eastAsia" w:ascii="宋体" w:hAnsi="宋体" w:eastAsia="宋体" w:cs="宋体"/>
                <w:color w:val="auto"/>
                <w:spacing w:val="11"/>
                <w:sz w:val="24"/>
                <w:szCs w:val="24"/>
              </w:rPr>
              <w:t>.2.5</w:t>
            </w:r>
          </w:p>
        </w:tc>
        <w:tc>
          <w:tcPr>
            <w:tcW w:w="1700" w:type="dxa"/>
            <w:vMerge w:val="restart"/>
            <w:tcBorders>
              <w:top w:val="single" w:color="auto" w:sz="4" w:space="0"/>
              <w:left w:val="single" w:color="auto" w:sz="4" w:space="0"/>
              <w:bottom w:val="single" w:color="auto" w:sz="4" w:space="0"/>
              <w:right w:val="single" w:color="auto" w:sz="4" w:space="0"/>
            </w:tcBorders>
            <w:vAlign w:val="center"/>
          </w:tcPr>
          <w:p w14:paraId="79EA73D4">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标的所</w:t>
            </w:r>
            <w:r>
              <w:rPr>
                <w:rFonts w:hint="eastAsia" w:ascii="宋体" w:hAnsi="宋体" w:eastAsia="宋体" w:cs="宋体"/>
                <w:color w:val="auto"/>
                <w:spacing w:val="-1"/>
                <w:sz w:val="24"/>
                <w:szCs w:val="24"/>
              </w:rPr>
              <w:t>属行业</w:t>
            </w:r>
          </w:p>
        </w:tc>
        <w:tc>
          <w:tcPr>
            <w:tcW w:w="7302" w:type="dxa"/>
            <w:gridSpan w:val="3"/>
            <w:tcBorders>
              <w:top w:val="single" w:color="auto" w:sz="4" w:space="0"/>
              <w:left w:val="single" w:color="auto" w:sz="4" w:space="0"/>
              <w:bottom w:val="single" w:color="auto" w:sz="4" w:space="0"/>
              <w:right w:val="single" w:color="auto" w:sz="4" w:space="0"/>
            </w:tcBorders>
            <w:vAlign w:val="center"/>
          </w:tcPr>
          <w:p w14:paraId="1EE15601">
            <w:pPr>
              <w:pageBreakBefore w:val="0"/>
              <w:overflowPunct/>
              <w:topLinePunct w:val="0"/>
              <w:bidi w:val="0"/>
              <w:snapToGrid w:val="0"/>
              <w:spacing w:before="44" w:after="0" w:line="276" w:lineRule="auto"/>
              <w:ind w:left="115"/>
              <w:rPr>
                <w:rFonts w:hint="eastAsia" w:ascii="宋体" w:hAnsi="宋体" w:eastAsia="宋体" w:cs="宋体"/>
                <w:color w:val="auto"/>
                <w:spacing w:val="-2"/>
                <w:sz w:val="24"/>
                <w:szCs w:val="24"/>
              </w:rPr>
            </w:pPr>
            <w:r>
              <w:rPr>
                <w:rFonts w:hint="eastAsia" w:ascii="宋体" w:hAnsi="宋体" w:eastAsia="宋体" w:cs="宋体"/>
                <w:color w:val="auto"/>
                <w:spacing w:val="-4"/>
                <w:sz w:val="24"/>
                <w:szCs w:val="24"/>
              </w:rPr>
              <w:t>本项目采购标的对</w:t>
            </w:r>
            <w:r>
              <w:rPr>
                <w:rFonts w:hint="eastAsia" w:ascii="宋体" w:hAnsi="宋体" w:eastAsia="宋体" w:cs="宋体"/>
                <w:color w:val="auto"/>
                <w:spacing w:val="-2"/>
                <w:sz w:val="24"/>
                <w:szCs w:val="24"/>
              </w:rPr>
              <w:t>应的中小企业划分标准所属行业：</w:t>
            </w:r>
          </w:p>
        </w:tc>
        <w:tc>
          <w:tcPr>
            <w:tcW w:w="240" w:type="dxa"/>
            <w:vMerge w:val="restart"/>
            <w:tcBorders>
              <w:left w:val="single" w:color="auto" w:sz="4" w:space="0"/>
              <w:bottom w:val="nil"/>
            </w:tcBorders>
            <w:vAlign w:val="center"/>
          </w:tcPr>
          <w:p w14:paraId="47B2DE90">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2AC63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jc w:val="center"/>
        </w:trPr>
        <w:tc>
          <w:tcPr>
            <w:tcW w:w="992" w:type="dxa"/>
            <w:vMerge w:val="continue"/>
            <w:tcBorders>
              <w:top w:val="single" w:color="auto" w:sz="4" w:space="0"/>
              <w:bottom w:val="nil"/>
            </w:tcBorders>
            <w:vAlign w:val="center"/>
          </w:tcPr>
          <w:p w14:paraId="7C294992">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single" w:color="auto" w:sz="4" w:space="0"/>
              <w:bottom w:val="nil"/>
            </w:tcBorders>
            <w:vAlign w:val="center"/>
          </w:tcPr>
          <w:p w14:paraId="6212BD16">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822" w:type="dxa"/>
            <w:tcBorders>
              <w:top w:val="single" w:color="auto" w:sz="4" w:space="0"/>
            </w:tcBorders>
            <w:vAlign w:val="center"/>
          </w:tcPr>
          <w:p w14:paraId="78664C21">
            <w:pPr>
              <w:pStyle w:val="31"/>
              <w:pageBreakBefore w:val="0"/>
              <w:overflowPunct/>
              <w:topLinePunct w:val="0"/>
              <w:bidi w:val="0"/>
              <w:snapToGrid w:val="0"/>
              <w:spacing w:before="119" w:after="0" w:line="221" w:lineRule="auto"/>
              <w:ind w:left="152"/>
              <w:rPr>
                <w:rFonts w:hint="eastAsia"/>
                <w:color w:val="auto"/>
                <w:spacing w:val="-2"/>
                <w:sz w:val="24"/>
                <w:szCs w:val="24"/>
                <w:lang w:eastAsia="zh-CN"/>
              </w:rPr>
            </w:pPr>
            <w:r>
              <w:rPr>
                <w:rFonts w:hint="eastAsia"/>
                <w:color w:val="auto"/>
                <w:spacing w:val="-2"/>
                <w:sz w:val="24"/>
                <w:szCs w:val="24"/>
                <w:lang w:eastAsia="zh-CN"/>
              </w:rPr>
              <w:t>包号</w:t>
            </w:r>
          </w:p>
        </w:tc>
        <w:tc>
          <w:tcPr>
            <w:tcW w:w="2853" w:type="dxa"/>
            <w:tcBorders>
              <w:top w:val="single" w:color="auto" w:sz="4" w:space="0"/>
            </w:tcBorders>
            <w:vAlign w:val="center"/>
          </w:tcPr>
          <w:p w14:paraId="3FE37035">
            <w:pPr>
              <w:pStyle w:val="31"/>
              <w:pageBreakBefore w:val="0"/>
              <w:overflowPunct/>
              <w:topLinePunct w:val="0"/>
              <w:bidi w:val="0"/>
              <w:snapToGrid w:val="0"/>
              <w:spacing w:before="119" w:after="0" w:line="220" w:lineRule="auto"/>
              <w:jc w:val="center"/>
              <w:rPr>
                <w:rFonts w:hint="eastAsia"/>
                <w:color w:val="auto"/>
                <w:spacing w:val="-2"/>
                <w:sz w:val="24"/>
                <w:szCs w:val="24"/>
                <w:lang w:eastAsia="zh-CN"/>
              </w:rPr>
            </w:pPr>
            <w:r>
              <w:rPr>
                <w:rFonts w:hint="eastAsia"/>
                <w:color w:val="auto"/>
                <w:spacing w:val="-2"/>
                <w:sz w:val="24"/>
                <w:szCs w:val="24"/>
                <w:lang w:eastAsia="zh-CN"/>
              </w:rPr>
              <w:t>标的名称</w:t>
            </w:r>
          </w:p>
        </w:tc>
        <w:tc>
          <w:tcPr>
            <w:tcW w:w="3627" w:type="dxa"/>
            <w:tcBorders>
              <w:top w:val="single" w:color="auto" w:sz="4" w:space="0"/>
            </w:tcBorders>
            <w:vAlign w:val="center"/>
          </w:tcPr>
          <w:p w14:paraId="0E1050E0">
            <w:pPr>
              <w:pStyle w:val="31"/>
              <w:pageBreakBefore w:val="0"/>
              <w:overflowPunct/>
              <w:topLinePunct w:val="0"/>
              <w:bidi w:val="0"/>
              <w:snapToGrid w:val="0"/>
              <w:spacing w:before="119" w:after="0" w:line="220" w:lineRule="auto"/>
              <w:ind w:left="207" w:firstLine="236" w:firstLineChars="100"/>
              <w:jc w:val="center"/>
              <w:rPr>
                <w:rFonts w:hint="eastAsia"/>
                <w:color w:val="auto"/>
                <w:spacing w:val="-2"/>
                <w:sz w:val="24"/>
                <w:szCs w:val="24"/>
                <w:lang w:eastAsia="zh-CN"/>
              </w:rPr>
            </w:pPr>
            <w:r>
              <w:rPr>
                <w:rFonts w:hint="eastAsia"/>
                <w:color w:val="auto"/>
                <w:spacing w:val="-2"/>
                <w:sz w:val="24"/>
                <w:szCs w:val="24"/>
                <w:lang w:eastAsia="zh-CN"/>
              </w:rPr>
              <w:t>中小企业划分标准所属行业</w:t>
            </w:r>
          </w:p>
        </w:tc>
        <w:tc>
          <w:tcPr>
            <w:tcW w:w="240" w:type="dxa"/>
            <w:vMerge w:val="continue"/>
            <w:tcBorders>
              <w:top w:val="nil"/>
              <w:bottom w:val="nil"/>
            </w:tcBorders>
            <w:vAlign w:val="center"/>
          </w:tcPr>
          <w:p w14:paraId="69FEE00F">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75B253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992" w:type="dxa"/>
            <w:vMerge w:val="continue"/>
            <w:tcBorders>
              <w:top w:val="nil"/>
              <w:bottom w:val="nil"/>
            </w:tcBorders>
            <w:vAlign w:val="center"/>
          </w:tcPr>
          <w:p w14:paraId="2476EFC7">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nil"/>
              <w:bottom w:val="nil"/>
            </w:tcBorders>
            <w:vAlign w:val="center"/>
          </w:tcPr>
          <w:p w14:paraId="3DDBCC05">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822" w:type="dxa"/>
            <w:vAlign w:val="center"/>
          </w:tcPr>
          <w:p w14:paraId="66343D0B">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01</w:t>
            </w:r>
          </w:p>
        </w:tc>
        <w:tc>
          <w:tcPr>
            <w:tcW w:w="2853" w:type="dxa"/>
            <w:vAlign w:val="center"/>
          </w:tcPr>
          <w:p w14:paraId="5875D992">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北京市南水北调大宁管理处水利工程日常维修养护-水工建筑物维修养护</w:t>
            </w:r>
          </w:p>
        </w:tc>
        <w:tc>
          <w:tcPr>
            <w:tcW w:w="3627" w:type="dxa"/>
            <w:vAlign w:val="center"/>
          </w:tcPr>
          <w:p w14:paraId="7D45A008">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其他未列明行业</w:t>
            </w:r>
          </w:p>
        </w:tc>
        <w:tc>
          <w:tcPr>
            <w:tcW w:w="240" w:type="dxa"/>
            <w:vMerge w:val="continue"/>
            <w:tcBorders>
              <w:top w:val="nil"/>
              <w:bottom w:val="nil"/>
            </w:tcBorders>
            <w:vAlign w:val="center"/>
          </w:tcPr>
          <w:p w14:paraId="3EA9C819">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12BA23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 w:hRule="atLeast"/>
          <w:jc w:val="center"/>
        </w:trPr>
        <w:tc>
          <w:tcPr>
            <w:tcW w:w="992" w:type="dxa"/>
            <w:vMerge w:val="continue"/>
            <w:tcBorders>
              <w:top w:val="nil"/>
            </w:tcBorders>
            <w:vAlign w:val="center"/>
          </w:tcPr>
          <w:p w14:paraId="75C05513">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1700" w:type="dxa"/>
            <w:vMerge w:val="continue"/>
            <w:tcBorders>
              <w:top w:val="nil"/>
            </w:tcBorders>
            <w:vAlign w:val="center"/>
          </w:tcPr>
          <w:p w14:paraId="2FCC3BBF">
            <w:pPr>
              <w:pageBreakBefore w:val="0"/>
              <w:overflowPunct/>
              <w:topLinePunct w:val="0"/>
              <w:bidi w:val="0"/>
              <w:snapToGrid w:val="0"/>
              <w:spacing w:after="0" w:line="276" w:lineRule="auto"/>
              <w:jc w:val="center"/>
              <w:rPr>
                <w:rFonts w:hint="eastAsia" w:ascii="宋体" w:hAnsi="宋体" w:eastAsia="宋体" w:cs="宋体"/>
                <w:color w:val="auto"/>
                <w:sz w:val="24"/>
                <w:szCs w:val="24"/>
              </w:rPr>
            </w:pPr>
          </w:p>
        </w:tc>
        <w:tc>
          <w:tcPr>
            <w:tcW w:w="7302" w:type="dxa"/>
            <w:gridSpan w:val="3"/>
            <w:tcBorders>
              <w:right w:val="nil"/>
            </w:tcBorders>
            <w:vAlign w:val="center"/>
          </w:tcPr>
          <w:p w14:paraId="2EC00B31">
            <w:pPr>
              <w:pageBreakBefore w:val="0"/>
              <w:overflowPunct/>
              <w:topLinePunct w:val="0"/>
              <w:bidi w:val="0"/>
              <w:snapToGrid w:val="0"/>
              <w:spacing w:after="0" w:line="276" w:lineRule="auto"/>
              <w:rPr>
                <w:rFonts w:hint="eastAsia" w:ascii="宋体" w:hAnsi="宋体" w:eastAsia="宋体" w:cs="宋体"/>
                <w:color w:val="auto"/>
                <w:sz w:val="24"/>
                <w:szCs w:val="24"/>
              </w:rPr>
            </w:pPr>
          </w:p>
        </w:tc>
        <w:tc>
          <w:tcPr>
            <w:tcW w:w="240" w:type="dxa"/>
            <w:vMerge w:val="continue"/>
            <w:tcBorders>
              <w:top w:val="nil"/>
            </w:tcBorders>
            <w:vAlign w:val="center"/>
          </w:tcPr>
          <w:p w14:paraId="29E15C96">
            <w:pPr>
              <w:pageBreakBefore w:val="0"/>
              <w:overflowPunct/>
              <w:topLinePunct w:val="0"/>
              <w:bidi w:val="0"/>
              <w:snapToGrid w:val="0"/>
              <w:spacing w:after="0" w:line="276" w:lineRule="auto"/>
              <w:rPr>
                <w:rFonts w:hint="eastAsia" w:ascii="宋体" w:hAnsi="宋体" w:eastAsia="宋体" w:cs="宋体"/>
                <w:color w:val="auto"/>
                <w:sz w:val="24"/>
                <w:szCs w:val="24"/>
              </w:rPr>
            </w:pPr>
          </w:p>
        </w:tc>
      </w:tr>
      <w:tr w14:paraId="67FBD2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79EC4852">
            <w:pPr>
              <w:pageBreakBefore w:val="0"/>
              <w:overflowPunct/>
              <w:topLinePunct w:val="0"/>
              <w:bidi w:val="0"/>
              <w:snapToGrid w:val="0"/>
              <w:spacing w:before="69"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10"/>
                <w:sz w:val="24"/>
                <w:szCs w:val="24"/>
              </w:rPr>
              <w:t>11.2</w:t>
            </w:r>
          </w:p>
        </w:tc>
        <w:tc>
          <w:tcPr>
            <w:tcW w:w="1700" w:type="dxa"/>
            <w:vAlign w:val="center"/>
          </w:tcPr>
          <w:p w14:paraId="695B2052">
            <w:pPr>
              <w:pageBreakBefore w:val="0"/>
              <w:overflowPunct/>
              <w:topLinePunct w:val="0"/>
              <w:bidi w:val="0"/>
              <w:snapToGrid w:val="0"/>
              <w:spacing w:before="78" w:after="0" w:line="276" w:lineRule="auto"/>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投</w:t>
            </w:r>
            <w:r>
              <w:rPr>
                <w:rFonts w:hint="eastAsia" w:ascii="宋体" w:hAnsi="宋体" w:eastAsia="宋体" w:cs="宋体"/>
                <w:color w:val="auto"/>
                <w:spacing w:val="-2"/>
                <w:sz w:val="24"/>
                <w:szCs w:val="24"/>
              </w:rPr>
              <w:t>标报价</w:t>
            </w:r>
          </w:p>
        </w:tc>
        <w:tc>
          <w:tcPr>
            <w:tcW w:w="7542" w:type="dxa"/>
            <w:gridSpan w:val="4"/>
            <w:vAlign w:val="center"/>
          </w:tcPr>
          <w:p w14:paraId="1DB0F003">
            <w:pPr>
              <w:pageBreakBefore w:val="0"/>
              <w:overflowPunct/>
              <w:topLinePunct w:val="0"/>
              <w:bidi w:val="0"/>
              <w:snapToGrid w:val="0"/>
              <w:spacing w:before="39" w:after="0" w:line="276" w:lineRule="auto"/>
              <w:ind w:left="117"/>
              <w:rPr>
                <w:rFonts w:hint="eastAsia" w:ascii="宋体" w:hAnsi="宋体" w:eastAsia="宋体" w:cs="宋体"/>
                <w:color w:val="auto"/>
                <w:sz w:val="24"/>
                <w:szCs w:val="24"/>
              </w:rPr>
            </w:pPr>
            <w:r>
              <w:rPr>
                <w:rFonts w:hint="eastAsia" w:ascii="宋体" w:hAnsi="宋体" w:eastAsia="宋体" w:cs="宋体"/>
                <w:color w:val="auto"/>
                <w:spacing w:val="-7"/>
                <w:sz w:val="24"/>
                <w:szCs w:val="24"/>
              </w:rPr>
              <w:t>投</w:t>
            </w:r>
            <w:r>
              <w:rPr>
                <w:rFonts w:hint="eastAsia" w:ascii="宋体" w:hAnsi="宋体" w:eastAsia="宋体" w:cs="宋体"/>
                <w:color w:val="auto"/>
                <w:spacing w:val="-6"/>
                <w:sz w:val="24"/>
                <w:szCs w:val="24"/>
              </w:rPr>
              <w:t>标报价的特殊规定：</w:t>
            </w:r>
          </w:p>
          <w:p w14:paraId="0409DFA0">
            <w:pPr>
              <w:pageBreakBefore w:val="0"/>
              <w:overflowPunct/>
              <w:topLinePunct w:val="0"/>
              <w:bidi w:val="0"/>
              <w:snapToGrid w:val="0"/>
              <w:spacing w:before="27"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29"/>
                <w:sz w:val="24"/>
                <w:szCs w:val="24"/>
              </w:rPr>
              <w:t>无</w:t>
            </w:r>
          </w:p>
          <w:p w14:paraId="7C03B2CB">
            <w:pPr>
              <w:pageBreakBefore w:val="0"/>
              <w:overflowPunct/>
              <w:topLinePunct w:val="0"/>
              <w:bidi w:val="0"/>
              <w:snapToGrid w:val="0"/>
              <w:spacing w:before="22"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9"/>
                <w:sz w:val="24"/>
                <w:szCs w:val="24"/>
              </w:rPr>
              <w:t>有</w:t>
            </w:r>
            <w:r>
              <w:rPr>
                <w:rFonts w:hint="eastAsia" w:ascii="宋体" w:hAnsi="宋体" w:eastAsia="宋体" w:cs="宋体"/>
                <w:color w:val="auto"/>
                <w:spacing w:val="-8"/>
                <w:sz w:val="24"/>
                <w:szCs w:val="24"/>
              </w:rPr>
              <w:t>，具体情形：</w:t>
            </w:r>
            <w:r>
              <w:rPr>
                <w:rFonts w:hint="eastAsia" w:ascii="宋体" w:hAnsi="宋体" w:eastAsia="宋体" w:cs="宋体"/>
                <w:color w:val="auto"/>
                <w:spacing w:val="-8"/>
                <w:sz w:val="24"/>
                <w:szCs w:val="24"/>
                <w:u w:val="single"/>
              </w:rPr>
              <w:t>/</w:t>
            </w:r>
            <w:r>
              <w:rPr>
                <w:rFonts w:hint="eastAsia" w:ascii="宋体" w:hAnsi="宋体" w:eastAsia="宋体" w:cs="宋体"/>
                <w:color w:val="auto"/>
                <w:spacing w:val="-8"/>
                <w:sz w:val="24"/>
                <w:szCs w:val="24"/>
              </w:rPr>
              <w:t>。</w:t>
            </w:r>
          </w:p>
        </w:tc>
      </w:tr>
      <w:tr w14:paraId="322650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6FD81CF">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12.1</w:t>
            </w:r>
          </w:p>
        </w:tc>
        <w:tc>
          <w:tcPr>
            <w:tcW w:w="1700" w:type="dxa"/>
            <w:vMerge w:val="restart"/>
            <w:vAlign w:val="center"/>
          </w:tcPr>
          <w:p w14:paraId="78935D52">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投标保证金</w:t>
            </w:r>
          </w:p>
        </w:tc>
        <w:tc>
          <w:tcPr>
            <w:tcW w:w="7542" w:type="dxa"/>
            <w:gridSpan w:val="4"/>
            <w:vAlign w:val="center"/>
          </w:tcPr>
          <w:p w14:paraId="1C3F8B8D">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投标保证金金额：</w:t>
            </w:r>
            <w:r>
              <w:rPr>
                <w:rFonts w:hint="eastAsia" w:ascii="宋体" w:hAnsi="宋体" w:eastAsia="宋体" w:cs="宋体"/>
                <w:color w:val="auto"/>
                <w:spacing w:val="-1"/>
                <w:sz w:val="24"/>
                <w:szCs w:val="24"/>
                <w:lang w:val="en-US" w:eastAsia="zh-CN" w:bidi="ar"/>
              </w:rPr>
              <w:t>5000</w:t>
            </w:r>
            <w:r>
              <w:rPr>
                <w:rFonts w:hint="eastAsia" w:ascii="宋体" w:hAnsi="宋体" w:eastAsia="宋体" w:cs="宋体"/>
                <w:color w:val="auto"/>
                <w:spacing w:val="-1"/>
                <w:sz w:val="24"/>
                <w:szCs w:val="24"/>
                <w:lang w:bidi="ar"/>
              </w:rPr>
              <w:t>元</w:t>
            </w:r>
          </w:p>
          <w:p w14:paraId="6B136365">
            <w:pPr>
              <w:pageBreakBefore w:val="0"/>
              <w:overflowPunct/>
              <w:topLinePunct w:val="0"/>
              <w:bidi w:val="0"/>
              <w:snapToGrid w:val="0"/>
              <w:spacing w:before="2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投标保证金收受人信息：</w:t>
            </w:r>
          </w:p>
          <w:p w14:paraId="72C4213B">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北京中域正信工程咨询有限公司</w:t>
            </w:r>
          </w:p>
          <w:p w14:paraId="35247EBF">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中国光大银行股份有限公司北京京广桥支行</w:t>
            </w:r>
          </w:p>
          <w:p w14:paraId="47AC228D">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35310180809799668</w:t>
            </w:r>
          </w:p>
          <w:p w14:paraId="5F06F106">
            <w:pPr>
              <w:pageBreakBefore w:val="0"/>
              <w:overflowPunct/>
              <w:topLinePunct w:val="0"/>
              <w:bidi w:val="0"/>
              <w:snapToGrid w:val="0"/>
              <w:spacing w:before="27" w:after="0" w:line="276" w:lineRule="auto"/>
              <w:ind w:left="117"/>
              <w:jc w:val="both"/>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备    注：投标保证金应当从其基本账户转出。</w:t>
            </w:r>
          </w:p>
        </w:tc>
      </w:tr>
      <w:tr w14:paraId="49DD08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77736D8">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3"/>
                <w:sz w:val="24"/>
                <w:szCs w:val="24"/>
              </w:rPr>
              <w:t>1</w:t>
            </w:r>
            <w:r>
              <w:rPr>
                <w:rFonts w:hint="eastAsia" w:ascii="宋体" w:hAnsi="宋体" w:eastAsia="宋体" w:cs="宋体"/>
                <w:color w:val="auto"/>
                <w:spacing w:val="11"/>
                <w:sz w:val="24"/>
                <w:szCs w:val="24"/>
              </w:rPr>
              <w:t>2.8.2</w:t>
            </w:r>
          </w:p>
        </w:tc>
        <w:tc>
          <w:tcPr>
            <w:tcW w:w="1700" w:type="dxa"/>
            <w:vMerge w:val="continue"/>
            <w:vAlign w:val="center"/>
          </w:tcPr>
          <w:p w14:paraId="65E15F24">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p>
        </w:tc>
        <w:tc>
          <w:tcPr>
            <w:tcW w:w="7542" w:type="dxa"/>
            <w:gridSpan w:val="4"/>
            <w:vAlign w:val="center"/>
          </w:tcPr>
          <w:p w14:paraId="27EE7189">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投标保证金可以不予退还的其他情形：</w:t>
            </w:r>
          </w:p>
          <w:p w14:paraId="31D5260E">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□无</w:t>
            </w:r>
          </w:p>
          <w:p w14:paraId="68069B86">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■有，具体情形：</w:t>
            </w:r>
          </w:p>
          <w:p w14:paraId="15A13568">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（一）</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在提交</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文件截止时间后撤回</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文件的；</w:t>
            </w:r>
          </w:p>
          <w:p w14:paraId="13AEFBCF">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（二）</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在</w:t>
            </w:r>
            <w:r>
              <w:rPr>
                <w:rFonts w:hint="eastAsia" w:ascii="宋体" w:hAnsi="宋体" w:eastAsia="宋体" w:cs="宋体"/>
                <w:color w:val="auto"/>
                <w:spacing w:val="-1"/>
                <w:sz w:val="24"/>
                <w:szCs w:val="24"/>
                <w:u w:val="single"/>
                <w:lang w:val="en-US" w:eastAsia="zh-CN" w:bidi="ar"/>
              </w:rPr>
              <w:t>投标</w:t>
            </w:r>
            <w:r>
              <w:rPr>
                <w:rFonts w:hint="eastAsia" w:ascii="宋体" w:hAnsi="宋体" w:eastAsia="宋体" w:cs="宋体"/>
                <w:color w:val="auto"/>
                <w:spacing w:val="-1"/>
                <w:sz w:val="24"/>
                <w:szCs w:val="24"/>
                <w:u w:val="single"/>
                <w:lang w:bidi="ar"/>
              </w:rPr>
              <w:t>文件中提供虚假材料的；</w:t>
            </w:r>
          </w:p>
          <w:p w14:paraId="0EE42E52">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（三）除因不可抗力或谈判文件、询价通知书认可的情形以外，</w:t>
            </w:r>
            <w:r>
              <w:rPr>
                <w:rFonts w:hint="eastAsia" w:ascii="宋体" w:hAnsi="宋体" w:eastAsia="宋体" w:cs="宋体"/>
                <w:color w:val="auto"/>
                <w:spacing w:val="-1"/>
                <w:sz w:val="24"/>
                <w:szCs w:val="24"/>
                <w:u w:val="single"/>
                <w:lang w:val="en-US" w:eastAsia="zh-CN" w:bidi="ar"/>
              </w:rPr>
              <w:t>中标人</w:t>
            </w:r>
            <w:r>
              <w:rPr>
                <w:rFonts w:hint="eastAsia" w:ascii="宋体" w:hAnsi="宋体" w:eastAsia="宋体" w:cs="宋体"/>
                <w:color w:val="auto"/>
                <w:spacing w:val="-1"/>
                <w:sz w:val="24"/>
                <w:szCs w:val="24"/>
                <w:u w:val="single"/>
                <w:lang w:bidi="ar"/>
              </w:rPr>
              <w:t>不与采购人签订合同的；</w:t>
            </w:r>
          </w:p>
          <w:p w14:paraId="3DE0422F">
            <w:pPr>
              <w:pageBreakBefore w:val="0"/>
              <w:overflowPunct/>
              <w:topLinePunct w:val="0"/>
              <w:bidi w:val="0"/>
              <w:snapToGrid w:val="0"/>
              <w:spacing w:before="36" w:after="0" w:line="276" w:lineRule="auto"/>
              <w:ind w:left="117"/>
              <w:rPr>
                <w:rFonts w:hint="eastAsia" w:ascii="宋体" w:hAnsi="宋体" w:eastAsia="宋体" w:cs="宋体"/>
                <w:color w:val="auto"/>
                <w:spacing w:val="-1"/>
                <w:sz w:val="24"/>
                <w:szCs w:val="24"/>
                <w:u w:val="single"/>
                <w:lang w:bidi="ar"/>
              </w:rPr>
            </w:pPr>
            <w:r>
              <w:rPr>
                <w:rFonts w:hint="eastAsia" w:ascii="宋体" w:hAnsi="宋体" w:eastAsia="宋体" w:cs="宋体"/>
                <w:color w:val="auto"/>
                <w:spacing w:val="-1"/>
                <w:sz w:val="24"/>
                <w:szCs w:val="24"/>
                <w:u w:val="single"/>
                <w:lang w:bidi="ar"/>
              </w:rPr>
              <w:t>（四）</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与采购人、其他</w:t>
            </w:r>
            <w:r>
              <w:rPr>
                <w:rFonts w:hint="eastAsia" w:ascii="宋体" w:hAnsi="宋体" w:eastAsia="宋体" w:cs="宋体"/>
                <w:color w:val="auto"/>
                <w:spacing w:val="-1"/>
                <w:sz w:val="24"/>
                <w:szCs w:val="24"/>
                <w:u w:val="single"/>
                <w:lang w:val="en-US" w:eastAsia="zh-CN" w:bidi="ar"/>
              </w:rPr>
              <w:t>投标人</w:t>
            </w:r>
            <w:r>
              <w:rPr>
                <w:rFonts w:hint="eastAsia" w:ascii="宋体" w:hAnsi="宋体" w:eastAsia="宋体" w:cs="宋体"/>
                <w:color w:val="auto"/>
                <w:spacing w:val="-1"/>
                <w:sz w:val="24"/>
                <w:szCs w:val="24"/>
                <w:u w:val="single"/>
                <w:lang w:bidi="ar"/>
              </w:rPr>
              <w:t>或者采购代理机构恶意串通的；</w:t>
            </w:r>
          </w:p>
          <w:p w14:paraId="452B8166">
            <w:pPr>
              <w:pageBreakBefore w:val="0"/>
              <w:overflowPunct/>
              <w:topLinePunct w:val="0"/>
              <w:bidi w:val="0"/>
              <w:snapToGrid w:val="0"/>
              <w:spacing w:before="36" w:after="0" w:line="276" w:lineRule="auto"/>
              <w:ind w:left="117"/>
              <w:rPr>
                <w:rFonts w:hint="eastAsia" w:ascii="宋体" w:hAnsi="宋体" w:eastAsia="宋体" w:cs="宋体"/>
                <w:color w:val="auto"/>
                <w:spacing w:val="-7"/>
                <w:sz w:val="24"/>
                <w:szCs w:val="24"/>
                <w:u w:val="single"/>
              </w:rPr>
            </w:pPr>
            <w:r>
              <w:rPr>
                <w:rFonts w:hint="eastAsia" w:ascii="宋体" w:hAnsi="宋体" w:eastAsia="宋体" w:cs="宋体"/>
                <w:color w:val="auto"/>
                <w:spacing w:val="-1"/>
                <w:sz w:val="24"/>
                <w:szCs w:val="24"/>
                <w:u w:val="single"/>
                <w:lang w:bidi="ar"/>
              </w:rPr>
              <w:t>（五）</w:t>
            </w:r>
            <w:r>
              <w:rPr>
                <w:rFonts w:hint="eastAsia" w:ascii="宋体" w:hAnsi="宋体" w:eastAsia="宋体" w:cs="宋体"/>
                <w:color w:val="auto"/>
                <w:spacing w:val="-1"/>
                <w:sz w:val="24"/>
                <w:szCs w:val="24"/>
                <w:u w:val="single"/>
                <w:lang w:val="en-US" w:eastAsia="zh-CN" w:bidi="ar"/>
              </w:rPr>
              <w:t>招标</w:t>
            </w:r>
            <w:r>
              <w:rPr>
                <w:rFonts w:hint="eastAsia" w:ascii="宋体" w:hAnsi="宋体" w:eastAsia="宋体" w:cs="宋体"/>
                <w:color w:val="auto"/>
                <w:spacing w:val="-1"/>
                <w:sz w:val="24"/>
                <w:szCs w:val="24"/>
                <w:u w:val="single"/>
                <w:lang w:bidi="ar"/>
              </w:rPr>
              <w:t>文件规定的其他情形。</w:t>
            </w:r>
          </w:p>
        </w:tc>
      </w:tr>
      <w:tr w14:paraId="6FF20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9B1E247">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13.1</w:t>
            </w:r>
          </w:p>
        </w:tc>
        <w:tc>
          <w:tcPr>
            <w:tcW w:w="1700" w:type="dxa"/>
            <w:vAlign w:val="center"/>
          </w:tcPr>
          <w:p w14:paraId="11D71D44">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投标有效期</w:t>
            </w:r>
          </w:p>
        </w:tc>
        <w:tc>
          <w:tcPr>
            <w:tcW w:w="7542" w:type="dxa"/>
            <w:gridSpan w:val="4"/>
            <w:vAlign w:val="center"/>
          </w:tcPr>
          <w:p w14:paraId="7B56AC97">
            <w:pPr>
              <w:pageBreakBefore w:val="0"/>
              <w:overflowPunct/>
              <w:topLinePunct w:val="0"/>
              <w:bidi w:val="0"/>
              <w:snapToGrid w:val="0"/>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自提交投标文件的截止之日起算90日历天。</w:t>
            </w:r>
          </w:p>
        </w:tc>
      </w:tr>
      <w:tr w14:paraId="28B63C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9957D6A">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r>
              <w:rPr>
                <w:rFonts w:hint="eastAsia" w:ascii="宋体" w:hAnsi="宋体" w:eastAsia="宋体" w:cs="宋体"/>
                <w:color w:val="auto"/>
                <w:spacing w:val="10"/>
                <w:sz w:val="24"/>
                <w:szCs w:val="24"/>
              </w:rPr>
              <w:t>18.2</w:t>
            </w:r>
          </w:p>
        </w:tc>
        <w:tc>
          <w:tcPr>
            <w:tcW w:w="1700" w:type="dxa"/>
            <w:vAlign w:val="center"/>
          </w:tcPr>
          <w:p w14:paraId="0AFEA58A">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解密时间</w:t>
            </w:r>
          </w:p>
        </w:tc>
        <w:tc>
          <w:tcPr>
            <w:tcW w:w="7542" w:type="dxa"/>
            <w:gridSpan w:val="4"/>
            <w:vAlign w:val="center"/>
          </w:tcPr>
          <w:p w14:paraId="2DA4BEFC">
            <w:pPr>
              <w:pageBreakBefore w:val="0"/>
              <w:overflowPunct/>
              <w:topLinePunct w:val="0"/>
              <w:bidi w:val="0"/>
              <w:snapToGrid w:val="0"/>
              <w:spacing w:before="37" w:after="0" w:line="276" w:lineRule="auto"/>
              <w:ind w:left="117"/>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解密时间：10分钟。（本项目采用纸质版文件线下递交）</w:t>
            </w:r>
          </w:p>
        </w:tc>
      </w:tr>
      <w:tr w14:paraId="485F4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DE08278">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2.1</w:t>
            </w:r>
          </w:p>
        </w:tc>
        <w:tc>
          <w:tcPr>
            <w:tcW w:w="1700" w:type="dxa"/>
            <w:vAlign w:val="center"/>
          </w:tcPr>
          <w:p w14:paraId="7C994449">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确定中</w:t>
            </w:r>
            <w:r>
              <w:rPr>
                <w:rFonts w:hint="eastAsia" w:ascii="宋体" w:hAnsi="宋体" w:eastAsia="宋体" w:cs="宋体"/>
                <w:color w:val="auto"/>
                <w:spacing w:val="-1"/>
                <w:sz w:val="24"/>
                <w:szCs w:val="24"/>
              </w:rPr>
              <w:t>标人</w:t>
            </w:r>
          </w:p>
        </w:tc>
        <w:tc>
          <w:tcPr>
            <w:tcW w:w="7542" w:type="dxa"/>
            <w:gridSpan w:val="4"/>
            <w:vAlign w:val="center"/>
          </w:tcPr>
          <w:p w14:paraId="3132A610">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采购人是否委托评标委员会确定中标人：</w:t>
            </w:r>
          </w:p>
          <w:p w14:paraId="1EEF822D">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■否</w:t>
            </w:r>
          </w:p>
          <w:p w14:paraId="468282E9">
            <w:pPr>
              <w:pageBreakBefore w:val="0"/>
              <w:overflowPunct/>
              <w:topLinePunct w:val="0"/>
              <w:bidi w:val="0"/>
              <w:snapToGrid w:val="0"/>
              <w:spacing w:after="0" w:line="276" w:lineRule="auto"/>
              <w:ind w:left="126"/>
              <w:rPr>
                <w:rFonts w:hint="eastAsia" w:ascii="宋体" w:hAnsi="宋体" w:eastAsia="宋体" w:cs="宋体"/>
                <w:color w:val="auto"/>
                <w:sz w:val="24"/>
                <w:szCs w:val="24"/>
              </w:rPr>
            </w:pPr>
            <w:bookmarkStart w:id="20" w:name="OLE_LINK14"/>
            <w:r>
              <w:rPr>
                <w:rFonts w:hint="eastAsia" w:ascii="宋体" w:hAnsi="宋体" w:eastAsia="宋体" w:cs="宋体"/>
                <w:color w:val="auto"/>
                <w:sz w:val="24"/>
                <w:szCs w:val="24"/>
              </w:rPr>
              <w:t>□</w:t>
            </w:r>
            <w:bookmarkEnd w:id="20"/>
            <w:r>
              <w:rPr>
                <w:rFonts w:hint="eastAsia" w:ascii="宋体" w:hAnsi="宋体" w:eastAsia="宋体" w:cs="宋体"/>
                <w:color w:val="auto"/>
                <w:sz w:val="24"/>
                <w:szCs w:val="24"/>
              </w:rPr>
              <w:t>是</w:t>
            </w:r>
          </w:p>
          <w:p w14:paraId="6D184BBE">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中标候选人并列的，按照以下方式确定中标人：</w:t>
            </w:r>
          </w:p>
          <w:p w14:paraId="50B84510">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■得分且投标报价均相同的，以</w:t>
            </w:r>
            <w:r>
              <w:rPr>
                <w:rFonts w:hint="eastAsia" w:ascii="宋体" w:hAnsi="宋体" w:eastAsia="宋体" w:cs="宋体"/>
                <w:color w:val="auto"/>
                <w:sz w:val="24"/>
                <w:szCs w:val="24"/>
                <w:u w:val="single"/>
              </w:rPr>
              <w:t>评审因素的量化指标评审</w:t>
            </w:r>
            <w:r>
              <w:rPr>
                <w:rFonts w:hint="eastAsia" w:ascii="宋体" w:hAnsi="宋体" w:eastAsia="宋体" w:cs="宋体"/>
                <w:color w:val="auto"/>
                <w:sz w:val="24"/>
                <w:szCs w:val="24"/>
              </w:rPr>
              <w:t>得分高者为中标人</w:t>
            </w:r>
          </w:p>
          <w:p w14:paraId="0894A788">
            <w:pPr>
              <w:pageBreakBefore w:val="0"/>
              <w:overflowPunct/>
              <w:topLinePunct w:val="0"/>
              <w:bidi w:val="0"/>
              <w:snapToGrid w:val="0"/>
              <w:spacing w:after="0" w:line="276" w:lineRule="auto"/>
              <w:ind w:left="126"/>
              <w:rPr>
                <w:rFonts w:hint="eastAsia" w:ascii="宋体" w:hAnsi="宋体" w:eastAsia="宋体" w:cs="宋体"/>
                <w:color w:val="auto"/>
                <w:sz w:val="24"/>
                <w:szCs w:val="24"/>
              </w:rPr>
            </w:pPr>
            <w:r>
              <w:rPr>
                <w:rFonts w:hint="eastAsia" w:ascii="宋体" w:hAnsi="宋体" w:eastAsia="宋体" w:cs="宋体"/>
                <w:color w:val="auto"/>
                <w:sz w:val="24"/>
                <w:szCs w:val="24"/>
              </w:rPr>
              <w:t>□随机抽取</w:t>
            </w:r>
          </w:p>
        </w:tc>
      </w:tr>
      <w:tr w14:paraId="0810E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1E4466B2">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5.5</w:t>
            </w:r>
          </w:p>
        </w:tc>
        <w:tc>
          <w:tcPr>
            <w:tcW w:w="1700" w:type="dxa"/>
            <w:vAlign w:val="center"/>
          </w:tcPr>
          <w:p w14:paraId="6F00B542">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分</w:t>
            </w:r>
            <w:r>
              <w:rPr>
                <w:rFonts w:hint="eastAsia" w:ascii="宋体" w:hAnsi="宋体" w:eastAsia="宋体" w:cs="宋体"/>
                <w:color w:val="auto"/>
                <w:spacing w:val="-3"/>
                <w:sz w:val="24"/>
                <w:szCs w:val="24"/>
              </w:rPr>
              <w:t>包</w:t>
            </w:r>
          </w:p>
        </w:tc>
        <w:tc>
          <w:tcPr>
            <w:tcW w:w="7542" w:type="dxa"/>
            <w:gridSpan w:val="4"/>
            <w:vAlign w:val="center"/>
          </w:tcPr>
          <w:p w14:paraId="62F0ED04">
            <w:pPr>
              <w:pageBreakBefore w:val="0"/>
              <w:overflowPunct/>
              <w:topLinePunct w:val="0"/>
              <w:bidi w:val="0"/>
              <w:snapToGrid w:val="0"/>
              <w:spacing w:after="0" w:line="276" w:lineRule="auto"/>
              <w:rPr>
                <w:rFonts w:hint="eastAsia" w:ascii="宋体" w:hAnsi="宋体" w:eastAsia="宋体"/>
                <w:color w:val="auto"/>
                <w:sz w:val="24"/>
              </w:rPr>
            </w:pPr>
            <w:r>
              <w:rPr>
                <w:rFonts w:ascii="宋体" w:hAnsi="宋体" w:eastAsia="宋体"/>
                <w:color w:val="auto"/>
                <w:sz w:val="24"/>
              </w:rPr>
              <w:t xml:space="preserve">本项目是否允许分包： </w:t>
            </w:r>
          </w:p>
          <w:p w14:paraId="3217D724">
            <w:pPr>
              <w:pageBreakBefore w:val="0"/>
              <w:overflowPunct/>
              <w:topLinePunct w:val="0"/>
              <w:bidi w:val="0"/>
              <w:snapToGrid w:val="0"/>
              <w:spacing w:after="0" w:line="276" w:lineRule="auto"/>
              <w:rPr>
                <w:rFonts w:hint="eastAsia" w:ascii="宋体" w:hAnsi="宋体" w:eastAsia="宋体"/>
                <w:color w:val="auto"/>
                <w:sz w:val="24"/>
              </w:rPr>
            </w:pPr>
            <w:r>
              <w:rPr>
                <w:rFonts w:hint="eastAsia" w:ascii="宋体" w:hAnsi="宋体" w:eastAsia="宋体"/>
                <w:b/>
                <w:color w:val="auto"/>
                <w:sz w:val="24"/>
              </w:rPr>
              <w:t>□</w:t>
            </w:r>
            <w:r>
              <w:rPr>
                <w:rFonts w:ascii="宋体" w:hAnsi="宋体" w:eastAsia="宋体"/>
                <w:color w:val="auto"/>
                <w:sz w:val="24"/>
              </w:rPr>
              <w:t>不允许</w:t>
            </w:r>
          </w:p>
          <w:p w14:paraId="708D51B4">
            <w:pPr>
              <w:pageBreakBefore w:val="0"/>
              <w:overflowPunct/>
              <w:topLinePunct w:val="0"/>
              <w:bidi w:val="0"/>
              <w:snapToGrid w:val="0"/>
              <w:spacing w:after="0" w:line="276" w:lineRule="auto"/>
              <w:rPr>
                <w:rFonts w:hint="eastAsia" w:ascii="宋体" w:hAnsi="宋体" w:eastAsia="宋体"/>
                <w:color w:val="auto"/>
                <w:sz w:val="24"/>
              </w:rPr>
            </w:pPr>
            <w:r>
              <w:rPr>
                <w:rFonts w:ascii="宋体" w:hAnsi="宋体" w:eastAsia="宋体"/>
                <w:b/>
                <w:color w:val="auto"/>
                <w:sz w:val="24"/>
              </w:rPr>
              <w:t>■</w:t>
            </w:r>
            <w:r>
              <w:rPr>
                <w:rFonts w:ascii="宋体" w:hAnsi="宋体" w:eastAsia="宋体"/>
                <w:color w:val="auto"/>
                <w:sz w:val="24"/>
              </w:rPr>
              <w:t>允许，具体要求：</w:t>
            </w:r>
          </w:p>
          <w:p w14:paraId="0E36542B">
            <w:pPr>
              <w:pageBreakBefore w:val="0"/>
              <w:overflowPunct/>
              <w:topLinePunct w:val="0"/>
              <w:bidi w:val="0"/>
              <w:snapToGrid w:val="0"/>
              <w:spacing w:after="0" w:line="276" w:lineRule="auto"/>
              <w:rPr>
                <w:rFonts w:hint="eastAsia" w:ascii="宋体" w:hAnsi="宋体" w:eastAsia="宋体"/>
                <w:color w:val="auto"/>
                <w:sz w:val="24"/>
              </w:rPr>
            </w:pPr>
            <w:r>
              <w:rPr>
                <w:rFonts w:ascii="宋体" w:hAnsi="宋体" w:eastAsia="宋体"/>
                <w:color w:val="auto"/>
                <w:sz w:val="24"/>
              </w:rPr>
              <w:t>（1）可以分包履行的具体内容：</w:t>
            </w:r>
            <w:r>
              <w:rPr>
                <w:rFonts w:hint="eastAsia" w:ascii="宋体" w:hAnsi="宋体" w:eastAsia="宋体"/>
                <w:color w:val="auto"/>
                <w:sz w:val="24"/>
                <w:lang w:eastAsia="zh-CN"/>
              </w:rPr>
              <w:t>劳务</w:t>
            </w:r>
            <w:r>
              <w:rPr>
                <w:rFonts w:hint="eastAsia" w:ascii="宋体" w:hAnsi="宋体" w:eastAsia="宋体"/>
                <w:color w:val="auto"/>
                <w:sz w:val="24"/>
                <w:lang w:val="en-US" w:eastAsia="zh-CN"/>
              </w:rPr>
              <w:t>，</w:t>
            </w:r>
            <w:r>
              <w:rPr>
                <w:rFonts w:hint="eastAsia" w:ascii="宋体" w:hAnsi="宋体" w:eastAsia="宋体"/>
                <w:color w:val="auto"/>
                <w:sz w:val="24"/>
                <w:lang w:eastAsia="zh-CN"/>
              </w:rPr>
              <w:t>电梯</w:t>
            </w:r>
            <w:r>
              <w:rPr>
                <w:rFonts w:hint="eastAsia" w:ascii="宋体" w:hAnsi="宋体" w:eastAsia="宋体"/>
                <w:color w:val="auto"/>
                <w:sz w:val="24"/>
                <w:lang w:val="en-US" w:eastAsia="zh-CN"/>
              </w:rPr>
              <w:t>维护</w:t>
            </w:r>
            <w:r>
              <w:rPr>
                <w:rFonts w:hint="eastAsia" w:ascii="宋体" w:hAnsi="宋体" w:eastAsia="宋体"/>
                <w:color w:val="auto"/>
                <w:sz w:val="24"/>
                <w:lang w:eastAsia="zh-CN"/>
              </w:rPr>
              <w:t>、中央空调</w:t>
            </w:r>
            <w:r>
              <w:rPr>
                <w:rFonts w:hint="eastAsia" w:ascii="宋体" w:hAnsi="宋体" w:eastAsia="宋体"/>
                <w:color w:val="auto"/>
                <w:sz w:val="24"/>
                <w:lang w:val="en-US" w:eastAsia="zh-CN"/>
              </w:rPr>
              <w:t>维护</w:t>
            </w:r>
            <w:r>
              <w:rPr>
                <w:rFonts w:hint="eastAsia" w:ascii="宋体" w:hAnsi="宋体" w:eastAsia="宋体"/>
                <w:color w:val="auto"/>
                <w:sz w:val="24"/>
                <w:lang w:eastAsia="zh-CN"/>
              </w:rPr>
              <w:t>、排风系统</w:t>
            </w:r>
            <w:r>
              <w:rPr>
                <w:rFonts w:hint="eastAsia" w:ascii="宋体" w:hAnsi="宋体" w:eastAsia="宋体"/>
                <w:color w:val="auto"/>
                <w:sz w:val="24"/>
                <w:lang w:val="en-US" w:eastAsia="zh-CN"/>
              </w:rPr>
              <w:t>维护</w:t>
            </w:r>
            <w:r>
              <w:rPr>
                <w:rFonts w:hint="eastAsia" w:ascii="宋体" w:hAnsi="宋体" w:eastAsia="宋体"/>
                <w:color w:val="auto"/>
                <w:sz w:val="24"/>
                <w:lang w:eastAsia="zh-CN"/>
              </w:rPr>
              <w:t>、</w:t>
            </w:r>
            <w:r>
              <w:rPr>
                <w:rFonts w:hint="eastAsia" w:ascii="宋体" w:hAnsi="宋体" w:eastAsia="宋体"/>
                <w:color w:val="auto"/>
                <w:sz w:val="24"/>
                <w:lang w:val="en-US" w:eastAsia="zh-CN"/>
              </w:rPr>
              <w:t>防雷检测、消电检、灭火器检测维护</w:t>
            </w:r>
            <w:r>
              <w:rPr>
                <w:rFonts w:hint="eastAsia" w:ascii="宋体" w:hAnsi="宋体" w:eastAsia="宋体"/>
                <w:color w:val="auto"/>
                <w:sz w:val="24"/>
                <w:lang w:eastAsia="zh-CN"/>
              </w:rPr>
              <w:t>、</w:t>
            </w:r>
            <w:r>
              <w:rPr>
                <w:rFonts w:hint="eastAsia" w:ascii="宋体" w:hAnsi="宋体" w:eastAsia="宋体"/>
                <w:color w:val="auto"/>
                <w:sz w:val="24"/>
                <w:lang w:val="en-US" w:eastAsia="zh-CN"/>
              </w:rPr>
              <w:t>污水处理设施维护、网络设备设施维护、特种设备检测维护等</w:t>
            </w:r>
            <w:r>
              <w:rPr>
                <w:rFonts w:hint="eastAsia" w:ascii="宋体" w:hAnsi="宋体" w:eastAsia="宋体"/>
                <w:color w:val="auto"/>
                <w:sz w:val="24"/>
                <w:lang w:eastAsia="zh-CN"/>
              </w:rPr>
              <w:t>专业</w:t>
            </w:r>
            <w:r>
              <w:rPr>
                <w:rFonts w:hint="eastAsia" w:ascii="宋体" w:hAnsi="宋体" w:eastAsia="宋体"/>
                <w:color w:val="auto"/>
                <w:sz w:val="24"/>
                <w:lang w:val="en-US" w:eastAsia="zh-CN"/>
              </w:rPr>
              <w:t>类检测</w:t>
            </w:r>
            <w:r>
              <w:rPr>
                <w:rFonts w:hint="eastAsia" w:ascii="宋体" w:hAnsi="宋体" w:eastAsia="宋体"/>
                <w:color w:val="auto"/>
                <w:sz w:val="24"/>
                <w:lang w:eastAsia="zh-CN"/>
              </w:rPr>
              <w:t>维护</w:t>
            </w:r>
            <w:r>
              <w:rPr>
                <w:rFonts w:ascii="宋体" w:hAnsi="宋体" w:eastAsia="宋体"/>
                <w:color w:val="auto"/>
                <w:sz w:val="24"/>
              </w:rPr>
              <w:t>；</w:t>
            </w:r>
          </w:p>
          <w:p w14:paraId="72479EC1">
            <w:pPr>
              <w:pageBreakBefore w:val="0"/>
              <w:overflowPunct/>
              <w:topLinePunct w:val="0"/>
              <w:bidi w:val="0"/>
              <w:snapToGrid w:val="0"/>
              <w:spacing w:after="0" w:line="276" w:lineRule="auto"/>
              <w:rPr>
                <w:rFonts w:hint="eastAsia" w:ascii="宋体" w:hAnsi="宋体" w:eastAsia="宋体"/>
                <w:color w:val="auto"/>
                <w:sz w:val="24"/>
              </w:rPr>
            </w:pPr>
            <w:r>
              <w:rPr>
                <w:rFonts w:ascii="宋体" w:hAnsi="宋体" w:eastAsia="宋体"/>
                <w:color w:val="auto"/>
                <w:sz w:val="24"/>
              </w:rPr>
              <w:t>（2）允许分包的金额或者比例：</w:t>
            </w:r>
            <w:r>
              <w:rPr>
                <w:rFonts w:hint="eastAsia" w:ascii="宋体" w:hAnsi="宋体" w:eastAsia="宋体"/>
                <w:color w:val="auto"/>
                <w:sz w:val="24"/>
                <w:lang w:val="en-US" w:eastAsia="zh-CN"/>
              </w:rPr>
              <w:t>不高于40%</w:t>
            </w:r>
            <w:r>
              <w:rPr>
                <w:rFonts w:ascii="宋体" w:hAnsi="宋体" w:eastAsia="宋体"/>
                <w:color w:val="auto"/>
                <w:sz w:val="24"/>
              </w:rPr>
              <w:t>；</w:t>
            </w:r>
          </w:p>
          <w:p w14:paraId="2587942B">
            <w:pPr>
              <w:pageBreakBefore w:val="0"/>
              <w:overflowPunct/>
              <w:topLinePunct w:val="0"/>
              <w:bidi w:val="0"/>
              <w:snapToGrid w:val="0"/>
              <w:spacing w:before="37" w:after="0" w:line="276" w:lineRule="auto"/>
              <w:rPr>
                <w:rFonts w:hint="eastAsia" w:ascii="宋体" w:hAnsi="宋体" w:eastAsia="宋体" w:cs="宋体"/>
                <w:color w:val="auto"/>
                <w:spacing w:val="1"/>
                <w:sz w:val="24"/>
                <w:szCs w:val="24"/>
              </w:rPr>
            </w:pPr>
            <w:r>
              <w:rPr>
                <w:rFonts w:ascii="宋体" w:hAnsi="宋体" w:eastAsia="宋体"/>
                <w:color w:val="auto"/>
                <w:sz w:val="24"/>
              </w:rPr>
              <w:t>（3）其他要求：</w:t>
            </w:r>
            <w:r>
              <w:rPr>
                <w:rFonts w:hint="eastAsia" w:ascii="宋体" w:hAnsi="宋体" w:eastAsia="宋体" w:cs="Arial"/>
                <w:i w:val="0"/>
                <w:iCs w:val="0"/>
                <w:caps w:val="0"/>
                <w:snapToGrid w:val="0"/>
                <w:color w:val="auto"/>
                <w:spacing w:val="0"/>
                <w:kern w:val="0"/>
                <w:sz w:val="24"/>
                <w:szCs w:val="21"/>
                <w:shd w:val="clear"/>
                <w:lang w:val="en-US" w:eastAsia="zh-CN" w:bidi="ar"/>
              </w:rPr>
              <w:t>分包必须取得采购人的同意；分包应专门面向小微企业；依法分包，法律法规有明确关于分包的规定必须遵守；合同的履约依法需要相关市场准入法定资格资质的，分包供应商必须具有法律法规规定资格条件和相应资格资质。</w:t>
            </w:r>
          </w:p>
        </w:tc>
      </w:tr>
      <w:tr w14:paraId="7EFCBD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49" w:hRule="atLeast"/>
          <w:jc w:val="center"/>
        </w:trPr>
        <w:tc>
          <w:tcPr>
            <w:tcW w:w="992" w:type="dxa"/>
            <w:vAlign w:val="center"/>
          </w:tcPr>
          <w:p w14:paraId="237AC960">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25.6</w:t>
            </w:r>
          </w:p>
        </w:tc>
        <w:tc>
          <w:tcPr>
            <w:tcW w:w="1700" w:type="dxa"/>
            <w:vAlign w:val="center"/>
          </w:tcPr>
          <w:p w14:paraId="3244276F">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政采贷</w:t>
            </w:r>
          </w:p>
        </w:tc>
        <w:tc>
          <w:tcPr>
            <w:tcW w:w="7542" w:type="dxa"/>
            <w:gridSpan w:val="4"/>
            <w:vAlign w:val="center"/>
          </w:tcPr>
          <w:p w14:paraId="725272DE">
            <w:pPr>
              <w:pageBreakBefore w:val="0"/>
              <w:overflowPunct/>
              <w:topLinePunct w:val="0"/>
              <w:bidi w:val="0"/>
              <w:snapToGrid w:val="0"/>
              <w:spacing w:before="37" w:after="0" w:line="276" w:lineRule="auto"/>
              <w:ind w:left="117"/>
              <w:rPr>
                <w:rFonts w:hint="eastAsia" w:ascii="宋体" w:hAnsi="宋体" w:eastAsia="宋体"/>
                <w:color w:val="auto"/>
                <w:sz w:val="24"/>
              </w:rPr>
            </w:pPr>
            <w:r>
              <w:rPr>
                <w:rFonts w:hint="eastAsia" w:ascii="宋体" w:hAnsi="宋体" w:eastAsia="宋体"/>
                <w:color w:val="auto"/>
                <w:sz w:val="24"/>
              </w:rPr>
              <w:t>为更大力度激发市场活力和社会创造力，增强发展动力，按照《北京市全面优化营商环境助力企业高质量发展实施方案》（京政办发〔2023〕8 号）部署，进一步加强政府采购合同线上融资“一站式”服务（以下简称“政采贷”），北京市财政局、中国人民银行营业管理部联合发布《关于推进政府采购合同线上融资有关工作的通知》（京财采购〔2023〕637 号）。有需求的供应商，可按上述通知要求办理“政采贷”。</w:t>
            </w:r>
          </w:p>
        </w:tc>
      </w:tr>
      <w:tr w14:paraId="1C752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3E625CF1">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26.1.</w:t>
            </w:r>
            <w:r>
              <w:rPr>
                <w:rFonts w:hint="eastAsia" w:ascii="宋体" w:hAnsi="宋体" w:eastAsia="宋体" w:cs="宋体"/>
                <w:color w:val="auto"/>
                <w:spacing w:val="12"/>
                <w:sz w:val="24"/>
                <w:szCs w:val="24"/>
              </w:rPr>
              <w:t>1</w:t>
            </w:r>
          </w:p>
        </w:tc>
        <w:tc>
          <w:tcPr>
            <w:tcW w:w="1700" w:type="dxa"/>
            <w:vAlign w:val="center"/>
          </w:tcPr>
          <w:p w14:paraId="6F9A917F">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3"/>
                <w:sz w:val="24"/>
                <w:szCs w:val="24"/>
              </w:rPr>
              <w:t>询</w:t>
            </w:r>
            <w:r>
              <w:rPr>
                <w:rFonts w:hint="eastAsia" w:ascii="宋体" w:hAnsi="宋体" w:eastAsia="宋体" w:cs="宋体"/>
                <w:color w:val="auto"/>
                <w:spacing w:val="-2"/>
                <w:sz w:val="24"/>
                <w:szCs w:val="24"/>
              </w:rPr>
              <w:t>问</w:t>
            </w:r>
          </w:p>
        </w:tc>
        <w:tc>
          <w:tcPr>
            <w:tcW w:w="7542" w:type="dxa"/>
            <w:gridSpan w:val="4"/>
            <w:vAlign w:val="center"/>
          </w:tcPr>
          <w:p w14:paraId="333818EF">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5"/>
                <w:sz w:val="24"/>
                <w:szCs w:val="24"/>
              </w:rPr>
              <w:t>询</w:t>
            </w:r>
            <w:r>
              <w:rPr>
                <w:rFonts w:hint="eastAsia" w:ascii="宋体" w:hAnsi="宋体" w:eastAsia="宋体" w:cs="宋体"/>
                <w:color w:val="auto"/>
                <w:spacing w:val="-14"/>
                <w:sz w:val="24"/>
                <w:szCs w:val="24"/>
              </w:rPr>
              <w:t>问送达形式：</w:t>
            </w:r>
            <w:r>
              <w:rPr>
                <w:rFonts w:hint="eastAsia" w:ascii="宋体" w:hAnsi="宋体" w:eastAsia="宋体" w:cs="宋体"/>
                <w:color w:val="auto"/>
                <w:spacing w:val="-1"/>
                <w:sz w:val="24"/>
                <w:szCs w:val="24"/>
                <w:lang w:bidi="ar"/>
              </w:rPr>
              <w:t>书面形式（以加盖供应商公章的书面文件提出，直接送达采购代理机构）。</w:t>
            </w:r>
          </w:p>
        </w:tc>
      </w:tr>
      <w:tr w14:paraId="4F56D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47DC7BB">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2</w:t>
            </w:r>
            <w:r>
              <w:rPr>
                <w:rFonts w:hint="eastAsia" w:ascii="宋体" w:hAnsi="宋体" w:eastAsia="宋体" w:cs="宋体"/>
                <w:color w:val="auto"/>
                <w:spacing w:val="12"/>
                <w:sz w:val="24"/>
                <w:szCs w:val="24"/>
              </w:rPr>
              <w:t>6.3</w:t>
            </w:r>
          </w:p>
        </w:tc>
        <w:tc>
          <w:tcPr>
            <w:tcW w:w="1700" w:type="dxa"/>
            <w:vAlign w:val="center"/>
          </w:tcPr>
          <w:p w14:paraId="51865BB4">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联系方式</w:t>
            </w:r>
          </w:p>
        </w:tc>
        <w:tc>
          <w:tcPr>
            <w:tcW w:w="7542" w:type="dxa"/>
            <w:gridSpan w:val="4"/>
            <w:vAlign w:val="center"/>
          </w:tcPr>
          <w:p w14:paraId="3D4D4D09">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接收询问和质疑的联系方式</w:t>
            </w:r>
          </w:p>
          <w:p w14:paraId="13E3B014">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联系部门：</w:t>
            </w:r>
            <w:r>
              <w:rPr>
                <w:rFonts w:hint="eastAsia" w:ascii="宋体" w:hAnsi="宋体" w:eastAsia="宋体" w:cs="宋体"/>
                <w:color w:val="auto"/>
                <w:spacing w:val="-1"/>
                <w:sz w:val="24"/>
                <w:szCs w:val="24"/>
                <w:lang w:val="en-US" w:eastAsia="zh-CN" w:bidi="ar"/>
              </w:rPr>
              <w:t>崔梦雪</w:t>
            </w:r>
            <w:r>
              <w:rPr>
                <w:rFonts w:hint="eastAsia" w:ascii="宋体" w:hAnsi="宋体" w:eastAsia="宋体" w:cs="宋体"/>
                <w:color w:val="auto"/>
                <w:spacing w:val="-1"/>
                <w:sz w:val="24"/>
                <w:szCs w:val="24"/>
                <w:lang w:bidi="ar"/>
              </w:rPr>
              <w:t>；</w:t>
            </w:r>
          </w:p>
          <w:p w14:paraId="07949C9F">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lang w:bidi="ar"/>
              </w:rPr>
              <w:t>联系电话：15</w:t>
            </w:r>
            <w:r>
              <w:rPr>
                <w:rFonts w:hint="eastAsia" w:ascii="宋体" w:hAnsi="宋体" w:eastAsia="宋体" w:cs="宋体"/>
                <w:color w:val="auto"/>
                <w:spacing w:val="-1"/>
                <w:sz w:val="24"/>
                <w:szCs w:val="24"/>
                <w:lang w:val="en-US" w:eastAsia="zh-CN" w:bidi="ar"/>
              </w:rPr>
              <w:t>632222896</w:t>
            </w:r>
            <w:r>
              <w:rPr>
                <w:rFonts w:hint="eastAsia" w:ascii="宋体" w:hAnsi="宋体" w:eastAsia="宋体" w:cs="宋体"/>
                <w:color w:val="auto"/>
                <w:spacing w:val="-1"/>
                <w:sz w:val="24"/>
                <w:szCs w:val="24"/>
                <w:lang w:bidi="ar"/>
              </w:rPr>
              <w:t>；</w:t>
            </w:r>
          </w:p>
          <w:p w14:paraId="6A23B83E">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pacing w:val="-1"/>
                <w:sz w:val="24"/>
                <w:szCs w:val="24"/>
                <w:lang w:bidi="ar"/>
              </w:rPr>
              <w:t>通讯地址：北京市昌平区碧水庄园3-20。</w:t>
            </w:r>
          </w:p>
        </w:tc>
      </w:tr>
      <w:tr w14:paraId="5B4B7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2CAC6826">
            <w:pPr>
              <w:pageBreakBefore w:val="0"/>
              <w:overflowPunct/>
              <w:topLinePunct w:val="0"/>
              <w:bidi w:val="0"/>
              <w:snapToGrid w:val="0"/>
              <w:spacing w:before="69" w:after="0" w:line="276" w:lineRule="auto"/>
              <w:jc w:val="center"/>
              <w:rPr>
                <w:rFonts w:hint="eastAsia" w:ascii="宋体" w:hAnsi="宋体" w:eastAsia="宋体" w:cs="宋体"/>
                <w:color w:val="auto"/>
                <w:spacing w:val="13"/>
                <w:sz w:val="24"/>
                <w:szCs w:val="24"/>
              </w:rPr>
            </w:pPr>
            <w:r>
              <w:rPr>
                <w:rFonts w:hint="eastAsia" w:ascii="宋体" w:hAnsi="宋体" w:eastAsia="宋体" w:cs="宋体"/>
                <w:color w:val="auto"/>
                <w:spacing w:val="10"/>
                <w:sz w:val="24"/>
                <w:szCs w:val="24"/>
              </w:rPr>
              <w:t>2</w:t>
            </w:r>
            <w:r>
              <w:rPr>
                <w:rFonts w:hint="eastAsia" w:ascii="宋体" w:hAnsi="宋体" w:eastAsia="宋体" w:cs="宋体"/>
                <w:color w:val="auto"/>
                <w:spacing w:val="9"/>
                <w:sz w:val="24"/>
                <w:szCs w:val="24"/>
              </w:rPr>
              <w:t>7</w:t>
            </w:r>
          </w:p>
        </w:tc>
        <w:tc>
          <w:tcPr>
            <w:tcW w:w="1700" w:type="dxa"/>
            <w:vAlign w:val="center"/>
          </w:tcPr>
          <w:p w14:paraId="140B4ECD">
            <w:pPr>
              <w:pageBreakBefore w:val="0"/>
              <w:overflowPunct/>
              <w:topLinePunct w:val="0"/>
              <w:bidi w:val="0"/>
              <w:snapToGrid w:val="0"/>
              <w:spacing w:before="78" w:after="0" w:line="276" w:lineRule="auto"/>
              <w:jc w:val="center"/>
              <w:rPr>
                <w:rFonts w:hint="eastAsia" w:ascii="宋体" w:hAnsi="宋体" w:eastAsia="宋体" w:cs="宋体"/>
                <w:color w:val="auto"/>
                <w:spacing w:val="-4"/>
                <w:sz w:val="24"/>
                <w:szCs w:val="24"/>
              </w:rPr>
            </w:pPr>
            <w:r>
              <w:rPr>
                <w:rFonts w:hint="eastAsia" w:ascii="宋体" w:hAnsi="宋体" w:eastAsia="宋体" w:cs="宋体"/>
                <w:color w:val="auto"/>
                <w:spacing w:val="-2"/>
                <w:sz w:val="24"/>
                <w:szCs w:val="24"/>
              </w:rPr>
              <w:t>代理费</w:t>
            </w:r>
          </w:p>
        </w:tc>
        <w:tc>
          <w:tcPr>
            <w:tcW w:w="7542" w:type="dxa"/>
            <w:gridSpan w:val="4"/>
            <w:vAlign w:val="center"/>
          </w:tcPr>
          <w:p w14:paraId="6D8960BA">
            <w:pPr>
              <w:pageBreakBefore w:val="0"/>
              <w:overflowPunct/>
              <w:topLinePunct w:val="0"/>
              <w:bidi w:val="0"/>
              <w:snapToGrid w:val="0"/>
              <w:spacing w:before="40" w:after="0" w:line="276" w:lineRule="auto"/>
              <w:ind w:left="122"/>
              <w:rPr>
                <w:rFonts w:hint="eastAsia" w:ascii="宋体" w:hAnsi="宋体" w:eastAsia="宋体" w:cs="宋体"/>
                <w:color w:val="auto"/>
                <w:sz w:val="24"/>
                <w:szCs w:val="24"/>
              </w:rPr>
            </w:pPr>
            <w:r>
              <w:rPr>
                <w:rFonts w:hint="eastAsia" w:ascii="宋体" w:hAnsi="宋体" w:eastAsia="宋体" w:cs="宋体"/>
                <w:color w:val="auto"/>
                <w:spacing w:val="-15"/>
                <w:sz w:val="24"/>
                <w:szCs w:val="24"/>
              </w:rPr>
              <w:t>收</w:t>
            </w:r>
            <w:r>
              <w:rPr>
                <w:rFonts w:hint="eastAsia" w:ascii="宋体" w:hAnsi="宋体" w:eastAsia="宋体" w:cs="宋体"/>
                <w:color w:val="auto"/>
                <w:spacing w:val="-11"/>
                <w:sz w:val="24"/>
                <w:szCs w:val="24"/>
              </w:rPr>
              <w:t>费对象：</w:t>
            </w:r>
          </w:p>
          <w:p w14:paraId="54AABC9C">
            <w:pPr>
              <w:pageBreakBefore w:val="0"/>
              <w:overflowPunct/>
              <w:topLinePunct w:val="0"/>
              <w:bidi w:val="0"/>
              <w:snapToGrid w:val="0"/>
              <w:spacing w:before="26" w:after="0" w:line="276" w:lineRule="auto"/>
              <w:ind w:left="126"/>
              <w:rPr>
                <w:rFonts w:hint="eastAsia" w:ascii="宋体" w:hAnsi="宋体" w:eastAsia="宋体" w:cs="宋体"/>
                <w:color w:val="auto"/>
                <w:sz w:val="24"/>
                <w:szCs w:val="24"/>
              </w:rPr>
            </w:pPr>
            <w:r>
              <w:rPr>
                <w:rFonts w:hint="eastAsia" w:ascii="宋体" w:hAnsi="宋体" w:eastAsia="宋体" w:cs="宋体"/>
                <w:color w:val="auto"/>
                <w:spacing w:val="17"/>
                <w:sz w:val="24"/>
                <w:szCs w:val="24"/>
              </w:rPr>
              <w:t>□</w:t>
            </w:r>
            <w:r>
              <w:rPr>
                <w:rFonts w:hint="eastAsia" w:ascii="宋体" w:hAnsi="宋体" w:eastAsia="宋体" w:cs="宋体"/>
                <w:color w:val="auto"/>
                <w:spacing w:val="14"/>
                <w:sz w:val="24"/>
                <w:szCs w:val="24"/>
              </w:rPr>
              <w:t>采购人</w:t>
            </w:r>
          </w:p>
          <w:p w14:paraId="244B9F59">
            <w:pPr>
              <w:pageBreakBefore w:val="0"/>
              <w:overflowPunct/>
              <w:topLinePunct w:val="0"/>
              <w:bidi w:val="0"/>
              <w:snapToGrid w:val="0"/>
              <w:spacing w:before="24" w:after="0" w:line="276" w:lineRule="auto"/>
              <w:ind w:left="126"/>
              <w:rPr>
                <w:rFonts w:hint="eastAsia" w:ascii="宋体" w:hAnsi="宋体" w:eastAsia="宋体" w:cs="宋体"/>
                <w:color w:val="auto"/>
                <w:sz w:val="24"/>
                <w:szCs w:val="24"/>
              </w:rPr>
            </w:pPr>
            <w:r>
              <w:rPr>
                <w:rFonts w:hint="eastAsia" w:ascii="宋体" w:hAnsi="宋体" w:eastAsia="宋体" w:cs="宋体"/>
                <w:b/>
                <w:bCs/>
                <w:color w:val="auto"/>
                <w:spacing w:val="1"/>
                <w:sz w:val="24"/>
                <w:szCs w:val="24"/>
              </w:rPr>
              <w:t>■</w:t>
            </w:r>
            <w:r>
              <w:rPr>
                <w:rFonts w:hint="eastAsia" w:ascii="宋体" w:hAnsi="宋体" w:eastAsia="宋体" w:cs="宋体"/>
                <w:color w:val="auto"/>
                <w:spacing w:val="14"/>
                <w:sz w:val="24"/>
                <w:szCs w:val="24"/>
              </w:rPr>
              <w:t>中标人</w:t>
            </w:r>
          </w:p>
          <w:p w14:paraId="376E5706">
            <w:pPr>
              <w:pageBreakBefore w:val="0"/>
              <w:overflowPunct/>
              <w:topLinePunct w:val="0"/>
              <w:bidi w:val="0"/>
              <w:snapToGrid w:val="0"/>
              <w:spacing w:after="0" w:line="276" w:lineRule="auto"/>
              <w:ind w:left="112"/>
              <w:rPr>
                <w:rFonts w:hint="eastAsia" w:ascii="宋体" w:hAnsi="宋体" w:eastAsia="宋体" w:cs="宋体"/>
                <w:color w:val="auto"/>
                <w:sz w:val="24"/>
                <w:szCs w:val="24"/>
              </w:rPr>
            </w:pPr>
            <w:r>
              <w:rPr>
                <w:rFonts w:hint="eastAsia" w:ascii="宋体" w:hAnsi="宋体" w:eastAsia="宋体" w:cs="宋体"/>
                <w:color w:val="auto"/>
                <w:sz w:val="24"/>
                <w:szCs w:val="24"/>
              </w:rPr>
              <w:t>收费标准：参照原国家计委《招标代理服务收费管理暂行办法》（[2002]1980号）服务类标准收费；</w:t>
            </w:r>
          </w:p>
          <w:p w14:paraId="5C871D4A">
            <w:pPr>
              <w:pageBreakBefore w:val="0"/>
              <w:overflowPunct/>
              <w:topLinePunct w:val="0"/>
              <w:bidi w:val="0"/>
              <w:snapToGrid w:val="0"/>
              <w:spacing w:before="37" w:after="0" w:line="276" w:lineRule="auto"/>
              <w:ind w:left="117"/>
              <w:rPr>
                <w:rFonts w:hint="eastAsia" w:ascii="宋体" w:hAnsi="宋体" w:eastAsia="宋体" w:cs="宋体"/>
                <w:color w:val="auto"/>
                <w:spacing w:val="-6"/>
                <w:sz w:val="24"/>
                <w:szCs w:val="24"/>
              </w:rPr>
            </w:pPr>
            <w:r>
              <w:rPr>
                <w:rFonts w:hint="eastAsia" w:ascii="宋体" w:hAnsi="宋体" w:eastAsia="宋体" w:cs="宋体"/>
                <w:color w:val="auto"/>
                <w:sz w:val="24"/>
                <w:szCs w:val="24"/>
              </w:rPr>
              <w:t>缴纳时间：发出中标通知后5个工作日内。</w:t>
            </w:r>
          </w:p>
        </w:tc>
      </w:tr>
      <w:tr w14:paraId="45DD1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992" w:type="dxa"/>
            <w:vAlign w:val="center"/>
          </w:tcPr>
          <w:p w14:paraId="5BB726D2">
            <w:pPr>
              <w:pageBreakBefore w:val="0"/>
              <w:overflowPunct/>
              <w:topLinePunct w:val="0"/>
              <w:bidi w:val="0"/>
              <w:snapToGrid w:val="0"/>
              <w:spacing w:before="69" w:after="0" w:line="276" w:lineRule="auto"/>
              <w:jc w:val="center"/>
              <w:rPr>
                <w:rFonts w:hint="eastAsia" w:ascii="宋体" w:hAnsi="宋体" w:eastAsia="宋体" w:cs="宋体"/>
                <w:color w:val="auto"/>
                <w:spacing w:val="10"/>
                <w:sz w:val="24"/>
                <w:szCs w:val="24"/>
              </w:rPr>
            </w:pPr>
            <w:bookmarkStart w:id="21" w:name="_Toc148096350"/>
            <w:r>
              <w:rPr>
                <w:rFonts w:hint="eastAsia" w:ascii="宋体" w:hAnsi="宋体" w:eastAsia="宋体" w:cs="宋体"/>
                <w:color w:val="auto"/>
                <w:spacing w:val="10"/>
                <w:sz w:val="24"/>
                <w:szCs w:val="24"/>
              </w:rPr>
              <w:t>28</w:t>
            </w:r>
          </w:p>
        </w:tc>
        <w:tc>
          <w:tcPr>
            <w:tcW w:w="1700" w:type="dxa"/>
            <w:vAlign w:val="center"/>
          </w:tcPr>
          <w:p w14:paraId="7F86C043">
            <w:pPr>
              <w:pageBreakBefore w:val="0"/>
              <w:overflowPunct/>
              <w:topLinePunct w:val="0"/>
              <w:bidi w:val="0"/>
              <w:snapToGrid w:val="0"/>
              <w:spacing w:before="78" w:after="0" w:line="276" w:lineRule="auto"/>
              <w:jc w:val="center"/>
              <w:rPr>
                <w:rFonts w:hint="eastAsia" w:ascii="宋体" w:hAnsi="宋体" w:eastAsia="宋体" w:cs="宋体"/>
                <w:color w:val="auto"/>
                <w:spacing w:val="-2"/>
                <w:sz w:val="24"/>
                <w:szCs w:val="24"/>
              </w:rPr>
            </w:pPr>
            <w:r>
              <w:rPr>
                <w:rFonts w:hint="eastAsia" w:ascii="宋体" w:hAnsi="宋体" w:eastAsia="宋体" w:cs="宋体"/>
                <w:color w:val="auto"/>
                <w:spacing w:val="10"/>
                <w:sz w:val="24"/>
                <w:szCs w:val="24"/>
              </w:rPr>
              <w:t>其他补充事项</w:t>
            </w:r>
          </w:p>
        </w:tc>
        <w:tc>
          <w:tcPr>
            <w:tcW w:w="7542" w:type="dxa"/>
            <w:gridSpan w:val="4"/>
            <w:vAlign w:val="center"/>
          </w:tcPr>
          <w:p w14:paraId="58735D65">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投标文件份数：</w:t>
            </w:r>
          </w:p>
          <w:p w14:paraId="1C8D7F11">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1、纸质正本1份，纸质副本4份。资格证明文件与商务技术文件分开装订密封。</w:t>
            </w:r>
          </w:p>
          <w:p w14:paraId="5876E822">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2、密封处应注明投标截止时间前禁止开启。</w:t>
            </w:r>
          </w:p>
          <w:p w14:paraId="4D01C975">
            <w:pPr>
              <w:pageBreakBefore w:val="0"/>
              <w:overflowPunct/>
              <w:topLinePunct w:val="0"/>
              <w:bidi w:val="0"/>
              <w:snapToGrid w:val="0"/>
              <w:spacing w:before="38" w:after="0" w:line="276" w:lineRule="auto"/>
              <w:ind w:left="113"/>
              <w:rPr>
                <w:rFonts w:hint="eastAsia" w:ascii="宋体" w:hAnsi="宋体" w:eastAsia="宋体" w:cs="宋体"/>
                <w:color w:val="auto"/>
                <w:spacing w:val="-1"/>
                <w:sz w:val="24"/>
                <w:szCs w:val="24"/>
                <w:lang w:bidi="ar"/>
              </w:rPr>
            </w:pPr>
            <w:r>
              <w:rPr>
                <w:rFonts w:hint="eastAsia" w:ascii="宋体" w:hAnsi="宋体" w:eastAsia="宋体" w:cs="宋体"/>
                <w:color w:val="auto"/>
                <w:spacing w:val="-1"/>
                <w:sz w:val="24"/>
                <w:szCs w:val="24"/>
                <w:lang w:bidi="ar"/>
              </w:rPr>
              <w:t>3、电子版文件1份（应为正本盖章文件的扫描件，载体为U盘，为了便于区分，在U盘表面粘帖单位标识,如：供应商简称+采购项目编号后三位）。</w:t>
            </w:r>
          </w:p>
        </w:tc>
      </w:tr>
    </w:tbl>
    <w:p w14:paraId="7CAE8FF0">
      <w:pPr>
        <w:pageBreakBefore w:val="0"/>
        <w:overflowPunct/>
        <w:topLinePunct w:val="0"/>
        <w:bidi w:val="0"/>
        <w:snapToGrid w:val="0"/>
        <w:spacing w:after="0"/>
        <w:rPr>
          <w:rFonts w:hint="eastAsia" w:ascii="宋体" w:hAnsi="宋体" w:eastAsia="宋体"/>
          <w:color w:val="auto"/>
        </w:rPr>
      </w:pPr>
    </w:p>
    <w:p w14:paraId="69947561">
      <w:pPr>
        <w:pageBreakBefore w:val="0"/>
        <w:overflowPunct/>
        <w:topLinePunct w:val="0"/>
        <w:bidi w:val="0"/>
        <w:snapToGrid w:val="0"/>
        <w:spacing w:after="0"/>
        <w:jc w:val="center"/>
        <w:rPr>
          <w:rFonts w:hint="eastAsia" w:ascii="宋体" w:hAnsi="宋体" w:eastAsia="宋体"/>
          <w:b/>
          <w:bCs/>
          <w:color w:val="auto"/>
          <w:sz w:val="28"/>
          <w:szCs w:val="28"/>
        </w:rPr>
        <w:sectPr>
          <w:footerReference r:id="rId11" w:type="default"/>
          <w:pgSz w:w="11907" w:h="16840"/>
          <w:pgMar w:top="1117" w:right="1047" w:bottom="1060" w:left="1700" w:header="878" w:footer="886" w:gutter="0"/>
          <w:pgNumType w:fmt="decimal"/>
          <w:cols w:space="720" w:num="1"/>
        </w:sectPr>
      </w:pPr>
    </w:p>
    <w:p w14:paraId="2585542B">
      <w:pPr>
        <w:pageBreakBefore w:val="0"/>
        <w:overflowPunct/>
        <w:topLinePunct w:val="0"/>
        <w:bidi w:val="0"/>
        <w:snapToGrid w:val="0"/>
        <w:spacing w:after="0"/>
        <w:jc w:val="center"/>
        <w:rPr>
          <w:rFonts w:hint="eastAsia" w:ascii="宋体" w:hAnsi="宋体" w:eastAsia="宋体"/>
          <w:b/>
          <w:bCs/>
          <w:color w:val="auto"/>
          <w:sz w:val="28"/>
          <w:szCs w:val="28"/>
        </w:rPr>
      </w:pPr>
      <w:r>
        <w:rPr>
          <w:rFonts w:hint="eastAsia" w:ascii="宋体" w:hAnsi="宋体" w:eastAsia="宋体"/>
          <w:b/>
          <w:bCs/>
          <w:color w:val="auto"/>
          <w:sz w:val="28"/>
          <w:szCs w:val="28"/>
        </w:rPr>
        <w:t>投标人须知</w:t>
      </w:r>
      <w:bookmarkEnd w:id="21"/>
    </w:p>
    <w:p w14:paraId="2BF762B5">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2" w:name="_Toc148096351"/>
      <w:r>
        <w:rPr>
          <w:rFonts w:hint="eastAsia" w:ascii="宋体" w:hAnsi="宋体" w:eastAsia="宋体" w:cs="Times New Roman"/>
          <w:b/>
          <w:bCs/>
          <w:snapToGrid/>
          <w:color w:val="auto"/>
          <w:kern w:val="2"/>
          <w:sz w:val="28"/>
          <w:szCs w:val="36"/>
        </w:rPr>
        <w:t>一</w:t>
      </w:r>
      <w:r>
        <w:rPr>
          <w:rFonts w:ascii="宋体" w:hAnsi="宋体" w:eastAsia="宋体" w:cs="Times New Roman"/>
          <w:b/>
          <w:bCs/>
          <w:snapToGrid/>
          <w:color w:val="auto"/>
          <w:kern w:val="2"/>
          <w:sz w:val="28"/>
          <w:szCs w:val="36"/>
        </w:rPr>
        <w:t xml:space="preserve">   </w:t>
      </w:r>
      <w:r>
        <w:rPr>
          <w:rFonts w:hint="eastAsia" w:ascii="宋体" w:hAnsi="宋体" w:eastAsia="宋体" w:cs="Times New Roman"/>
          <w:b/>
          <w:bCs/>
          <w:snapToGrid/>
          <w:color w:val="auto"/>
          <w:kern w:val="2"/>
          <w:sz w:val="28"/>
          <w:szCs w:val="36"/>
        </w:rPr>
        <w:t>说  明</w:t>
      </w:r>
      <w:bookmarkEnd w:id="22"/>
    </w:p>
    <w:p w14:paraId="2A294354">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采购人、采购代理机构、投标人、联合体</w:t>
      </w:r>
    </w:p>
    <w:p w14:paraId="3BA2B115">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 采购人、采购代理机构：指依法进行政府采购的国家机关、事业单位、团体组织，及其委托的采购代理机构。本项目采购人、采购代理机构见第一章《投标邀请》。</w:t>
      </w:r>
    </w:p>
    <w:p w14:paraId="28E6851E">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 投标人(也称“供应商”、“申请人”)：指向采购人提供货物、工程或者服务的法人、其他组织或者自然人。</w:t>
      </w:r>
    </w:p>
    <w:p w14:paraId="0CE51FE1">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1.3 联合体：指两个以上的自然人、法人或者其他组织组成一个联合体，以一个供应商的身份共同参加政府采购。</w:t>
      </w:r>
    </w:p>
    <w:p w14:paraId="108BF4F1">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资金来源、项目属性、科研仪器设备采购、核心产品</w:t>
      </w:r>
    </w:p>
    <w:p w14:paraId="387EF156">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2.1 资金来源为财政性资金和/或本项目采购中无法与财政性资金分割的非财政性资金。</w:t>
      </w:r>
    </w:p>
    <w:p w14:paraId="3AD4E64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2.2 项目属性见《投标人须知资料表》。</w:t>
      </w:r>
    </w:p>
    <w:p w14:paraId="3C71E43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2.3 是否属于科研仪器设备采购见《投标人须知资料表》。</w:t>
      </w:r>
    </w:p>
    <w:p w14:paraId="7BDE508A">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核心产品见《投标人须知资料表》。</w:t>
      </w:r>
    </w:p>
    <w:p w14:paraId="1520A7A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现场考察、开标前答疑会</w:t>
      </w:r>
    </w:p>
    <w:p w14:paraId="7761C881">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若《投标人须知资料表》中规定了组织现场考察、召开开标前答疑会，则投标人应按要求在规定的时间和地点参加。</w:t>
      </w:r>
    </w:p>
    <w:p w14:paraId="7C9078C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3.2 由于未参加现场考察或开标前答疑会而导致对项目实际情况不了解，影响投标文件编制、投标报价准确性、综合因素响应不全面等问题的，由投标人自行承担不利评审后果。</w:t>
      </w:r>
    </w:p>
    <w:p w14:paraId="5242C41C">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   样品</w:t>
      </w:r>
    </w:p>
    <w:p w14:paraId="566EB0A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本项目是否要求投标人提供样品，以及样品制作的标准和要求、是否需要随样品提交相关检测报告、样品的递交与退还等要求见《投标人须知资料表》。</w:t>
      </w:r>
    </w:p>
    <w:p w14:paraId="569AA110">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4.2 样品的评审方法以及评审标准等内容见第四章《评标程序、评标方法和评标准》。</w:t>
      </w:r>
    </w:p>
    <w:p w14:paraId="171F4ABA">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 xml:space="preserve">政府采购政策(包括但不限于下列具体政策要求) </w:t>
      </w:r>
    </w:p>
    <w:p w14:paraId="4EDCBEED">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 采购本国货物、工程和服务</w:t>
      </w:r>
    </w:p>
    <w:p w14:paraId="6AC3E281">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5.1.1</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政府采购应当采购本国货物、工程和服务。但有《中华人民共和国政府采购法》第十条规定情形的除外。</w:t>
      </w:r>
    </w:p>
    <w:p w14:paraId="40E90872">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5.1.2</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本项目如接受非本国货物、工程、服务参与投标，则具体要求见第五章《采购需求》。</w:t>
      </w:r>
    </w:p>
    <w:p w14:paraId="7EBC8CAB">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5.1.3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进口产品指通过中国海关报关验放进入中国境内且产自关境外的品，包括已经进入中国境内的进口产品。关于进口产品的相关规定依据《政府采购进口产品管理办法》(财库〔2007〕119 号文)、《关于政府采购进口产品管理有关问题的通知》(财办库〔2008〕248号文)。</w:t>
      </w:r>
    </w:p>
    <w:p w14:paraId="16FB6447">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 中小企业、监狱企业及残疾人福利性单位</w:t>
      </w:r>
    </w:p>
    <w:p w14:paraId="0EBD807E">
      <w:pPr>
        <w:pageBreakBefore w:val="0"/>
        <w:widowControl w:val="0"/>
        <w:tabs>
          <w:tab w:val="left" w:pos="360"/>
        </w:tabs>
        <w:kinsoku/>
        <w:overflowPunct/>
        <w:topLinePunct w:val="0"/>
        <w:autoSpaceDE/>
        <w:autoSpaceDN/>
        <w:bidi w:val="0"/>
        <w:adjustRightInd/>
        <w:snapToGrid w:val="0"/>
        <w:spacing w:after="0" w:line="360" w:lineRule="auto"/>
        <w:ind w:left="435" w:leftChars="207" w:firstLine="547" w:firstLineChars="228"/>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 中小企业定义：</w:t>
      </w:r>
    </w:p>
    <w:p w14:paraId="091F4AA3">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 步加大政府采购支持中小企业力度的通知》(财库〔2022〕19号)、《政府采购促进中小企业发展管理办法》(财库〔2020〕46号)、《关于印发中小企业划型标准规定的通知》</w:t>
      </w:r>
      <w:bookmarkStart w:id="23" w:name="OLE_LINK4"/>
      <w:r>
        <w:rPr>
          <w:rFonts w:hint="eastAsia" w:ascii="宋体" w:hAnsi="宋体" w:eastAsia="宋体" w:cs="Times New Roman"/>
          <w:snapToGrid/>
          <w:color w:val="auto"/>
          <w:kern w:val="2"/>
          <w:sz w:val="24"/>
          <w:szCs w:val="24"/>
        </w:rPr>
        <w:t>(工信部联企业〔2011〕300号)</w:t>
      </w:r>
      <w:bookmarkEnd w:id="23"/>
      <w:r>
        <w:rPr>
          <w:rFonts w:hint="eastAsia" w:ascii="宋体" w:hAnsi="宋体" w:eastAsia="宋体" w:cs="Times New Roman"/>
          <w:snapToGrid/>
          <w:color w:val="auto"/>
          <w:kern w:val="2"/>
          <w:sz w:val="24"/>
          <w:szCs w:val="24"/>
        </w:rPr>
        <w:t>、《金融企业划型标准规定》(〔2015〕309号)等国务院批准的中小企业划分标准执行。</w:t>
      </w:r>
    </w:p>
    <w:p w14:paraId="1EEE39DE">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5.2.1.2 供应商提供的货物、工程或者服务符合下列情形的，享受中小企业扶持政策：</w:t>
      </w:r>
    </w:p>
    <w:p w14:paraId="2DF57A30">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 在货物采购项目中，货物由中小企业制造，即货物由中小企业生产且使用该中小企业商号或者注册商标；</w:t>
      </w:r>
    </w:p>
    <w:p w14:paraId="2D6DEDD9">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(2) 在工程采购项目中，工程由中小企业承建，即工程施工单位为中小企业；</w:t>
      </w:r>
    </w:p>
    <w:p w14:paraId="049EFF49">
      <w:pPr>
        <w:pageBreakBefore w:val="0"/>
        <w:widowControl w:val="0"/>
        <w:tabs>
          <w:tab w:val="left" w:pos="360"/>
        </w:tabs>
        <w:kinsoku/>
        <w:overflowPunct/>
        <w:topLinePunct w:val="0"/>
        <w:autoSpaceDE/>
        <w:autoSpaceDN/>
        <w:bidi w:val="0"/>
        <w:adjustRightInd/>
        <w:snapToGrid w:val="0"/>
        <w:spacing w:after="0" w:line="360" w:lineRule="auto"/>
        <w:ind w:left="2633" w:leftChars="1254"/>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(3) 在服务采购项目中，服务由中小企业承接，即提供服务的人员为中小企业依照《中华人民共和国劳动合同法》订立劳动合同的从业人员。</w:t>
      </w:r>
    </w:p>
    <w:p w14:paraId="5DFA4CD0">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5.2.1.3 在货物采购项目中，供应商提供的货物既有中小企业制造货物，也有大型企业制造货物的，不享受中小企业扶持政策。</w:t>
      </w:r>
    </w:p>
    <w:p w14:paraId="48394BC7">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5.2.1.4 以联合体形式参加政府采购活动，联合体各方均为中小企业的，联合体视同中小企业。其中，联合体各方均为小微企业的，联合体视同小微企业。</w:t>
      </w:r>
    </w:p>
    <w:p w14:paraId="57A0E4C1">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5.2.2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 监狱、强制隔离戒毒所、戒毒康复所，以及新疆生产建设兵团监狱管理局、戒毒管理局的企业。</w:t>
      </w:r>
    </w:p>
    <w:p w14:paraId="5577312E">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AEC07E0">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5.2.3.1 安置的残疾人占本单位在职职工人数的比例不低于25%(含25%)，并且安置的残疾人人数不少于10人(含10人)；</w:t>
      </w:r>
    </w:p>
    <w:p w14:paraId="7B41CFD8">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5.2.3.2 依法与安置的每位残疾人签订了一年以上(含一年) 的劳动合同或服务协议；</w:t>
      </w:r>
    </w:p>
    <w:p w14:paraId="67D6D16B">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5.2.3.3 为安置的每位残疾人按月足额缴纳了基本养老保险、基本医疗保险、失业保险、工伤保险和生育保险等社会保险费；</w:t>
      </w:r>
    </w:p>
    <w:p w14:paraId="4A7BE92A">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5.2.3.4 通过银行等金融机构向安置的每位残疾人，按月支付了不低于单位所在区县适用的经省级人民政府批准的月最低工资标准的工资；</w:t>
      </w:r>
    </w:p>
    <w:p w14:paraId="2867707B">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5.2.3.5 提供本单位制造的货物、承担的工程或者服务(以下简称产品)，或者提供其他残疾人福利性单位制造的货物(不包括使用非残疾人福利性单位注册商标的货物)；</w:t>
      </w:r>
    </w:p>
    <w:p w14:paraId="7874978D">
      <w:pPr>
        <w:pageBreakBefore w:val="0"/>
        <w:widowControl w:val="0"/>
        <w:tabs>
          <w:tab w:val="left" w:pos="360"/>
        </w:tabs>
        <w:kinsoku/>
        <w:overflowPunct/>
        <w:topLinePunct w:val="0"/>
        <w:autoSpaceDE/>
        <w:autoSpaceDN/>
        <w:bidi w:val="0"/>
        <w:adjustRightInd/>
        <w:snapToGrid w:val="0"/>
        <w:spacing w:after="0" w:line="360" w:lineRule="auto"/>
        <w:ind w:left="2636" w:leftChars="798" w:hanging="960" w:hangingChars="4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5.2.3.6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373C2D0">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5.2.4 本项目是否专门面向中小企业预留采购份额见第一章《投标邀请》。</w:t>
      </w:r>
    </w:p>
    <w:p w14:paraId="15EBF743">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5.2.5 采购标的对应的中小企业划分标准所属行业见《投标人须知资料表》。</w:t>
      </w:r>
    </w:p>
    <w:p w14:paraId="33EDD787">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5.2.6 小微企业价格评审优惠的政策调整：见第四章《评标程序、评标方法和评标标准》。</w:t>
      </w:r>
    </w:p>
    <w:p w14:paraId="2AD38EC3">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政府采购节能产品、环境标志产品</w:t>
      </w:r>
    </w:p>
    <w:p w14:paraId="2F94EEC4">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1E540F2">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3FDA1D57">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5.3.3 如本项目采购产品属于实施政府强制采购品目清单范围的节能产，则投标人所报产品必须获得国家确定的认证机构出具的、处于有效期之内的节能产品认证证书，否则投标无效；</w:t>
      </w:r>
    </w:p>
    <w:p w14:paraId="4445B3D7">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5.3.4 非政府强制采购的节能产品或环境标志产品，依据品目清单和认证证书实施政府优先采购。优先采购的具体规定见第四章《评标程序、评标方法和评标标准》(如涉及)。</w:t>
      </w:r>
    </w:p>
    <w:p w14:paraId="53456316">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正版软件</w:t>
      </w:r>
    </w:p>
    <w:p w14:paraId="23A4E48C">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5.4.1各级政府部门在购置计算机办公设备时，必须采购预装正版操作系统软件的计算机产品，相关规定依据《国家版权局、信息产业部、财政部、国务院机关事务管理局关于政府部门购置计算机办公设备必须采 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27794CCC">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 网络安全专用产品</w:t>
      </w:r>
    </w:p>
    <w:p w14:paraId="31F980C1">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5.5.1 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F3FC41B">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推广使用低挥发性有机化合物(VOCs)</w:t>
      </w:r>
    </w:p>
    <w:p w14:paraId="397D0CDA">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5.6.1 为全面推进本市挥发性有机物(VOCs) 治理，贯彻落实挥发性有机物污染治理专项行动有关要求，相关规定依据《北京市财政局北京市生态环境局关于政府采购推广使用低挥发性有机化合物(VOCs) 有关事项的通知》(京财采购〔2020〕2381号)。本项目中涉及涂料、胶黏剂、油墨、清洗剂等挥发性有机物产品的，属于强制性标准的， 供应商应执行符合本市和国家的VOCs含量限制标准(具体标准见第五章《采购需求》)，否则投标无效；属于推荐性标准的，优先采购，具体见第四章《评标程序、评标方法和评标标准》。</w:t>
      </w:r>
    </w:p>
    <w:p w14:paraId="37D3BD1B">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采购需求标准</w:t>
      </w:r>
    </w:p>
    <w:p w14:paraId="12D8E671">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5.7.1 商品包装、快递包装政府采购需求标准(试行)</w:t>
      </w:r>
    </w:p>
    <w:p w14:paraId="2A22FE69">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084B32E4">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5.7.2 其他政府采购需求标准为贯彻落实《深化政府采购制度改革方案》有关要求，推动政府采购需求标准建设，财政部门会同有关部门制定发布的其他政府采购需求标准，本项目如涉及，则具体要求见第五章《采购需求》。</w:t>
      </w:r>
    </w:p>
    <w:p w14:paraId="026CA9DF">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投标费用</w:t>
      </w:r>
    </w:p>
    <w:p w14:paraId="2CC9C058">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6.1 投标人应自行承担所有与准备和参加投标有关的费用，无论投标的结果如何，采购人或采购代理机构在任何情况下均无承担这些费用的义务和责任。</w:t>
      </w:r>
    </w:p>
    <w:p w14:paraId="4116618A">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4" w:name="_Toc148096352"/>
      <w:r>
        <w:rPr>
          <w:rFonts w:hint="eastAsia" w:ascii="宋体" w:hAnsi="宋体" w:eastAsia="宋体" w:cs="Times New Roman"/>
          <w:b/>
          <w:bCs/>
          <w:snapToGrid/>
          <w:color w:val="auto"/>
          <w:kern w:val="2"/>
          <w:sz w:val="28"/>
          <w:szCs w:val="36"/>
        </w:rPr>
        <w:t>二   招标文件</w:t>
      </w:r>
      <w:bookmarkEnd w:id="24"/>
    </w:p>
    <w:p w14:paraId="63921542">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   招标文件构成</w:t>
      </w:r>
    </w:p>
    <w:p w14:paraId="3869A2AB">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7.1 招标文件包括以下部分：</w:t>
      </w:r>
    </w:p>
    <w:p w14:paraId="500D13A0">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第一章   投标邀请</w:t>
      </w:r>
    </w:p>
    <w:p w14:paraId="426A7728">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第二章   投标人须知</w:t>
      </w:r>
    </w:p>
    <w:p w14:paraId="62B6F352">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第三章   资格审查</w:t>
      </w:r>
    </w:p>
    <w:p w14:paraId="40ECCE1D">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第四章   评标程序、评标方法和评标标准</w:t>
      </w:r>
    </w:p>
    <w:p w14:paraId="49FBF65C">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第五章   采购需求</w:t>
      </w:r>
    </w:p>
    <w:p w14:paraId="5AD21B8B">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第六章   拟签订的合同文本</w:t>
      </w:r>
    </w:p>
    <w:p w14:paraId="3873B7B1">
      <w:pPr>
        <w:pageBreakBefore w:val="0"/>
        <w:widowControl w:val="0"/>
        <w:tabs>
          <w:tab w:val="left" w:pos="360"/>
        </w:tabs>
        <w:kinsoku/>
        <w:overflowPunct/>
        <w:topLinePunct w:val="0"/>
        <w:autoSpaceDE/>
        <w:autoSpaceDN/>
        <w:bidi w:val="0"/>
        <w:adjustRightInd/>
        <w:snapToGrid w:val="0"/>
        <w:spacing w:after="0" w:line="360" w:lineRule="auto"/>
        <w:ind w:left="1676" w:leftChars="798" w:firstLine="240" w:firstLineChars="1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第七章   投标文件格式</w:t>
      </w:r>
    </w:p>
    <w:p w14:paraId="240547B0">
      <w:pPr>
        <w:pageBreakBefore w:val="0"/>
        <w:widowControl w:val="0"/>
        <w:tabs>
          <w:tab w:val="left" w:pos="360"/>
        </w:tabs>
        <w:kinsoku/>
        <w:overflowPunct/>
        <w:topLinePunct w:val="0"/>
        <w:autoSpaceDE/>
        <w:autoSpaceDN/>
        <w:bidi w:val="0"/>
        <w:adjustRightInd/>
        <w:snapToGrid w:val="0"/>
        <w:spacing w:after="0" w:line="360" w:lineRule="auto"/>
        <w:ind w:left="1678" w:leftChars="456"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7.2 投标人应认真阅读招标文件的全部内容。投标人应按照招标文件要求提交投标文件并保证所提供的全部资料的真实性，并对招标文件做出实质性响应，否则投标无效。</w:t>
      </w:r>
    </w:p>
    <w:p w14:paraId="247A28C4">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8</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对招标文件的澄清或修改</w:t>
      </w:r>
    </w:p>
    <w:p w14:paraId="644B80D1">
      <w:pPr>
        <w:pageBreakBefore w:val="0"/>
        <w:overflowPunct/>
        <w:topLinePunct w:val="0"/>
        <w:bidi w:val="0"/>
        <w:snapToGrid w:val="0"/>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8.1</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采购人或采购代理机构对已发出的招标文件进行必要澄清或者修改的，将在原公告发布媒体上发布更正公告，并以书面形式通知所有获取招标文件的潜在投标人。</w:t>
      </w:r>
    </w:p>
    <w:p w14:paraId="3B49AE5F">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8.2</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上述书面通知，按照获取招标文件的潜在投标人提供的联系方式发出，因提供的信息有误导致通知延迟或无法通知的，采购人或采购代理机构不承担责任。</w:t>
      </w:r>
    </w:p>
    <w:p w14:paraId="51E2CAD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8.3</w:t>
      </w:r>
      <w:r>
        <w:rPr>
          <w:rFonts w:ascii="宋体" w:hAnsi="宋体" w:eastAsia="宋体" w:cs="宋体"/>
          <w:color w:val="auto"/>
          <w:spacing w:val="12"/>
          <w:position w:val="4"/>
          <w:sz w:val="24"/>
          <w:szCs w:val="24"/>
        </w:rPr>
        <w:t xml:space="preserve"> </w:t>
      </w:r>
      <w:r>
        <w:rPr>
          <w:rFonts w:hint="eastAsia" w:ascii="宋体" w:hAnsi="宋体" w:eastAsia="宋体" w:cs="宋体"/>
          <w:color w:val="auto"/>
          <w:spacing w:val="12"/>
          <w:position w:val="4"/>
          <w:sz w:val="24"/>
          <w:szCs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491B5318">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25" w:name="_Toc148096353"/>
      <w:r>
        <w:rPr>
          <w:rFonts w:hint="eastAsia" w:ascii="宋体" w:hAnsi="宋体" w:eastAsia="宋体" w:cs="Times New Roman"/>
          <w:b/>
          <w:bCs/>
          <w:snapToGrid/>
          <w:color w:val="auto"/>
          <w:kern w:val="2"/>
          <w:sz w:val="28"/>
          <w:szCs w:val="36"/>
        </w:rPr>
        <w:t>三   投标文件的编制</w:t>
      </w:r>
      <w:bookmarkEnd w:id="25"/>
    </w:p>
    <w:p w14:paraId="0ABA93AF">
      <w:pPr>
        <w:pageBreakBefore w:val="0"/>
        <w:widowControl w:val="0"/>
        <w:tabs>
          <w:tab w:val="left" w:pos="360"/>
        </w:tabs>
        <w:kinsoku/>
        <w:overflowPunct/>
        <w:topLinePunct w:val="0"/>
        <w:autoSpaceDE/>
        <w:autoSpaceDN/>
        <w:bidi w:val="0"/>
        <w:adjustRightInd/>
        <w:snapToGrid w:val="0"/>
        <w:spacing w:after="0" w:line="360" w:lineRule="auto"/>
        <w:ind w:left="435" w:leftChars="207" w:firstLine="72" w:firstLineChars="30"/>
        <w:jc w:val="both"/>
        <w:textAlignment w:val="auto"/>
        <w:outlineLvl w:val="2"/>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9</w:t>
      </w:r>
      <w:r>
        <w:rPr>
          <w:rFonts w:ascii="宋体" w:hAnsi="宋体" w:eastAsia="宋体" w:cs="Times New Roman"/>
          <w:snapToGrid/>
          <w:color w:val="auto"/>
          <w:kern w:val="2"/>
          <w:sz w:val="24"/>
          <w:szCs w:val="24"/>
        </w:rPr>
        <w:t xml:space="preserve">   </w:t>
      </w:r>
      <w:r>
        <w:rPr>
          <w:rFonts w:hint="eastAsia" w:ascii="宋体" w:hAnsi="宋体" w:eastAsia="宋体" w:cs="Times New Roman"/>
          <w:snapToGrid/>
          <w:color w:val="auto"/>
          <w:kern w:val="2"/>
          <w:sz w:val="24"/>
          <w:szCs w:val="24"/>
        </w:rPr>
        <w:t>投标范围、投标文件中计量单位的使用及投标语言</w:t>
      </w:r>
    </w:p>
    <w:p w14:paraId="24E791C0">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无效投标。</w:t>
      </w:r>
    </w:p>
    <w:p w14:paraId="7195E1FB">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9.2 除招标文件有特殊要求外，本项目投标所使用的计量单位，应采用中华人民共和国法定计量单位。</w:t>
      </w:r>
    </w:p>
    <w:p w14:paraId="17FE25D8">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9.3 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5BC1ECE">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2"/>
          <w:position w:val="4"/>
          <w:sz w:val="24"/>
          <w:szCs w:val="24"/>
        </w:rPr>
      </w:pPr>
      <w:r>
        <w:rPr>
          <w:rFonts w:hint="eastAsia" w:ascii="宋体" w:hAnsi="宋体" w:eastAsia="宋体" w:cs="宋体"/>
          <w:color w:val="auto"/>
          <w:spacing w:val="-1"/>
          <w:sz w:val="24"/>
          <w:szCs w:val="24"/>
        </w:rPr>
        <w:t>10</w:t>
      </w:r>
      <w:r>
        <w:rPr>
          <w:rFonts w:ascii="宋体" w:hAnsi="宋体" w:eastAsia="宋体" w:cs="宋体"/>
          <w:color w:val="auto"/>
          <w:spacing w:val="-1"/>
          <w:sz w:val="24"/>
          <w:szCs w:val="24"/>
        </w:rPr>
        <w:t xml:space="preserve">   </w:t>
      </w:r>
      <w:r>
        <w:rPr>
          <w:rFonts w:hint="eastAsia" w:ascii="宋体" w:hAnsi="宋体" w:eastAsia="宋体" w:cs="宋体"/>
          <w:color w:val="auto"/>
          <w:sz w:val="24"/>
          <w:szCs w:val="24"/>
        </w:rPr>
        <w:t>投标</w:t>
      </w:r>
      <w:r>
        <w:rPr>
          <w:rFonts w:hint="eastAsia" w:ascii="宋体" w:hAnsi="宋体" w:eastAsia="宋体" w:cs="Times New Roman"/>
          <w:snapToGrid/>
          <w:color w:val="auto"/>
          <w:kern w:val="2"/>
          <w:sz w:val="24"/>
          <w:szCs w:val="24"/>
        </w:rPr>
        <w:t>文件</w:t>
      </w:r>
      <w:r>
        <w:rPr>
          <w:rFonts w:hint="eastAsia" w:ascii="宋体" w:hAnsi="宋体" w:eastAsia="宋体" w:cs="宋体"/>
          <w:color w:val="auto"/>
          <w:sz w:val="24"/>
          <w:szCs w:val="24"/>
        </w:rPr>
        <w:t>构成</w:t>
      </w:r>
    </w:p>
    <w:p w14:paraId="1348B45A">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10.1 投标人应当按照招标文件的要求编制投标文件。投标文件应由《资格证明文件》、《商务技术文件》两部分构成。投标文件的部分格式要求，见第七章《投标文件格式》。</w:t>
      </w:r>
    </w:p>
    <w:p w14:paraId="6B3CBD0C">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10.2 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3213C3E1">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10.3 第四章《评标程序、评标方法和评标标准》中涉及的证明文件。</w:t>
      </w:r>
    </w:p>
    <w:p w14:paraId="74473004">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3D91A088">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10.5 投标人认为应附的其他材料。</w:t>
      </w:r>
    </w:p>
    <w:p w14:paraId="2DBB7666">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投标报价</w:t>
      </w:r>
    </w:p>
    <w:p w14:paraId="6134E75A">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11.1 所有投标均以人民币报价。</w:t>
      </w:r>
    </w:p>
    <w:p w14:paraId="513A3C9F">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11.2 投标人的报价应包括为完成本项目所发生的一切费用和税费，采购人将不再支付报价以外的任何费用。投标人的报价应包括但不限于下列内容，《投标人须知资料表》中有特殊规定的，从其规定。</w:t>
      </w:r>
    </w:p>
    <w:p w14:paraId="78EDBF99">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11.2.1 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36423808">
      <w:pPr>
        <w:pageBreakBefore w:val="0"/>
        <w:widowControl w:val="0"/>
        <w:tabs>
          <w:tab w:val="left" w:pos="360"/>
        </w:tabs>
        <w:kinsoku/>
        <w:overflowPunct/>
        <w:topLinePunct w:val="0"/>
        <w:autoSpaceDE/>
        <w:autoSpaceDN/>
        <w:bidi w:val="0"/>
        <w:adjustRightInd/>
        <w:snapToGrid w:val="0"/>
        <w:spacing w:after="0" w:line="360" w:lineRule="auto"/>
        <w:ind w:left="1676" w:leftChars="684" w:hanging="240" w:hangingChars="100"/>
        <w:jc w:val="both"/>
        <w:textAlignment w:val="auto"/>
        <w:rPr>
          <w:rFonts w:hint="eastAsia" w:ascii="宋体" w:hAnsi="宋体" w:eastAsia="宋体" w:cs="宋体"/>
          <w:color w:val="auto"/>
          <w:spacing w:val="12"/>
          <w:position w:val="4"/>
          <w:sz w:val="24"/>
          <w:szCs w:val="24"/>
        </w:rPr>
      </w:pPr>
      <w:r>
        <w:rPr>
          <w:rFonts w:hint="eastAsia" w:ascii="宋体" w:hAnsi="宋体" w:eastAsia="宋体" w:cs="Times New Roman"/>
          <w:snapToGrid/>
          <w:color w:val="auto"/>
          <w:kern w:val="2"/>
          <w:sz w:val="24"/>
          <w:szCs w:val="24"/>
        </w:rPr>
        <w:t>11.2.2 按照招标文件要求完成本项目的全部相关费用。</w:t>
      </w:r>
    </w:p>
    <w:p w14:paraId="63BB76E2">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11.3 采购人不得向供应商索要或者接受其给予的赠品、回扣或者与采购无关的其他商品、服务。</w:t>
      </w:r>
    </w:p>
    <w:p w14:paraId="3BD26222">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11.4 投标人不能提供任何有选择性或可调整的报价(招标文件另有规定的除外)，否则其投标无效。</w:t>
      </w:r>
    </w:p>
    <w:p w14:paraId="2C4EE610">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投标保证金</w:t>
      </w:r>
    </w:p>
    <w:p w14:paraId="07A5024F">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12.1 投标人应按《投标人须知资料表》中规定的金额及要求交纳投标保证金。投标人自愿超额缴纳投标保证金的，投标文件不做无效处理。</w:t>
      </w:r>
    </w:p>
    <w:p w14:paraId="6A4A93BE">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12.2 交纳投标保证金可采用的形式：政府采购法律法规接受的支票、汇票、本票、网上银行支付或者金融机构、担保机构出具的保函等非现金形式。</w:t>
      </w:r>
    </w:p>
    <w:p w14:paraId="5B87441E">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12.3 投标保证金到账(保函提交) 截止时间同投标截止时间。以支票、汇票、本票、网上银行支付等形式提交投标保证金的，应在投标截止时间前到账；以金融机构、担保机构出具的保函等形式提交投标保证金的，应在投标截止时间前将原件提交至采购代理机构；以电子保函形式提交投标保证金的，应在投标截止时间前通过北京市政府采购电子交易平台完成电子保函在线办理。未按上述要求缴纳投标保证金的，其投标无效。</w:t>
      </w:r>
    </w:p>
    <w:p w14:paraId="7623BD0F">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12.4 投标人除需在投标文件中提供“投标保证金凭证/交款单据电子件”，还需在投标截止时间前，通过电子交易平台上传“投标保证金凭证/交款单据电子件”。</w:t>
      </w:r>
    </w:p>
    <w:p w14:paraId="39D93504">
      <w:pPr>
        <w:pageBreakBefore w:val="0"/>
        <w:overflowPunct/>
        <w:topLinePunct w:val="0"/>
        <w:bidi w:val="0"/>
        <w:snapToGrid w:val="0"/>
        <w:spacing w:after="0" w:line="360" w:lineRule="auto"/>
        <w:ind w:left="958" w:leftChars="456"/>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12.5 投标保证金有效期同投标有效期。</w:t>
      </w:r>
    </w:p>
    <w:p w14:paraId="7AA587D6">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12.6 标人为联合体的，可以由联合体中的一方或者多方共同交纳投标保证金，其交纳的投标保证金对联合体各方均具有约束力。</w:t>
      </w:r>
    </w:p>
    <w:p w14:paraId="62615DDF">
      <w:pPr>
        <w:pageBreakBefore w:val="0"/>
        <w:overflowPunct/>
        <w:topLinePunct w:val="0"/>
        <w:bidi w:val="0"/>
        <w:snapToGrid w:val="0"/>
        <w:spacing w:after="0" w:line="360" w:lineRule="auto"/>
        <w:ind w:left="1486" w:leftChars="456"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12.7 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D8D3745">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12.7.1 投标人在投标截止时间前撤回已提交的投标文件的，自收到投标人书面撤回通知之日起5个工作日内退还已收取的投标保证金；</w:t>
      </w:r>
    </w:p>
    <w:p w14:paraId="37A0EBF4">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12.7.2 中标人的投标保证金，自采购合同签订之日起5个工作日内退还中标人；</w:t>
      </w:r>
    </w:p>
    <w:p w14:paraId="1699F8C8">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12.7.3 未中标投标人的投标保证金，自中标通知书发出之日起5个工作日内退还未中标人；</w:t>
      </w:r>
    </w:p>
    <w:p w14:paraId="68BD84C4">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12.7.4 终止招标项目已经收取投标保证金的，自终止采购活动后5个工作日内退还已收取的投标保证金及其在银行产生的孳息。</w:t>
      </w:r>
    </w:p>
    <w:p w14:paraId="6D174A4A">
      <w:pPr>
        <w:pageBreakBefore w:val="0"/>
        <w:overflowPunct/>
        <w:topLinePunct w:val="0"/>
        <w:bidi w:val="0"/>
        <w:snapToGrid w:val="0"/>
        <w:spacing w:after="0" w:line="360" w:lineRule="auto"/>
        <w:ind w:left="1500" w:leftChars="463" w:hanging="528" w:hangingChars="200"/>
        <w:rPr>
          <w:rFonts w:hint="eastAsia" w:ascii="宋体" w:hAnsi="宋体" w:eastAsia="宋体" w:cs="宋体"/>
          <w:color w:val="auto"/>
          <w:spacing w:val="12"/>
          <w:position w:val="4"/>
          <w:sz w:val="24"/>
          <w:szCs w:val="24"/>
        </w:rPr>
      </w:pPr>
      <w:r>
        <w:rPr>
          <w:rFonts w:hint="eastAsia" w:ascii="宋体" w:hAnsi="宋体" w:eastAsia="宋体" w:cs="宋体"/>
          <w:color w:val="auto"/>
          <w:spacing w:val="12"/>
          <w:position w:val="4"/>
          <w:sz w:val="24"/>
          <w:szCs w:val="24"/>
        </w:rPr>
        <w:t>12.8 有下列情形之一的，采购人或采购代理机构可以不予退还投标保证金：</w:t>
      </w:r>
    </w:p>
    <w:p w14:paraId="73FCD5DE">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12.8.1 投标有效期内投标人撤销投标文件的。</w:t>
      </w:r>
    </w:p>
    <w:p w14:paraId="5036CA03">
      <w:pPr>
        <w:pageBreakBefore w:val="0"/>
        <w:widowControl w:val="0"/>
        <w:tabs>
          <w:tab w:val="left" w:pos="360"/>
        </w:tabs>
        <w:kinsoku/>
        <w:overflowPunct/>
        <w:topLinePunct w:val="0"/>
        <w:autoSpaceDE/>
        <w:autoSpaceDN/>
        <w:bidi w:val="0"/>
        <w:adjustRightInd/>
        <w:snapToGrid w:val="0"/>
        <w:spacing w:after="0" w:line="360" w:lineRule="auto"/>
        <w:ind w:left="2156" w:leftChars="684" w:hanging="720" w:hangingChars="300"/>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12.8.2 《投标人须知资料表》中规定的其他情形。</w:t>
      </w:r>
    </w:p>
    <w:p w14:paraId="2048ECFA">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投标有效期</w:t>
      </w:r>
    </w:p>
    <w:p w14:paraId="1AE7F8CF">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13.1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投标文件应在本招标文件《投标人须知资料表》中规定的投标有效期内保持有效，投标有效期少于招标文件规定期限的，其投标无效。</w:t>
      </w:r>
    </w:p>
    <w:p w14:paraId="55E06FAC">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投标文件的签署、盖章</w:t>
      </w:r>
    </w:p>
    <w:p w14:paraId="367287D1">
      <w:pPr>
        <w:pStyle w:val="6"/>
        <w:pageBreakBefore w:val="0"/>
        <w:overflowPunct/>
        <w:topLinePunct w:val="0"/>
        <w:bidi w:val="0"/>
        <w:snapToGrid w:val="0"/>
        <w:spacing w:after="0"/>
        <w:ind w:firstLine="960" w:firstLineChars="400"/>
      </w:pPr>
      <w:r>
        <w:rPr>
          <w:rFonts w:hint="eastAsia"/>
        </w:rPr>
        <w:t xml:space="preserve">14.1  </w:t>
      </w:r>
      <w:r>
        <w:rPr>
          <w:rFonts w:hint="eastAsia" w:hAnsi="宋体" w:cs="宋体"/>
          <w:spacing w:val="-1"/>
          <w:szCs w:val="24"/>
        </w:rPr>
        <w:t>招标文件要求签字的内容应符合招标文件要求</w:t>
      </w:r>
      <w:r>
        <w:t>。</w:t>
      </w:r>
    </w:p>
    <w:p w14:paraId="4F913250">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6" w:name="_Toc148096354"/>
      <w:r>
        <w:rPr>
          <w:rFonts w:hint="eastAsia" w:ascii="宋体" w:hAnsi="宋体" w:eastAsia="宋体" w:cs="Times New Roman"/>
          <w:b/>
          <w:bCs/>
          <w:snapToGrid/>
          <w:color w:val="auto"/>
          <w:kern w:val="2"/>
          <w:sz w:val="28"/>
          <w:szCs w:val="36"/>
        </w:rPr>
        <w:t>四   投标文件的提交</w:t>
      </w:r>
      <w:bookmarkEnd w:id="26"/>
    </w:p>
    <w:p w14:paraId="738E6781">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投标文件的提交</w:t>
      </w:r>
    </w:p>
    <w:p w14:paraId="1F79B061">
      <w:pPr>
        <w:pageBreakBefore w:val="0"/>
        <w:overflowPunct/>
        <w:topLinePunct w:val="0"/>
        <w:bidi w:val="0"/>
        <w:snapToGrid w:val="0"/>
        <w:spacing w:after="0" w:line="360" w:lineRule="auto"/>
        <w:ind w:left="1434" w:leftChars="456" w:hanging="476" w:hangingChars="200"/>
        <w:rPr>
          <w:rFonts w:hint="eastAsia" w:ascii="宋体" w:hAnsi="宋体" w:eastAsia="宋体"/>
          <w:color w:val="auto"/>
          <w:sz w:val="24"/>
          <w:szCs w:val="24"/>
        </w:rPr>
      </w:pPr>
      <w:r>
        <w:rPr>
          <w:rFonts w:hint="eastAsia" w:ascii="宋体" w:hAnsi="宋体" w:eastAsia="宋体" w:cs="宋体"/>
          <w:color w:val="auto"/>
          <w:spacing w:val="-1"/>
          <w:sz w:val="24"/>
          <w:szCs w:val="24"/>
        </w:rPr>
        <w:t>15.1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本项目采用线上线下相结合方式采购，投标人应按要求递交纸质版投标文件</w:t>
      </w:r>
      <w:r>
        <w:rPr>
          <w:rFonts w:hint="eastAsia" w:ascii="宋体" w:hAnsi="宋体" w:eastAsia="宋体"/>
          <w:color w:val="auto"/>
          <w:sz w:val="24"/>
          <w:szCs w:val="24"/>
        </w:rPr>
        <w:t>。</w:t>
      </w:r>
    </w:p>
    <w:p w14:paraId="147BB454">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投标截止时间</w:t>
      </w:r>
    </w:p>
    <w:p w14:paraId="58598AAC">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16.1 投标人应在招标文件要求提交投标文件截止时间前，将投标文件递交至招标文件规定的指定地点。</w:t>
      </w:r>
    </w:p>
    <w:p w14:paraId="48F39785">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投标文件的修改与撤回</w:t>
      </w:r>
    </w:p>
    <w:p w14:paraId="4185A006">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17.1 投标截止时间前，投标人可以对所提交的投标文件进行补充、修改或者撤回。但应就其补充、修改或者撤回通知采购人或采购代理机构。</w:t>
      </w:r>
    </w:p>
    <w:p w14:paraId="31B08FE7">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17.2 投标人对投标文件的补充、修改的内容应当按照招标文件要求签署、盖章，作为投标文件的组成部分。</w:t>
      </w:r>
    </w:p>
    <w:p w14:paraId="60E2F387">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7" w:name="_Toc148096355"/>
      <w:r>
        <w:rPr>
          <w:rFonts w:hint="eastAsia" w:ascii="宋体" w:hAnsi="宋体" w:eastAsia="宋体" w:cs="Times New Roman"/>
          <w:b/>
          <w:bCs/>
          <w:snapToGrid/>
          <w:color w:val="auto"/>
          <w:kern w:val="2"/>
          <w:sz w:val="28"/>
          <w:szCs w:val="36"/>
        </w:rPr>
        <w:t>五   开标、资格审查及评标</w:t>
      </w:r>
      <w:bookmarkEnd w:id="27"/>
    </w:p>
    <w:p w14:paraId="6A443D26">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开标</w:t>
      </w:r>
    </w:p>
    <w:p w14:paraId="54851E5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bookmarkStart w:id="28" w:name="OLE_LINK17"/>
      <w:r>
        <w:rPr>
          <w:rFonts w:hint="eastAsia" w:ascii="宋体" w:hAnsi="宋体" w:eastAsia="宋体" w:cs="宋体"/>
          <w:color w:val="auto"/>
          <w:spacing w:val="-1"/>
          <w:sz w:val="24"/>
          <w:szCs w:val="24"/>
        </w:rPr>
        <w:t>18.1 采购人或采购代理机构将按招标文件的规定，在投标截止时间的同一时间和招标文件预先确定的地点组织开标。</w:t>
      </w:r>
    </w:p>
    <w:p w14:paraId="2305B7D5">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18.2 开标过程将宣布投标人名称、投标价格和招标文件规定的需要宣布的其他内容并进行记录，并由参加开标的各投标人确认。投标人未在开标现场提出疑义或确认一览表的，视同认可开标结果。</w:t>
      </w:r>
    </w:p>
    <w:p w14:paraId="43655D3D">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18.3 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E9A5FFA">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18.4 投标人不足3家的，不予开标。</w:t>
      </w:r>
    </w:p>
    <w:bookmarkEnd w:id="28"/>
    <w:p w14:paraId="507C910D">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资格审查</w:t>
      </w:r>
    </w:p>
    <w:p w14:paraId="5F20F82C">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19.1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见第三章《资格审查》。</w:t>
      </w:r>
    </w:p>
    <w:p w14:paraId="20139737">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w:t>
      </w:r>
    </w:p>
    <w:p w14:paraId="7B67FEDB">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评标委员会根据政府采购有关规定和本次采购项目的特点进行组建，并负责具体评标事务，独立履行职责。</w:t>
      </w:r>
    </w:p>
    <w:p w14:paraId="5C4CC5B7">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20.2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评审专家须符合《财政部关于在政府采购活动中查询及使用信用记录有关问题的通知》(财库〔2016〕125 号) 的规定。依法自行选定评审专家的，采购人和采购代理机构将查询有关信用记录，对具有行贿、受贿、欺诈等不良信用记录的人员，拒绝其参与政府采购活动。</w:t>
      </w:r>
    </w:p>
    <w:p w14:paraId="47BB6FDD">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评标程序、评标方法和评标标准</w:t>
      </w:r>
    </w:p>
    <w:p w14:paraId="1DB862D4">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见第四章《评标程序、评标方法和评标标准》。</w:t>
      </w:r>
    </w:p>
    <w:p w14:paraId="26DA4A3B">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29" w:name="_Toc148096356"/>
      <w:r>
        <w:rPr>
          <w:rFonts w:hint="eastAsia" w:ascii="宋体" w:hAnsi="宋体" w:eastAsia="宋体" w:cs="Times New Roman"/>
          <w:b/>
          <w:bCs/>
          <w:snapToGrid/>
          <w:color w:val="auto"/>
          <w:kern w:val="2"/>
          <w:sz w:val="28"/>
          <w:szCs w:val="36"/>
        </w:rPr>
        <w:t>六   确定中标</w:t>
      </w:r>
      <w:bookmarkEnd w:id="29"/>
    </w:p>
    <w:p w14:paraId="1E7CD376">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确定中标人</w:t>
      </w:r>
    </w:p>
    <w:p w14:paraId="586E1BE8">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22.1 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4F8BFC8">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中标公告与中标通知书</w:t>
      </w:r>
    </w:p>
    <w:p w14:paraId="129FB610">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23.1 采购人或采购代理机构自中标人确定之日起 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个工作日内，在北京市政府采购网公告中标结果，同时向中标人发出中标通知书，中标公告期限为 1 个工作日。</w:t>
      </w:r>
    </w:p>
    <w:p w14:paraId="0FEBA41F">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23.2 中标通知书对采购人和中标供应商均具有法律效力。中标通知书发出后，采购人改变中标结果的，或者中标供应商放弃中标项目的，应当依法承担法律责任。</w:t>
      </w:r>
    </w:p>
    <w:p w14:paraId="76BB2118">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废标</w:t>
      </w:r>
    </w:p>
    <w:p w14:paraId="479262DF">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在招标采购中，出现下列情形之一的，应予废标：</w:t>
      </w:r>
    </w:p>
    <w:p w14:paraId="01F8CD16">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24.1.1 符合专业条件的供应商或者对招标文件作实质响应的供应商不足三家的；</w:t>
      </w:r>
    </w:p>
    <w:p w14:paraId="6FF01B7F">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出现影响采购公正的违法、违规行为的；</w:t>
      </w:r>
    </w:p>
    <w:p w14:paraId="098E8F0C">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24.1.3 投标人的报价均超过了采购预算， 采购人不能支付的； </w:t>
      </w:r>
    </w:p>
    <w:p w14:paraId="07E405FD">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24.1.4 因重大变故，采购任务取消的。</w:t>
      </w:r>
    </w:p>
    <w:p w14:paraId="7E812C76">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24.2 废标后，采购人将废标理由书面通知所有投标人。</w:t>
      </w:r>
    </w:p>
    <w:p w14:paraId="65FBB3C4">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签订合同</w:t>
      </w:r>
    </w:p>
    <w:p w14:paraId="3680D46E">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中标人、采购人应当自中标通知书发出之日起 30 日内，按照招标文件和中标人投标文件的规定签订书面合同。所签订的合同不得对招标文件确定的事项和中标人投标文件作实质性修改。</w:t>
      </w:r>
    </w:p>
    <w:p w14:paraId="723A442D">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中标人拒绝与采购人签订合同的，采购人可以按照评标报告推荐的中标候选人名单排序，确定下一候选人为中标人，也可以重新开展政府采购活动。</w:t>
      </w:r>
    </w:p>
    <w:p w14:paraId="3348004B">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联合体中标的，联合体各方应当共同与采购人签订合同，就采购合同约定的事项向采购人承担连带责任。</w:t>
      </w:r>
    </w:p>
    <w:p w14:paraId="720A75D5">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政府采购合同不能转包。</w:t>
      </w:r>
    </w:p>
    <w:p w14:paraId="0306BC30">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4F4B6378">
      <w:pPr>
        <w:pStyle w:val="6"/>
        <w:pageBreakBefore w:val="0"/>
        <w:overflowPunct/>
        <w:topLinePunct w:val="0"/>
        <w:bidi w:val="0"/>
        <w:snapToGrid w:val="0"/>
        <w:spacing w:after="0"/>
        <w:ind w:firstLine="960" w:firstLineChars="400"/>
      </w:pPr>
      <w:r>
        <w:rPr>
          <w:rFonts w:hint="eastAsia"/>
        </w:rPr>
        <w:t>25.6  “政采贷”融资指引：详见《投标人须知资料表》。</w:t>
      </w:r>
    </w:p>
    <w:p w14:paraId="5F7AD02D">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询问与质疑</w:t>
      </w:r>
    </w:p>
    <w:p w14:paraId="7589EDFA">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询问</w:t>
      </w:r>
    </w:p>
    <w:p w14:paraId="707B21F4">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26.1.1 投标人对政府采购活动事项有疑问的，可依法向采购人或采购代理机构提出询问，提出形式见《投标人须知资料表》。</w:t>
      </w:r>
    </w:p>
    <w:p w14:paraId="3397B00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26.1.2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采购人或采购代理机构对供应商依法提出的询问，在 3 个工作日内作出答复，但答复的内容不得涉及商业秘密。</w:t>
      </w:r>
    </w:p>
    <w:p w14:paraId="6287E404">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 质疑</w:t>
      </w:r>
    </w:p>
    <w:p w14:paraId="2FEC2E34">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26.2.1 投标人认为采购文件、采购过程、中标结果使自己的权益受到损害的,可以在知道或者应知其权益受到损害之日起 7 个工作日内，以书面 形式向采购人、采购代理机构提出质疑。采购人、采购代理机构在收到质疑函后 7 个工作日内作出答复。</w:t>
      </w:r>
    </w:p>
    <w:p w14:paraId="63728BB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26.2.2 质疑函须使用财政部制定的范本文件。投标人为自然人的，质疑函应当由本人签字；投标人为法人或者其他组织的，质疑函应当由法定代表人、主要负责人，或者其授权代表签字或者盖章，并加盖公章。</w:t>
      </w:r>
    </w:p>
    <w:p w14:paraId="7DE76A03">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26.2.3 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822D90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26.2.4 投标人应在法定质疑期内一次性提出针对同一采购程序环节的质疑， 法定质疑期内针对同一采购程序环节再次提出的质疑，采购人、采购代理机构有权不予答复。</w:t>
      </w:r>
    </w:p>
    <w:p w14:paraId="55737F2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26.3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 xml:space="preserve">接收询问和质疑的联系部门、联系电话和通讯地址见《投标人须知资料表》。 </w:t>
      </w:r>
    </w:p>
    <w:p w14:paraId="6218F9E2">
      <w:pPr>
        <w:pageBreakBefore w:val="0"/>
        <w:widowControl w:val="0"/>
        <w:tabs>
          <w:tab w:val="left" w:pos="360"/>
        </w:tabs>
        <w:kinsoku/>
        <w:overflowPunct/>
        <w:topLinePunct w:val="0"/>
        <w:autoSpaceDE/>
        <w:autoSpaceDN/>
        <w:bidi w:val="0"/>
        <w:adjustRightInd/>
        <w:snapToGrid w:val="0"/>
        <w:spacing w:after="0" w:line="360" w:lineRule="auto"/>
        <w:ind w:left="435" w:leftChars="207" w:firstLine="71" w:firstLineChars="30"/>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27 </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代理费</w:t>
      </w:r>
    </w:p>
    <w:p w14:paraId="415503E3">
      <w:pPr>
        <w:pStyle w:val="6"/>
        <w:pageBreakBefore w:val="0"/>
        <w:overflowPunct/>
        <w:topLinePunct w:val="0"/>
        <w:bidi w:val="0"/>
        <w:snapToGrid w:val="0"/>
        <w:spacing w:after="0" w:line="360" w:lineRule="auto"/>
        <w:ind w:left="1434" w:leftChars="456" w:hanging="476" w:hangingChars="200"/>
        <w:rPr>
          <w:rFonts w:hint="eastAsia" w:hAnsi="宋体" w:cs="宋体"/>
          <w:spacing w:val="-1"/>
          <w:szCs w:val="24"/>
        </w:rPr>
      </w:pPr>
      <w:r>
        <w:rPr>
          <w:rFonts w:hint="eastAsia" w:hAnsi="宋体" w:cs="宋体"/>
          <w:spacing w:val="-1"/>
          <w:szCs w:val="24"/>
        </w:rPr>
        <w:t>27.1 收费对象、收费标准及缴纳时间见《投标人须知资料表》。由中标人支付的，中标人须一次性向采购代理机构缴纳代理费，投标报价应包含代理费用。</w:t>
      </w:r>
    </w:p>
    <w:p w14:paraId="2D3FAE2D">
      <w:pPr>
        <w:pStyle w:val="6"/>
        <w:pageBreakBefore w:val="0"/>
        <w:overflowPunct/>
        <w:topLinePunct w:val="0"/>
        <w:bidi w:val="0"/>
        <w:snapToGrid w:val="0"/>
        <w:spacing w:after="0"/>
        <w:rPr>
          <w:rFonts w:hint="eastAsia" w:hAnsi="宋体" w:cs="宋体"/>
          <w:spacing w:val="-1"/>
          <w:szCs w:val="24"/>
        </w:rPr>
      </w:pPr>
    </w:p>
    <w:p w14:paraId="12E3A419">
      <w:pPr>
        <w:pStyle w:val="6"/>
        <w:pageBreakBefore w:val="0"/>
        <w:overflowPunct/>
        <w:topLinePunct w:val="0"/>
        <w:bidi w:val="0"/>
        <w:snapToGrid w:val="0"/>
        <w:spacing w:after="0"/>
        <w:rPr>
          <w:rFonts w:hint="eastAsia" w:hAnsi="宋体" w:cs="宋体"/>
          <w:spacing w:val="-1"/>
          <w:szCs w:val="24"/>
        </w:rPr>
      </w:pPr>
    </w:p>
    <w:p w14:paraId="33056A47">
      <w:pPr>
        <w:pStyle w:val="6"/>
        <w:pageBreakBefore w:val="0"/>
        <w:overflowPunct/>
        <w:topLinePunct w:val="0"/>
        <w:bidi w:val="0"/>
        <w:snapToGrid w:val="0"/>
        <w:spacing w:after="0"/>
        <w:rPr>
          <w:rFonts w:hint="eastAsia" w:hAnsi="宋体" w:cs="宋体"/>
          <w:spacing w:val="-1"/>
          <w:szCs w:val="24"/>
        </w:rPr>
      </w:pPr>
    </w:p>
    <w:p w14:paraId="7A3BAC9F">
      <w:pPr>
        <w:pStyle w:val="6"/>
        <w:pageBreakBefore w:val="0"/>
        <w:overflowPunct/>
        <w:topLinePunct w:val="0"/>
        <w:bidi w:val="0"/>
        <w:snapToGrid w:val="0"/>
        <w:spacing w:after="0"/>
        <w:rPr>
          <w:rFonts w:hint="eastAsia" w:hAnsi="宋体" w:cs="宋体"/>
          <w:spacing w:val="-1"/>
          <w:szCs w:val="24"/>
        </w:rPr>
      </w:pPr>
    </w:p>
    <w:p w14:paraId="39E776FA">
      <w:pPr>
        <w:pStyle w:val="6"/>
        <w:pageBreakBefore w:val="0"/>
        <w:overflowPunct/>
        <w:topLinePunct w:val="0"/>
        <w:bidi w:val="0"/>
        <w:snapToGrid w:val="0"/>
        <w:spacing w:after="0"/>
        <w:rPr>
          <w:rFonts w:hint="eastAsia" w:hAnsi="宋体" w:cs="宋体"/>
          <w:spacing w:val="-1"/>
          <w:szCs w:val="24"/>
        </w:rPr>
      </w:pPr>
    </w:p>
    <w:p w14:paraId="151948A2">
      <w:pPr>
        <w:pStyle w:val="6"/>
        <w:pageBreakBefore w:val="0"/>
        <w:overflowPunct/>
        <w:topLinePunct w:val="0"/>
        <w:bidi w:val="0"/>
        <w:snapToGrid w:val="0"/>
        <w:spacing w:after="0"/>
        <w:rPr>
          <w:rFonts w:hint="eastAsia" w:hAnsi="宋体" w:cs="宋体"/>
          <w:spacing w:val="-1"/>
          <w:szCs w:val="24"/>
        </w:rPr>
      </w:pPr>
    </w:p>
    <w:p w14:paraId="3E808493">
      <w:pPr>
        <w:pStyle w:val="6"/>
        <w:pageBreakBefore w:val="0"/>
        <w:overflowPunct/>
        <w:topLinePunct w:val="0"/>
        <w:bidi w:val="0"/>
        <w:snapToGrid w:val="0"/>
        <w:spacing w:after="0"/>
        <w:rPr>
          <w:rFonts w:hint="eastAsia" w:hAnsi="宋体" w:cs="宋体"/>
          <w:spacing w:val="-1"/>
          <w:szCs w:val="24"/>
        </w:rPr>
      </w:pPr>
    </w:p>
    <w:p w14:paraId="21494DE1">
      <w:pPr>
        <w:pStyle w:val="6"/>
        <w:pageBreakBefore w:val="0"/>
        <w:overflowPunct/>
        <w:topLinePunct w:val="0"/>
        <w:bidi w:val="0"/>
        <w:snapToGrid w:val="0"/>
        <w:spacing w:after="0" w:line="360" w:lineRule="auto"/>
        <w:jc w:val="center"/>
        <w:outlineLvl w:val="0"/>
        <w:rPr>
          <w:rFonts w:hint="eastAsia" w:hAnsi="宋体"/>
          <w:b/>
          <w:bCs/>
          <w:sz w:val="36"/>
          <w:szCs w:val="36"/>
        </w:rPr>
        <w:sectPr>
          <w:pgSz w:w="11907" w:h="16840"/>
          <w:pgMar w:top="1117" w:right="1047" w:bottom="1060" w:left="1700" w:header="878" w:footer="886" w:gutter="0"/>
          <w:pgNumType w:fmt="decimal"/>
          <w:cols w:space="720" w:num="1"/>
        </w:sectPr>
      </w:pPr>
      <w:bookmarkStart w:id="30" w:name="_Toc148096357"/>
      <w:bookmarkStart w:id="31" w:name="_Toc183959675"/>
    </w:p>
    <w:p w14:paraId="6C956234">
      <w:pPr>
        <w:pStyle w:val="6"/>
        <w:pageBreakBefore w:val="0"/>
        <w:overflowPunct/>
        <w:topLinePunct w:val="0"/>
        <w:bidi w:val="0"/>
        <w:snapToGrid w:val="0"/>
        <w:spacing w:after="0" w:line="360" w:lineRule="auto"/>
        <w:jc w:val="center"/>
        <w:outlineLvl w:val="0"/>
        <w:rPr>
          <w:rFonts w:hint="eastAsia" w:hAnsi="宋体"/>
          <w:b/>
          <w:bCs/>
          <w:sz w:val="36"/>
          <w:szCs w:val="36"/>
        </w:rPr>
      </w:pPr>
      <w:r>
        <w:rPr>
          <w:rFonts w:hint="eastAsia" w:hAnsi="宋体"/>
          <w:b/>
          <w:bCs/>
          <w:sz w:val="36"/>
          <w:szCs w:val="36"/>
        </w:rPr>
        <w:t>第三章</w:t>
      </w:r>
      <w:r>
        <w:rPr>
          <w:rFonts w:hAnsi="宋体"/>
          <w:b/>
          <w:bCs/>
          <w:sz w:val="36"/>
          <w:szCs w:val="36"/>
        </w:rPr>
        <w:t xml:space="preserve">   </w:t>
      </w:r>
      <w:r>
        <w:rPr>
          <w:rFonts w:hint="eastAsia" w:hAnsi="宋体"/>
          <w:b/>
          <w:bCs/>
          <w:sz w:val="36"/>
          <w:szCs w:val="36"/>
        </w:rPr>
        <w:t>资格审查</w:t>
      </w:r>
      <w:bookmarkEnd w:id="30"/>
      <w:bookmarkEnd w:id="31"/>
    </w:p>
    <w:p w14:paraId="33898058">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2" w:name="_Toc148096358"/>
      <w:r>
        <w:rPr>
          <w:rFonts w:hint="eastAsia" w:ascii="宋体" w:hAnsi="宋体" w:eastAsia="宋体" w:cs="Times New Roman"/>
          <w:b/>
          <w:bCs/>
          <w:snapToGrid/>
          <w:color w:val="auto"/>
          <w:kern w:val="2"/>
          <w:sz w:val="28"/>
          <w:szCs w:val="36"/>
        </w:rPr>
        <w:t>一、资格审查程序</w:t>
      </w:r>
      <w:bookmarkEnd w:id="32"/>
    </w:p>
    <w:p w14:paraId="76D12716">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1、开标结束后，采购人或采购代理机构将根据《资格审查要求》中的规定，对投标人进行资格审查，并形成资格审查结果。</w:t>
      </w:r>
    </w:p>
    <w:p w14:paraId="096A1CC3">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2、《资格审查要求》中对格式有要求的，除招标文件另有规定外，均为“实质性格式” 文件。</w:t>
      </w:r>
    </w:p>
    <w:p w14:paraId="0D0F1E1E">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3、投标人《资格证明文件》有任何一项不符合《资格审查要求》的，资格审查不合格， 其投标无效。</w:t>
      </w:r>
    </w:p>
    <w:p w14:paraId="3F769468">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4、资格审查合格的投标人不足 3 家的，不进行评标。</w:t>
      </w:r>
    </w:p>
    <w:p w14:paraId="2A2C631B">
      <w:pPr>
        <w:pageBreakBefore w:val="0"/>
        <w:widowControl w:val="0"/>
        <w:kinsoku/>
        <w:overflowPunct/>
        <w:topLinePunct w:val="0"/>
        <w:autoSpaceDE/>
        <w:autoSpaceDN/>
        <w:bidi w:val="0"/>
        <w:adjustRightInd/>
        <w:snapToGrid w:val="0"/>
        <w:spacing w:after="0" w:line="240" w:lineRule="auto"/>
        <w:jc w:val="center"/>
        <w:textAlignment w:val="auto"/>
        <w:outlineLvl w:val="1"/>
        <w:rPr>
          <w:rFonts w:hint="eastAsia" w:ascii="宋体" w:hAnsi="宋体" w:eastAsia="宋体" w:cs="Times New Roman"/>
          <w:b/>
          <w:bCs/>
          <w:snapToGrid/>
          <w:color w:val="auto"/>
          <w:kern w:val="2"/>
          <w:sz w:val="28"/>
          <w:szCs w:val="36"/>
        </w:rPr>
      </w:pPr>
      <w:bookmarkStart w:id="33" w:name="_Toc148096359"/>
      <w:r>
        <w:rPr>
          <w:rFonts w:hint="eastAsia" w:ascii="宋体" w:hAnsi="宋体" w:eastAsia="宋体" w:cs="Times New Roman"/>
          <w:b/>
          <w:bCs/>
          <w:snapToGrid/>
          <w:color w:val="auto"/>
          <w:kern w:val="2"/>
          <w:sz w:val="28"/>
          <w:szCs w:val="36"/>
        </w:rPr>
        <w:t>二、资格审查要求</w:t>
      </w:r>
      <w:bookmarkEnd w:id="33"/>
    </w:p>
    <w:tbl>
      <w:tblPr>
        <w:tblStyle w:val="16"/>
        <w:tblpPr w:leftFromText="180" w:rightFromText="180" w:vertAnchor="text" w:horzAnchor="page" w:tblpX="1588" w:tblpY="637"/>
        <w:tblOverlap w:val="never"/>
        <w:tblW w:w="50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2029"/>
        <w:gridCol w:w="5066"/>
        <w:gridCol w:w="1613"/>
      </w:tblGrid>
      <w:tr w14:paraId="23E07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23" w:hRule="atLeast"/>
          <w:tblHeader/>
        </w:trPr>
        <w:tc>
          <w:tcPr>
            <w:tcW w:w="433" w:type="pct"/>
            <w:vAlign w:val="center"/>
          </w:tcPr>
          <w:p w14:paraId="23386560">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序号</w:t>
            </w:r>
          </w:p>
        </w:tc>
        <w:tc>
          <w:tcPr>
            <w:tcW w:w="1064" w:type="pct"/>
            <w:vAlign w:val="center"/>
          </w:tcPr>
          <w:p w14:paraId="2817E7F1">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检查因素</w:t>
            </w:r>
          </w:p>
        </w:tc>
        <w:tc>
          <w:tcPr>
            <w:tcW w:w="2657" w:type="pct"/>
            <w:vAlign w:val="center"/>
          </w:tcPr>
          <w:p w14:paraId="76388649">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检查内容</w:t>
            </w:r>
          </w:p>
        </w:tc>
        <w:tc>
          <w:tcPr>
            <w:tcW w:w="847" w:type="pct"/>
            <w:vAlign w:val="center"/>
          </w:tcPr>
          <w:p w14:paraId="041452CC">
            <w:pPr>
              <w:pageBreakBefore w:val="0"/>
              <w:tabs>
                <w:tab w:val="left" w:pos="1080"/>
              </w:tabs>
              <w:overflowPunct/>
              <w:topLinePunct w:val="0"/>
              <w:bidi w:val="0"/>
              <w:snapToGrid w:val="0"/>
              <w:spacing w:after="0"/>
              <w:jc w:val="center"/>
              <w:rPr>
                <w:rFonts w:hint="eastAsia" w:ascii="宋体" w:hAnsi="宋体" w:eastAsia="宋体" w:cs="宋体"/>
                <w:b/>
                <w:sz w:val="24"/>
              </w:rPr>
            </w:pPr>
            <w:r>
              <w:rPr>
                <w:rFonts w:hint="eastAsia" w:ascii="宋体" w:hAnsi="宋体" w:eastAsia="宋体" w:cs="宋体"/>
                <w:b/>
                <w:sz w:val="24"/>
              </w:rPr>
              <w:t>格式要求</w:t>
            </w:r>
          </w:p>
        </w:tc>
      </w:tr>
      <w:tr w14:paraId="3CBC69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6" w:hRule="atLeast"/>
        </w:trPr>
        <w:tc>
          <w:tcPr>
            <w:tcW w:w="433" w:type="pct"/>
            <w:vAlign w:val="center"/>
          </w:tcPr>
          <w:p w14:paraId="5E6AC979">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w:t>
            </w:r>
          </w:p>
        </w:tc>
        <w:tc>
          <w:tcPr>
            <w:tcW w:w="1064" w:type="pct"/>
            <w:vAlign w:val="center"/>
          </w:tcPr>
          <w:p w14:paraId="4358FD67">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满足《中华人民共和国政府采购法》第二十二条规定</w:t>
            </w:r>
          </w:p>
        </w:tc>
        <w:tc>
          <w:tcPr>
            <w:tcW w:w="2657" w:type="pct"/>
            <w:vAlign w:val="center"/>
          </w:tcPr>
          <w:p w14:paraId="6701BAD4">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具体规定见第一章《采购邀请》</w:t>
            </w:r>
          </w:p>
        </w:tc>
        <w:tc>
          <w:tcPr>
            <w:tcW w:w="847" w:type="pct"/>
            <w:vAlign w:val="center"/>
          </w:tcPr>
          <w:p w14:paraId="0B1E0720">
            <w:pPr>
              <w:pageBreakBefore w:val="0"/>
              <w:tabs>
                <w:tab w:val="left" w:pos="1080"/>
              </w:tabs>
              <w:overflowPunct/>
              <w:topLinePunct w:val="0"/>
              <w:bidi w:val="0"/>
              <w:snapToGrid w:val="0"/>
              <w:spacing w:after="0"/>
              <w:rPr>
                <w:rFonts w:hint="eastAsia" w:ascii="宋体" w:hAnsi="宋体" w:eastAsia="宋体" w:cs="宋体"/>
              </w:rPr>
            </w:pPr>
          </w:p>
        </w:tc>
      </w:tr>
      <w:tr w14:paraId="7FE4D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594" w:hRule="atLeast"/>
        </w:trPr>
        <w:tc>
          <w:tcPr>
            <w:tcW w:w="433" w:type="pct"/>
            <w:vAlign w:val="center"/>
          </w:tcPr>
          <w:p w14:paraId="2A8B6FED">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1-1</w:t>
            </w:r>
          </w:p>
        </w:tc>
        <w:tc>
          <w:tcPr>
            <w:tcW w:w="1064" w:type="pct"/>
            <w:vAlign w:val="center"/>
          </w:tcPr>
          <w:p w14:paraId="62F737CB">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营业执照等证明文件</w:t>
            </w:r>
          </w:p>
        </w:tc>
        <w:tc>
          <w:tcPr>
            <w:tcW w:w="2657" w:type="pct"/>
            <w:vAlign w:val="center"/>
          </w:tcPr>
          <w:p w14:paraId="1883DEF7">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供应商为企业（包括合伙企业）的，应提供有效的“营业执照”；</w:t>
            </w:r>
          </w:p>
          <w:p w14:paraId="231EEE24">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供应商为事业单位的，应提供有效的“事业单位法人证书”；</w:t>
            </w:r>
          </w:p>
          <w:p w14:paraId="5A24D5A3">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供应商是非企业机构的，应提供有效的“执业许可证”、“登记证书”等证明文件；</w:t>
            </w:r>
          </w:p>
          <w:p w14:paraId="3B9520CA">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供应商是个体工商户的，应提供有效的“个体工商户营业执照”；</w:t>
            </w:r>
          </w:p>
          <w:p w14:paraId="2F9FEF69">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供应商是自然人的，应提供有效的自然人身份证明。</w:t>
            </w:r>
          </w:p>
          <w:p w14:paraId="5B22DD3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hint="eastAsia" w:ascii="宋体" w:hAnsi="宋体" w:eastAsia="宋体" w:cs="宋体"/>
                <w:iCs/>
              </w:rPr>
              <w:t>银行、保险、石油石化、电力、电信等行业的分支机构，可以提供上述</w:t>
            </w:r>
            <w:r>
              <w:rPr>
                <w:rFonts w:hint="eastAsia" w:ascii="宋体" w:hAnsi="宋体" w:eastAsia="宋体" w:cs="宋体"/>
              </w:rPr>
              <w:t>授权，也可以提供其所属法人/其他组织的有关文件或制度等能够证明授权其独立开展业务的证明材料。</w:t>
            </w:r>
          </w:p>
        </w:tc>
        <w:tc>
          <w:tcPr>
            <w:tcW w:w="847" w:type="pct"/>
            <w:vAlign w:val="center"/>
          </w:tcPr>
          <w:p w14:paraId="6D6373EE">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提供证明文件（加盖公章）</w:t>
            </w:r>
          </w:p>
        </w:tc>
      </w:tr>
      <w:tr w14:paraId="65ABF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646350D0">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1-2</w:t>
            </w:r>
          </w:p>
        </w:tc>
        <w:tc>
          <w:tcPr>
            <w:tcW w:w="1064" w:type="pct"/>
            <w:vAlign w:val="center"/>
          </w:tcPr>
          <w:p w14:paraId="6B16210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供应商资格声明书</w:t>
            </w:r>
          </w:p>
        </w:tc>
        <w:tc>
          <w:tcPr>
            <w:tcW w:w="2657" w:type="pct"/>
            <w:vAlign w:val="center"/>
          </w:tcPr>
          <w:p w14:paraId="153FA69C">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提供了符合投标文件要求的《供应商资格声明书》。</w:t>
            </w:r>
          </w:p>
        </w:tc>
        <w:tc>
          <w:tcPr>
            <w:tcW w:w="847" w:type="pct"/>
            <w:vAlign w:val="center"/>
          </w:tcPr>
          <w:p w14:paraId="3D9B3BEF">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格式见《投标文件格式》</w:t>
            </w:r>
          </w:p>
        </w:tc>
      </w:tr>
      <w:tr w14:paraId="7F011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7AA8087F">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1-3</w:t>
            </w:r>
          </w:p>
        </w:tc>
        <w:tc>
          <w:tcPr>
            <w:tcW w:w="1064" w:type="pct"/>
            <w:vAlign w:val="center"/>
          </w:tcPr>
          <w:p w14:paraId="44B720C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供应商信用记录</w:t>
            </w:r>
          </w:p>
        </w:tc>
        <w:tc>
          <w:tcPr>
            <w:tcW w:w="2657" w:type="pct"/>
            <w:vAlign w:val="center"/>
          </w:tcPr>
          <w:p w14:paraId="4EFED88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查询渠道：信用中国网站和中国政府采购网（www.creditchina.gov.cn、www.ccgp.gov.cn）；</w:t>
            </w:r>
          </w:p>
          <w:p w14:paraId="78A9A5A5">
            <w:pPr>
              <w:pageBreakBefore w:val="0"/>
              <w:tabs>
                <w:tab w:val="left" w:pos="900"/>
                <w:tab w:val="left" w:pos="1980"/>
              </w:tabs>
              <w:overflowPunct/>
              <w:topLinePunct w:val="0"/>
              <w:bidi w:val="0"/>
              <w:snapToGrid w:val="0"/>
              <w:spacing w:after="0"/>
              <w:rPr>
                <w:rFonts w:hint="eastAsia" w:ascii="宋体" w:hAnsi="宋体" w:eastAsia="宋体" w:cs="宋体"/>
              </w:rPr>
            </w:pPr>
            <w:r>
              <w:rPr>
                <w:rFonts w:hint="eastAsia" w:ascii="宋体" w:hAnsi="宋体" w:eastAsia="宋体" w:cs="宋体"/>
              </w:rPr>
              <w:t>截止时点：首次投标文件提交截止时间以后、资格审查阶段采购人或采购代理机构的实际查询时间；</w:t>
            </w:r>
          </w:p>
          <w:p w14:paraId="336C356E">
            <w:pPr>
              <w:pageBreakBefore w:val="0"/>
              <w:tabs>
                <w:tab w:val="left" w:pos="900"/>
                <w:tab w:val="left" w:pos="1980"/>
              </w:tabs>
              <w:overflowPunct/>
              <w:topLinePunct w:val="0"/>
              <w:bidi w:val="0"/>
              <w:snapToGrid w:val="0"/>
              <w:spacing w:after="0"/>
              <w:rPr>
                <w:rFonts w:hint="eastAsia" w:ascii="宋体" w:hAnsi="宋体" w:eastAsia="宋体" w:cs="宋体"/>
              </w:rPr>
            </w:pPr>
            <w:r>
              <w:rPr>
                <w:rFonts w:hint="eastAsia" w:ascii="宋体" w:hAnsi="宋体" w:eastAsia="宋体" w:cs="宋体"/>
              </w:rPr>
              <w:t>信用信息查询记录和证据留存具体方式：查询结果网页打印页作为查询记录和证据，与其他投标文件一并保存；</w:t>
            </w:r>
          </w:p>
          <w:p w14:paraId="53CD3B8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信用信息的使用原则：经认定的被列入失信被执行人、重大税收违法失信主体、政府采购严重违法失信行为记录名单的供应商，其</w:t>
            </w:r>
            <w:r>
              <w:rPr>
                <w:rFonts w:hint="eastAsia" w:ascii="宋体" w:hAnsi="宋体" w:eastAsia="宋体" w:cs="宋体"/>
                <w:b/>
              </w:rPr>
              <w:t>投标无效</w:t>
            </w:r>
            <w:r>
              <w:rPr>
                <w:rFonts w:hint="eastAsia" w:ascii="宋体" w:hAnsi="宋体" w:eastAsia="宋体" w:cs="宋体"/>
              </w:rPr>
              <w:t>。联合体形式磋商的，联合体成员存在不良信用记录，视同联合体存在不良信用记录。</w:t>
            </w:r>
          </w:p>
        </w:tc>
        <w:tc>
          <w:tcPr>
            <w:tcW w:w="847" w:type="pct"/>
            <w:vAlign w:val="center"/>
          </w:tcPr>
          <w:p w14:paraId="485E33A8">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无须供应商提供，由采购人或采购代理机构查询。</w:t>
            </w:r>
          </w:p>
        </w:tc>
      </w:tr>
      <w:tr w14:paraId="782A3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03DA72D9">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1-4</w:t>
            </w:r>
          </w:p>
        </w:tc>
        <w:tc>
          <w:tcPr>
            <w:tcW w:w="1064" w:type="pct"/>
            <w:vAlign w:val="center"/>
          </w:tcPr>
          <w:p w14:paraId="4DF80658">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法律、行政法规规定的其他条件</w:t>
            </w:r>
          </w:p>
        </w:tc>
        <w:tc>
          <w:tcPr>
            <w:tcW w:w="2657" w:type="pct"/>
            <w:vAlign w:val="center"/>
          </w:tcPr>
          <w:p w14:paraId="38A18FA4">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法律、行政法规规定的其他条件</w:t>
            </w:r>
          </w:p>
        </w:tc>
        <w:tc>
          <w:tcPr>
            <w:tcW w:w="847" w:type="pct"/>
            <w:vAlign w:val="center"/>
          </w:tcPr>
          <w:p w14:paraId="5CF530D6">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w:t>
            </w:r>
          </w:p>
        </w:tc>
      </w:tr>
      <w:tr w14:paraId="4D555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35134B9F">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2</w:t>
            </w:r>
          </w:p>
        </w:tc>
        <w:tc>
          <w:tcPr>
            <w:tcW w:w="1064" w:type="pct"/>
            <w:vAlign w:val="center"/>
          </w:tcPr>
          <w:p w14:paraId="6E0DACA5">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落实政府采购政策需满足的资格要求</w:t>
            </w:r>
          </w:p>
        </w:tc>
        <w:tc>
          <w:tcPr>
            <w:tcW w:w="2657" w:type="pct"/>
            <w:vAlign w:val="center"/>
          </w:tcPr>
          <w:p w14:paraId="7CF99DAC">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如有，见第一章《采购邀请》</w:t>
            </w:r>
          </w:p>
        </w:tc>
        <w:tc>
          <w:tcPr>
            <w:tcW w:w="847" w:type="pct"/>
            <w:vAlign w:val="center"/>
          </w:tcPr>
          <w:p w14:paraId="2296D745">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w:t>
            </w:r>
          </w:p>
        </w:tc>
      </w:tr>
      <w:tr w14:paraId="2260B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7BBDD7E7">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2-1</w:t>
            </w:r>
          </w:p>
        </w:tc>
        <w:tc>
          <w:tcPr>
            <w:tcW w:w="1064" w:type="pct"/>
            <w:vAlign w:val="center"/>
          </w:tcPr>
          <w:p w14:paraId="7F753EEA">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中小企业声明函</w:t>
            </w:r>
          </w:p>
        </w:tc>
        <w:tc>
          <w:tcPr>
            <w:tcW w:w="2657" w:type="pct"/>
            <w:vAlign w:val="center"/>
          </w:tcPr>
          <w:p w14:paraId="0249FDD7">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当本项目（包）涉及预留份额专门面向中小企业采购时，</w:t>
            </w:r>
            <w:r>
              <w:rPr>
                <w:rFonts w:hint="eastAsia" w:ascii="宋体" w:hAnsi="宋体" w:eastAsia="宋体" w:cs="宋体"/>
                <w:b/>
                <w:bCs/>
              </w:rPr>
              <w:t>必须</w:t>
            </w:r>
            <w:r>
              <w:rPr>
                <w:rFonts w:hint="eastAsia" w:ascii="宋体" w:hAnsi="宋体" w:eastAsia="宋体" w:cs="宋体"/>
              </w:rPr>
              <w:t>在《资格证明文件》中按要求提供相关材料。</w:t>
            </w:r>
          </w:p>
          <w:p w14:paraId="503C2185">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如为监狱企业或残疾人福利性单位，不必提供中小企业声明函，但须按注1或注2要求提供证明材料。</w:t>
            </w:r>
          </w:p>
          <w:p w14:paraId="5D4BA440">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注1：监狱企业须提供由省级以上监狱管理局（北京市含教育矫治局）、戒毒管理局（含新疆生产建设兵团）出具的属于监狱企业的证明文件。</w:t>
            </w:r>
          </w:p>
          <w:p w14:paraId="03328E92">
            <w:pPr>
              <w:pageBreakBefore w:val="0"/>
              <w:tabs>
                <w:tab w:val="left" w:pos="1080"/>
              </w:tabs>
              <w:overflowPunct/>
              <w:topLinePunct w:val="0"/>
              <w:bidi w:val="0"/>
              <w:snapToGrid w:val="0"/>
              <w:spacing w:after="0"/>
              <w:rPr>
                <w:rFonts w:hint="eastAsia" w:ascii="宋体" w:hAnsi="宋体" w:eastAsia="宋体" w:cs="宋体"/>
              </w:rPr>
            </w:pPr>
            <w:r>
              <w:rPr>
                <w:rFonts w:hint="eastAsia" w:ascii="宋体" w:hAnsi="宋体" w:eastAsia="宋体" w:cs="宋体"/>
              </w:rPr>
              <w:t>注2：残疾人福利性单位需按招标文件要求提供《残疾人福利性单位声明函》</w:t>
            </w:r>
          </w:p>
        </w:tc>
        <w:tc>
          <w:tcPr>
            <w:tcW w:w="847" w:type="pct"/>
            <w:vAlign w:val="center"/>
          </w:tcPr>
          <w:p w14:paraId="23AEB9AC">
            <w:pPr>
              <w:pageBreakBefore w:val="0"/>
              <w:tabs>
                <w:tab w:val="left" w:pos="1080"/>
              </w:tabs>
              <w:overflowPunct/>
              <w:topLinePunct w:val="0"/>
              <w:bidi w:val="0"/>
              <w:snapToGrid w:val="0"/>
              <w:spacing w:after="0"/>
              <w:jc w:val="center"/>
              <w:rPr>
                <w:rFonts w:hint="eastAsia" w:ascii="宋体" w:hAnsi="宋体" w:eastAsia="宋体" w:cs="宋体"/>
              </w:rPr>
            </w:pPr>
            <w:r>
              <w:rPr>
                <w:rFonts w:hint="eastAsia" w:ascii="宋体" w:hAnsi="宋体" w:eastAsia="宋体" w:cs="宋体"/>
              </w:rPr>
              <w:t>格式见《投标文件格式》</w:t>
            </w:r>
          </w:p>
        </w:tc>
      </w:tr>
      <w:tr w14:paraId="14777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2144E15E">
            <w:pPr>
              <w:pageBreakBefore w:val="0"/>
              <w:tabs>
                <w:tab w:val="left" w:pos="1080"/>
              </w:tabs>
              <w:overflowPunct/>
              <w:topLinePunct w:val="0"/>
              <w:bidi w:val="0"/>
              <w:snapToGrid w:val="0"/>
              <w:spacing w:after="0"/>
              <w:jc w:val="center"/>
              <w:rPr>
                <w:rFonts w:hint="eastAsia" w:ascii="宋体" w:hAnsi="宋体" w:eastAsia="宋体" w:cs="宋体"/>
                <w:highlight w:val="yellow"/>
              </w:rPr>
            </w:pPr>
            <w:r>
              <w:rPr>
                <w:rFonts w:hint="eastAsia" w:ascii="宋体" w:hAnsi="宋体" w:eastAsia="宋体" w:cs="宋体"/>
              </w:rPr>
              <w:t>3</w:t>
            </w:r>
          </w:p>
        </w:tc>
        <w:tc>
          <w:tcPr>
            <w:tcW w:w="1064" w:type="pct"/>
            <w:vAlign w:val="center"/>
          </w:tcPr>
          <w:p w14:paraId="4197978A">
            <w:pPr>
              <w:pageBreakBefore w:val="0"/>
              <w:tabs>
                <w:tab w:val="left" w:pos="1080"/>
              </w:tabs>
              <w:overflowPunct/>
              <w:topLinePunct w:val="0"/>
              <w:bidi w:val="0"/>
              <w:snapToGrid w:val="0"/>
              <w:spacing w:after="0"/>
              <w:rPr>
                <w:rFonts w:hint="eastAsia" w:ascii="宋体" w:hAnsi="宋体" w:eastAsia="宋体" w:cs="宋体"/>
                <w:highlight w:val="yellow"/>
              </w:rPr>
            </w:pPr>
            <w:r>
              <w:rPr>
                <w:rFonts w:hint="eastAsia" w:ascii="宋体" w:hAnsi="宋体" w:eastAsia="宋体" w:cs="宋体"/>
              </w:rPr>
              <w:t>本项目的特定资格要求</w:t>
            </w:r>
          </w:p>
        </w:tc>
        <w:tc>
          <w:tcPr>
            <w:tcW w:w="2657" w:type="pct"/>
            <w:vAlign w:val="center"/>
          </w:tcPr>
          <w:p w14:paraId="7C99E7E5">
            <w:pPr>
              <w:pageBreakBefore w:val="0"/>
              <w:tabs>
                <w:tab w:val="left" w:pos="1080"/>
              </w:tabs>
              <w:overflowPunct/>
              <w:topLinePunct w:val="0"/>
              <w:bidi w:val="0"/>
              <w:snapToGrid w:val="0"/>
              <w:spacing w:after="0"/>
              <w:rPr>
                <w:rFonts w:hint="eastAsia" w:ascii="宋体" w:hAnsi="宋体" w:eastAsia="宋体" w:cs="宋体"/>
                <w:highlight w:val="yellow"/>
              </w:rPr>
            </w:pPr>
            <w:r>
              <w:rPr>
                <w:rFonts w:hint="eastAsia" w:ascii="宋体" w:hAnsi="宋体" w:eastAsia="宋体" w:cs="宋体"/>
              </w:rPr>
              <w:t>如有，见第一章《采购邀请》</w:t>
            </w:r>
          </w:p>
        </w:tc>
        <w:tc>
          <w:tcPr>
            <w:tcW w:w="847" w:type="pct"/>
            <w:vAlign w:val="center"/>
          </w:tcPr>
          <w:p w14:paraId="46B93A57">
            <w:pPr>
              <w:pageBreakBefore w:val="0"/>
              <w:tabs>
                <w:tab w:val="left" w:pos="1080"/>
              </w:tabs>
              <w:overflowPunct/>
              <w:topLinePunct w:val="0"/>
              <w:bidi w:val="0"/>
              <w:snapToGrid w:val="0"/>
              <w:spacing w:after="0"/>
              <w:rPr>
                <w:rFonts w:hint="eastAsia" w:ascii="宋体" w:hAnsi="宋体" w:eastAsia="宋体" w:cs="宋体"/>
                <w:highlight w:val="yellow"/>
              </w:rPr>
            </w:pPr>
          </w:p>
        </w:tc>
      </w:tr>
      <w:tr w14:paraId="403AB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33" w:type="pct"/>
            <w:vAlign w:val="center"/>
          </w:tcPr>
          <w:p w14:paraId="200D0B6B">
            <w:pPr>
              <w:pageBreakBefore w:val="0"/>
              <w:tabs>
                <w:tab w:val="left" w:pos="1080"/>
              </w:tabs>
              <w:overflowPunct/>
              <w:topLinePunct w:val="0"/>
              <w:bidi w:val="0"/>
              <w:snapToGrid w:val="0"/>
              <w:spacing w:after="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1064" w:type="pct"/>
            <w:vAlign w:val="center"/>
          </w:tcPr>
          <w:p w14:paraId="65D51B1B">
            <w:pPr>
              <w:pageBreakBefore w:val="0"/>
              <w:tabs>
                <w:tab w:val="left" w:pos="1080"/>
              </w:tabs>
              <w:overflowPunct/>
              <w:topLinePunct w:val="0"/>
              <w:bidi w:val="0"/>
              <w:snapToGrid w:val="0"/>
              <w:spacing w:after="0"/>
              <w:rPr>
                <w:rFonts w:hint="eastAsia" w:ascii="宋体" w:hAnsi="宋体" w:eastAsia="宋体" w:cs="宋体"/>
                <w:lang w:val="en-US" w:eastAsia="zh-CN"/>
              </w:rPr>
            </w:pPr>
            <w:r>
              <w:rPr>
                <w:rFonts w:hint="eastAsia" w:ascii="宋体" w:hAnsi="宋体" w:eastAsia="宋体" w:cs="宋体"/>
                <w:lang w:val="en-US" w:eastAsia="zh-CN"/>
              </w:rPr>
              <w:t>投标保证金</w:t>
            </w:r>
          </w:p>
        </w:tc>
        <w:tc>
          <w:tcPr>
            <w:tcW w:w="2657" w:type="pct"/>
            <w:vAlign w:val="center"/>
          </w:tcPr>
          <w:p w14:paraId="4A5863B9">
            <w:pPr>
              <w:pageBreakBefore w:val="0"/>
              <w:tabs>
                <w:tab w:val="left" w:pos="1080"/>
              </w:tabs>
              <w:overflowPunct/>
              <w:topLinePunct w:val="0"/>
              <w:bidi w:val="0"/>
              <w:snapToGrid w:val="0"/>
              <w:spacing w:after="0"/>
              <w:rPr>
                <w:rFonts w:hint="eastAsia" w:ascii="宋体" w:hAnsi="宋体" w:eastAsia="宋体" w:cs="宋体"/>
              </w:rPr>
            </w:pPr>
          </w:p>
        </w:tc>
        <w:tc>
          <w:tcPr>
            <w:tcW w:w="847" w:type="pct"/>
            <w:vAlign w:val="center"/>
          </w:tcPr>
          <w:p w14:paraId="4161E512">
            <w:pPr>
              <w:pStyle w:val="8"/>
              <w:spacing w:before="307" w:line="201" w:lineRule="auto"/>
              <w:ind w:left="12"/>
              <w:outlineLvl w:val="1"/>
              <w:rPr>
                <w:rFonts w:hint="eastAsia" w:ascii="宋体" w:hAnsi="宋体" w:eastAsia="宋体" w:cs="宋体"/>
                <w:sz w:val="21"/>
                <w:szCs w:val="21"/>
                <w:lang w:eastAsia="zh-CN"/>
              </w:rPr>
            </w:pPr>
            <w:r>
              <w:rPr>
                <w:rFonts w:hint="eastAsia" w:ascii="宋体" w:hAnsi="宋体" w:eastAsia="宋体" w:cs="宋体"/>
                <w:spacing w:val="0"/>
                <w:sz w:val="21"/>
                <w:szCs w:val="21"/>
                <w:lang w:val="en-US" w:eastAsia="zh-CN"/>
              </w:rPr>
              <w:t>提供</w:t>
            </w:r>
            <w:r>
              <w:rPr>
                <w:rFonts w:hint="eastAsia" w:ascii="宋体" w:hAnsi="宋体" w:eastAsia="宋体" w:cs="宋体"/>
                <w:spacing w:val="0"/>
                <w:sz w:val="21"/>
                <w:szCs w:val="21"/>
                <w:lang w:eastAsia="zh-CN"/>
              </w:rPr>
              <w:t>投标保证金凭证/交款单据电子件</w:t>
            </w:r>
          </w:p>
          <w:p w14:paraId="4592CE00">
            <w:pPr>
              <w:pageBreakBefore w:val="0"/>
              <w:tabs>
                <w:tab w:val="left" w:pos="1080"/>
              </w:tabs>
              <w:overflowPunct/>
              <w:topLinePunct w:val="0"/>
              <w:bidi w:val="0"/>
              <w:snapToGrid w:val="0"/>
              <w:spacing w:after="0"/>
              <w:rPr>
                <w:rFonts w:hint="eastAsia" w:ascii="宋体" w:hAnsi="宋体" w:eastAsia="宋体" w:cs="宋体"/>
                <w:highlight w:val="yellow"/>
              </w:rPr>
            </w:pPr>
          </w:p>
        </w:tc>
      </w:tr>
    </w:tbl>
    <w:p w14:paraId="6FA8E2CE">
      <w:pPr>
        <w:pStyle w:val="6"/>
        <w:pageBreakBefore w:val="0"/>
        <w:overflowPunct/>
        <w:topLinePunct w:val="0"/>
        <w:bidi w:val="0"/>
        <w:snapToGrid w:val="0"/>
        <w:spacing w:after="0"/>
        <w:rPr>
          <w:rFonts w:hint="eastAsia" w:hAnsi="宋体"/>
        </w:rPr>
      </w:pPr>
    </w:p>
    <w:p w14:paraId="4010987A">
      <w:pPr>
        <w:pStyle w:val="6"/>
        <w:pageBreakBefore w:val="0"/>
        <w:overflowPunct/>
        <w:topLinePunct w:val="0"/>
        <w:bidi w:val="0"/>
        <w:snapToGrid w:val="0"/>
        <w:spacing w:after="0"/>
        <w:rPr>
          <w:rFonts w:hint="eastAsia" w:hAnsi="宋体"/>
        </w:rPr>
      </w:pPr>
      <w:r>
        <w:rPr>
          <w:rFonts w:hAnsi="宋体"/>
        </w:rPr>
        <w:br w:type="page"/>
      </w:r>
    </w:p>
    <w:p w14:paraId="2AA1D23E">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34" w:name="_Toc183959676"/>
      <w:r>
        <w:rPr>
          <w:rFonts w:hint="eastAsia" w:hAnsi="宋体"/>
          <w:b/>
          <w:bCs/>
          <w:sz w:val="36"/>
          <w:szCs w:val="36"/>
        </w:rPr>
        <w:t>第四章</w:t>
      </w:r>
      <w:r>
        <w:rPr>
          <w:rFonts w:hAnsi="宋体"/>
          <w:b/>
          <w:bCs/>
          <w:sz w:val="36"/>
          <w:szCs w:val="36"/>
        </w:rPr>
        <w:t xml:space="preserve">   </w:t>
      </w:r>
      <w:r>
        <w:rPr>
          <w:rFonts w:hint="eastAsia" w:hAnsi="宋体"/>
          <w:b/>
          <w:bCs/>
          <w:sz w:val="36"/>
          <w:szCs w:val="36"/>
        </w:rPr>
        <w:t>评标程序、评标方法和评标标准</w:t>
      </w:r>
      <w:bookmarkEnd w:id="34"/>
    </w:p>
    <w:p w14:paraId="5094EC44">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5" w:name="_Toc148096361"/>
      <w:r>
        <w:rPr>
          <w:rFonts w:hint="eastAsia" w:ascii="宋体" w:hAnsi="宋体" w:eastAsia="宋体" w:cs="Times New Roman"/>
          <w:b/>
          <w:bCs/>
          <w:snapToGrid/>
          <w:color w:val="auto"/>
          <w:kern w:val="2"/>
          <w:sz w:val="28"/>
          <w:szCs w:val="36"/>
        </w:rPr>
        <w:t>一、评标方法</w:t>
      </w:r>
      <w:bookmarkEnd w:id="35"/>
    </w:p>
    <w:p w14:paraId="757A31E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 投标文件的符合性审查</w:t>
      </w:r>
    </w:p>
    <w:p w14:paraId="481B60C0">
      <w:pPr>
        <w:pageBreakBefore w:val="0"/>
        <w:overflowPunct/>
        <w:topLinePunct w:val="0"/>
        <w:bidi w:val="0"/>
        <w:snapToGrid w:val="0"/>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1.1</w:t>
      </w:r>
      <w:r>
        <w:rPr>
          <w:rFonts w:ascii="宋体" w:hAnsi="宋体" w:eastAsia="宋体"/>
          <w:color w:val="auto"/>
          <w:sz w:val="24"/>
          <w:szCs w:val="24"/>
        </w:rPr>
        <w:t xml:space="preserve"> </w:t>
      </w:r>
      <w:r>
        <w:rPr>
          <w:rFonts w:hint="eastAsia" w:ascii="宋体" w:hAnsi="宋体" w:eastAsia="宋体"/>
          <w:color w:val="auto"/>
          <w:sz w:val="24"/>
          <w:szCs w:val="24"/>
        </w:rPr>
        <w:t>评标委员会对资格审查合格的投标人的投标文件进行符合性审查，以确定其是否满足招标文件的实质性要求。</w:t>
      </w:r>
    </w:p>
    <w:p w14:paraId="5678A7D0">
      <w:pPr>
        <w:pageBreakBefore w:val="0"/>
        <w:overflowPunct/>
        <w:topLinePunct w:val="0"/>
        <w:bidi w:val="0"/>
        <w:snapToGrid w:val="0"/>
        <w:spacing w:after="0" w:line="360" w:lineRule="auto"/>
        <w:ind w:left="1198" w:leftChars="342" w:hanging="480" w:hangingChars="200"/>
        <w:rPr>
          <w:rFonts w:hint="eastAsia" w:ascii="宋体" w:hAnsi="宋体" w:eastAsia="宋体"/>
          <w:color w:val="auto"/>
          <w:sz w:val="24"/>
          <w:szCs w:val="24"/>
        </w:rPr>
      </w:pPr>
      <w:r>
        <w:rPr>
          <w:rFonts w:hint="eastAsia" w:ascii="宋体" w:hAnsi="宋体" w:eastAsia="宋体"/>
          <w:color w:val="auto"/>
          <w:sz w:val="24"/>
          <w:szCs w:val="24"/>
        </w:rPr>
        <w:t>1.2</w:t>
      </w:r>
      <w:r>
        <w:rPr>
          <w:rFonts w:ascii="宋体" w:hAnsi="宋体" w:eastAsia="宋体"/>
          <w:color w:val="auto"/>
          <w:sz w:val="24"/>
          <w:szCs w:val="24"/>
        </w:rPr>
        <w:t xml:space="preserve"> </w:t>
      </w:r>
      <w:r>
        <w:rPr>
          <w:rFonts w:hint="eastAsia" w:ascii="宋体" w:hAnsi="宋体" w:eastAsia="宋体"/>
          <w:color w:val="auto"/>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6CD12178">
      <w:pPr>
        <w:pageBreakBefore w:val="0"/>
        <w:overflowPunct/>
        <w:topLinePunct w:val="0"/>
        <w:bidi w:val="0"/>
        <w:snapToGrid w:val="0"/>
        <w:spacing w:after="0" w:line="360" w:lineRule="auto"/>
        <w:jc w:val="center"/>
        <w:rPr>
          <w:rFonts w:hint="eastAsia" w:ascii="宋体" w:hAnsi="宋体" w:eastAsia="宋体"/>
          <w:color w:val="auto"/>
          <w:sz w:val="24"/>
          <w:szCs w:val="24"/>
        </w:rPr>
      </w:pPr>
      <w:r>
        <w:rPr>
          <w:rFonts w:hint="eastAsia" w:ascii="宋体" w:hAnsi="宋体" w:eastAsia="宋体"/>
          <w:b/>
          <w:bCs/>
          <w:color w:val="auto"/>
          <w:sz w:val="24"/>
          <w:szCs w:val="24"/>
        </w:rPr>
        <w:t>符合性审查要求：</w:t>
      </w:r>
    </w:p>
    <w:tbl>
      <w:tblPr>
        <w:tblStyle w:val="1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1928"/>
        <w:gridCol w:w="6692"/>
      </w:tblGrid>
      <w:tr w14:paraId="6CBA7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05566F34">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028" w:type="pct"/>
            <w:shd w:val="clear" w:color="auto" w:fill="auto"/>
            <w:vAlign w:val="center"/>
          </w:tcPr>
          <w:p w14:paraId="44CED9D2">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审查因素</w:t>
            </w:r>
          </w:p>
        </w:tc>
        <w:tc>
          <w:tcPr>
            <w:tcW w:w="3568" w:type="pct"/>
            <w:shd w:val="clear" w:color="auto" w:fill="auto"/>
            <w:vAlign w:val="center"/>
          </w:tcPr>
          <w:p w14:paraId="0E753E4F">
            <w:pPr>
              <w:pageBreakBefore w:val="0"/>
              <w:overflowPunct/>
              <w:topLinePunct w:val="0"/>
              <w:bidi w:val="0"/>
              <w:snapToGrid w:val="0"/>
              <w:spacing w:after="0"/>
              <w:jc w:val="center"/>
              <w:rPr>
                <w:rFonts w:hint="eastAsia" w:ascii="宋体" w:hAnsi="宋体" w:eastAsia="宋体" w:cs="宋体"/>
                <w:b/>
                <w:color w:val="auto"/>
                <w:sz w:val="24"/>
              </w:rPr>
            </w:pPr>
            <w:r>
              <w:rPr>
                <w:rFonts w:hint="eastAsia" w:ascii="宋体" w:hAnsi="宋体" w:eastAsia="宋体" w:cs="宋体"/>
                <w:b/>
                <w:color w:val="auto"/>
                <w:sz w:val="24"/>
              </w:rPr>
              <w:t>审查内容</w:t>
            </w:r>
          </w:p>
        </w:tc>
      </w:tr>
      <w:tr w14:paraId="6F5A5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2F45A0A">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w:t>
            </w:r>
          </w:p>
        </w:tc>
        <w:tc>
          <w:tcPr>
            <w:tcW w:w="1028" w:type="pct"/>
            <w:shd w:val="clear" w:color="auto" w:fill="auto"/>
            <w:vAlign w:val="center"/>
          </w:tcPr>
          <w:p w14:paraId="03E5726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授权委托书</w:t>
            </w:r>
          </w:p>
        </w:tc>
        <w:tc>
          <w:tcPr>
            <w:tcW w:w="3568" w:type="pct"/>
            <w:shd w:val="clear" w:color="auto" w:fill="auto"/>
            <w:vAlign w:val="center"/>
          </w:tcPr>
          <w:p w14:paraId="738A9B17">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按招标文件要求提供授权委托书； </w:t>
            </w:r>
          </w:p>
        </w:tc>
      </w:tr>
      <w:tr w14:paraId="04DD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0F8CB26">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2</w:t>
            </w:r>
          </w:p>
        </w:tc>
        <w:tc>
          <w:tcPr>
            <w:tcW w:w="1028" w:type="pct"/>
            <w:shd w:val="clear" w:color="auto" w:fill="auto"/>
            <w:vAlign w:val="center"/>
          </w:tcPr>
          <w:p w14:paraId="67A3481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投标完整性</w:t>
            </w:r>
          </w:p>
        </w:tc>
        <w:tc>
          <w:tcPr>
            <w:tcW w:w="3568" w:type="pct"/>
            <w:shd w:val="clear" w:color="auto" w:fill="auto"/>
            <w:vAlign w:val="center"/>
          </w:tcPr>
          <w:p w14:paraId="1E1627E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未将一个采购包中的内容拆开投标；</w:t>
            </w:r>
          </w:p>
        </w:tc>
      </w:tr>
      <w:tr w14:paraId="3592F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148967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3</w:t>
            </w:r>
          </w:p>
        </w:tc>
        <w:tc>
          <w:tcPr>
            <w:tcW w:w="1028" w:type="pct"/>
            <w:shd w:val="clear" w:color="auto" w:fill="auto"/>
            <w:vAlign w:val="center"/>
          </w:tcPr>
          <w:p w14:paraId="4976FDD4">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投标报价</w:t>
            </w:r>
          </w:p>
        </w:tc>
        <w:tc>
          <w:tcPr>
            <w:tcW w:w="3568" w:type="pct"/>
            <w:shd w:val="clear" w:color="auto" w:fill="auto"/>
            <w:vAlign w:val="center"/>
          </w:tcPr>
          <w:p w14:paraId="78AD5DAB">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投标报价未超过招标文件中规定的项目/采购包预算金额或者项目/采购包最高限价；</w:t>
            </w:r>
          </w:p>
        </w:tc>
      </w:tr>
      <w:tr w14:paraId="7DA1B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1C262ED">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4</w:t>
            </w:r>
          </w:p>
        </w:tc>
        <w:tc>
          <w:tcPr>
            <w:tcW w:w="1028" w:type="pct"/>
            <w:shd w:val="clear" w:color="auto" w:fill="auto"/>
            <w:vAlign w:val="center"/>
          </w:tcPr>
          <w:p w14:paraId="3919F1C6">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报价唯一性</w:t>
            </w:r>
          </w:p>
        </w:tc>
        <w:tc>
          <w:tcPr>
            <w:tcW w:w="3568" w:type="pct"/>
            <w:shd w:val="clear" w:color="auto" w:fill="auto"/>
            <w:vAlign w:val="center"/>
          </w:tcPr>
          <w:p w14:paraId="4ACEBE5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投标文件未出现可选择性或可调整的报价（招标文件另有规定的除外）；</w:t>
            </w:r>
          </w:p>
        </w:tc>
      </w:tr>
      <w:tr w14:paraId="4EAE1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E332020">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5</w:t>
            </w:r>
          </w:p>
        </w:tc>
        <w:tc>
          <w:tcPr>
            <w:tcW w:w="1028" w:type="pct"/>
            <w:shd w:val="clear" w:color="auto" w:fill="auto"/>
            <w:vAlign w:val="center"/>
          </w:tcPr>
          <w:p w14:paraId="5E8A2AC8">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投标有效期</w:t>
            </w:r>
          </w:p>
        </w:tc>
        <w:tc>
          <w:tcPr>
            <w:tcW w:w="3568" w:type="pct"/>
            <w:shd w:val="clear" w:color="auto" w:fill="auto"/>
            <w:vAlign w:val="center"/>
          </w:tcPr>
          <w:p w14:paraId="653AEFBF">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投标文件中承诺的投标有效期满足招标文件中载明的投标有效期的；</w:t>
            </w:r>
          </w:p>
        </w:tc>
      </w:tr>
      <w:tr w14:paraId="05BA7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70B50C9">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6</w:t>
            </w:r>
          </w:p>
        </w:tc>
        <w:tc>
          <w:tcPr>
            <w:tcW w:w="1028" w:type="pct"/>
            <w:shd w:val="clear" w:color="auto" w:fill="auto"/>
            <w:vAlign w:val="center"/>
          </w:tcPr>
          <w:p w14:paraId="081BF224">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实质性格式</w:t>
            </w:r>
          </w:p>
        </w:tc>
        <w:tc>
          <w:tcPr>
            <w:tcW w:w="3568" w:type="pct"/>
            <w:shd w:val="clear" w:color="auto" w:fill="auto"/>
            <w:vAlign w:val="center"/>
          </w:tcPr>
          <w:p w14:paraId="36E50810">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标记为“实质性格式”的文件均按招标文件要求提供且签署、盖</w:t>
            </w:r>
          </w:p>
          <w:p w14:paraId="2CF8D46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章的；</w:t>
            </w:r>
          </w:p>
        </w:tc>
      </w:tr>
      <w:tr w14:paraId="5475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8BA3401">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7</w:t>
            </w:r>
          </w:p>
        </w:tc>
        <w:tc>
          <w:tcPr>
            <w:tcW w:w="1028" w:type="pct"/>
            <w:shd w:val="clear" w:color="auto" w:fill="auto"/>
            <w:vAlign w:val="center"/>
          </w:tcPr>
          <w:p w14:paraId="5898AB58">
            <w:pPr>
              <w:pageBreakBefore w:val="0"/>
              <w:overflowPunct/>
              <w:topLinePunct w:val="0"/>
              <w:bidi w:val="0"/>
              <w:snapToGrid w:val="0"/>
              <w:spacing w:after="0"/>
              <w:rPr>
                <w:rFonts w:hint="eastAsia" w:ascii="宋体" w:hAnsi="宋体" w:eastAsia="宋体" w:cs="宋体"/>
                <w:color w:val="auto"/>
              </w:rPr>
            </w:pPr>
            <w:bookmarkStart w:id="36" w:name="_Hlk126850020"/>
            <w:r>
              <w:rPr>
                <w:rFonts w:hint="eastAsia" w:ascii="宋体" w:hAnsi="宋体" w:eastAsia="宋体" w:cs="宋体"/>
                <w:color w:val="auto"/>
              </w:rPr>
              <w:t>★号条款</w:t>
            </w:r>
            <w:bookmarkEnd w:id="36"/>
            <w:r>
              <w:rPr>
                <w:rFonts w:hint="eastAsia" w:ascii="宋体" w:hAnsi="宋体" w:eastAsia="宋体" w:cs="宋体"/>
                <w:color w:val="auto"/>
              </w:rPr>
              <w:t>响应（如有）</w:t>
            </w:r>
          </w:p>
        </w:tc>
        <w:tc>
          <w:tcPr>
            <w:tcW w:w="3568" w:type="pct"/>
            <w:shd w:val="clear" w:color="auto" w:fill="auto"/>
            <w:vAlign w:val="center"/>
          </w:tcPr>
          <w:p w14:paraId="026641CF">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投标文件满足招标文件第五章《采购需求》中★号条款（如有）要求的；</w:t>
            </w:r>
          </w:p>
        </w:tc>
      </w:tr>
      <w:tr w14:paraId="5DD0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98F0C21">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8</w:t>
            </w:r>
          </w:p>
        </w:tc>
        <w:tc>
          <w:tcPr>
            <w:tcW w:w="1028" w:type="pct"/>
            <w:shd w:val="clear" w:color="auto" w:fill="auto"/>
            <w:vAlign w:val="center"/>
          </w:tcPr>
          <w:p w14:paraId="46D52BB0">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分包承担主体（如有）</w:t>
            </w:r>
          </w:p>
        </w:tc>
        <w:tc>
          <w:tcPr>
            <w:tcW w:w="3568" w:type="pct"/>
            <w:shd w:val="clear" w:color="auto" w:fill="auto"/>
            <w:vAlign w:val="center"/>
          </w:tcPr>
          <w:p w14:paraId="2BE8B4A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分包承担主体具备《投标人须知资料表》载明的资质条件且提供了资质证书电子件（如有）。</w:t>
            </w:r>
          </w:p>
        </w:tc>
      </w:tr>
      <w:tr w14:paraId="64B32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711F849F">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9</w:t>
            </w:r>
          </w:p>
        </w:tc>
        <w:tc>
          <w:tcPr>
            <w:tcW w:w="1028" w:type="pct"/>
            <w:shd w:val="clear" w:color="auto" w:fill="auto"/>
            <w:vAlign w:val="center"/>
          </w:tcPr>
          <w:p w14:paraId="1B6DB213">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分包意向协议（如有）</w:t>
            </w:r>
          </w:p>
        </w:tc>
        <w:tc>
          <w:tcPr>
            <w:tcW w:w="3568" w:type="pct"/>
            <w:shd w:val="clear" w:color="auto" w:fill="auto"/>
            <w:vAlign w:val="center"/>
          </w:tcPr>
          <w:p w14:paraId="1ED0FFC3">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按招标文件规定签订并提供分包意向协议原件的电子件的（如有）。</w:t>
            </w:r>
          </w:p>
        </w:tc>
      </w:tr>
      <w:tr w14:paraId="5ACB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B447DA3">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10</w:t>
            </w:r>
          </w:p>
        </w:tc>
        <w:tc>
          <w:tcPr>
            <w:tcW w:w="1028" w:type="pct"/>
            <w:shd w:val="clear" w:color="auto" w:fill="auto"/>
            <w:vAlign w:val="center"/>
          </w:tcPr>
          <w:p w14:paraId="64F3D88D">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报价的修正（如有）</w:t>
            </w:r>
          </w:p>
        </w:tc>
        <w:tc>
          <w:tcPr>
            <w:tcW w:w="3568" w:type="pct"/>
            <w:shd w:val="clear" w:color="auto" w:fill="auto"/>
            <w:vAlign w:val="center"/>
          </w:tcPr>
          <w:p w14:paraId="6F27DB34">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不涉及报价修正，或投标文件报价出现前后不一致时，投标人对修正后的报价予以确认（如有）； </w:t>
            </w:r>
          </w:p>
        </w:tc>
      </w:tr>
      <w:tr w14:paraId="0A3F2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35F82EB">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11</w:t>
            </w:r>
          </w:p>
        </w:tc>
        <w:tc>
          <w:tcPr>
            <w:tcW w:w="1028" w:type="pct"/>
            <w:shd w:val="clear" w:color="auto" w:fill="auto"/>
            <w:vAlign w:val="center"/>
          </w:tcPr>
          <w:p w14:paraId="3C38BE78">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报价合理性</w:t>
            </w:r>
          </w:p>
        </w:tc>
        <w:tc>
          <w:tcPr>
            <w:tcW w:w="3568" w:type="pct"/>
            <w:shd w:val="clear" w:color="auto" w:fill="auto"/>
            <w:vAlign w:val="center"/>
          </w:tcPr>
          <w:p w14:paraId="40CACC6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报价合理，或投标人的报价明显低于其他通过符合性审查投标人的报价，有可能影响产品质量或者不能诚信履约的，能够应评标委员会要求在规定时间内证明其报价合理性的；</w:t>
            </w:r>
          </w:p>
        </w:tc>
      </w:tr>
      <w:tr w14:paraId="27FE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722D3A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12</w:t>
            </w:r>
          </w:p>
        </w:tc>
        <w:tc>
          <w:tcPr>
            <w:tcW w:w="1028" w:type="pct"/>
            <w:shd w:val="clear" w:color="auto" w:fill="auto"/>
            <w:vAlign w:val="center"/>
          </w:tcPr>
          <w:p w14:paraId="71B4A708">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进口产品（如有）</w:t>
            </w:r>
          </w:p>
        </w:tc>
        <w:tc>
          <w:tcPr>
            <w:tcW w:w="3568" w:type="pct"/>
            <w:shd w:val="clear" w:color="auto" w:fill="auto"/>
            <w:vAlign w:val="center"/>
          </w:tcPr>
          <w:p w14:paraId="41FDD97C">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招标文件不接受进口产品投标的内容时，投标人所投产品非进口产品的。</w:t>
            </w:r>
          </w:p>
        </w:tc>
      </w:tr>
      <w:tr w14:paraId="7378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611B8F0">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13</w:t>
            </w:r>
          </w:p>
        </w:tc>
        <w:tc>
          <w:tcPr>
            <w:tcW w:w="1028" w:type="pct"/>
            <w:shd w:val="clear" w:color="auto" w:fill="auto"/>
            <w:vAlign w:val="center"/>
          </w:tcPr>
          <w:p w14:paraId="35E4B07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国家有关部门对投标人的投标产品有强制性规定或要求的（如有）</w:t>
            </w:r>
          </w:p>
        </w:tc>
        <w:tc>
          <w:tcPr>
            <w:tcW w:w="3568" w:type="pct"/>
            <w:shd w:val="clear" w:color="auto" w:fill="auto"/>
            <w:vAlign w:val="center"/>
          </w:tcPr>
          <w:p w14:paraId="1B7727E2">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 xml:space="preserve">国家有关部门对投标人的投标产品有强制性规定或要求的（如相应技术、安全、节能和环保等），投标人的投标产品应符合相应规定或要求，并提供证明文件电子件： </w:t>
            </w:r>
          </w:p>
          <w:p w14:paraId="32EB0DB9">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1</w:t>
            </w:r>
            <w:r>
              <w:rPr>
                <w:rFonts w:hint="eastAsia" w:ascii="宋体" w:hAnsi="宋体" w:eastAsia="宋体" w:cs="宋体"/>
                <w:color w:val="auto"/>
              </w:rPr>
              <w:t xml:space="preserve">）采购的产品若属于《节能产品政府采购品目清单》范围中政府强制采购产品，则投标人所报产品必须获得国家确定的认证机构出具的、处于有效期之内的节能产品认证证书； </w:t>
            </w:r>
          </w:p>
          <w:p w14:paraId="42AA7E55">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2</w:t>
            </w:r>
            <w:r>
              <w:rPr>
                <w:rFonts w:hint="eastAsia" w:ascii="宋体" w:hAnsi="宋体" w:eastAsia="宋体" w:cs="宋体"/>
                <w:color w:val="auto"/>
              </w:rPr>
              <w:t xml:space="preserve">）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 </w:t>
            </w:r>
          </w:p>
          <w:p w14:paraId="4C9AECAE">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3</w:t>
            </w:r>
            <w:r>
              <w:rPr>
                <w:rFonts w:hint="eastAsia" w:ascii="宋体" w:hAnsi="宋体" w:eastAsia="宋体" w:cs="宋体"/>
                <w:color w:val="auto"/>
              </w:rPr>
              <w:t>）国家有特殊信息安全要求的项目，采购产品涉及无线局域网产品和含有无线局域网功能的计算机、通信设备、打印机、复印机、投影仪等产品的，投标产品须为符合国家无线局域网安全标准（</w:t>
            </w:r>
            <w:r>
              <w:rPr>
                <w:rFonts w:ascii="宋体" w:hAnsi="宋体" w:eastAsia="宋体" w:cs="宋体"/>
                <w:color w:val="auto"/>
              </w:rPr>
              <w:t>GB 15629.11/1102</w:t>
            </w:r>
            <w:r>
              <w:rPr>
                <w:rFonts w:hint="eastAsia" w:ascii="宋体" w:hAnsi="宋体" w:eastAsia="宋体" w:cs="宋体"/>
                <w:color w:val="auto"/>
              </w:rPr>
              <w:t xml:space="preserve">）并通过国家产品认证的产品； </w:t>
            </w:r>
          </w:p>
          <w:p w14:paraId="7F21CF77">
            <w:pPr>
              <w:pageBreakBefore w:val="0"/>
              <w:overflowPunct/>
              <w:topLinePunct w:val="0"/>
              <w:bidi w:val="0"/>
              <w:snapToGrid w:val="0"/>
              <w:spacing w:after="0"/>
              <w:rPr>
                <w:rFonts w:hint="eastAsia" w:ascii="宋体" w:hAnsi="宋体" w:eastAsia="宋体" w:cs="宋体"/>
                <w:color w:val="auto"/>
              </w:rPr>
            </w:pPr>
            <w:r>
              <w:rPr>
                <w:rFonts w:ascii="宋体" w:hAnsi="宋体" w:eastAsia="宋体" w:cs="宋体"/>
                <w:color w:val="auto"/>
              </w:rPr>
              <w:t>4</w:t>
            </w:r>
            <w:r>
              <w:rPr>
                <w:rFonts w:hint="eastAsia" w:ascii="宋体" w:hAnsi="宋体" w:eastAsia="宋体" w:cs="宋体"/>
                <w:color w:val="auto"/>
              </w:rPr>
              <w:t xml:space="preserve">）项目中涉及涂料、胶黏剂、油墨、清洗剂等挥发性有机物产品，且属于强制性标准的，供应商应执行符合本市和国家的 </w:t>
            </w:r>
            <w:r>
              <w:rPr>
                <w:rFonts w:ascii="宋体" w:hAnsi="宋体" w:eastAsia="宋体" w:cs="宋体"/>
                <w:color w:val="auto"/>
              </w:rPr>
              <w:t xml:space="preserve">VOCs </w:t>
            </w:r>
            <w:r>
              <w:rPr>
                <w:rFonts w:hint="eastAsia" w:ascii="宋体" w:hAnsi="宋体" w:eastAsia="宋体" w:cs="宋体"/>
                <w:color w:val="auto"/>
              </w:rPr>
              <w:t>含量限制标准。</w:t>
            </w:r>
          </w:p>
        </w:tc>
      </w:tr>
      <w:tr w14:paraId="16858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5111C2D">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14</w:t>
            </w:r>
          </w:p>
        </w:tc>
        <w:tc>
          <w:tcPr>
            <w:tcW w:w="1028" w:type="pct"/>
            <w:shd w:val="clear" w:color="auto" w:fill="auto"/>
            <w:vAlign w:val="center"/>
          </w:tcPr>
          <w:p w14:paraId="79A09733">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公平竞争</w:t>
            </w:r>
          </w:p>
        </w:tc>
        <w:tc>
          <w:tcPr>
            <w:tcW w:w="3568" w:type="pct"/>
            <w:shd w:val="clear" w:color="auto" w:fill="auto"/>
            <w:vAlign w:val="center"/>
          </w:tcPr>
          <w:p w14:paraId="6EF61F6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投标人遵循公平竞争的原则，不存在恶意串通，妨碍其他投标人的竞争行为，不存在损害采购人或者其他投标人的合法权益情形的；</w:t>
            </w:r>
          </w:p>
        </w:tc>
      </w:tr>
      <w:tr w14:paraId="2CBF9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9010527">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15</w:t>
            </w:r>
          </w:p>
        </w:tc>
        <w:tc>
          <w:tcPr>
            <w:tcW w:w="1028" w:type="pct"/>
            <w:shd w:val="clear" w:color="auto" w:fill="auto"/>
            <w:vAlign w:val="center"/>
          </w:tcPr>
          <w:p w14:paraId="214C13CE">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串通投标</w:t>
            </w:r>
          </w:p>
        </w:tc>
        <w:tc>
          <w:tcPr>
            <w:tcW w:w="3568" w:type="pct"/>
            <w:shd w:val="clear" w:color="auto" w:fill="auto"/>
            <w:vAlign w:val="center"/>
          </w:tcPr>
          <w:p w14:paraId="1D429EF1">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337C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AAF5CAE">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16</w:t>
            </w:r>
          </w:p>
        </w:tc>
        <w:tc>
          <w:tcPr>
            <w:tcW w:w="1028" w:type="pct"/>
            <w:shd w:val="clear" w:color="auto" w:fill="auto"/>
            <w:vAlign w:val="center"/>
          </w:tcPr>
          <w:p w14:paraId="7B5DE8D8">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附加条件</w:t>
            </w:r>
          </w:p>
        </w:tc>
        <w:tc>
          <w:tcPr>
            <w:tcW w:w="3568" w:type="pct"/>
            <w:shd w:val="clear" w:color="auto" w:fill="auto"/>
            <w:vAlign w:val="center"/>
          </w:tcPr>
          <w:p w14:paraId="7144CFB8">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投标文件未含有采购人不能接受的附加条件的；</w:t>
            </w:r>
          </w:p>
        </w:tc>
      </w:tr>
      <w:tr w14:paraId="2F36B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84745E6">
            <w:pPr>
              <w:pageBreakBefore w:val="0"/>
              <w:overflowPunct/>
              <w:topLinePunct w:val="0"/>
              <w:bidi w:val="0"/>
              <w:snapToGrid w:val="0"/>
              <w:spacing w:after="0"/>
              <w:jc w:val="center"/>
              <w:rPr>
                <w:rFonts w:hint="eastAsia" w:ascii="宋体" w:hAnsi="宋体" w:eastAsia="宋体" w:cs="宋体"/>
                <w:color w:val="auto"/>
              </w:rPr>
            </w:pPr>
            <w:r>
              <w:rPr>
                <w:rFonts w:hint="eastAsia" w:ascii="宋体" w:hAnsi="宋体" w:eastAsia="宋体" w:cs="宋体"/>
                <w:color w:val="auto"/>
              </w:rPr>
              <w:t>17</w:t>
            </w:r>
          </w:p>
        </w:tc>
        <w:tc>
          <w:tcPr>
            <w:tcW w:w="1028" w:type="pct"/>
            <w:shd w:val="clear" w:color="auto" w:fill="auto"/>
            <w:vAlign w:val="center"/>
          </w:tcPr>
          <w:p w14:paraId="5F9724BA">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其他无效情形</w:t>
            </w:r>
          </w:p>
        </w:tc>
        <w:tc>
          <w:tcPr>
            <w:tcW w:w="3568" w:type="pct"/>
            <w:shd w:val="clear" w:color="auto" w:fill="auto"/>
            <w:vAlign w:val="center"/>
          </w:tcPr>
          <w:p w14:paraId="3AACC9D9">
            <w:pPr>
              <w:pageBreakBefore w:val="0"/>
              <w:overflowPunct/>
              <w:topLinePunct w:val="0"/>
              <w:bidi w:val="0"/>
              <w:snapToGrid w:val="0"/>
              <w:spacing w:after="0"/>
              <w:rPr>
                <w:rFonts w:hint="eastAsia" w:ascii="宋体" w:hAnsi="宋体" w:eastAsia="宋体" w:cs="宋体"/>
                <w:color w:val="auto"/>
              </w:rPr>
            </w:pPr>
            <w:r>
              <w:rPr>
                <w:rFonts w:hint="eastAsia" w:ascii="宋体" w:hAnsi="宋体" w:eastAsia="宋体" w:cs="宋体"/>
                <w:color w:val="auto"/>
              </w:rPr>
              <w:t>投标人、投标文件不存在不符合法律、法规和招标文件规定的其他无效情形。</w:t>
            </w:r>
          </w:p>
        </w:tc>
      </w:tr>
    </w:tbl>
    <w:p w14:paraId="12068E5A">
      <w:pPr>
        <w:pageBreakBefore w:val="0"/>
        <w:overflowPunct/>
        <w:topLinePunct w:val="0"/>
        <w:bidi w:val="0"/>
        <w:snapToGrid w:val="0"/>
        <w:spacing w:after="0" w:line="14" w:lineRule="auto"/>
        <w:rPr>
          <w:rFonts w:hint="eastAsia" w:ascii="宋体" w:hAnsi="宋体" w:eastAsia="宋体" w:cs="宋体"/>
          <w:color w:val="auto"/>
          <w:sz w:val="2"/>
        </w:rPr>
      </w:pPr>
    </w:p>
    <w:p w14:paraId="7ECAB6AD">
      <w:pPr>
        <w:pageBreakBefore w:val="0"/>
        <w:overflowPunct/>
        <w:topLinePunct w:val="0"/>
        <w:bidi w:val="0"/>
        <w:snapToGrid w:val="0"/>
        <w:spacing w:before="78"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投标文件有关事项的澄清或者说明</w:t>
      </w:r>
    </w:p>
    <w:p w14:paraId="39FF293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2.1 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 或其授权的代表签字。投标人的澄清、说明或者补正不得超出投标文件的范围或者改变投标文件的实质性内容。澄清文件将作为投标文件内容的一部分。</w:t>
      </w:r>
    </w:p>
    <w:p w14:paraId="1D979D19">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2.2 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无效投标处理。</w:t>
      </w:r>
    </w:p>
    <w:p w14:paraId="0FD8FEFB">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2.3 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投标无效。</w:t>
      </w:r>
    </w:p>
    <w:p w14:paraId="59232EFD">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 投标文件报价出现前后不一致的，按照下列规定修正：</w:t>
      </w:r>
    </w:p>
    <w:p w14:paraId="3B2BD9D9">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2.4.1 招标文件对于报价修正是否另有规定：</w:t>
      </w:r>
    </w:p>
    <w:p w14:paraId="0A5E34DD">
      <w:pPr>
        <w:pageBreakBefore w:val="0"/>
        <w:overflowPunct/>
        <w:topLinePunct w:val="0"/>
        <w:bidi w:val="0"/>
        <w:snapToGrid w:val="0"/>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□有，具体规定为： ______________</w:t>
      </w:r>
    </w:p>
    <w:p w14:paraId="3348C0A5">
      <w:pPr>
        <w:pageBreakBefore w:val="0"/>
        <w:overflowPunct/>
        <w:topLinePunct w:val="0"/>
        <w:bidi w:val="0"/>
        <w:snapToGrid w:val="0"/>
        <w:spacing w:after="0" w:line="360" w:lineRule="auto"/>
        <w:ind w:left="1701" w:leftChars="810"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■无，按下述 2.4.2-2.4.7 项规定修正。</w:t>
      </w:r>
    </w:p>
    <w:p w14:paraId="6C37D3A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w:t>
      </w:r>
      <w:r>
        <w:rPr>
          <w:rFonts w:ascii="宋体" w:hAnsi="宋体" w:eastAsia="宋体" w:cs="宋体"/>
          <w:color w:val="auto"/>
          <w:spacing w:val="-1"/>
          <w:sz w:val="24"/>
          <w:szCs w:val="24"/>
        </w:rPr>
        <w:t xml:space="preserve">.4.2 </w:t>
      </w:r>
      <w:r>
        <w:rPr>
          <w:rFonts w:hint="eastAsia" w:ascii="宋体" w:hAnsi="宋体" w:eastAsia="宋体" w:cs="宋体"/>
          <w:color w:val="auto"/>
          <w:spacing w:val="-1"/>
          <w:sz w:val="24"/>
          <w:szCs w:val="24"/>
        </w:rPr>
        <w:t>单独递交的开标一览表(报价表)与投标文件中开标一览表(报价表)内容不一致的，以单独递交的开标一览表(报价表)为准；</w:t>
      </w:r>
    </w:p>
    <w:p w14:paraId="7D350AAB">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2.4.3 投标文件中开标一览表(报价表) 内容与投标文件中相应内容不一致的，以开标一览表(报价表)为准；</w:t>
      </w:r>
    </w:p>
    <w:p w14:paraId="0AC86E6A">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2.4.4 大写金额和小写金额不一致的，以大写金额为准；</w:t>
      </w:r>
    </w:p>
    <w:p w14:paraId="0EE89B72">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2.4.5 单价金额小数点或者百分比有明显错位的， 以开标一览表的总价为准，并修改单价；</w:t>
      </w:r>
    </w:p>
    <w:p w14:paraId="69E520B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2.4.6 总价金额与按单价汇总金额不一致的，以单价金额计算结果为准；</w:t>
      </w:r>
    </w:p>
    <w:p w14:paraId="5D72F984">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2.4.7 同时出现两种以上不一致的，按照前款规定的顺序修正。</w:t>
      </w:r>
    </w:p>
    <w:p w14:paraId="0CEF21C8">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2.4.8 修正后的报价经投标人书面确认后产生约束力，投标人不确认的，其投标无效。</w:t>
      </w:r>
    </w:p>
    <w:p w14:paraId="113C1A4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落实政府采购政策的价格调整：只有符合第二章《投标人须知》5.2 条规定情形的，可以享受中小企业扶持政策，用扣除后的价格参加评审；否则，评标时价格不予扣除。</w:t>
      </w:r>
    </w:p>
    <w:p w14:paraId="2861A8DD">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2.5.1 对于未预留份额专门面向中小企业采购的采购项目，以及预留份额项目中的非预留部分采购包，对小微企业报价给予10%的扣除，用扣除后的价格参加评审。</w:t>
      </w:r>
    </w:p>
    <w:p w14:paraId="2254E4D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2.5.2 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57580AD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2.5.3 组成联合体或者接受分包的小微企业与联合体内其他企业、分包企业之间存在直接控股、管理关系的，不享受价格扣除优惠政策。</w:t>
      </w:r>
    </w:p>
    <w:p w14:paraId="01823397">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2.5.4 价格扣除比例对小型企业和微型企业同等对待，不作区分。</w:t>
      </w:r>
    </w:p>
    <w:p w14:paraId="1F6A1C7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2.5.5  中小企业参加政府采购活动，应当按照招标文件给定的格式出具《中小企业声明函》，否则不得享受相关中小企业扶持政策。</w:t>
      </w:r>
    </w:p>
    <w:p w14:paraId="187DB6D3">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2.5.6 监狱企业提供了由省级以上监狱管理局、戒毒管理局(含新疆生产建设兵团)出具的属于监狱企业的证明文件的，视同小微企业。</w:t>
      </w:r>
    </w:p>
    <w:p w14:paraId="48E79DAD">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2.5.7 残疾人福利性单位按招标文件要求提供了《残疾人福利性单位声明函》的，视同小微企业。</w:t>
      </w:r>
    </w:p>
    <w:p w14:paraId="6B908831">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2.5.8 若投标人同时属于小型或微型企业、监狱企业、残疾人福利性单位中的两种及以上，将不重复享受小微企业价格扣减的优惠政策。</w:t>
      </w:r>
    </w:p>
    <w:p w14:paraId="64B6E630">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投标文件的比较和评价</w:t>
      </w:r>
    </w:p>
    <w:p w14:paraId="74B3DDDE">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3.1 评标委员会将按照招标文件中规定的评标方法和标准，对符合性审查合格的投标文件进行商务和技术评估，综合比较与评价；未通过符合性审查的投标文件不得进入比较与评价。</w:t>
      </w:r>
    </w:p>
    <w:p w14:paraId="70DC757C">
      <w:pPr>
        <w:pageBreakBefore w:val="0"/>
        <w:overflowPunct/>
        <w:topLinePunct w:val="0"/>
        <w:bidi w:val="0"/>
        <w:snapToGrid w:val="0"/>
        <w:spacing w:after="0" w:line="360" w:lineRule="auto"/>
        <w:ind w:firstLine="952" w:firstLineChars="4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 评标方法和评标标准</w:t>
      </w:r>
    </w:p>
    <w:p w14:paraId="215F45FF">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3.2.1 本项目采用的评标方法为：</w:t>
      </w:r>
    </w:p>
    <w:p w14:paraId="6391A20E">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7F9ED3E">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□最低评标价法，指投标文件满足招标文件全部实质性要求，且投标报价最低的投标人为中标候选人的评标方法。</w:t>
      </w:r>
    </w:p>
    <w:p w14:paraId="0F8D4492">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3.2.2 采用最低评标价法时，提供相同品牌产品(单一产品或核心产品品牌相同) 的不同投标人参加同一合同项下投标的，以其中通过资格审查、符合性审查且报价最低的参加评标；报价相同的，由采购人或 者采购人委托评标委员会按照下述方法确定一个参加评标的投标人，其他</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w:t>
      </w:r>
    </w:p>
    <w:p w14:paraId="271FD0B0">
      <w:pPr>
        <w:pageBreakBefore w:val="0"/>
        <w:overflowPunct/>
        <w:topLinePunct w:val="0"/>
        <w:bidi w:val="0"/>
        <w:snapToGrid w:val="0"/>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03B6CEC7">
      <w:pPr>
        <w:pageBreakBefore w:val="0"/>
        <w:overflowPunct/>
        <w:topLinePunct w:val="0"/>
        <w:bidi w:val="0"/>
        <w:snapToGrid w:val="0"/>
        <w:spacing w:after="0" w:line="360" w:lineRule="auto"/>
        <w:ind w:left="2153" w:leftChars="912" w:hanging="238" w:hangingChars="1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 _____</w:t>
      </w:r>
    </w:p>
    <w:p w14:paraId="341ECF60">
      <w:pPr>
        <w:pageBreakBefore w:val="0"/>
        <w:overflowPunct/>
        <w:topLinePunct w:val="0"/>
        <w:bidi w:val="0"/>
        <w:snapToGrid w:val="0"/>
        <w:spacing w:after="0" w:line="360" w:lineRule="auto"/>
        <w:ind w:left="2150" w:leftChars="684" w:hanging="714" w:hangingChars="3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3.2.3 非政府强制采购的节能产品或环境标志产品，依据品目清单和认证证书实施政府优先采购。优先采购的具体规定(如涉及) </w:t>
      </w:r>
      <w:bookmarkStart w:id="37" w:name="_Hlk127903545"/>
      <w:r>
        <w:rPr>
          <w:rFonts w:hint="eastAsia" w:ascii="宋体" w:hAnsi="宋体" w:eastAsia="宋体" w:cs="宋体"/>
          <w:color w:val="auto"/>
          <w:spacing w:val="-1"/>
          <w:sz w:val="24"/>
          <w:szCs w:val="24"/>
        </w:rPr>
        <w:t>按评标标准予以政策性加分</w:t>
      </w:r>
      <w:bookmarkEnd w:id="37"/>
      <w:r>
        <w:rPr>
          <w:rFonts w:hint="eastAsia" w:ascii="宋体" w:hAnsi="宋体" w:eastAsia="宋体" w:cs="宋体"/>
          <w:color w:val="auto"/>
          <w:spacing w:val="-1"/>
          <w:sz w:val="24"/>
          <w:szCs w:val="24"/>
        </w:rPr>
        <w:t xml:space="preserve">  。</w:t>
      </w:r>
    </w:p>
    <w:p w14:paraId="6717DC8E">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确定中标候选人名单</w:t>
      </w:r>
    </w:p>
    <w:p w14:paraId="541A699A">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采用综合评分法时，提供相同品牌产品(单一产品或核心产品品牌相同) 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B6219CE">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□随机抽取</w:t>
      </w:r>
    </w:p>
    <w:p w14:paraId="7BE2E9A9">
      <w:pPr>
        <w:pageBreakBefore w:val="0"/>
        <w:overflowPunct/>
        <w:topLinePunct w:val="0"/>
        <w:bidi w:val="0"/>
        <w:snapToGrid w:val="0"/>
        <w:spacing w:after="0" w:line="360" w:lineRule="auto"/>
        <w:ind w:firstLine="1428" w:firstLineChars="6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■其他方式，具体要求：投标报价低的投标人为中标候选人。</w:t>
      </w:r>
    </w:p>
    <w:p w14:paraId="5EE080B7">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4.2 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0D25F03">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4.3 采用最低评标价法时，评标结果按本章 2.4、2.5 调整后的投标报价由低到高顺序排列。投标报价相同的并列。投标文件满足招标文件全部实质性要求且投标报价最低的投标人为排名第一的中标候选人。</w:t>
      </w:r>
    </w:p>
    <w:p w14:paraId="60BAD0D6">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4.4 评标委员会要对评分汇总情况进行复核，特别是对排名第一的、报价最低的、投标或响应文件被认定为无效的情形进行重点复核。</w:t>
      </w:r>
    </w:p>
    <w:p w14:paraId="0F644313">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4.5 评标委员会将根据各投标人的评标排序，依次推荐本项目(各采购包) 的中标候选人，起草并签署评标报告。本项目(各采购包) 评标委员会共(各) 推荐_3_名中标候选人。</w:t>
      </w:r>
    </w:p>
    <w:p w14:paraId="1676EC03">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5   报告违法行为</w:t>
      </w:r>
    </w:p>
    <w:p w14:paraId="4004BA11">
      <w:pPr>
        <w:pageBreakBefore w:val="0"/>
        <w:overflowPunct/>
        <w:topLinePunct w:val="0"/>
        <w:bidi w:val="0"/>
        <w:snapToGrid w:val="0"/>
        <w:spacing w:after="0" w:line="360" w:lineRule="auto"/>
        <w:ind w:left="1434" w:leftChars="456" w:hanging="476" w:hangingChars="200"/>
        <w:rPr>
          <w:rFonts w:hint="eastAsia" w:ascii="宋体" w:hAnsi="宋体" w:eastAsia="宋体" w:cs="宋体"/>
          <w:color w:val="auto"/>
          <w:spacing w:val="-1"/>
          <w:sz w:val="24"/>
          <w:szCs w:val="24"/>
        </w:rPr>
        <w:sectPr>
          <w:pgSz w:w="11907" w:h="16840"/>
          <w:pgMar w:top="1117" w:right="1047" w:bottom="1060" w:left="1700" w:header="878" w:footer="886" w:gutter="0"/>
          <w:pgNumType w:fmt="decimal"/>
          <w:cols w:space="720" w:num="1"/>
        </w:sectPr>
      </w:pPr>
      <w:r>
        <w:rPr>
          <w:rFonts w:hint="eastAsia" w:ascii="宋体" w:hAnsi="宋体" w:eastAsia="宋体" w:cs="宋体"/>
          <w:color w:val="auto"/>
          <w:spacing w:val="-1"/>
          <w:sz w:val="24"/>
          <w:szCs w:val="24"/>
        </w:rPr>
        <w:t>5.1 评标委员会在评标过程中发现投标人有行贿、提供虚假材料或者串通等违法行为时，有向采购人、采购代理机构或者有关部门报告的职责。</w:t>
      </w:r>
    </w:p>
    <w:p w14:paraId="24406116">
      <w:pPr>
        <w:pageBreakBefore w:val="0"/>
        <w:widowControl w:val="0"/>
        <w:kinsoku/>
        <w:overflowPunct/>
        <w:topLinePunct w:val="0"/>
        <w:autoSpaceDE/>
        <w:autoSpaceDN/>
        <w:bidi w:val="0"/>
        <w:adjustRightInd/>
        <w:snapToGrid w:val="0"/>
        <w:spacing w:after="0" w:line="360" w:lineRule="auto"/>
        <w:jc w:val="center"/>
        <w:textAlignment w:val="auto"/>
        <w:outlineLvl w:val="1"/>
        <w:rPr>
          <w:rFonts w:hint="eastAsia" w:ascii="宋体" w:hAnsi="宋体" w:eastAsia="宋体" w:cs="Times New Roman"/>
          <w:b/>
          <w:bCs/>
          <w:snapToGrid/>
          <w:color w:val="auto"/>
          <w:kern w:val="2"/>
          <w:sz w:val="28"/>
          <w:szCs w:val="36"/>
        </w:rPr>
      </w:pPr>
      <w:bookmarkStart w:id="38" w:name="_Toc148096362"/>
      <w:r>
        <w:rPr>
          <w:rFonts w:hint="eastAsia" w:ascii="宋体" w:hAnsi="宋体" w:eastAsia="宋体" w:cs="Times New Roman"/>
          <w:b/>
          <w:bCs/>
          <w:snapToGrid/>
          <w:color w:val="auto"/>
          <w:kern w:val="2"/>
          <w:sz w:val="28"/>
          <w:szCs w:val="36"/>
        </w:rPr>
        <w:t>二、评标标准</w:t>
      </w:r>
      <w:bookmarkEnd w:id="38"/>
    </w:p>
    <w:tbl>
      <w:tblPr>
        <w:tblStyle w:val="27"/>
        <w:tblpPr w:leftFromText="180" w:rightFromText="180" w:vertAnchor="text" w:horzAnchor="page" w:tblpX="1517" w:tblpY="1102"/>
        <w:tblOverlap w:val="never"/>
        <w:tblW w:w="5139" w:type="pct"/>
        <w:tblInd w:w="0" w:type="dxa"/>
        <w:tblLayout w:type="autofit"/>
        <w:tblCellMar>
          <w:top w:w="0" w:type="dxa"/>
          <w:left w:w="0" w:type="dxa"/>
          <w:bottom w:w="0" w:type="dxa"/>
          <w:right w:w="0" w:type="dxa"/>
        </w:tblCellMar>
      </w:tblPr>
      <w:tblGrid>
        <w:gridCol w:w="564"/>
        <w:gridCol w:w="906"/>
        <w:gridCol w:w="906"/>
        <w:gridCol w:w="680"/>
        <w:gridCol w:w="5491"/>
      </w:tblGrid>
      <w:tr w14:paraId="63999D05">
        <w:tblPrEx>
          <w:tblCellMar>
            <w:top w:w="0" w:type="dxa"/>
            <w:left w:w="0" w:type="dxa"/>
            <w:bottom w:w="0" w:type="dxa"/>
            <w:right w:w="0" w:type="dxa"/>
          </w:tblCellMar>
        </w:tblPrEx>
        <w:trPr>
          <w:trHeight w:val="927" w:hRule="exact"/>
        </w:trPr>
        <w:tc>
          <w:tcPr>
            <w:tcW w:w="330" w:type="pct"/>
            <w:tcBorders>
              <w:top w:val="single" w:color="000000" w:sz="4" w:space="0"/>
              <w:left w:val="single" w:color="000000" w:sz="4" w:space="0"/>
              <w:bottom w:val="single" w:color="000000" w:sz="6" w:space="0"/>
              <w:right w:val="single" w:color="000000" w:sz="6" w:space="0"/>
            </w:tcBorders>
            <w:vAlign w:val="center"/>
          </w:tcPr>
          <w:p w14:paraId="42981B82">
            <w:pPr>
              <w:pStyle w:val="39"/>
              <w:pageBreakBefore w:val="0"/>
              <w:overflowPunct/>
              <w:topLinePunct w:val="0"/>
              <w:bidi w:val="0"/>
              <w:snapToGrid w:val="0"/>
              <w:spacing w:before="156" w:after="0"/>
              <w:ind w:left="106"/>
              <w:jc w:val="center"/>
              <w:rPr>
                <w:rFonts w:hint="eastAsia"/>
                <w:sz w:val="21"/>
                <w:szCs w:val="21"/>
              </w:rPr>
            </w:pPr>
            <w:r>
              <w:rPr>
                <w:b/>
                <w:bCs/>
                <w:sz w:val="21"/>
                <w:szCs w:val="21"/>
              </w:rPr>
              <w:t>序号</w:t>
            </w:r>
          </w:p>
        </w:tc>
        <w:tc>
          <w:tcPr>
            <w:tcW w:w="530" w:type="pct"/>
            <w:tcBorders>
              <w:top w:val="single" w:color="000000" w:sz="4" w:space="0"/>
              <w:left w:val="single" w:color="000000" w:sz="6" w:space="0"/>
              <w:bottom w:val="single" w:color="000000" w:sz="6" w:space="0"/>
              <w:right w:val="single" w:color="000000" w:sz="6" w:space="0"/>
            </w:tcBorders>
            <w:vAlign w:val="center"/>
          </w:tcPr>
          <w:p w14:paraId="6D443DD3">
            <w:pPr>
              <w:pStyle w:val="39"/>
              <w:pageBreakBefore w:val="0"/>
              <w:overflowPunct/>
              <w:topLinePunct w:val="0"/>
              <w:bidi w:val="0"/>
              <w:snapToGrid w:val="0"/>
              <w:spacing w:before="156" w:after="0"/>
              <w:ind w:left="105"/>
              <w:jc w:val="center"/>
              <w:rPr>
                <w:rFonts w:hint="eastAsia"/>
                <w:b/>
                <w:bCs/>
                <w:sz w:val="21"/>
                <w:szCs w:val="21"/>
              </w:rPr>
            </w:pPr>
            <w:r>
              <w:rPr>
                <w:rFonts w:hint="eastAsia"/>
                <w:b/>
                <w:bCs/>
                <w:sz w:val="21"/>
                <w:szCs w:val="21"/>
                <w:lang w:eastAsia="zh-CN"/>
              </w:rPr>
              <w:t>内容</w:t>
            </w:r>
          </w:p>
        </w:tc>
        <w:tc>
          <w:tcPr>
            <w:tcW w:w="530" w:type="pct"/>
            <w:tcBorders>
              <w:top w:val="single" w:color="000000" w:sz="4" w:space="0"/>
              <w:left w:val="single" w:color="000000" w:sz="6" w:space="0"/>
              <w:bottom w:val="single" w:color="000000" w:sz="6" w:space="0"/>
              <w:right w:val="single" w:color="000000" w:sz="6" w:space="0"/>
            </w:tcBorders>
            <w:vAlign w:val="center"/>
          </w:tcPr>
          <w:p w14:paraId="590BB299">
            <w:pPr>
              <w:pStyle w:val="39"/>
              <w:pageBreakBefore w:val="0"/>
              <w:overflowPunct/>
              <w:topLinePunct w:val="0"/>
              <w:bidi w:val="0"/>
              <w:snapToGrid w:val="0"/>
              <w:spacing w:before="156" w:after="0"/>
              <w:ind w:left="105"/>
              <w:jc w:val="center"/>
              <w:rPr>
                <w:rFonts w:hint="eastAsia"/>
                <w:sz w:val="21"/>
                <w:szCs w:val="21"/>
              </w:rPr>
            </w:pPr>
            <w:r>
              <w:rPr>
                <w:b/>
                <w:bCs/>
                <w:sz w:val="21"/>
                <w:szCs w:val="21"/>
              </w:rPr>
              <w:t>评审因素</w:t>
            </w:r>
          </w:p>
        </w:tc>
        <w:tc>
          <w:tcPr>
            <w:tcW w:w="398" w:type="pct"/>
            <w:tcBorders>
              <w:top w:val="single" w:color="000000" w:sz="4" w:space="0"/>
              <w:left w:val="single" w:color="000000" w:sz="6" w:space="0"/>
              <w:bottom w:val="single" w:color="000000" w:sz="6" w:space="0"/>
              <w:right w:val="single" w:color="000000" w:sz="6" w:space="0"/>
            </w:tcBorders>
            <w:vAlign w:val="center"/>
          </w:tcPr>
          <w:p w14:paraId="478D0A26">
            <w:pPr>
              <w:pStyle w:val="39"/>
              <w:pageBreakBefore w:val="0"/>
              <w:overflowPunct/>
              <w:topLinePunct w:val="0"/>
              <w:bidi w:val="0"/>
              <w:snapToGrid w:val="0"/>
              <w:spacing w:before="156" w:after="0"/>
              <w:ind w:right="101"/>
              <w:jc w:val="center"/>
              <w:rPr>
                <w:rFonts w:hint="eastAsia"/>
                <w:sz w:val="21"/>
                <w:szCs w:val="21"/>
              </w:rPr>
            </w:pPr>
            <w:r>
              <w:rPr>
                <w:b/>
                <w:bCs/>
                <w:sz w:val="21"/>
                <w:szCs w:val="21"/>
              </w:rPr>
              <w:t>分值</w:t>
            </w:r>
          </w:p>
        </w:tc>
        <w:tc>
          <w:tcPr>
            <w:tcW w:w="3210" w:type="pct"/>
            <w:tcBorders>
              <w:top w:val="single" w:color="000000" w:sz="4" w:space="0"/>
              <w:left w:val="single" w:color="000000" w:sz="6" w:space="0"/>
              <w:bottom w:val="single" w:color="000000" w:sz="6" w:space="0"/>
              <w:right w:val="single" w:color="000000" w:sz="4" w:space="0"/>
            </w:tcBorders>
            <w:vAlign w:val="center"/>
          </w:tcPr>
          <w:p w14:paraId="7EE7B6B9">
            <w:pPr>
              <w:pStyle w:val="39"/>
              <w:pageBreakBefore w:val="0"/>
              <w:overflowPunct/>
              <w:topLinePunct w:val="0"/>
              <w:bidi w:val="0"/>
              <w:snapToGrid w:val="0"/>
              <w:spacing w:before="156" w:after="0"/>
              <w:ind w:left="103"/>
              <w:jc w:val="center"/>
              <w:rPr>
                <w:rFonts w:hint="eastAsia"/>
                <w:sz w:val="21"/>
                <w:szCs w:val="21"/>
              </w:rPr>
            </w:pPr>
            <w:r>
              <w:rPr>
                <w:b/>
                <w:bCs/>
                <w:sz w:val="21"/>
                <w:szCs w:val="21"/>
              </w:rPr>
              <w:t>评分标准说明</w:t>
            </w:r>
          </w:p>
        </w:tc>
      </w:tr>
      <w:tr w14:paraId="51152327">
        <w:tblPrEx>
          <w:tblCellMar>
            <w:top w:w="0" w:type="dxa"/>
            <w:left w:w="0" w:type="dxa"/>
            <w:bottom w:w="0" w:type="dxa"/>
            <w:right w:w="0" w:type="dxa"/>
          </w:tblCellMar>
        </w:tblPrEx>
        <w:trPr>
          <w:trHeight w:val="484" w:hRule="exact"/>
        </w:trPr>
        <w:tc>
          <w:tcPr>
            <w:tcW w:w="5000" w:type="pct"/>
            <w:gridSpan w:val="5"/>
            <w:tcBorders>
              <w:top w:val="single" w:color="000000" w:sz="6" w:space="0"/>
              <w:left w:val="single" w:color="000000" w:sz="4" w:space="0"/>
              <w:bottom w:val="single" w:color="000000" w:sz="6" w:space="0"/>
              <w:right w:val="single" w:color="000000" w:sz="4" w:space="0"/>
            </w:tcBorders>
            <w:vAlign w:val="center"/>
          </w:tcPr>
          <w:p w14:paraId="7D979AF7">
            <w:pPr>
              <w:pageBreakBefore w:val="0"/>
              <w:overflowPunct/>
              <w:topLinePunct w:val="0"/>
              <w:bidi w:val="0"/>
              <w:snapToGrid w:val="0"/>
              <w:spacing w:after="0"/>
              <w:jc w:val="center"/>
              <w:rPr>
                <w:rFonts w:hint="eastAsia" w:ascii="宋体" w:hAnsi="宋体" w:eastAsia="宋体"/>
                <w:b/>
                <w:bCs/>
                <w:color w:val="auto"/>
              </w:rPr>
            </w:pPr>
            <w:r>
              <w:rPr>
                <w:rFonts w:hint="eastAsia" w:ascii="宋体" w:hAnsi="宋体" w:eastAsia="宋体"/>
                <w:b/>
                <w:bCs/>
                <w:color w:val="auto"/>
              </w:rPr>
              <w:t>价格部分（1</w:t>
            </w:r>
            <w:r>
              <w:rPr>
                <w:rFonts w:ascii="宋体" w:hAnsi="宋体" w:eastAsia="宋体"/>
                <w:b/>
                <w:bCs/>
                <w:color w:val="auto"/>
              </w:rPr>
              <w:t>0</w:t>
            </w:r>
            <w:r>
              <w:rPr>
                <w:rFonts w:hint="eastAsia" w:ascii="宋体" w:hAnsi="宋体" w:eastAsia="宋体"/>
                <w:b/>
                <w:bCs/>
                <w:color w:val="auto"/>
              </w:rPr>
              <w:t>分）</w:t>
            </w:r>
          </w:p>
        </w:tc>
      </w:tr>
      <w:tr w14:paraId="2EF20263">
        <w:tblPrEx>
          <w:tblCellMar>
            <w:top w:w="0" w:type="dxa"/>
            <w:left w:w="0" w:type="dxa"/>
            <w:bottom w:w="0" w:type="dxa"/>
            <w:right w:w="0" w:type="dxa"/>
          </w:tblCellMar>
        </w:tblPrEx>
        <w:trPr>
          <w:trHeight w:val="1978" w:hRule="exact"/>
        </w:trPr>
        <w:tc>
          <w:tcPr>
            <w:tcW w:w="330" w:type="pct"/>
            <w:tcBorders>
              <w:top w:val="single" w:color="000000" w:sz="6" w:space="0"/>
              <w:left w:val="single" w:color="000000" w:sz="4" w:space="0"/>
              <w:bottom w:val="single" w:color="000000" w:sz="6" w:space="0"/>
              <w:right w:val="single" w:color="000000" w:sz="6" w:space="0"/>
            </w:tcBorders>
            <w:vAlign w:val="center"/>
          </w:tcPr>
          <w:p w14:paraId="41BCD840">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1</w:t>
            </w:r>
          </w:p>
        </w:tc>
        <w:tc>
          <w:tcPr>
            <w:tcW w:w="530" w:type="pct"/>
            <w:tcBorders>
              <w:top w:val="single" w:color="000000" w:sz="6" w:space="0"/>
              <w:left w:val="single" w:color="000000" w:sz="6" w:space="0"/>
              <w:bottom w:val="single" w:color="000000" w:sz="6" w:space="0"/>
              <w:right w:val="single" w:color="000000" w:sz="6" w:space="0"/>
            </w:tcBorders>
            <w:vAlign w:val="center"/>
          </w:tcPr>
          <w:p w14:paraId="47624B33">
            <w:pPr>
              <w:pageBreakBefore w:val="0"/>
              <w:overflowPunct/>
              <w:topLinePunct w:val="0"/>
              <w:bidi w:val="0"/>
              <w:snapToGrid w:val="0"/>
              <w:spacing w:after="0"/>
              <w:jc w:val="both"/>
              <w:rPr>
                <w:rFonts w:hint="eastAsia" w:ascii="宋体" w:hAnsi="宋体" w:eastAsia="宋体"/>
                <w:color w:val="auto"/>
              </w:rPr>
            </w:pPr>
            <w:r>
              <w:rPr>
                <w:rFonts w:hint="eastAsia" w:ascii="宋体" w:hAnsi="宋体" w:eastAsia="宋体"/>
                <w:color w:val="auto"/>
              </w:rPr>
              <w:t>价格部分</w:t>
            </w:r>
          </w:p>
        </w:tc>
        <w:tc>
          <w:tcPr>
            <w:tcW w:w="530" w:type="pct"/>
            <w:tcBorders>
              <w:top w:val="single" w:color="000000" w:sz="6" w:space="0"/>
              <w:left w:val="single" w:color="000000" w:sz="6" w:space="0"/>
              <w:bottom w:val="single" w:color="000000" w:sz="6" w:space="0"/>
              <w:right w:val="single" w:color="000000" w:sz="6" w:space="0"/>
            </w:tcBorders>
            <w:vAlign w:val="center"/>
          </w:tcPr>
          <w:p w14:paraId="231A177A">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价格分</w:t>
            </w:r>
          </w:p>
        </w:tc>
        <w:tc>
          <w:tcPr>
            <w:tcW w:w="398" w:type="pct"/>
            <w:tcBorders>
              <w:top w:val="single" w:color="000000" w:sz="6" w:space="0"/>
              <w:left w:val="single" w:color="000000" w:sz="6" w:space="0"/>
              <w:bottom w:val="single" w:color="000000" w:sz="6" w:space="0"/>
              <w:right w:val="single" w:color="000000" w:sz="6" w:space="0"/>
            </w:tcBorders>
            <w:vAlign w:val="center"/>
          </w:tcPr>
          <w:p w14:paraId="2A16046C">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0-</w:t>
            </w:r>
            <w:r>
              <w:rPr>
                <w:rFonts w:hint="eastAsia" w:ascii="宋体" w:hAnsi="宋体" w:eastAsia="宋体"/>
                <w:color w:val="auto"/>
              </w:rPr>
              <w:t>1</w:t>
            </w:r>
            <w:r>
              <w:rPr>
                <w:rFonts w:ascii="宋体" w:hAnsi="宋体" w:eastAsia="宋体"/>
                <w:color w:val="auto"/>
              </w:rPr>
              <w:t>0</w:t>
            </w:r>
          </w:p>
        </w:tc>
        <w:tc>
          <w:tcPr>
            <w:tcW w:w="3210" w:type="pct"/>
            <w:tcBorders>
              <w:top w:val="single" w:color="000000" w:sz="6" w:space="0"/>
              <w:left w:val="single" w:color="000000" w:sz="6" w:space="0"/>
              <w:bottom w:val="single" w:color="000000" w:sz="6" w:space="0"/>
              <w:right w:val="single" w:color="000000" w:sz="4" w:space="0"/>
            </w:tcBorders>
            <w:vAlign w:val="center"/>
          </w:tcPr>
          <w:p w14:paraId="5AA77F9D">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1、价格分统一采用低价优先法计算即满足</w:t>
            </w:r>
            <w:r>
              <w:rPr>
                <w:rFonts w:hint="eastAsia" w:ascii="宋体" w:hAnsi="宋体" w:eastAsia="宋体"/>
                <w:color w:val="auto"/>
              </w:rPr>
              <w:t>招标</w:t>
            </w:r>
            <w:r>
              <w:rPr>
                <w:rFonts w:ascii="宋体" w:hAnsi="宋体" w:eastAsia="宋体"/>
                <w:color w:val="auto"/>
              </w:rPr>
              <w:t>文件要求且响应价格最低的有效响应报价（即除低于成本报价以外的所有报价）为评标基准价，其价格分为满分。</w:t>
            </w:r>
          </w:p>
          <w:p w14:paraId="0FA719FE">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2、其他供应商的价格分统一按照以下公式计算：</w:t>
            </w:r>
          </w:p>
          <w:p w14:paraId="55140EF5">
            <w:pPr>
              <w:pageBreakBefore w:val="0"/>
              <w:overflowPunct/>
              <w:topLinePunct w:val="0"/>
              <w:bidi w:val="0"/>
              <w:snapToGrid w:val="0"/>
              <w:spacing w:after="0"/>
              <w:jc w:val="both"/>
              <w:rPr>
                <w:rFonts w:hint="eastAsia" w:ascii="宋体" w:hAnsi="宋体" w:eastAsia="宋体"/>
                <w:color w:val="auto"/>
              </w:rPr>
            </w:pPr>
            <w:r>
              <w:rPr>
                <w:rFonts w:ascii="宋体" w:hAnsi="宋体" w:eastAsia="宋体"/>
                <w:color w:val="auto"/>
              </w:rPr>
              <w:t>响应报价得分=（评标基准价/响应报价）×</w:t>
            </w:r>
            <w:r>
              <w:rPr>
                <w:rFonts w:hint="eastAsia" w:ascii="宋体" w:hAnsi="宋体" w:eastAsia="宋体"/>
                <w:color w:val="auto"/>
              </w:rPr>
              <w:t>1</w:t>
            </w:r>
            <w:r>
              <w:rPr>
                <w:rFonts w:ascii="宋体" w:hAnsi="宋体" w:eastAsia="宋体"/>
                <w:color w:val="auto"/>
              </w:rPr>
              <w:t>0</w:t>
            </w:r>
          </w:p>
        </w:tc>
      </w:tr>
      <w:tr w14:paraId="7E907E2D">
        <w:tblPrEx>
          <w:tblCellMar>
            <w:top w:w="0" w:type="dxa"/>
            <w:left w:w="0" w:type="dxa"/>
            <w:bottom w:w="0" w:type="dxa"/>
            <w:right w:w="0" w:type="dxa"/>
          </w:tblCellMar>
        </w:tblPrEx>
        <w:trPr>
          <w:trHeight w:val="502" w:hRule="exact"/>
        </w:trPr>
        <w:tc>
          <w:tcPr>
            <w:tcW w:w="5000" w:type="pct"/>
            <w:gridSpan w:val="5"/>
            <w:tcBorders>
              <w:top w:val="single" w:color="000000" w:sz="6" w:space="0"/>
              <w:left w:val="single" w:color="000000" w:sz="4" w:space="0"/>
              <w:bottom w:val="single" w:color="000000" w:sz="6" w:space="0"/>
              <w:right w:val="single" w:color="000000" w:sz="4" w:space="0"/>
            </w:tcBorders>
            <w:vAlign w:val="center"/>
          </w:tcPr>
          <w:p w14:paraId="093E14D2">
            <w:pPr>
              <w:pStyle w:val="39"/>
              <w:pageBreakBefore w:val="0"/>
              <w:overflowPunct/>
              <w:topLinePunct w:val="0"/>
              <w:bidi w:val="0"/>
              <w:snapToGrid w:val="0"/>
              <w:spacing w:after="0" w:line="260" w:lineRule="exact"/>
              <w:jc w:val="center"/>
              <w:rPr>
                <w:rFonts w:hint="eastAsia"/>
                <w:sz w:val="21"/>
                <w:szCs w:val="21"/>
                <w:lang w:eastAsia="zh-CN"/>
              </w:rPr>
            </w:pPr>
            <w:r>
              <w:rPr>
                <w:rFonts w:hint="eastAsia"/>
                <w:b/>
                <w:bCs/>
                <w:sz w:val="21"/>
                <w:szCs w:val="21"/>
                <w:lang w:eastAsia="zh-CN"/>
              </w:rPr>
              <w:t>商务部分（</w:t>
            </w:r>
            <w:r>
              <w:rPr>
                <w:b/>
                <w:bCs/>
                <w:sz w:val="21"/>
                <w:szCs w:val="21"/>
                <w:lang w:eastAsia="zh-CN"/>
              </w:rPr>
              <w:t>2</w:t>
            </w:r>
            <w:r>
              <w:rPr>
                <w:rFonts w:hint="eastAsia"/>
                <w:b/>
                <w:bCs/>
                <w:sz w:val="21"/>
                <w:szCs w:val="21"/>
                <w:lang w:eastAsia="zh-CN"/>
              </w:rPr>
              <w:t>6分）</w:t>
            </w:r>
          </w:p>
        </w:tc>
      </w:tr>
      <w:tr w14:paraId="2C935836">
        <w:tblPrEx>
          <w:tblCellMar>
            <w:top w:w="0" w:type="dxa"/>
            <w:left w:w="0" w:type="dxa"/>
            <w:bottom w:w="0" w:type="dxa"/>
            <w:right w:w="0" w:type="dxa"/>
          </w:tblCellMar>
        </w:tblPrEx>
        <w:trPr>
          <w:trHeight w:val="1147" w:hRule="exact"/>
        </w:trPr>
        <w:tc>
          <w:tcPr>
            <w:tcW w:w="330" w:type="pct"/>
            <w:tcBorders>
              <w:top w:val="single" w:color="000000" w:sz="6" w:space="0"/>
              <w:left w:val="single" w:color="000000" w:sz="4" w:space="0"/>
              <w:bottom w:val="single" w:color="000000" w:sz="6" w:space="0"/>
              <w:right w:val="single" w:color="000000" w:sz="6" w:space="0"/>
            </w:tcBorders>
            <w:vAlign w:val="center"/>
          </w:tcPr>
          <w:p w14:paraId="7F3A575D">
            <w:pPr>
              <w:pStyle w:val="39"/>
              <w:pageBreakBefore w:val="0"/>
              <w:overflowPunct/>
              <w:topLinePunct w:val="0"/>
              <w:bidi w:val="0"/>
              <w:snapToGrid w:val="0"/>
              <w:spacing w:before="25" w:after="0"/>
              <w:ind w:left="106"/>
              <w:jc w:val="center"/>
              <w:rPr>
                <w:rFonts w:hint="eastAsia"/>
                <w:sz w:val="21"/>
                <w:szCs w:val="21"/>
              </w:rPr>
            </w:pPr>
            <w:r>
              <w:rPr>
                <w:sz w:val="21"/>
              </w:rPr>
              <w:t>2</w:t>
            </w:r>
          </w:p>
        </w:tc>
        <w:tc>
          <w:tcPr>
            <w:tcW w:w="530" w:type="pct"/>
            <w:vMerge w:val="restart"/>
            <w:tcBorders>
              <w:top w:val="single" w:color="000000" w:sz="6" w:space="0"/>
              <w:left w:val="single" w:color="000000" w:sz="6" w:space="0"/>
              <w:right w:val="single" w:color="000000" w:sz="6" w:space="0"/>
            </w:tcBorders>
            <w:vAlign w:val="center"/>
          </w:tcPr>
          <w:p w14:paraId="3B960F29">
            <w:pPr>
              <w:pStyle w:val="39"/>
              <w:pageBreakBefore w:val="0"/>
              <w:overflowPunct/>
              <w:topLinePunct w:val="0"/>
              <w:bidi w:val="0"/>
              <w:snapToGrid w:val="0"/>
              <w:spacing w:before="69" w:after="0"/>
              <w:ind w:left="103"/>
              <w:jc w:val="center"/>
              <w:rPr>
                <w:rFonts w:hint="eastAsia"/>
                <w:sz w:val="21"/>
                <w:szCs w:val="21"/>
                <w:lang w:eastAsia="zh-CN"/>
              </w:rPr>
            </w:pPr>
            <w:r>
              <w:rPr>
                <w:rFonts w:hint="eastAsia"/>
                <w:sz w:val="21"/>
                <w:szCs w:val="21"/>
                <w:lang w:eastAsia="zh-CN"/>
              </w:rPr>
              <w:t>商务部分（</w:t>
            </w:r>
            <w:r>
              <w:rPr>
                <w:sz w:val="21"/>
                <w:szCs w:val="21"/>
                <w:lang w:eastAsia="zh-CN"/>
              </w:rPr>
              <w:t>2</w:t>
            </w:r>
            <w:r>
              <w:rPr>
                <w:rFonts w:hint="eastAsia"/>
                <w:sz w:val="21"/>
                <w:szCs w:val="21"/>
                <w:lang w:eastAsia="zh-CN"/>
              </w:rPr>
              <w:t>6分）</w:t>
            </w:r>
          </w:p>
        </w:tc>
        <w:tc>
          <w:tcPr>
            <w:tcW w:w="530" w:type="pct"/>
            <w:tcBorders>
              <w:top w:val="single" w:color="000000" w:sz="6" w:space="0"/>
              <w:left w:val="single" w:color="000000" w:sz="6" w:space="0"/>
              <w:bottom w:val="single" w:color="000000" w:sz="6" w:space="0"/>
              <w:right w:val="single" w:color="000000" w:sz="6" w:space="0"/>
            </w:tcBorders>
            <w:vAlign w:val="center"/>
          </w:tcPr>
          <w:p w14:paraId="60E91494">
            <w:pPr>
              <w:pStyle w:val="39"/>
              <w:pageBreakBefore w:val="0"/>
              <w:overflowPunct/>
              <w:topLinePunct w:val="0"/>
              <w:bidi w:val="0"/>
              <w:snapToGrid w:val="0"/>
              <w:spacing w:before="69" w:after="0"/>
              <w:ind w:left="103"/>
              <w:jc w:val="center"/>
              <w:rPr>
                <w:rFonts w:hint="eastAsia"/>
                <w:sz w:val="21"/>
                <w:szCs w:val="21"/>
              </w:rPr>
            </w:pPr>
            <w:r>
              <w:rPr>
                <w:rFonts w:hint="eastAsia"/>
                <w:sz w:val="21"/>
                <w:szCs w:val="21"/>
              </w:rPr>
              <w:t>类似项目经验</w:t>
            </w:r>
          </w:p>
        </w:tc>
        <w:tc>
          <w:tcPr>
            <w:tcW w:w="398" w:type="pct"/>
            <w:tcBorders>
              <w:top w:val="single" w:color="000000" w:sz="6" w:space="0"/>
              <w:left w:val="single" w:color="000000" w:sz="6" w:space="0"/>
              <w:bottom w:val="single" w:color="000000" w:sz="6" w:space="0"/>
              <w:right w:val="single" w:color="000000" w:sz="6" w:space="0"/>
            </w:tcBorders>
            <w:vAlign w:val="center"/>
          </w:tcPr>
          <w:p w14:paraId="7BA3DCB4">
            <w:pPr>
              <w:pStyle w:val="39"/>
              <w:pageBreakBefore w:val="0"/>
              <w:overflowPunct/>
              <w:topLinePunct w:val="0"/>
              <w:bidi w:val="0"/>
              <w:snapToGrid w:val="0"/>
              <w:spacing w:before="25" w:after="0"/>
              <w:ind w:right="154"/>
              <w:jc w:val="center"/>
              <w:rPr>
                <w:rFonts w:hint="eastAsia"/>
                <w:sz w:val="21"/>
                <w:szCs w:val="21"/>
                <w:lang w:eastAsia="zh-CN"/>
              </w:rPr>
            </w:pPr>
            <w:r>
              <w:rPr>
                <w:rFonts w:hint="eastAsia"/>
                <w:sz w:val="21"/>
                <w:szCs w:val="21"/>
                <w:lang w:eastAsia="zh-CN"/>
              </w:rPr>
              <w:t>0</w:t>
            </w:r>
            <w:r>
              <w:rPr>
                <w:sz w:val="21"/>
                <w:szCs w:val="21"/>
                <w:lang w:eastAsia="zh-CN"/>
              </w:rPr>
              <w:t>-</w:t>
            </w:r>
            <w:r>
              <w:rPr>
                <w:rFonts w:hint="eastAsia"/>
                <w:sz w:val="21"/>
                <w:szCs w:val="21"/>
                <w:lang w:eastAsia="zh-CN"/>
              </w:rPr>
              <w:t>20</w:t>
            </w:r>
          </w:p>
        </w:tc>
        <w:tc>
          <w:tcPr>
            <w:tcW w:w="3210" w:type="pct"/>
            <w:tcBorders>
              <w:top w:val="single" w:color="000000" w:sz="6" w:space="0"/>
              <w:left w:val="single" w:color="000000" w:sz="6" w:space="0"/>
              <w:bottom w:val="single" w:color="000000" w:sz="6" w:space="0"/>
              <w:right w:val="single" w:color="000000" w:sz="4" w:space="0"/>
            </w:tcBorders>
            <w:vAlign w:val="center"/>
          </w:tcPr>
          <w:p w14:paraId="49E9C9BE">
            <w:pPr>
              <w:pStyle w:val="39"/>
              <w:pageBreakBefore w:val="0"/>
              <w:overflowPunct/>
              <w:topLinePunct w:val="0"/>
              <w:bidi w:val="0"/>
              <w:snapToGrid w:val="0"/>
              <w:spacing w:after="0" w:line="260" w:lineRule="exact"/>
              <w:rPr>
                <w:rFonts w:hint="eastAsia"/>
                <w:sz w:val="21"/>
                <w:szCs w:val="21"/>
                <w:lang w:eastAsia="zh-CN"/>
              </w:rPr>
            </w:pPr>
            <w:r>
              <w:rPr>
                <w:rFonts w:hint="eastAsia"/>
                <w:sz w:val="21"/>
                <w:szCs w:val="21"/>
                <w:lang w:eastAsia="zh-CN"/>
              </w:rPr>
              <w:t>近三年（2</w:t>
            </w:r>
            <w:r>
              <w:rPr>
                <w:sz w:val="21"/>
                <w:szCs w:val="21"/>
                <w:lang w:eastAsia="zh-CN"/>
              </w:rPr>
              <w:t>02</w:t>
            </w:r>
            <w:r>
              <w:rPr>
                <w:rFonts w:hint="eastAsia"/>
                <w:sz w:val="21"/>
                <w:szCs w:val="21"/>
                <w:lang w:eastAsia="zh-CN"/>
              </w:rPr>
              <w:t>2年3月</w:t>
            </w:r>
            <w:r>
              <w:rPr>
                <w:rFonts w:hint="eastAsia"/>
                <w:sz w:val="21"/>
                <w:szCs w:val="21"/>
                <w:lang w:val="en-US" w:eastAsia="zh-CN"/>
              </w:rPr>
              <w:t>13</w:t>
            </w:r>
            <w:r>
              <w:rPr>
                <w:rFonts w:hint="eastAsia"/>
                <w:sz w:val="21"/>
                <w:szCs w:val="21"/>
                <w:lang w:eastAsia="zh-CN"/>
              </w:rPr>
              <w:t>日至2</w:t>
            </w:r>
            <w:r>
              <w:rPr>
                <w:sz w:val="21"/>
                <w:szCs w:val="21"/>
                <w:lang w:eastAsia="zh-CN"/>
              </w:rPr>
              <w:t>02</w:t>
            </w:r>
            <w:r>
              <w:rPr>
                <w:rFonts w:hint="eastAsia"/>
                <w:sz w:val="21"/>
                <w:szCs w:val="21"/>
                <w:lang w:eastAsia="zh-CN"/>
              </w:rPr>
              <w:t>5年3月</w:t>
            </w:r>
            <w:r>
              <w:rPr>
                <w:rFonts w:hint="eastAsia"/>
                <w:sz w:val="21"/>
                <w:szCs w:val="21"/>
                <w:lang w:val="en-US" w:eastAsia="zh-CN"/>
              </w:rPr>
              <w:t>12</w:t>
            </w:r>
            <w:r>
              <w:rPr>
                <w:rFonts w:hint="eastAsia"/>
                <w:sz w:val="21"/>
                <w:szCs w:val="21"/>
                <w:lang w:eastAsia="zh-CN"/>
              </w:rPr>
              <w:t>日），以项目合同签订时间为准），供应商具备类似项目经验，每提供一个得4分，最高得20分。</w:t>
            </w:r>
          </w:p>
        </w:tc>
      </w:tr>
      <w:tr w14:paraId="57A413C1">
        <w:tblPrEx>
          <w:tblCellMar>
            <w:top w:w="0" w:type="dxa"/>
            <w:left w:w="0" w:type="dxa"/>
            <w:bottom w:w="0" w:type="dxa"/>
            <w:right w:w="0" w:type="dxa"/>
          </w:tblCellMar>
        </w:tblPrEx>
        <w:trPr>
          <w:trHeight w:val="1476" w:hRule="exact"/>
        </w:trPr>
        <w:tc>
          <w:tcPr>
            <w:tcW w:w="330" w:type="pct"/>
            <w:tcBorders>
              <w:top w:val="single" w:color="000000" w:sz="6" w:space="0"/>
              <w:left w:val="single" w:color="000000" w:sz="4" w:space="0"/>
              <w:bottom w:val="single" w:color="auto" w:sz="4" w:space="0"/>
              <w:right w:val="single" w:color="000000" w:sz="6" w:space="0"/>
            </w:tcBorders>
            <w:vAlign w:val="center"/>
          </w:tcPr>
          <w:p w14:paraId="3DB80EF6">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3</w:t>
            </w:r>
          </w:p>
        </w:tc>
        <w:tc>
          <w:tcPr>
            <w:tcW w:w="530" w:type="pct"/>
            <w:vMerge w:val="continue"/>
            <w:tcBorders>
              <w:left w:val="single" w:color="000000" w:sz="6" w:space="0"/>
              <w:bottom w:val="single" w:color="auto" w:sz="4" w:space="0"/>
              <w:right w:val="single" w:color="000000" w:sz="6" w:space="0"/>
            </w:tcBorders>
          </w:tcPr>
          <w:p w14:paraId="7CAA2E58">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000000" w:sz="6" w:space="0"/>
              <w:left w:val="single" w:color="000000" w:sz="6" w:space="0"/>
              <w:bottom w:val="single" w:color="auto" w:sz="4" w:space="0"/>
              <w:right w:val="single" w:color="000000" w:sz="6" w:space="0"/>
            </w:tcBorders>
            <w:vAlign w:val="center"/>
          </w:tcPr>
          <w:p w14:paraId="2B3244CC">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拟派项目负责人业绩</w:t>
            </w:r>
          </w:p>
        </w:tc>
        <w:tc>
          <w:tcPr>
            <w:tcW w:w="398" w:type="pct"/>
            <w:tcBorders>
              <w:top w:val="single" w:color="000000" w:sz="6" w:space="0"/>
              <w:left w:val="single" w:color="000000" w:sz="6" w:space="0"/>
              <w:bottom w:val="single" w:color="auto" w:sz="4" w:space="0"/>
              <w:right w:val="single" w:color="000000" w:sz="6" w:space="0"/>
            </w:tcBorders>
            <w:vAlign w:val="center"/>
          </w:tcPr>
          <w:p w14:paraId="195E5528">
            <w:pPr>
              <w:pageBreakBefore w:val="0"/>
              <w:overflowPunct/>
              <w:topLinePunct w:val="0"/>
              <w:bidi w:val="0"/>
              <w:snapToGrid w:val="0"/>
              <w:spacing w:after="0"/>
              <w:jc w:val="center"/>
              <w:rPr>
                <w:rFonts w:hint="eastAsia" w:ascii="宋体" w:hAnsi="宋体" w:eastAsia="宋体"/>
                <w:color w:val="auto"/>
              </w:rPr>
            </w:pPr>
            <w:r>
              <w:rPr>
                <w:rFonts w:ascii="宋体" w:hAnsi="宋体" w:eastAsia="宋体"/>
                <w:color w:val="auto"/>
              </w:rPr>
              <w:t>0-6</w:t>
            </w:r>
          </w:p>
        </w:tc>
        <w:tc>
          <w:tcPr>
            <w:tcW w:w="3210" w:type="pct"/>
            <w:tcBorders>
              <w:top w:val="single" w:color="000000" w:sz="6" w:space="0"/>
              <w:left w:val="single" w:color="000000" w:sz="6" w:space="0"/>
              <w:bottom w:val="single" w:color="auto" w:sz="4" w:space="0"/>
              <w:right w:val="single" w:color="000000" w:sz="4" w:space="0"/>
            </w:tcBorders>
            <w:vAlign w:val="center"/>
          </w:tcPr>
          <w:p w14:paraId="36A283E5">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近三年（</w:t>
            </w:r>
            <w:r>
              <w:rPr>
                <w:rFonts w:hint="eastAsia" w:ascii="宋体" w:hAnsi="宋体" w:eastAsia="宋体" w:cs="宋体"/>
                <w:color w:val="auto"/>
              </w:rPr>
              <w:t>2022年3月</w:t>
            </w:r>
            <w:r>
              <w:rPr>
                <w:rFonts w:hint="eastAsia" w:ascii="宋体" w:hAnsi="宋体" w:eastAsia="宋体" w:cs="宋体"/>
                <w:color w:val="auto"/>
                <w:lang w:val="en-US" w:eastAsia="zh-CN"/>
              </w:rPr>
              <w:t>13</w:t>
            </w:r>
            <w:r>
              <w:rPr>
                <w:rFonts w:hint="eastAsia" w:ascii="宋体" w:hAnsi="宋体" w:eastAsia="宋体" w:cs="宋体"/>
                <w:color w:val="auto"/>
              </w:rPr>
              <w:t>日至2025年3月</w:t>
            </w:r>
            <w:r>
              <w:rPr>
                <w:rFonts w:hint="eastAsia" w:ascii="宋体" w:hAnsi="宋体" w:eastAsia="宋体" w:cs="宋体"/>
                <w:color w:val="auto"/>
                <w:lang w:val="en-US" w:eastAsia="zh-CN"/>
              </w:rPr>
              <w:t>12</w:t>
            </w:r>
            <w:r>
              <w:rPr>
                <w:rFonts w:hint="eastAsia" w:ascii="宋体" w:hAnsi="宋体" w:eastAsia="宋体" w:cs="宋体"/>
                <w:color w:val="auto"/>
              </w:rPr>
              <w:t>日</w:t>
            </w:r>
            <w:r>
              <w:rPr>
                <w:rFonts w:hint="eastAsia" w:ascii="宋体" w:hAnsi="宋体" w:eastAsia="宋体"/>
                <w:color w:val="auto"/>
              </w:rPr>
              <w:t>，以项目合同签订时间为准），拟派的项目负责人具备类似项目经验，每提供一个得2分，最高得6分。</w:t>
            </w:r>
          </w:p>
        </w:tc>
      </w:tr>
      <w:tr w14:paraId="78BCE434">
        <w:tblPrEx>
          <w:tblCellMar>
            <w:top w:w="0" w:type="dxa"/>
            <w:left w:w="0" w:type="dxa"/>
            <w:bottom w:w="0" w:type="dxa"/>
            <w:right w:w="0" w:type="dxa"/>
          </w:tblCellMar>
        </w:tblPrEx>
        <w:trPr>
          <w:trHeight w:val="555" w:hRule="atLeast"/>
        </w:trPr>
        <w:tc>
          <w:tcPr>
            <w:tcW w:w="5000" w:type="pct"/>
            <w:gridSpan w:val="5"/>
            <w:tcBorders>
              <w:top w:val="single" w:color="auto" w:sz="4" w:space="0"/>
              <w:left w:val="single" w:color="auto" w:sz="4" w:space="0"/>
              <w:bottom w:val="single" w:color="auto" w:sz="4" w:space="0"/>
              <w:right w:val="single" w:color="auto" w:sz="4" w:space="0"/>
            </w:tcBorders>
            <w:vAlign w:val="center"/>
          </w:tcPr>
          <w:p w14:paraId="02717E6A">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b/>
                <w:bCs/>
                <w:color w:val="auto"/>
              </w:rPr>
              <w:t>技术部分（64分）</w:t>
            </w:r>
          </w:p>
        </w:tc>
      </w:tr>
      <w:tr w14:paraId="18591C33">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2A00C0C7">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4</w:t>
            </w:r>
          </w:p>
        </w:tc>
        <w:tc>
          <w:tcPr>
            <w:tcW w:w="530" w:type="pct"/>
            <w:vMerge w:val="restart"/>
            <w:tcBorders>
              <w:top w:val="single" w:color="auto" w:sz="4" w:space="0"/>
              <w:left w:val="single" w:color="auto" w:sz="4" w:space="0"/>
              <w:right w:val="single" w:color="auto" w:sz="4" w:space="0"/>
            </w:tcBorders>
            <w:vAlign w:val="center"/>
          </w:tcPr>
          <w:p w14:paraId="461A546D">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技术部分（64分）</w:t>
            </w:r>
          </w:p>
        </w:tc>
        <w:tc>
          <w:tcPr>
            <w:tcW w:w="530" w:type="pct"/>
            <w:tcBorders>
              <w:top w:val="single" w:color="auto" w:sz="4" w:space="0"/>
              <w:left w:val="single" w:color="auto" w:sz="4" w:space="0"/>
              <w:bottom w:val="single" w:color="auto" w:sz="4" w:space="0"/>
              <w:right w:val="single" w:color="auto" w:sz="4" w:space="0"/>
            </w:tcBorders>
            <w:vAlign w:val="center"/>
          </w:tcPr>
          <w:p w14:paraId="15585BE9">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针对本项目的服务方案</w:t>
            </w:r>
          </w:p>
        </w:tc>
        <w:tc>
          <w:tcPr>
            <w:tcW w:w="398" w:type="pct"/>
            <w:tcBorders>
              <w:top w:val="single" w:color="auto" w:sz="4" w:space="0"/>
              <w:left w:val="single" w:color="auto" w:sz="4" w:space="0"/>
              <w:bottom w:val="single" w:color="auto" w:sz="4" w:space="0"/>
              <w:right w:val="single" w:color="auto" w:sz="4" w:space="0"/>
            </w:tcBorders>
            <w:vAlign w:val="center"/>
          </w:tcPr>
          <w:p w14:paraId="67D6E710">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w:t>
            </w:r>
            <w:r>
              <w:rPr>
                <w:rFonts w:hint="eastAsia" w:ascii="宋体" w:hAnsi="宋体" w:eastAsia="宋体"/>
                <w:color w:val="auto"/>
              </w:rPr>
              <w:t>24</w:t>
            </w:r>
          </w:p>
        </w:tc>
        <w:tc>
          <w:tcPr>
            <w:tcW w:w="3210" w:type="pct"/>
            <w:tcBorders>
              <w:top w:val="single" w:color="auto" w:sz="4" w:space="0"/>
              <w:left w:val="single" w:color="auto" w:sz="4" w:space="0"/>
              <w:bottom w:val="single" w:color="auto" w:sz="4" w:space="0"/>
              <w:right w:val="single" w:color="auto" w:sz="4" w:space="0"/>
            </w:tcBorders>
            <w:vAlign w:val="center"/>
          </w:tcPr>
          <w:p w14:paraId="3D21231D">
            <w:pPr>
              <w:pStyle w:val="41"/>
              <w:pageBreakBefore w:val="0"/>
              <w:overflowPunct/>
              <w:topLinePunct w:val="0"/>
              <w:bidi w:val="0"/>
              <w:snapToGrid w:val="0"/>
              <w:spacing w:after="160" w:line="278" w:lineRule="auto"/>
              <w:rPr>
                <w:rFonts w:hint="eastAsia"/>
                <w:color w:val="auto"/>
                <w:sz w:val="21"/>
                <w:szCs w:val="21"/>
                <w:lang w:eastAsia="zh-CN"/>
              </w:rPr>
            </w:pPr>
            <w:r>
              <w:rPr>
                <w:rFonts w:hint="eastAsia"/>
                <w:color w:val="auto"/>
                <w:sz w:val="21"/>
                <w:szCs w:val="21"/>
                <w:lang w:eastAsia="zh-CN"/>
              </w:rPr>
              <w:t>针对本项目的服务方案：</w:t>
            </w:r>
            <w:r>
              <w:rPr>
                <w:color w:val="auto"/>
                <w:sz w:val="21"/>
                <w:szCs w:val="21"/>
                <w:lang w:eastAsia="zh-CN"/>
              </w:rPr>
              <w:t xml:space="preserve"> </w:t>
            </w:r>
          </w:p>
          <w:p w14:paraId="08495F85">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1</w:t>
            </w:r>
            <w:r>
              <w:rPr>
                <w:rFonts w:hint="eastAsia"/>
                <w:color w:val="auto"/>
                <w:sz w:val="21"/>
                <w:szCs w:val="21"/>
                <w:lang w:eastAsia="zh-CN"/>
              </w:rPr>
              <w:t>、方案总体全面、完整、合理，具有强的可操作性，完全满足用户实际需求，得24分；</w:t>
            </w:r>
            <w:r>
              <w:rPr>
                <w:color w:val="auto"/>
                <w:sz w:val="21"/>
                <w:szCs w:val="21"/>
                <w:lang w:eastAsia="zh-CN"/>
              </w:rPr>
              <w:t xml:space="preserve"> </w:t>
            </w:r>
          </w:p>
          <w:p w14:paraId="4B484EEC">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2</w:t>
            </w:r>
            <w:r>
              <w:rPr>
                <w:rFonts w:hint="eastAsia"/>
                <w:color w:val="auto"/>
                <w:sz w:val="21"/>
                <w:szCs w:val="21"/>
                <w:lang w:eastAsia="zh-CN"/>
              </w:rPr>
              <w:t>、方案总体较为全面、完整、合理，具有较强的可操作性，满足用户实际需求，得20分；</w:t>
            </w:r>
            <w:r>
              <w:rPr>
                <w:color w:val="auto"/>
                <w:sz w:val="21"/>
                <w:szCs w:val="21"/>
                <w:lang w:eastAsia="zh-CN"/>
              </w:rPr>
              <w:t xml:space="preserve"> </w:t>
            </w:r>
          </w:p>
          <w:p w14:paraId="0C338EDE">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3</w:t>
            </w:r>
            <w:r>
              <w:rPr>
                <w:rFonts w:hint="eastAsia"/>
                <w:color w:val="auto"/>
                <w:sz w:val="21"/>
                <w:szCs w:val="21"/>
                <w:lang w:eastAsia="zh-CN"/>
              </w:rPr>
              <w:t>、方案总体较为全面、完整、合理，具有一定的可操作性，符合用户实际需求，得16分；</w:t>
            </w:r>
            <w:r>
              <w:rPr>
                <w:color w:val="auto"/>
                <w:sz w:val="21"/>
                <w:szCs w:val="21"/>
                <w:lang w:eastAsia="zh-CN"/>
              </w:rPr>
              <w:t xml:space="preserve"> </w:t>
            </w:r>
          </w:p>
          <w:p w14:paraId="52710384">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4</w:t>
            </w:r>
            <w:r>
              <w:rPr>
                <w:rFonts w:hint="eastAsia"/>
                <w:color w:val="auto"/>
                <w:sz w:val="21"/>
                <w:szCs w:val="21"/>
                <w:lang w:eastAsia="zh-CN"/>
              </w:rPr>
              <w:t>、方案总体基本全面、完整，合理性一般，具有一定的可操作性，基本符合用户实际需求，得10分；</w:t>
            </w:r>
            <w:r>
              <w:rPr>
                <w:color w:val="auto"/>
                <w:sz w:val="21"/>
                <w:szCs w:val="21"/>
                <w:lang w:eastAsia="zh-CN"/>
              </w:rPr>
              <w:t xml:space="preserve"> </w:t>
            </w:r>
          </w:p>
          <w:p w14:paraId="733C1DE7">
            <w:pPr>
              <w:pStyle w:val="41"/>
              <w:pageBreakBefore w:val="0"/>
              <w:overflowPunct/>
              <w:topLinePunct w:val="0"/>
              <w:bidi w:val="0"/>
              <w:snapToGrid w:val="0"/>
              <w:spacing w:after="160" w:line="278" w:lineRule="auto"/>
              <w:rPr>
                <w:rFonts w:hint="eastAsia"/>
                <w:color w:val="auto"/>
                <w:sz w:val="21"/>
                <w:szCs w:val="21"/>
                <w:lang w:eastAsia="zh-CN"/>
              </w:rPr>
            </w:pPr>
            <w:r>
              <w:rPr>
                <w:color w:val="auto"/>
                <w:sz w:val="21"/>
                <w:szCs w:val="21"/>
                <w:lang w:eastAsia="zh-CN"/>
              </w:rPr>
              <w:t>5</w:t>
            </w:r>
            <w:r>
              <w:rPr>
                <w:rFonts w:hint="eastAsia"/>
                <w:color w:val="auto"/>
                <w:sz w:val="21"/>
                <w:szCs w:val="21"/>
                <w:lang w:eastAsia="zh-CN"/>
              </w:rPr>
              <w:t xml:space="preserve">、方案总体不够全面、完整、合理，具有较差的可操作性，基本符合用户实际需求，得4分； </w:t>
            </w:r>
          </w:p>
          <w:p w14:paraId="7A266DCC">
            <w:pPr>
              <w:pStyle w:val="41"/>
              <w:pageBreakBefore w:val="0"/>
              <w:overflowPunct/>
              <w:topLinePunct w:val="0"/>
              <w:bidi w:val="0"/>
              <w:snapToGrid w:val="0"/>
              <w:spacing w:after="160" w:line="278" w:lineRule="auto"/>
              <w:rPr>
                <w:rFonts w:hint="eastAsia" w:hAnsi="宋体"/>
                <w:color w:val="auto"/>
                <w:sz w:val="21"/>
                <w:szCs w:val="21"/>
                <w:lang w:eastAsia="zh-CN"/>
              </w:rPr>
            </w:pPr>
            <w:r>
              <w:rPr>
                <w:rFonts w:hint="eastAsia"/>
                <w:color w:val="auto"/>
                <w:sz w:val="21"/>
                <w:szCs w:val="21"/>
                <w:lang w:eastAsia="zh-CN"/>
              </w:rPr>
              <w:t xml:space="preserve">6、方案总体与用户需求无关或无方案不得分。 </w:t>
            </w:r>
          </w:p>
        </w:tc>
      </w:tr>
      <w:tr w14:paraId="2351E513">
        <w:tblPrEx>
          <w:tblCellMar>
            <w:top w:w="0" w:type="dxa"/>
            <w:left w:w="0" w:type="dxa"/>
            <w:bottom w:w="0" w:type="dxa"/>
            <w:right w:w="0" w:type="dxa"/>
          </w:tblCellMar>
        </w:tblPrEx>
        <w:trPr>
          <w:trHeight w:val="1637" w:hRule="atLeast"/>
        </w:trPr>
        <w:tc>
          <w:tcPr>
            <w:tcW w:w="330" w:type="pct"/>
            <w:tcBorders>
              <w:top w:val="single" w:color="auto" w:sz="4" w:space="0"/>
              <w:left w:val="single" w:color="auto" w:sz="4" w:space="0"/>
              <w:bottom w:val="single" w:color="auto" w:sz="4" w:space="0"/>
              <w:right w:val="single" w:color="auto" w:sz="4" w:space="0"/>
            </w:tcBorders>
            <w:vAlign w:val="center"/>
          </w:tcPr>
          <w:p w14:paraId="516553E4">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5</w:t>
            </w:r>
          </w:p>
        </w:tc>
        <w:tc>
          <w:tcPr>
            <w:tcW w:w="530" w:type="pct"/>
            <w:vMerge w:val="continue"/>
            <w:tcBorders>
              <w:left w:val="single" w:color="auto" w:sz="4" w:space="0"/>
              <w:right w:val="single" w:color="auto" w:sz="4" w:space="0"/>
            </w:tcBorders>
            <w:vAlign w:val="center"/>
          </w:tcPr>
          <w:p w14:paraId="6FE76BF5">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25B1BD7D">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应急预案</w:t>
            </w:r>
          </w:p>
        </w:tc>
        <w:tc>
          <w:tcPr>
            <w:tcW w:w="398" w:type="pct"/>
            <w:tcBorders>
              <w:top w:val="single" w:color="auto" w:sz="4" w:space="0"/>
              <w:left w:val="single" w:color="auto" w:sz="4" w:space="0"/>
              <w:bottom w:val="single" w:color="auto" w:sz="4" w:space="0"/>
              <w:right w:val="single" w:color="auto" w:sz="4" w:space="0"/>
            </w:tcBorders>
            <w:vAlign w:val="center"/>
          </w:tcPr>
          <w:p w14:paraId="181DBDE9">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1C0CE8B9">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根据供应商提供的应急预案进行综合评审：</w:t>
            </w:r>
          </w:p>
          <w:p w14:paraId="376BEBE8">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1、应急预案合理、针对性、可行性强，得10分；</w:t>
            </w:r>
          </w:p>
          <w:p w14:paraId="7039930D">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2、应急预案较合理、针对性、可行性较强，得7分；</w:t>
            </w:r>
          </w:p>
          <w:p w14:paraId="24DBEAEB">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3、应急预案一般合理、针对性、可行性一般，得4分；</w:t>
            </w:r>
          </w:p>
          <w:p w14:paraId="4C572EC7">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4、应急预案不合理、针对性、可行性较差，得1分。</w:t>
            </w:r>
          </w:p>
          <w:p w14:paraId="1458C445">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5、未提供不得分。</w:t>
            </w:r>
          </w:p>
        </w:tc>
      </w:tr>
      <w:tr w14:paraId="1189BE37">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281290DC">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6</w:t>
            </w:r>
          </w:p>
        </w:tc>
        <w:tc>
          <w:tcPr>
            <w:tcW w:w="530" w:type="pct"/>
            <w:vMerge w:val="continue"/>
            <w:tcBorders>
              <w:left w:val="single" w:color="auto" w:sz="4" w:space="0"/>
              <w:right w:val="single" w:color="auto" w:sz="4" w:space="0"/>
            </w:tcBorders>
            <w:vAlign w:val="center"/>
          </w:tcPr>
          <w:p w14:paraId="7600AD1A">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4CF5D91D">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运行维</w:t>
            </w:r>
          </w:p>
          <w:p w14:paraId="60A5EE54">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护人员</w:t>
            </w:r>
          </w:p>
        </w:tc>
        <w:tc>
          <w:tcPr>
            <w:tcW w:w="398" w:type="pct"/>
            <w:tcBorders>
              <w:top w:val="single" w:color="auto" w:sz="4" w:space="0"/>
              <w:left w:val="single" w:color="auto" w:sz="4" w:space="0"/>
              <w:bottom w:val="single" w:color="auto" w:sz="4" w:space="0"/>
              <w:right w:val="single" w:color="auto" w:sz="4" w:space="0"/>
            </w:tcBorders>
            <w:vAlign w:val="center"/>
          </w:tcPr>
          <w:p w14:paraId="21419278">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6227E5B5">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根据运行维护人员的资格证书、工作经验等进行综合评审：</w:t>
            </w:r>
          </w:p>
          <w:p w14:paraId="3656E7D1">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1、人员配备能够满足招标文件要求</w:t>
            </w:r>
            <w:r>
              <w:rPr>
                <w:rFonts w:hint="eastAsia" w:ascii="宋体" w:hAnsi="宋体" w:eastAsia="宋体"/>
                <w:color w:val="auto"/>
                <w:lang w:eastAsia="zh-CN"/>
              </w:rPr>
              <w:t>。</w:t>
            </w:r>
            <w:r>
              <w:rPr>
                <w:rFonts w:hint="eastAsia" w:ascii="宋体" w:hAnsi="宋体" w:eastAsia="宋体"/>
                <w:color w:val="auto"/>
              </w:rPr>
              <w:t>构成比例合理、专业齐备，人员经验丰富得10分；</w:t>
            </w:r>
          </w:p>
          <w:p w14:paraId="589B7925">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2、人员配备能够满足招标文件要求</w:t>
            </w:r>
            <w:r>
              <w:rPr>
                <w:rFonts w:hint="eastAsia" w:ascii="宋体" w:hAnsi="宋体" w:eastAsia="宋体"/>
                <w:color w:val="auto"/>
                <w:lang w:eastAsia="zh-CN"/>
              </w:rPr>
              <w:t>。</w:t>
            </w:r>
            <w:r>
              <w:rPr>
                <w:rFonts w:hint="eastAsia" w:ascii="宋体" w:hAnsi="宋体" w:eastAsia="宋体"/>
                <w:color w:val="auto"/>
              </w:rPr>
              <w:t>构成比例较合理、专业较齐备，人员经验较丰富得7分；</w:t>
            </w:r>
          </w:p>
          <w:p w14:paraId="2AC98FF3">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3、人员配备基本能够满足招标文件要求</w:t>
            </w:r>
            <w:r>
              <w:rPr>
                <w:rFonts w:hint="eastAsia" w:ascii="宋体" w:hAnsi="宋体" w:eastAsia="宋体"/>
                <w:color w:val="auto"/>
                <w:lang w:eastAsia="zh-CN"/>
              </w:rPr>
              <w:t>。</w:t>
            </w:r>
            <w:r>
              <w:rPr>
                <w:rFonts w:hint="eastAsia" w:ascii="宋体" w:hAnsi="宋体" w:eastAsia="宋体"/>
                <w:color w:val="auto"/>
              </w:rPr>
              <w:t>构成比例合理性一般、专业齐备性一般，人员经验一般得4分；</w:t>
            </w:r>
          </w:p>
          <w:p w14:paraId="6A3A23B4">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4、人员配备基本不能够满足招标文件要求</w:t>
            </w:r>
            <w:r>
              <w:rPr>
                <w:rFonts w:hint="eastAsia" w:ascii="宋体" w:hAnsi="宋体" w:eastAsia="宋体"/>
                <w:color w:val="auto"/>
                <w:lang w:eastAsia="zh-CN"/>
              </w:rPr>
              <w:t>。</w:t>
            </w:r>
            <w:r>
              <w:rPr>
                <w:rFonts w:hint="eastAsia" w:ascii="宋体" w:hAnsi="宋体" w:eastAsia="宋体"/>
                <w:color w:val="auto"/>
              </w:rPr>
              <w:t>构成比例合理性较差、专业不够齐备，人员经验欠丰富得1分；</w:t>
            </w:r>
          </w:p>
          <w:p w14:paraId="1ECF76BD">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hAnsi="宋体" w:eastAsia="宋体"/>
                <w:color w:val="auto"/>
              </w:rPr>
              <w:t>5、未提供不得分。</w:t>
            </w:r>
          </w:p>
        </w:tc>
      </w:tr>
      <w:tr w14:paraId="5973194A">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23941D77">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7</w:t>
            </w:r>
          </w:p>
        </w:tc>
        <w:tc>
          <w:tcPr>
            <w:tcW w:w="530" w:type="pct"/>
            <w:vMerge w:val="continue"/>
            <w:tcBorders>
              <w:left w:val="single" w:color="auto" w:sz="4" w:space="0"/>
              <w:right w:val="single" w:color="auto" w:sz="4" w:space="0"/>
            </w:tcBorders>
            <w:vAlign w:val="center"/>
          </w:tcPr>
          <w:p w14:paraId="505BF937">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17F51D03">
            <w:pPr>
              <w:pStyle w:val="41"/>
              <w:pageBreakBefore w:val="0"/>
              <w:overflowPunct/>
              <w:topLinePunct w:val="0"/>
              <w:bidi w:val="0"/>
              <w:snapToGrid w:val="0"/>
              <w:spacing w:after="160" w:line="278" w:lineRule="auto"/>
              <w:jc w:val="center"/>
              <w:rPr>
                <w:rFonts w:hint="eastAsia"/>
                <w:color w:val="auto"/>
                <w:sz w:val="21"/>
                <w:szCs w:val="21"/>
                <w:lang w:eastAsia="zh-CN"/>
              </w:rPr>
            </w:pPr>
            <w:r>
              <w:rPr>
                <w:rFonts w:hint="eastAsia"/>
                <w:color w:val="auto"/>
                <w:sz w:val="21"/>
                <w:szCs w:val="21"/>
                <w:lang w:eastAsia="zh-CN"/>
              </w:rPr>
              <w:t>质量保障措施</w:t>
            </w:r>
          </w:p>
        </w:tc>
        <w:tc>
          <w:tcPr>
            <w:tcW w:w="398" w:type="pct"/>
            <w:tcBorders>
              <w:top w:val="single" w:color="auto" w:sz="4" w:space="0"/>
              <w:left w:val="single" w:color="auto" w:sz="4" w:space="0"/>
              <w:bottom w:val="single" w:color="auto" w:sz="4" w:space="0"/>
              <w:right w:val="single" w:color="auto" w:sz="4" w:space="0"/>
            </w:tcBorders>
            <w:vAlign w:val="center"/>
          </w:tcPr>
          <w:p w14:paraId="7DCC0956">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1B64E34E">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根据质量保障措施的合理性、科学性、针对性等进行综合评审：</w:t>
            </w:r>
          </w:p>
          <w:p w14:paraId="15B56672">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1、方案内容充实，合理性、科学性、针对性高得1</w:t>
            </w:r>
            <w:r>
              <w:rPr>
                <w:rFonts w:ascii="宋体" w:hAnsi="宋体" w:eastAsia="宋体"/>
                <w:color w:val="auto"/>
              </w:rPr>
              <w:t>0</w:t>
            </w:r>
            <w:r>
              <w:rPr>
                <w:rFonts w:hint="eastAsia" w:ascii="宋体" w:hAnsi="宋体" w:eastAsia="宋体"/>
                <w:color w:val="auto"/>
              </w:rPr>
              <w:t>分；</w:t>
            </w:r>
          </w:p>
          <w:p w14:paraId="2E1B3993">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2</w:t>
            </w:r>
            <w:r>
              <w:rPr>
                <w:rFonts w:hint="eastAsia" w:ascii="宋体" w:hAnsi="宋体" w:eastAsia="宋体"/>
                <w:color w:val="auto"/>
              </w:rPr>
              <w:t>、方案内容较充实，合理性、科学性、针对性较高得</w:t>
            </w:r>
            <w:r>
              <w:rPr>
                <w:rFonts w:ascii="宋体" w:hAnsi="宋体" w:eastAsia="宋体"/>
                <w:color w:val="auto"/>
              </w:rPr>
              <w:t>7</w:t>
            </w:r>
            <w:r>
              <w:rPr>
                <w:rFonts w:hint="eastAsia" w:ascii="宋体" w:hAnsi="宋体" w:eastAsia="宋体"/>
                <w:color w:val="auto"/>
              </w:rPr>
              <w:t>分；</w:t>
            </w:r>
          </w:p>
          <w:p w14:paraId="15879B18">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3</w:t>
            </w:r>
            <w:r>
              <w:rPr>
                <w:rFonts w:hint="eastAsia" w:ascii="宋体" w:hAnsi="宋体" w:eastAsia="宋体"/>
                <w:color w:val="auto"/>
              </w:rPr>
              <w:t>、方案内容一般，合理性、科学性、针对性一般得</w:t>
            </w:r>
            <w:r>
              <w:rPr>
                <w:rFonts w:ascii="宋体" w:hAnsi="宋体" w:eastAsia="宋体"/>
                <w:color w:val="auto"/>
              </w:rPr>
              <w:t>4</w:t>
            </w:r>
            <w:r>
              <w:rPr>
                <w:rFonts w:hint="eastAsia" w:ascii="宋体" w:hAnsi="宋体" w:eastAsia="宋体"/>
                <w:color w:val="auto"/>
              </w:rPr>
              <w:t>分；</w:t>
            </w:r>
          </w:p>
          <w:p w14:paraId="0051462B">
            <w:pPr>
              <w:pageBreakBefore w:val="0"/>
              <w:overflowPunct/>
              <w:topLinePunct w:val="0"/>
              <w:bidi w:val="0"/>
              <w:snapToGrid w:val="0"/>
              <w:spacing w:after="0"/>
              <w:rPr>
                <w:rFonts w:hint="eastAsia" w:ascii="宋体" w:hAnsi="宋体" w:eastAsia="宋体"/>
                <w:color w:val="auto"/>
              </w:rPr>
            </w:pPr>
            <w:r>
              <w:rPr>
                <w:rFonts w:ascii="宋体" w:hAnsi="宋体" w:eastAsia="宋体"/>
                <w:color w:val="auto"/>
              </w:rPr>
              <w:t>4</w:t>
            </w:r>
            <w:r>
              <w:rPr>
                <w:rFonts w:hint="eastAsia" w:ascii="宋体" w:hAnsi="宋体" w:eastAsia="宋体"/>
                <w:color w:val="auto"/>
              </w:rPr>
              <w:t>、方案内容较差，合理性、科学性、针对性较差得1分；</w:t>
            </w:r>
          </w:p>
          <w:p w14:paraId="2EA9A07A">
            <w:pPr>
              <w:pageBreakBefore w:val="0"/>
              <w:overflowPunct/>
              <w:topLinePunct w:val="0"/>
              <w:bidi w:val="0"/>
              <w:snapToGrid w:val="0"/>
              <w:spacing w:after="0"/>
              <w:rPr>
                <w:rFonts w:hint="eastAsia" w:ascii="宋体" w:hAnsi="宋体" w:eastAsia="宋体"/>
                <w:color w:val="auto"/>
              </w:rPr>
            </w:pPr>
            <w:r>
              <w:rPr>
                <w:rFonts w:hint="eastAsia" w:ascii="宋体" w:hAnsi="宋体" w:eastAsia="宋体"/>
                <w:color w:val="auto"/>
              </w:rPr>
              <w:t>5、未提供不得分。</w:t>
            </w:r>
          </w:p>
        </w:tc>
      </w:tr>
      <w:tr w14:paraId="5AB398D4">
        <w:tblPrEx>
          <w:tblCellMar>
            <w:top w:w="0" w:type="dxa"/>
            <w:left w:w="0" w:type="dxa"/>
            <w:bottom w:w="0" w:type="dxa"/>
            <w:right w:w="0" w:type="dxa"/>
          </w:tblCellMar>
        </w:tblPrEx>
        <w:trPr>
          <w:trHeight w:val="555" w:hRule="atLeast"/>
        </w:trPr>
        <w:tc>
          <w:tcPr>
            <w:tcW w:w="330" w:type="pct"/>
            <w:tcBorders>
              <w:top w:val="single" w:color="auto" w:sz="4" w:space="0"/>
              <w:left w:val="single" w:color="auto" w:sz="4" w:space="0"/>
              <w:bottom w:val="single" w:color="auto" w:sz="4" w:space="0"/>
              <w:right w:val="single" w:color="auto" w:sz="4" w:space="0"/>
            </w:tcBorders>
            <w:vAlign w:val="center"/>
          </w:tcPr>
          <w:p w14:paraId="7FC8D970">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lang w:val="en-US" w:eastAsia="zh-CN"/>
              </w:rPr>
              <w:t>8</w:t>
            </w:r>
          </w:p>
        </w:tc>
        <w:tc>
          <w:tcPr>
            <w:tcW w:w="530" w:type="pct"/>
            <w:vMerge w:val="continue"/>
            <w:tcBorders>
              <w:left w:val="single" w:color="auto" w:sz="4" w:space="0"/>
              <w:bottom w:val="single" w:color="auto" w:sz="4" w:space="0"/>
              <w:right w:val="single" w:color="auto" w:sz="4" w:space="0"/>
            </w:tcBorders>
            <w:vAlign w:val="center"/>
          </w:tcPr>
          <w:p w14:paraId="6BD6688F">
            <w:pPr>
              <w:pageBreakBefore w:val="0"/>
              <w:overflowPunct/>
              <w:topLinePunct w:val="0"/>
              <w:bidi w:val="0"/>
              <w:snapToGrid w:val="0"/>
              <w:spacing w:after="0"/>
              <w:jc w:val="center"/>
              <w:rPr>
                <w:rFonts w:hint="eastAsia" w:ascii="宋体" w:hAnsi="宋体" w:eastAsia="宋体"/>
                <w:color w:val="auto"/>
              </w:rPr>
            </w:pPr>
          </w:p>
        </w:tc>
        <w:tc>
          <w:tcPr>
            <w:tcW w:w="530" w:type="pct"/>
            <w:tcBorders>
              <w:top w:val="single" w:color="auto" w:sz="4" w:space="0"/>
              <w:left w:val="single" w:color="auto" w:sz="4" w:space="0"/>
              <w:bottom w:val="single" w:color="auto" w:sz="4" w:space="0"/>
              <w:right w:val="single" w:color="auto" w:sz="4" w:space="0"/>
            </w:tcBorders>
            <w:vAlign w:val="center"/>
          </w:tcPr>
          <w:p w14:paraId="1F18401F">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日常管理及工作程序</w:t>
            </w:r>
          </w:p>
        </w:tc>
        <w:tc>
          <w:tcPr>
            <w:tcW w:w="398" w:type="pct"/>
            <w:tcBorders>
              <w:top w:val="single" w:color="auto" w:sz="4" w:space="0"/>
              <w:left w:val="single" w:color="auto" w:sz="4" w:space="0"/>
              <w:bottom w:val="single" w:color="auto" w:sz="4" w:space="0"/>
              <w:right w:val="single" w:color="auto" w:sz="4" w:space="0"/>
            </w:tcBorders>
            <w:vAlign w:val="center"/>
          </w:tcPr>
          <w:p w14:paraId="7EB16BA5">
            <w:pPr>
              <w:pageBreakBefore w:val="0"/>
              <w:overflowPunct/>
              <w:topLinePunct w:val="0"/>
              <w:bidi w:val="0"/>
              <w:snapToGrid w:val="0"/>
              <w:spacing w:after="0"/>
              <w:jc w:val="center"/>
              <w:rPr>
                <w:rFonts w:hint="eastAsia" w:ascii="宋体" w:hAnsi="宋体" w:eastAsia="宋体"/>
                <w:color w:val="auto"/>
              </w:rPr>
            </w:pPr>
            <w:r>
              <w:rPr>
                <w:rFonts w:hint="eastAsia" w:ascii="宋体" w:hAnsi="宋体" w:eastAsia="宋体"/>
                <w:color w:val="auto"/>
              </w:rPr>
              <w:t>0</w:t>
            </w:r>
            <w:r>
              <w:rPr>
                <w:rFonts w:ascii="宋体" w:hAnsi="宋体" w:eastAsia="宋体"/>
                <w:color w:val="auto"/>
              </w:rPr>
              <w:t>-10</w:t>
            </w:r>
          </w:p>
        </w:tc>
        <w:tc>
          <w:tcPr>
            <w:tcW w:w="3210" w:type="pct"/>
            <w:tcBorders>
              <w:top w:val="single" w:color="auto" w:sz="4" w:space="0"/>
              <w:left w:val="single" w:color="auto" w:sz="4" w:space="0"/>
              <w:bottom w:val="single" w:color="auto" w:sz="4" w:space="0"/>
              <w:right w:val="single" w:color="auto" w:sz="4" w:space="0"/>
            </w:tcBorders>
            <w:vAlign w:val="center"/>
          </w:tcPr>
          <w:p w14:paraId="6874017A">
            <w:pPr>
              <w:pageBreakBefore w:val="0"/>
              <w:overflowPunct/>
              <w:topLinePunct w:val="0"/>
              <w:bidi w:val="0"/>
              <w:snapToGrid w:val="0"/>
              <w:spacing w:after="0"/>
              <w:rPr>
                <w:rFonts w:ascii="宋体" w:eastAsia="宋体" w:cs="宋体"/>
                <w:color w:val="auto"/>
              </w:rPr>
            </w:pPr>
            <w:r>
              <w:rPr>
                <w:rFonts w:hint="eastAsia" w:ascii="宋体" w:eastAsia="宋体" w:cs="宋体"/>
                <w:color w:val="auto"/>
              </w:rPr>
              <w:t>根据供应商提供的日常管理及工作程序进行综合评审：</w:t>
            </w:r>
          </w:p>
          <w:p w14:paraId="5207C28B">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1、日常管理及工作程序合理得10分；</w:t>
            </w:r>
          </w:p>
          <w:p w14:paraId="0DB27F73">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2、日常管理及工作程序较合理得7分；</w:t>
            </w:r>
          </w:p>
          <w:p w14:paraId="64BC8CC6">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3、日常管理及工作程序一般得4分；</w:t>
            </w:r>
          </w:p>
          <w:p w14:paraId="519845AE">
            <w:pPr>
              <w:pStyle w:val="28"/>
              <w:pageBreakBefore w:val="0"/>
              <w:overflowPunct/>
              <w:topLinePunct w:val="0"/>
              <w:bidi w:val="0"/>
              <w:snapToGrid w:val="0"/>
              <w:spacing w:after="0"/>
              <w:ind w:firstLine="0" w:firstLineChars="0"/>
              <w:rPr>
                <w:rFonts w:ascii="宋体" w:eastAsia="宋体" w:cs="宋体"/>
                <w:color w:val="auto"/>
              </w:rPr>
            </w:pPr>
            <w:r>
              <w:rPr>
                <w:rFonts w:hint="eastAsia" w:ascii="宋体" w:eastAsia="宋体" w:cs="宋体"/>
                <w:color w:val="auto"/>
              </w:rPr>
              <w:t>4、日常管理及工作程序不合理得1分；</w:t>
            </w:r>
          </w:p>
          <w:p w14:paraId="06D6234B">
            <w:pPr>
              <w:pStyle w:val="28"/>
              <w:pageBreakBefore w:val="0"/>
              <w:overflowPunct/>
              <w:topLinePunct w:val="0"/>
              <w:bidi w:val="0"/>
              <w:snapToGrid w:val="0"/>
              <w:spacing w:after="0"/>
              <w:ind w:firstLine="0" w:firstLineChars="0"/>
              <w:rPr>
                <w:rFonts w:hint="eastAsia" w:ascii="宋体" w:hAnsi="宋体" w:eastAsia="宋体"/>
                <w:color w:val="auto"/>
              </w:rPr>
            </w:pPr>
            <w:r>
              <w:rPr>
                <w:rFonts w:hint="eastAsia" w:ascii="宋体" w:eastAsia="宋体" w:cs="宋体"/>
                <w:color w:val="auto"/>
              </w:rPr>
              <w:t>5、未提供不得分。</w:t>
            </w:r>
          </w:p>
        </w:tc>
      </w:tr>
    </w:tbl>
    <w:p w14:paraId="07D6F327">
      <w:pPr>
        <w:pStyle w:val="6"/>
        <w:pageBreakBefore w:val="0"/>
        <w:overflowPunct/>
        <w:topLinePunct w:val="0"/>
        <w:bidi w:val="0"/>
        <w:snapToGrid w:val="0"/>
        <w:spacing w:after="0"/>
        <w:rPr>
          <w:rFonts w:hAnsi="宋体"/>
        </w:rPr>
      </w:pPr>
    </w:p>
    <w:p w14:paraId="60B996D8">
      <w:pPr>
        <w:pStyle w:val="6"/>
        <w:pageBreakBefore w:val="0"/>
        <w:overflowPunct/>
        <w:topLinePunct w:val="0"/>
        <w:bidi w:val="0"/>
        <w:snapToGrid w:val="0"/>
        <w:spacing w:after="0"/>
        <w:rPr>
          <w:rFonts w:hAnsi="宋体"/>
        </w:rPr>
      </w:pPr>
    </w:p>
    <w:p w14:paraId="1C4E4AE6">
      <w:pPr>
        <w:pStyle w:val="6"/>
        <w:pageBreakBefore w:val="0"/>
        <w:overflowPunct/>
        <w:topLinePunct w:val="0"/>
        <w:bidi w:val="0"/>
        <w:snapToGrid w:val="0"/>
        <w:spacing w:after="0"/>
        <w:rPr>
          <w:rFonts w:hAnsi="宋体"/>
        </w:rPr>
      </w:pPr>
    </w:p>
    <w:p w14:paraId="1F8170AC">
      <w:pPr>
        <w:pStyle w:val="6"/>
        <w:pageBreakBefore w:val="0"/>
        <w:overflowPunct/>
        <w:topLinePunct w:val="0"/>
        <w:bidi w:val="0"/>
        <w:snapToGrid w:val="0"/>
        <w:spacing w:after="0"/>
        <w:rPr>
          <w:rFonts w:hAnsi="宋体"/>
        </w:rPr>
      </w:pPr>
    </w:p>
    <w:p w14:paraId="6071ACC0">
      <w:pPr>
        <w:pStyle w:val="6"/>
        <w:pageBreakBefore w:val="0"/>
        <w:overflowPunct/>
        <w:topLinePunct w:val="0"/>
        <w:bidi w:val="0"/>
        <w:snapToGrid w:val="0"/>
        <w:spacing w:after="0"/>
        <w:rPr>
          <w:rFonts w:hAnsi="宋体"/>
        </w:rPr>
      </w:pPr>
    </w:p>
    <w:p w14:paraId="51852739">
      <w:pPr>
        <w:pStyle w:val="6"/>
        <w:pageBreakBefore w:val="0"/>
        <w:overflowPunct/>
        <w:topLinePunct w:val="0"/>
        <w:bidi w:val="0"/>
        <w:snapToGrid w:val="0"/>
        <w:spacing w:after="0"/>
        <w:rPr>
          <w:rFonts w:hAnsi="宋体"/>
        </w:rPr>
      </w:pPr>
    </w:p>
    <w:p w14:paraId="482C3335">
      <w:pPr>
        <w:pStyle w:val="6"/>
        <w:pageBreakBefore w:val="0"/>
        <w:overflowPunct/>
        <w:topLinePunct w:val="0"/>
        <w:bidi w:val="0"/>
        <w:snapToGrid w:val="0"/>
        <w:spacing w:after="0"/>
        <w:rPr>
          <w:rFonts w:hAnsi="宋体"/>
        </w:rPr>
      </w:pPr>
    </w:p>
    <w:p w14:paraId="41B233BE">
      <w:pPr>
        <w:pStyle w:val="6"/>
        <w:pageBreakBefore w:val="0"/>
        <w:overflowPunct/>
        <w:topLinePunct w:val="0"/>
        <w:bidi w:val="0"/>
        <w:snapToGrid w:val="0"/>
        <w:spacing w:after="0"/>
        <w:rPr>
          <w:rFonts w:hAnsi="宋体"/>
        </w:rPr>
      </w:pPr>
    </w:p>
    <w:p w14:paraId="71CC7081">
      <w:pPr>
        <w:pStyle w:val="6"/>
        <w:pageBreakBefore w:val="0"/>
        <w:overflowPunct/>
        <w:topLinePunct w:val="0"/>
        <w:bidi w:val="0"/>
        <w:snapToGrid w:val="0"/>
        <w:spacing w:after="0"/>
        <w:rPr>
          <w:rFonts w:hAnsi="宋体"/>
        </w:rPr>
      </w:pPr>
    </w:p>
    <w:p w14:paraId="68CF093A">
      <w:pPr>
        <w:pStyle w:val="6"/>
        <w:pageBreakBefore w:val="0"/>
        <w:overflowPunct/>
        <w:topLinePunct w:val="0"/>
        <w:bidi w:val="0"/>
        <w:snapToGrid w:val="0"/>
        <w:spacing w:after="0"/>
        <w:rPr>
          <w:rFonts w:hAnsi="宋体"/>
        </w:rPr>
      </w:pPr>
    </w:p>
    <w:p w14:paraId="6986A6DC">
      <w:pPr>
        <w:pStyle w:val="6"/>
        <w:pageBreakBefore w:val="0"/>
        <w:overflowPunct/>
        <w:topLinePunct w:val="0"/>
        <w:bidi w:val="0"/>
        <w:snapToGrid w:val="0"/>
        <w:spacing w:after="0"/>
        <w:rPr>
          <w:rFonts w:hAnsi="宋体"/>
        </w:rPr>
      </w:pPr>
    </w:p>
    <w:p w14:paraId="07D17194">
      <w:pPr>
        <w:pStyle w:val="6"/>
        <w:pageBreakBefore w:val="0"/>
        <w:overflowPunct/>
        <w:topLinePunct w:val="0"/>
        <w:bidi w:val="0"/>
        <w:snapToGrid w:val="0"/>
        <w:spacing w:after="0"/>
        <w:rPr>
          <w:rFonts w:hAnsi="宋体"/>
        </w:rPr>
      </w:pPr>
    </w:p>
    <w:p w14:paraId="0342A270">
      <w:pPr>
        <w:pStyle w:val="6"/>
        <w:pageBreakBefore w:val="0"/>
        <w:overflowPunct/>
        <w:topLinePunct w:val="0"/>
        <w:bidi w:val="0"/>
        <w:snapToGrid w:val="0"/>
        <w:spacing w:after="0"/>
        <w:rPr>
          <w:rFonts w:hAnsi="宋体"/>
        </w:rPr>
      </w:pPr>
    </w:p>
    <w:p w14:paraId="108D8538">
      <w:pPr>
        <w:pStyle w:val="6"/>
        <w:pageBreakBefore w:val="0"/>
        <w:overflowPunct/>
        <w:topLinePunct w:val="0"/>
        <w:bidi w:val="0"/>
        <w:snapToGrid w:val="0"/>
        <w:spacing w:after="0" w:line="360" w:lineRule="auto"/>
        <w:jc w:val="center"/>
        <w:outlineLvl w:val="0"/>
        <w:rPr>
          <w:rFonts w:hAnsi="宋体"/>
          <w:b/>
          <w:bCs/>
          <w:sz w:val="36"/>
          <w:szCs w:val="36"/>
        </w:rPr>
      </w:pPr>
      <w:bookmarkStart w:id="39" w:name="_Toc183959677"/>
      <w:bookmarkStart w:id="40" w:name="_Toc126921756"/>
      <w:r>
        <w:rPr>
          <w:rFonts w:hAnsi="宋体"/>
          <w:b/>
          <w:bCs/>
          <w:sz w:val="36"/>
          <w:szCs w:val="36"/>
        </w:rPr>
        <w:t>第五章   采购需求</w:t>
      </w:r>
      <w:bookmarkEnd w:id="39"/>
      <w:bookmarkEnd w:id="40"/>
    </w:p>
    <w:p w14:paraId="2A743F1C">
      <w:pPr>
        <w:pageBreakBefore w:val="0"/>
        <w:overflowPunct/>
        <w:topLinePunct w:val="0"/>
        <w:bidi w:val="0"/>
        <w:snapToGrid w:val="0"/>
        <w:spacing w:after="0" w:line="360" w:lineRule="auto"/>
        <w:rPr>
          <w:rFonts w:hint="eastAsia" w:ascii="宋体" w:hAnsi="宋体" w:eastAsia="宋体" w:cs="宋体"/>
          <w:b/>
          <w:bCs/>
          <w:color w:val="auto"/>
          <w:sz w:val="24"/>
          <w:szCs w:val="24"/>
        </w:rPr>
      </w:pPr>
      <w:bookmarkStart w:id="41" w:name="OLE_LINK19"/>
      <w:r>
        <w:rPr>
          <w:rFonts w:hint="eastAsia" w:ascii="宋体" w:hAnsi="宋体" w:eastAsia="宋体" w:cs="宋体"/>
          <w:b/>
          <w:bCs/>
          <w:color w:val="auto"/>
          <w:sz w:val="24"/>
          <w:szCs w:val="24"/>
        </w:rPr>
        <w:t>说明：采购需求中标注★号指标为实质性要求，实质性要求任一项不满足的将被作为无效投标否决。★号标注在序号前，指本序号所有内容均为实质性要求；★号标注在段落前，指仅本段落内容为实质性要求。</w:t>
      </w:r>
    </w:p>
    <w:p w14:paraId="1A4A5534">
      <w:pPr>
        <w:pStyle w:val="7"/>
        <w:pageBreakBefore w:val="0"/>
        <w:overflowPunct/>
        <w:topLinePunct w:val="0"/>
        <w:bidi w:val="0"/>
        <w:snapToGrid w:val="0"/>
        <w:spacing w:after="0" w:line="360" w:lineRule="auto"/>
        <w:outlineLvl w:val="1"/>
        <w:rPr>
          <w:rFonts w:hint="eastAsia" w:ascii="宋体" w:hAnsi="宋体" w:cs="宋体"/>
          <w:b/>
          <w:bCs/>
          <w:sz w:val="28"/>
          <w:szCs w:val="28"/>
        </w:rPr>
      </w:pPr>
      <w:bookmarkStart w:id="42" w:name="_Hlk100001247"/>
      <w:bookmarkStart w:id="43" w:name="_Toc96424418"/>
      <w:bookmarkStart w:id="44" w:name="_Toc99931212"/>
      <w:r>
        <w:rPr>
          <w:rFonts w:hint="eastAsia" w:ascii="宋体" w:hAnsi="宋体" w:cs="宋体"/>
          <w:b/>
          <w:bCs/>
          <w:sz w:val="28"/>
          <w:szCs w:val="28"/>
        </w:rPr>
        <w:t>一、采购标的</w:t>
      </w:r>
    </w:p>
    <w:p w14:paraId="3493F88F">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sz w:val="24"/>
          <w:szCs w:val="24"/>
        </w:rPr>
      </w:pPr>
      <w:r>
        <w:rPr>
          <w:rFonts w:hint="eastAsia" w:ascii="宋体" w:hAnsi="宋体" w:eastAsia="宋体" w:cs="宋体"/>
          <w:b/>
          <w:bCs/>
          <w:color w:val="auto"/>
        </w:rPr>
        <w:t>1.标的名称</w:t>
      </w:r>
    </w:p>
    <w:p w14:paraId="17E72E7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北京市南水北调大宁管理处水利工程日常维修养护-水工建筑物维修养护 </w:t>
      </w:r>
    </w:p>
    <w:p w14:paraId="7FCF4D0E">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.标的预算</w:t>
      </w:r>
    </w:p>
    <w:p w14:paraId="556DFF0B">
      <w:pPr>
        <w:pageBreakBefore w:val="0"/>
        <w:overflowPunct/>
        <w:topLinePunct w:val="0"/>
        <w:bidi w:val="0"/>
        <w:snapToGrid w:val="0"/>
        <w:spacing w:after="0" w:line="360" w:lineRule="auto"/>
        <w:ind w:firstLine="480" w:firstLineChars="200"/>
        <w:rPr>
          <w:rFonts w:hint="eastAsia" w:ascii="宋体" w:hAnsi="宋体" w:eastAsia="宋体" w:cs="Arial"/>
          <w:color w:val="auto"/>
          <w:sz w:val="24"/>
          <w:szCs w:val="24"/>
        </w:rPr>
      </w:pPr>
      <w:r>
        <w:rPr>
          <w:rFonts w:hint="eastAsia" w:ascii="宋体" w:hAnsi="宋体" w:eastAsia="宋体" w:cs="Arial"/>
          <w:color w:val="auto"/>
          <w:sz w:val="24"/>
          <w:szCs w:val="24"/>
        </w:rPr>
        <w:t>采购标的预算金额：</w:t>
      </w:r>
      <w:r>
        <w:rPr>
          <w:rFonts w:hint="eastAsia" w:ascii="宋体" w:hAnsi="宋体" w:eastAsia="宋体" w:cs="Arial"/>
          <w:color w:val="auto"/>
          <w:sz w:val="24"/>
          <w:szCs w:val="24"/>
          <w:lang w:val="en-US" w:eastAsia="zh-CN"/>
        </w:rPr>
        <w:t>459.970878</w:t>
      </w:r>
      <w:r>
        <w:rPr>
          <w:rFonts w:hint="eastAsia" w:ascii="宋体" w:hAnsi="宋体" w:eastAsia="宋体" w:cs="Arial"/>
          <w:color w:val="auto"/>
          <w:sz w:val="24"/>
          <w:szCs w:val="24"/>
        </w:rPr>
        <w:t>万元，</w:t>
      </w:r>
      <w:r>
        <w:rPr>
          <w:rFonts w:hint="eastAsia" w:ascii="宋体" w:hAnsi="宋体" w:eastAsia="宋体" w:cs="Arial"/>
          <w:snapToGrid w:val="0"/>
          <w:color w:val="auto"/>
          <w:spacing w:val="0"/>
          <w:kern w:val="0"/>
          <w:sz w:val="24"/>
          <w:szCs w:val="24"/>
          <w:lang w:val="en-US" w:eastAsia="zh-CN"/>
        </w:rPr>
        <w:t>其中水库-泵站工程维修养护、水库-节制闸工程维修养护、水库-橡胶坝工程维修养护、水库-护坡维护、水库-阀井建筑物维护合计报价不得超过58.978211万元，水库-大宁调度中心工程设施运行维护报价不得超过146.543685万元，中堤泵站-场站管理设施维护报价不得超过88.862201</w:t>
      </w:r>
      <w:bookmarkStart w:id="64" w:name="_GoBack"/>
      <w:bookmarkEnd w:id="64"/>
      <w:r>
        <w:rPr>
          <w:rFonts w:hint="eastAsia" w:ascii="宋体" w:hAnsi="宋体" w:eastAsia="宋体" w:cs="Arial"/>
          <w:snapToGrid w:val="0"/>
          <w:color w:val="auto"/>
          <w:spacing w:val="0"/>
          <w:kern w:val="0"/>
          <w:sz w:val="24"/>
          <w:szCs w:val="24"/>
          <w:lang w:val="en-US" w:eastAsia="zh-CN"/>
        </w:rPr>
        <w:t>万元 ，园博泵站-场站管理设施维护报价不得超过165.586781万元。</w:t>
      </w:r>
      <w:r>
        <w:rPr>
          <w:rFonts w:hint="eastAsia" w:ascii="宋体" w:hAnsi="宋体" w:eastAsia="宋体" w:cs="Arial"/>
          <w:color w:val="auto"/>
          <w:sz w:val="24"/>
          <w:szCs w:val="24"/>
        </w:rPr>
        <w:t xml:space="preserve">本预算为2025年1月1日至2025年12月31日的预算费用，甲乙双方按照实际发生并经确认的工作量进行结算。 </w:t>
      </w:r>
    </w:p>
    <w:p w14:paraId="27488371">
      <w:pPr>
        <w:pStyle w:val="42"/>
        <w:pageBreakBefore w:val="0"/>
        <w:overflowPunct/>
        <w:topLinePunct w:val="0"/>
        <w:bidi w:val="0"/>
        <w:snapToGrid w:val="0"/>
        <w:spacing w:after="0" w:line="360" w:lineRule="auto"/>
        <w:ind w:firstLine="0"/>
        <w:rPr>
          <w:rFonts w:hint="eastAsia" w:ascii="宋体" w:hAnsi="宋体" w:eastAsia="宋体" w:cs="宋体"/>
          <w:b/>
          <w:bCs/>
          <w:color w:val="auto"/>
        </w:rPr>
      </w:pPr>
      <w:r>
        <w:rPr>
          <w:rFonts w:hint="eastAsia" w:ascii="宋体" w:hAnsi="宋体" w:eastAsia="宋体" w:cs="宋体"/>
          <w:b/>
          <w:bCs/>
          <w:color w:val="auto"/>
          <w:lang w:val="en-US" w:eastAsia="zh-CN"/>
        </w:rPr>
        <w:t>3</w:t>
      </w:r>
      <w:r>
        <w:rPr>
          <w:rFonts w:hint="eastAsia" w:ascii="宋体" w:hAnsi="宋体" w:eastAsia="宋体" w:cs="宋体"/>
          <w:b/>
          <w:bCs/>
          <w:color w:val="auto"/>
        </w:rPr>
        <w:t xml:space="preserve">.标的所属行业 </w:t>
      </w:r>
    </w:p>
    <w:p w14:paraId="3FB477D1">
      <w:pPr>
        <w:pStyle w:val="42"/>
        <w:pageBreakBefore w:val="0"/>
        <w:overflowPunct/>
        <w:topLinePunct w:val="0"/>
        <w:bidi w:val="0"/>
        <w:snapToGrid w:val="0"/>
        <w:spacing w:after="0" w:line="360" w:lineRule="auto"/>
        <w:ind w:firstLine="560"/>
        <w:rPr>
          <w:rFonts w:hint="eastAsia" w:ascii="宋体" w:hAnsi="宋体" w:eastAsia="宋体" w:cs="Arial"/>
          <w:snapToGrid w:val="0"/>
          <w:color w:val="auto"/>
          <w:sz w:val="24"/>
          <w:szCs w:val="24"/>
          <w:lang w:val="en-US" w:eastAsia="zh-CN" w:bidi="ar-SA"/>
        </w:rPr>
      </w:pPr>
      <w:r>
        <w:rPr>
          <w:rFonts w:hint="eastAsia" w:ascii="宋体" w:hAnsi="宋体" w:eastAsia="宋体" w:cs="Arial"/>
          <w:snapToGrid w:val="0"/>
          <w:color w:val="auto"/>
          <w:sz w:val="24"/>
          <w:szCs w:val="24"/>
          <w:lang w:val="en-US" w:eastAsia="zh-CN" w:bidi="ar-SA"/>
        </w:rPr>
        <w:t>采购标的对应的中小企业划分标准所属行业：其他未列明行业。</w:t>
      </w:r>
    </w:p>
    <w:p w14:paraId="639623A9">
      <w:pPr>
        <w:pStyle w:val="42"/>
        <w:pageBreakBefore w:val="0"/>
        <w:overflowPunct/>
        <w:topLinePunct w:val="0"/>
        <w:bidi w:val="0"/>
        <w:snapToGrid w:val="0"/>
        <w:spacing w:after="0" w:line="360" w:lineRule="auto"/>
        <w:ind w:firstLine="0"/>
        <w:outlineLvl w:val="1"/>
        <w:rPr>
          <w:rFonts w:hint="eastAsia" w:ascii="宋体" w:hAnsi="宋体" w:eastAsia="宋体" w:cs="宋体"/>
          <w:b/>
          <w:bCs/>
          <w:color w:val="auto"/>
          <w:sz w:val="24"/>
          <w:szCs w:val="24"/>
        </w:rPr>
      </w:pPr>
      <w:r>
        <w:rPr>
          <w:rFonts w:hint="eastAsia" w:ascii="宋体" w:hAnsi="宋体" w:eastAsia="宋体" w:cs="宋体"/>
          <w:b/>
          <w:bCs/>
          <w:color w:val="auto"/>
          <w:lang w:val="en-US" w:eastAsia="zh-CN"/>
        </w:rPr>
        <w:t>二</w:t>
      </w:r>
      <w:r>
        <w:rPr>
          <w:rFonts w:hint="eastAsia" w:ascii="宋体" w:hAnsi="宋体" w:eastAsia="宋体" w:cs="宋体"/>
          <w:b/>
          <w:bCs/>
          <w:color w:val="auto"/>
        </w:rPr>
        <w:t>、商务要求</w:t>
      </w:r>
    </w:p>
    <w:p w14:paraId="38C0A1A1">
      <w:pPr>
        <w:keepNext w:val="0"/>
        <w:keepLines w:val="0"/>
        <w:pageBreakBefore w:val="0"/>
        <w:widowControl/>
        <w:numPr>
          <w:ilvl w:val="0"/>
          <w:numId w:val="0"/>
        </w:numPr>
        <w:suppressLineNumbers w:val="0"/>
        <w:overflowPunct/>
        <w:topLinePunct w:val="0"/>
        <w:bidi w:val="0"/>
        <w:snapToGrid w:val="0"/>
        <w:spacing w:after="0"/>
        <w:jc w:val="left"/>
        <w:rPr>
          <w:rFonts w:hint="eastAsia" w:ascii="宋体" w:hAnsi="宋体" w:eastAsia="宋体" w:cs="宋体"/>
          <w:b/>
          <w:bCs/>
          <w:snapToGrid w:val="0"/>
          <w:color w:val="auto"/>
          <w:sz w:val="28"/>
          <w:szCs w:val="28"/>
          <w:lang w:val="en-US" w:eastAsia="zh-CN" w:bidi="ar-SA"/>
        </w:rPr>
      </w:pPr>
      <w:r>
        <w:rPr>
          <w:rFonts w:hint="eastAsia" w:ascii="宋体" w:hAnsi="宋体" w:eastAsia="宋体" w:cs="宋体"/>
          <w:b/>
          <w:bCs/>
          <w:snapToGrid w:val="0"/>
          <w:color w:val="auto"/>
          <w:sz w:val="28"/>
          <w:szCs w:val="28"/>
          <w:lang w:val="en-US" w:eastAsia="zh-CN" w:bidi="ar-SA"/>
        </w:rPr>
        <w:t xml:space="preserve">1. 实施期限和地点 </w:t>
      </w:r>
    </w:p>
    <w:p w14:paraId="25C602C9">
      <w:pPr>
        <w:pStyle w:val="42"/>
        <w:pageBreakBefore w:val="0"/>
        <w:overflowPunct/>
        <w:topLinePunct w:val="0"/>
        <w:bidi w:val="0"/>
        <w:snapToGrid w:val="0"/>
        <w:spacing w:after="0" w:line="360" w:lineRule="auto"/>
        <w:ind w:firstLine="0"/>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（1）实施期限</w:t>
      </w:r>
    </w:p>
    <w:p w14:paraId="77F003AB">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w:t>
      </w:r>
      <w:r>
        <w:rPr>
          <w:rFonts w:hint="eastAsia" w:ascii="宋体" w:hAnsi="宋体" w:eastAsia="宋体" w:cs="宋体"/>
          <w:sz w:val="24"/>
          <w:szCs w:val="24"/>
          <w:lang w:val="en-US" w:eastAsia="zh-CN"/>
        </w:rPr>
        <w:t>5</w:t>
      </w:r>
      <w:r>
        <w:rPr>
          <w:rFonts w:hint="eastAsia" w:ascii="宋体" w:hAnsi="宋体" w:eastAsia="宋体" w:cs="宋体"/>
          <w:sz w:val="24"/>
          <w:szCs w:val="24"/>
        </w:rPr>
        <w:t>年</w:t>
      </w:r>
      <w:r>
        <w:rPr>
          <w:rFonts w:hint="eastAsia" w:ascii="宋体" w:hAnsi="宋体" w:eastAsia="宋体" w:cs="宋体"/>
          <w:sz w:val="24"/>
          <w:szCs w:val="24"/>
          <w:lang w:val="en-US" w:eastAsia="zh-CN"/>
        </w:rPr>
        <w:t>1</w:t>
      </w:r>
      <w:r>
        <w:rPr>
          <w:rFonts w:hint="eastAsia" w:ascii="宋体" w:hAnsi="宋体" w:eastAsia="宋体" w:cs="宋体"/>
          <w:sz w:val="24"/>
          <w:szCs w:val="24"/>
        </w:rPr>
        <w:t>月1日至202</w:t>
      </w:r>
      <w:r>
        <w:rPr>
          <w:rFonts w:hint="eastAsia" w:ascii="宋体" w:hAnsi="宋体" w:eastAsia="宋体" w:cs="宋体"/>
          <w:sz w:val="24"/>
          <w:szCs w:val="24"/>
          <w:lang w:val="en-US" w:eastAsia="zh-CN"/>
        </w:rPr>
        <w:t>5</w:t>
      </w:r>
      <w:r>
        <w:rPr>
          <w:rFonts w:hint="eastAsia" w:ascii="宋体" w:hAnsi="宋体" w:eastAsia="宋体" w:cs="宋体"/>
          <w:sz w:val="24"/>
          <w:szCs w:val="24"/>
        </w:rPr>
        <w:t>年12月31日</w:t>
      </w:r>
      <w:r>
        <w:rPr>
          <w:rFonts w:hint="eastAsia" w:ascii="宋体" w:hAnsi="宋体" w:eastAsia="宋体" w:cs="宋体"/>
          <w:sz w:val="24"/>
          <w:szCs w:val="24"/>
          <w:lang w:eastAsia="zh-CN"/>
        </w:rPr>
        <w:t>，其中202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月1日至本合同签订之日前一日由原服务单位提供服务，本合同签订之日至202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年12月31日由新中选单位提供服务</w:t>
      </w:r>
      <w:r>
        <w:rPr>
          <w:rFonts w:hint="eastAsia" w:ascii="宋体" w:hAnsi="宋体" w:eastAsia="宋体" w:cs="宋体"/>
          <w:sz w:val="24"/>
          <w:szCs w:val="24"/>
        </w:rPr>
        <w:t>。本合同约定的服务期满后，如</w:t>
      </w:r>
      <w:r>
        <w:rPr>
          <w:rFonts w:hint="eastAsia" w:ascii="宋体" w:hAnsi="宋体" w:eastAsia="宋体" w:cs="宋体"/>
          <w:sz w:val="24"/>
          <w:szCs w:val="24"/>
          <w:lang w:eastAsia="zh-CN"/>
        </w:rPr>
        <w:t>采购人</w:t>
      </w:r>
      <w:r>
        <w:rPr>
          <w:rFonts w:hint="eastAsia" w:ascii="宋体" w:hAnsi="宋体" w:eastAsia="宋体" w:cs="宋体"/>
          <w:sz w:val="24"/>
          <w:szCs w:val="24"/>
        </w:rPr>
        <w:t>需要，</w:t>
      </w:r>
      <w:r>
        <w:rPr>
          <w:rFonts w:hint="eastAsia" w:ascii="宋体" w:hAnsi="宋体" w:eastAsia="宋体" w:cs="宋体"/>
          <w:sz w:val="24"/>
          <w:szCs w:val="24"/>
          <w:lang w:eastAsia="zh-CN"/>
        </w:rPr>
        <w:t>供应商</w:t>
      </w:r>
      <w:r>
        <w:rPr>
          <w:rFonts w:hint="eastAsia" w:ascii="宋体" w:hAnsi="宋体" w:eastAsia="宋体" w:cs="宋体"/>
          <w:sz w:val="24"/>
          <w:szCs w:val="24"/>
        </w:rPr>
        <w:t>应继续按照</w:t>
      </w:r>
      <w:r>
        <w:rPr>
          <w:rFonts w:hint="eastAsia" w:ascii="宋体" w:hAnsi="宋体" w:eastAsia="宋体" w:cs="宋体"/>
          <w:sz w:val="24"/>
          <w:szCs w:val="24"/>
          <w:lang w:eastAsia="zh-CN"/>
        </w:rPr>
        <w:t>采购人</w:t>
      </w:r>
      <w:r>
        <w:rPr>
          <w:rFonts w:hint="eastAsia" w:ascii="宋体" w:hAnsi="宋体" w:eastAsia="宋体" w:cs="宋体"/>
          <w:sz w:val="24"/>
          <w:szCs w:val="24"/>
        </w:rPr>
        <w:t>要求延长其服务期限，直至下一年度实施单位进场。延长服务期限的，由甲乙双方协商签订书面补充协议。</w:t>
      </w:r>
    </w:p>
    <w:p w14:paraId="17560678">
      <w:pPr>
        <w:pStyle w:val="42"/>
        <w:pageBreakBefore w:val="0"/>
        <w:numPr>
          <w:ilvl w:val="0"/>
          <w:numId w:val="1"/>
        </w:numPr>
        <w:overflowPunct/>
        <w:topLinePunct w:val="0"/>
        <w:bidi w:val="0"/>
        <w:snapToGrid w:val="0"/>
        <w:spacing w:after="0" w:line="360" w:lineRule="auto"/>
        <w:ind w:firstLine="0"/>
        <w:outlineLvl w:val="2"/>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 xml:space="preserve">实施地点 </w:t>
      </w:r>
    </w:p>
    <w:p w14:paraId="0EB4FC2B">
      <w:pPr>
        <w:pStyle w:val="42"/>
        <w:pageBreakBefore w:val="0"/>
        <w:numPr>
          <w:ilvl w:val="0"/>
          <w:numId w:val="0"/>
        </w:numPr>
        <w:overflowPunct/>
        <w:topLinePunct w:val="0"/>
        <w:bidi w:val="0"/>
        <w:snapToGrid w:val="0"/>
        <w:spacing w:after="0" w:line="360" w:lineRule="auto"/>
        <w:ind w:firstLine="480" w:firstLineChars="200"/>
        <w:outlineLvl w:val="2"/>
        <w:rPr>
          <w:color w:val="000000"/>
          <w:sz w:val="24"/>
          <w:szCs w:val="24"/>
        </w:rPr>
      </w:pPr>
      <w:r>
        <w:rPr>
          <w:rFonts w:hint="eastAsia" w:ascii="宋体" w:hAnsi="宋体" w:eastAsia="宋体" w:cs="宋体"/>
          <w:sz w:val="24"/>
          <w:szCs w:val="24"/>
        </w:rPr>
        <w:t>北京市丰台区</w:t>
      </w:r>
      <w:r>
        <w:rPr>
          <w:rFonts w:hint="eastAsia" w:ascii="宋体" w:hAnsi="宋体" w:eastAsia="宋体" w:cs="宋体"/>
          <w:sz w:val="24"/>
          <w:szCs w:val="24"/>
          <w:lang w:eastAsia="zh-CN"/>
        </w:rPr>
        <w:t>、</w:t>
      </w:r>
      <w:r>
        <w:rPr>
          <w:rFonts w:hint="eastAsia" w:ascii="宋体" w:hAnsi="宋体" w:eastAsia="宋体" w:cs="宋体"/>
          <w:sz w:val="24"/>
          <w:szCs w:val="24"/>
        </w:rPr>
        <w:t>房山区</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门头沟区</w:t>
      </w:r>
      <w:r>
        <w:rPr>
          <w:rFonts w:hint="eastAsia" w:ascii="宋体" w:hAnsi="宋体" w:eastAsia="宋体" w:cs="宋体"/>
          <w:sz w:val="24"/>
          <w:szCs w:val="24"/>
          <w:lang w:eastAsia="zh-CN"/>
        </w:rPr>
        <w:t>采购人分支机构北京市南水北调大宁管理处</w:t>
      </w:r>
      <w:r>
        <w:rPr>
          <w:rFonts w:hint="eastAsia" w:ascii="宋体" w:hAnsi="宋体" w:eastAsia="宋体" w:cs="宋体"/>
          <w:sz w:val="24"/>
          <w:szCs w:val="24"/>
        </w:rPr>
        <w:t>所辖范围。</w:t>
      </w:r>
    </w:p>
    <w:p w14:paraId="185BE7EE">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rPr>
      </w:pPr>
      <w:r>
        <w:rPr>
          <w:rFonts w:hint="eastAsia" w:ascii="宋体" w:hAnsi="宋体" w:eastAsia="宋体" w:cs="宋体"/>
          <w:b/>
          <w:bCs/>
          <w:color w:val="auto"/>
          <w:lang w:val="en-US" w:eastAsia="zh-CN"/>
        </w:rPr>
        <w:t>2</w:t>
      </w:r>
      <w:r>
        <w:rPr>
          <w:rFonts w:hint="eastAsia" w:ascii="宋体" w:hAnsi="宋体" w:eastAsia="宋体" w:cs="宋体"/>
          <w:b/>
          <w:bCs/>
          <w:color w:val="auto"/>
        </w:rPr>
        <w:t>.</w:t>
      </w:r>
      <w:r>
        <w:rPr>
          <w:rFonts w:hint="eastAsia" w:ascii="宋体" w:hAnsi="宋体" w:eastAsia="宋体" w:cs="宋体"/>
          <w:b/>
          <w:bCs/>
          <w:color w:val="auto"/>
          <w:lang w:val="en-US" w:eastAsia="zh-CN"/>
        </w:rPr>
        <w:t>付款条件</w:t>
      </w:r>
      <w:r>
        <w:rPr>
          <w:rFonts w:hint="eastAsia" w:ascii="宋体" w:hAnsi="宋体" w:eastAsia="宋体" w:cs="宋体"/>
          <w:b/>
          <w:bCs/>
          <w:color w:val="auto"/>
        </w:rPr>
        <w:t xml:space="preserve"> </w:t>
      </w:r>
    </w:p>
    <w:p w14:paraId="5D35B4E0">
      <w:pPr>
        <w:pStyle w:val="42"/>
        <w:pageBreakBefore w:val="0"/>
        <w:overflowPunct/>
        <w:topLinePunct w:val="0"/>
        <w:bidi w:val="0"/>
        <w:snapToGrid w:val="0"/>
        <w:spacing w:after="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合同类型及定价方式</w:t>
      </w:r>
    </w:p>
    <w:p w14:paraId="0733D16E">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合同类型</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委托</w:t>
      </w:r>
      <w:r>
        <w:rPr>
          <w:rFonts w:hint="eastAsia" w:ascii="宋体" w:hAnsi="宋体" w:eastAsia="宋体" w:cs="宋体"/>
          <w:color w:val="auto"/>
          <w:sz w:val="24"/>
          <w:szCs w:val="24"/>
        </w:rPr>
        <w:t>合同</w:t>
      </w:r>
    </w:p>
    <w:p w14:paraId="77237B93">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定价方式：</w:t>
      </w:r>
      <w:r>
        <w:rPr>
          <w:rFonts w:hint="eastAsia" w:ascii="宋体" w:hAnsi="宋体" w:eastAsia="宋体" w:cs="宋体"/>
          <w:sz w:val="24"/>
          <w:szCs w:val="24"/>
          <w:lang w:val="en-US" w:eastAsia="zh-CN"/>
        </w:rPr>
        <w:t>采购人按照供应商在本合同服务期内经采购人确认的实际工作量以及实际工作的考核情况结算，如经采购人考核供应商提供的服务不符合本合同约定的，</w:t>
      </w:r>
      <w:r>
        <w:rPr>
          <w:rFonts w:hint="eastAsia" w:ascii="宋体" w:hAnsi="宋体" w:eastAsia="宋体" w:cs="宋体"/>
          <w:sz w:val="24"/>
          <w:szCs w:val="24"/>
          <w:lang w:eastAsia="zh-CN"/>
        </w:rPr>
        <w:t>采购人有权在支付费用时扣除</w:t>
      </w:r>
      <w:r>
        <w:rPr>
          <w:rFonts w:hint="eastAsia" w:ascii="宋体" w:hAnsi="宋体" w:eastAsia="宋体" w:cs="宋体"/>
          <w:sz w:val="24"/>
          <w:szCs w:val="24"/>
          <w:lang w:val="en-US" w:eastAsia="zh-CN"/>
        </w:rPr>
        <w:t>扣款、</w:t>
      </w:r>
      <w:r>
        <w:rPr>
          <w:rFonts w:hint="eastAsia" w:ascii="宋体" w:hAnsi="宋体" w:eastAsia="宋体" w:cs="宋体"/>
          <w:sz w:val="24"/>
          <w:szCs w:val="24"/>
          <w:lang w:eastAsia="zh-CN"/>
        </w:rPr>
        <w:t>罚款、</w:t>
      </w:r>
      <w:r>
        <w:rPr>
          <w:rFonts w:hint="eastAsia" w:ascii="宋体" w:hAnsi="宋体" w:eastAsia="宋体" w:cs="宋体"/>
          <w:sz w:val="24"/>
          <w:szCs w:val="24"/>
          <w:lang w:val="en-US" w:eastAsia="zh-CN"/>
        </w:rPr>
        <w:t>违约金及采购人损失等相应款项</w:t>
      </w:r>
      <w:r>
        <w:rPr>
          <w:rFonts w:hint="eastAsia" w:ascii="宋体" w:hAnsi="宋体" w:eastAsia="宋体" w:cs="宋体"/>
          <w:sz w:val="24"/>
          <w:szCs w:val="24"/>
          <w:lang w:eastAsia="zh-CN"/>
        </w:rPr>
        <w:t>。</w:t>
      </w:r>
    </w:p>
    <w:p w14:paraId="692E7C5B">
      <w:pPr>
        <w:pStyle w:val="42"/>
        <w:pageBreakBefore w:val="0"/>
        <w:overflowPunct/>
        <w:topLinePunct w:val="0"/>
        <w:bidi w:val="0"/>
        <w:snapToGrid w:val="0"/>
        <w:spacing w:after="0" w:line="360" w:lineRule="auto"/>
        <w:ind w:firstLine="480" w:firstLineChars="200"/>
        <w:rPr>
          <w:rFonts w:hint="eastAsia" w:ascii="宋体" w:hAnsi="宋体" w:eastAsia="宋体" w:cs="宋体"/>
          <w:color w:val="000000"/>
          <w:sz w:val="24"/>
        </w:rPr>
      </w:pPr>
      <w:r>
        <w:rPr>
          <w:rFonts w:hint="eastAsia" w:ascii="宋体" w:hAnsi="宋体" w:eastAsia="宋体" w:cs="宋体"/>
          <w:sz w:val="24"/>
          <w:szCs w:val="24"/>
        </w:rPr>
        <w:t>合同价款为含税</w:t>
      </w:r>
      <w:r>
        <w:rPr>
          <w:rFonts w:hint="eastAsia" w:ascii="宋体" w:hAnsi="宋体" w:eastAsia="宋体" w:cs="宋体"/>
          <w:sz w:val="24"/>
          <w:szCs w:val="24"/>
          <w:lang w:val="zh-CN"/>
        </w:rPr>
        <w:t>价，已包含了供应商履行本合同所必需的所有费用，该总价包括但不限于供应商履行本合同所需的人工费、材料费、水电费、设备购置或租用费、运输费、措施费、综合管理费、保险费、利润和各种税费等，同</w:t>
      </w:r>
      <w:r>
        <w:rPr>
          <w:rFonts w:hint="eastAsia" w:ascii="宋体" w:hAnsi="宋体" w:eastAsia="宋体" w:cs="宋体"/>
          <w:sz w:val="24"/>
          <w:szCs w:val="24"/>
        </w:rPr>
        <w:t>时还包括人工、养护用料、水、电涨价在内的各种影响养护实施成本的风险费用；</w:t>
      </w:r>
    </w:p>
    <w:p w14:paraId="21E0A78B">
      <w:pPr>
        <w:pStyle w:val="42"/>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履约保证金金额：</w:t>
      </w:r>
      <w:r>
        <w:rPr>
          <w:rFonts w:hint="eastAsia" w:ascii="宋体" w:hAnsi="宋体" w:eastAsia="宋体" w:cs="宋体"/>
          <w:sz w:val="24"/>
          <w:szCs w:val="24"/>
          <w:lang w:eastAsia="zh-CN"/>
        </w:rPr>
        <w:t>供应商</w:t>
      </w:r>
      <w:r>
        <w:rPr>
          <w:rFonts w:hint="eastAsia" w:ascii="宋体" w:hAnsi="宋体" w:eastAsia="宋体" w:cs="宋体"/>
          <w:sz w:val="24"/>
          <w:szCs w:val="24"/>
        </w:rPr>
        <w:t>应自合同签订日后15</w:t>
      </w:r>
      <w:r>
        <w:rPr>
          <w:rFonts w:hint="eastAsia" w:ascii="宋体" w:hAnsi="宋体" w:eastAsia="宋体" w:cs="宋体"/>
          <w:sz w:val="24"/>
          <w:szCs w:val="24"/>
          <w:lang w:eastAsia="zh-CN"/>
        </w:rPr>
        <w:t>个工作日</w:t>
      </w:r>
      <w:r>
        <w:rPr>
          <w:rFonts w:hint="eastAsia" w:ascii="宋体" w:hAnsi="宋体" w:eastAsia="宋体" w:cs="宋体"/>
          <w:sz w:val="24"/>
          <w:szCs w:val="24"/>
        </w:rPr>
        <w:t>日内向</w:t>
      </w:r>
      <w:r>
        <w:rPr>
          <w:rFonts w:hint="eastAsia" w:ascii="宋体" w:hAnsi="宋体" w:eastAsia="宋体" w:cs="宋体"/>
          <w:sz w:val="24"/>
          <w:szCs w:val="24"/>
          <w:lang w:eastAsia="zh-CN"/>
        </w:rPr>
        <w:t>采购人</w:t>
      </w:r>
      <w:r>
        <w:rPr>
          <w:rFonts w:hint="eastAsia" w:ascii="宋体" w:hAnsi="宋体" w:eastAsia="宋体" w:cs="宋体"/>
          <w:sz w:val="24"/>
          <w:szCs w:val="24"/>
        </w:rPr>
        <w:t>支付本合同总价的10%作为履约保证金。</w:t>
      </w:r>
    </w:p>
    <w:p w14:paraId="665BE5F6">
      <w:pPr>
        <w:pStyle w:val="42"/>
        <w:pageBreakBefore w:val="0"/>
        <w:numPr>
          <w:ilvl w:val="0"/>
          <w:numId w:val="0"/>
        </w:numPr>
        <w:overflowPunct/>
        <w:topLinePunct w:val="0"/>
        <w:bidi w:val="0"/>
        <w:snapToGrid w:val="0"/>
        <w:spacing w:after="0" w:line="360" w:lineRule="auto"/>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付款进度：</w:t>
      </w:r>
    </w:p>
    <w:p w14:paraId="64C58174">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合同价款1：2025年1月1日至合同签订前一日的合同价款</w:t>
      </w:r>
      <w:r>
        <w:rPr>
          <w:rFonts w:hint="eastAsia" w:ascii="宋体" w:hAnsi="宋体" w:eastAsia="宋体" w:cs="宋体"/>
          <w:color w:val="auto"/>
          <w:sz w:val="24"/>
          <w:szCs w:val="24"/>
          <w:lang w:eastAsia="zh-CN"/>
        </w:rPr>
        <w:t>：本合同生效且财政资金到位后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日内，</w:t>
      </w:r>
      <w:r>
        <w:rPr>
          <w:rFonts w:hint="eastAsia" w:ascii="宋体" w:hAnsi="宋体" w:eastAsia="宋体" w:cs="宋体"/>
          <w:color w:val="auto"/>
          <w:sz w:val="24"/>
          <w:szCs w:val="24"/>
          <w:lang w:val="en-US" w:eastAsia="zh-CN"/>
        </w:rPr>
        <w:t>由采购人按本合同单价和经采购人确认的实际工作量支付给原服务单位。</w:t>
      </w:r>
    </w:p>
    <w:p w14:paraId="23770B08">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合同价款2：合同签订之日至2025年12月31日的合同价款。</w:t>
      </w:r>
    </w:p>
    <w:p w14:paraId="1E2F96D0">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本合同生效且财政资金到位后</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日内，</w:t>
      </w:r>
      <w:r>
        <w:rPr>
          <w:rFonts w:hint="eastAsia" w:ascii="宋体" w:hAnsi="宋体" w:eastAsia="宋体" w:cs="宋体"/>
          <w:color w:val="auto"/>
          <w:sz w:val="24"/>
          <w:szCs w:val="24"/>
          <w:lang w:val="en-US" w:eastAsia="zh-CN"/>
        </w:rPr>
        <w:t>采购人向供应商支付合同总价的50%扣除合同价款1后的金额</w:t>
      </w:r>
      <w:r>
        <w:rPr>
          <w:rFonts w:hint="eastAsia" w:ascii="宋体" w:hAnsi="宋体" w:eastAsia="宋体" w:cs="宋体"/>
          <w:color w:val="auto"/>
          <w:sz w:val="24"/>
          <w:szCs w:val="24"/>
          <w:lang w:eastAsia="zh-CN"/>
        </w:rPr>
        <w:t>。</w:t>
      </w:r>
    </w:p>
    <w:p w14:paraId="57A4F84A">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2025年6</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p>
    <w:p w14:paraId="53DF8D53">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2025年9</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lang w:eastAsia="zh-CN"/>
        </w:rPr>
        <w:t>%。</w:t>
      </w:r>
    </w:p>
    <w:p w14:paraId="7F994251">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2025年11</w:t>
      </w:r>
      <w:r>
        <w:rPr>
          <w:rFonts w:hint="eastAsia" w:ascii="宋体" w:hAnsi="宋体" w:eastAsia="宋体" w:cs="宋体"/>
          <w:color w:val="auto"/>
          <w:sz w:val="24"/>
          <w:szCs w:val="24"/>
          <w:lang w:eastAsia="zh-CN"/>
        </w:rPr>
        <w:t>月</w:t>
      </w:r>
      <w:r>
        <w:rPr>
          <w:rFonts w:hint="eastAsia" w:ascii="宋体" w:hAnsi="宋体" w:eastAsia="宋体" w:cs="宋体"/>
          <w:color w:val="auto"/>
          <w:sz w:val="24"/>
          <w:szCs w:val="24"/>
          <w:lang w:val="en-US" w:eastAsia="zh-CN"/>
        </w:rPr>
        <w:t>30</w:t>
      </w:r>
      <w:r>
        <w:rPr>
          <w:rFonts w:hint="eastAsia" w:ascii="宋体" w:hAnsi="宋体" w:eastAsia="宋体" w:cs="宋体"/>
          <w:color w:val="auto"/>
          <w:sz w:val="24"/>
          <w:szCs w:val="24"/>
          <w:lang w:eastAsia="zh-CN"/>
        </w:rPr>
        <w:t>日前采购人向供应商支付合同总价的</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w:t>
      </w:r>
    </w:p>
    <w:p w14:paraId="2405120C">
      <w:pPr>
        <w:pStyle w:val="42"/>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采购人支付进度有可能根据实际情况进行调整。</w:t>
      </w:r>
    </w:p>
    <w:p w14:paraId="09602A87">
      <w:pPr>
        <w:pStyle w:val="42"/>
        <w:pageBreakBefore w:val="0"/>
        <w:overflowPunct/>
        <w:topLinePunct w:val="0"/>
        <w:bidi w:val="0"/>
        <w:snapToGrid w:val="0"/>
        <w:spacing w:after="0" w:line="360" w:lineRule="auto"/>
        <w:ind w:left="0" w:leftChars="0" w:firstLine="0" w:firstLineChars="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付款方式：以电汇或银行支票为主要付款方式，并以电汇为首选支付方式。</w:t>
      </w:r>
    </w:p>
    <w:p w14:paraId="3CF68CA5">
      <w:pPr>
        <w:pStyle w:val="7"/>
        <w:pageBreakBefore w:val="0"/>
        <w:overflowPunct/>
        <w:topLinePunct w:val="0"/>
        <w:bidi w:val="0"/>
        <w:snapToGrid w:val="0"/>
        <w:spacing w:after="0" w:line="360" w:lineRule="auto"/>
        <w:outlineLvl w:val="1"/>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）付款时间：</w:t>
      </w:r>
      <w:r>
        <w:rPr>
          <w:rFonts w:hint="eastAsia" w:ascii="宋体" w:hAnsi="宋体" w:cs="宋体"/>
          <w:sz w:val="24"/>
          <w:szCs w:val="24"/>
          <w:lang w:eastAsia="zh-CN"/>
        </w:rPr>
        <w:t>供应商</w:t>
      </w:r>
      <w:r>
        <w:rPr>
          <w:rFonts w:hint="eastAsia" w:ascii="宋体" w:hAnsi="宋体" w:eastAsia="宋体" w:cs="宋体"/>
          <w:sz w:val="24"/>
          <w:szCs w:val="24"/>
          <w:lang w:eastAsia="zh-CN"/>
        </w:rPr>
        <w:t>按照采购人要求提供完整支付文件，</w:t>
      </w:r>
      <w:r>
        <w:rPr>
          <w:rFonts w:hint="eastAsia" w:ascii="宋体" w:hAnsi="宋体" w:cs="宋体"/>
          <w:sz w:val="24"/>
          <w:szCs w:val="24"/>
          <w:lang w:eastAsia="zh-CN"/>
        </w:rPr>
        <w:t>采购人</w:t>
      </w:r>
      <w:r>
        <w:rPr>
          <w:rFonts w:hint="eastAsia" w:ascii="宋体" w:hAnsi="宋体" w:eastAsia="宋体" w:cs="宋体"/>
          <w:sz w:val="24"/>
          <w:szCs w:val="24"/>
          <w:lang w:eastAsia="zh-CN"/>
        </w:rPr>
        <w:t>收到上述文件后原则上1</w:t>
      </w:r>
      <w:r>
        <w:rPr>
          <w:rFonts w:hint="eastAsia" w:ascii="宋体" w:hAnsi="宋体" w:eastAsia="宋体" w:cs="宋体"/>
          <w:sz w:val="24"/>
          <w:szCs w:val="24"/>
          <w:lang w:val="en-US" w:eastAsia="zh-CN"/>
        </w:rPr>
        <w:t>0个工作</w:t>
      </w:r>
      <w:r>
        <w:rPr>
          <w:rFonts w:hint="eastAsia" w:ascii="宋体" w:hAnsi="宋体" w:eastAsia="宋体" w:cs="宋体"/>
          <w:sz w:val="24"/>
          <w:szCs w:val="24"/>
          <w:lang w:eastAsia="zh-CN"/>
        </w:rPr>
        <w:t>日内将款项支付给</w:t>
      </w:r>
      <w:r>
        <w:rPr>
          <w:rFonts w:hint="eastAsia" w:ascii="宋体" w:hAnsi="宋体" w:cs="宋体"/>
          <w:sz w:val="24"/>
          <w:szCs w:val="24"/>
          <w:lang w:eastAsia="zh-CN"/>
        </w:rPr>
        <w:t>供应商</w:t>
      </w:r>
      <w:r>
        <w:rPr>
          <w:rFonts w:hint="eastAsia" w:ascii="宋体" w:hAnsi="宋体" w:eastAsia="宋体" w:cs="宋体"/>
          <w:sz w:val="24"/>
          <w:szCs w:val="24"/>
          <w:lang w:eastAsia="zh-CN"/>
        </w:rPr>
        <w:t>。</w:t>
      </w:r>
    </w:p>
    <w:p w14:paraId="59BD89CA">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3.售后服务（质保期）</w:t>
      </w:r>
    </w:p>
    <w:p w14:paraId="268907E6">
      <w:pPr>
        <w:pStyle w:val="42"/>
        <w:pageBreakBefore w:val="0"/>
        <w:overflowPunct/>
        <w:topLinePunct w:val="0"/>
        <w:bidi w:val="0"/>
        <w:snapToGrid w:val="0"/>
        <w:spacing w:after="0" w:line="360" w:lineRule="auto"/>
        <w:ind w:left="0" w:leftChars="0"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本项目不涉及售后服务（质保期），项目完成后，供应商应免费提供后续项目考核、相关检查、审计配合工作。</w:t>
      </w:r>
    </w:p>
    <w:p w14:paraId="77846722">
      <w:pPr>
        <w:pStyle w:val="7"/>
        <w:pageBreakBefore w:val="0"/>
        <w:overflowPunct/>
        <w:topLinePunct w:val="0"/>
        <w:bidi w:val="0"/>
        <w:snapToGrid w:val="0"/>
        <w:spacing w:after="0" w:line="360" w:lineRule="auto"/>
        <w:outlineLvl w:val="1"/>
        <w:rPr>
          <w:rFonts w:hint="eastAsia" w:ascii="宋体" w:hAnsi="宋体" w:cs="宋体"/>
          <w:b/>
          <w:bCs/>
          <w:sz w:val="28"/>
          <w:szCs w:val="28"/>
        </w:rPr>
      </w:pPr>
      <w:r>
        <w:rPr>
          <w:rFonts w:hint="eastAsia" w:ascii="宋体" w:hAnsi="宋体" w:cs="宋体"/>
          <w:b/>
          <w:bCs/>
          <w:sz w:val="28"/>
          <w:szCs w:val="28"/>
          <w:lang w:val="en-US" w:eastAsia="zh-CN"/>
        </w:rPr>
        <w:t>三</w:t>
      </w:r>
      <w:r>
        <w:rPr>
          <w:rFonts w:hint="eastAsia" w:ascii="宋体" w:hAnsi="宋体" w:cs="宋体"/>
          <w:b/>
          <w:bCs/>
          <w:sz w:val="28"/>
          <w:szCs w:val="28"/>
        </w:rPr>
        <w:t>、技术要求</w:t>
      </w:r>
    </w:p>
    <w:bookmarkEnd w:id="42"/>
    <w:bookmarkEnd w:id="43"/>
    <w:bookmarkEnd w:id="44"/>
    <w:p w14:paraId="4BE0724C">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1. 基本要求 </w:t>
      </w:r>
    </w:p>
    <w:p w14:paraId="7E4C6145">
      <w:pPr>
        <w:keepNext w:val="0"/>
        <w:keepLines w:val="0"/>
        <w:pageBreakBefore w:val="0"/>
        <w:widowControl/>
        <w:numPr>
          <w:ilvl w:val="0"/>
          <w:numId w:val="0"/>
        </w:numPr>
        <w:suppressLineNumbers w:val="0"/>
        <w:kinsoku/>
        <w:overflowPunct/>
        <w:topLinePunct w:val="0"/>
        <w:autoSpaceDE/>
        <w:autoSpaceDN/>
        <w:bidi w:val="0"/>
        <w:adjustRightInd/>
        <w:snapToGrid w:val="0"/>
        <w:spacing w:after="0" w:line="240" w:lineRule="auto"/>
        <w:jc w:val="left"/>
        <w:textAlignment w:val="auto"/>
        <w:outlineLvl w:val="2"/>
        <w:rPr>
          <w:rFonts w:hint="eastAsia" w:ascii="宋体" w:hAnsi="宋体" w:eastAsia="宋体" w:cs="宋体"/>
          <w:snapToGrid/>
          <w:kern w:val="0"/>
          <w:sz w:val="24"/>
          <w:szCs w:val="24"/>
          <w:lang w:val="en-US" w:eastAsia="zh-CN" w:bidi="ar"/>
        </w:rPr>
      </w:pPr>
      <w:r>
        <w:rPr>
          <w:rFonts w:hint="eastAsia" w:ascii="宋体" w:hAnsi="宋体" w:eastAsia="宋体" w:cs="宋体"/>
          <w:snapToGrid/>
          <w:kern w:val="0"/>
          <w:sz w:val="24"/>
          <w:szCs w:val="24"/>
          <w:lang w:val="en-US" w:eastAsia="zh-CN" w:bidi="ar"/>
        </w:rPr>
        <w:t xml:space="preserve">（1）采购标的需实现的功能或者目标 </w:t>
      </w:r>
    </w:p>
    <w:p w14:paraId="4A28BD3E">
      <w:pPr>
        <w:pageBreakBefore w:val="0"/>
        <w:widowControl w:val="0"/>
        <w:overflowPunct/>
        <w:topLinePunct w:val="0"/>
        <w:bidi w:val="0"/>
        <w:snapToGrid w:val="0"/>
        <w:spacing w:after="0" w:line="360" w:lineRule="auto"/>
        <w:ind w:firstLine="480" w:firstLineChars="20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保障大宁调蓄水库工程，河西支线工程、</w:t>
      </w:r>
      <w:r>
        <w:rPr>
          <w:rFonts w:hint="eastAsia" w:ascii="宋体" w:hAnsi="宋体" w:eastAsia="宋体" w:cs="宋体"/>
          <w:color w:val="auto"/>
          <w:kern w:val="2"/>
          <w:sz w:val="24"/>
          <w:szCs w:val="24"/>
          <w:highlight w:val="none"/>
          <w:lang w:val="en-US" w:eastAsia="zh-CN" w:bidi="ar-SA"/>
        </w:rPr>
        <w:t>大宁调度中心</w:t>
      </w:r>
      <w:r>
        <w:rPr>
          <w:rFonts w:hint="eastAsia" w:ascii="宋体" w:hAnsi="宋体" w:eastAsia="宋体" w:cs="宋体"/>
          <w:color w:val="auto"/>
          <w:kern w:val="2"/>
          <w:sz w:val="24"/>
          <w:szCs w:val="24"/>
          <w:lang w:val="en-US" w:eastAsia="zh-CN" w:bidi="ar-SA"/>
        </w:rPr>
        <w:t>的水工建筑物和工程设施正常安全运行，包括水工建筑物的运行检查、缺陷处理和日常维护养护。</w:t>
      </w:r>
    </w:p>
    <w:p w14:paraId="7DC12D8F">
      <w:pPr>
        <w:keepNext w:val="0"/>
        <w:keepLines w:val="0"/>
        <w:pageBreakBefore w:val="0"/>
        <w:widowControl/>
        <w:numPr>
          <w:ilvl w:val="0"/>
          <w:numId w:val="2"/>
        </w:numPr>
        <w:suppressLineNumbers w:val="0"/>
        <w:kinsoku/>
        <w:overflowPunct/>
        <w:topLinePunct w:val="0"/>
        <w:autoSpaceDE/>
        <w:autoSpaceDN/>
        <w:bidi w:val="0"/>
        <w:adjustRightInd/>
        <w:snapToGrid w:val="0"/>
        <w:spacing w:after="0" w:line="360" w:lineRule="auto"/>
        <w:jc w:val="left"/>
        <w:textAlignment w:val="auto"/>
        <w:outlineLvl w:val="2"/>
        <w:rPr>
          <w:rFonts w:hint="eastAsia" w:ascii="宋体" w:hAnsi="宋体" w:eastAsia="宋体" w:cs="宋体"/>
          <w:snapToGrid/>
          <w:kern w:val="2"/>
          <w:sz w:val="24"/>
          <w:szCs w:val="24"/>
          <w:lang w:eastAsia="zh-CN"/>
        </w:rPr>
      </w:pPr>
      <w:r>
        <w:rPr>
          <w:rFonts w:hint="eastAsia" w:ascii="宋体" w:hAnsi="宋体" w:eastAsia="宋体" w:cs="宋体"/>
          <w:snapToGrid/>
          <w:kern w:val="0"/>
          <w:sz w:val="24"/>
          <w:szCs w:val="24"/>
          <w:lang w:val="en-US" w:eastAsia="zh-CN" w:bidi="ar"/>
        </w:rPr>
        <w:t>需执行的国家相关标准、行业标准、地方标准或者其他标准、规范</w:t>
      </w:r>
      <w:r>
        <w:rPr>
          <w:rFonts w:hint="eastAsia" w:ascii="宋体" w:hAnsi="宋体" w:eastAsia="宋体" w:cs="宋体"/>
          <w:snapToGrid/>
          <w:kern w:val="2"/>
          <w:sz w:val="24"/>
          <w:szCs w:val="24"/>
          <w:lang w:eastAsia="zh-CN"/>
        </w:rPr>
        <w:t>参照</w:t>
      </w:r>
      <w:r>
        <w:rPr>
          <w:rFonts w:hint="eastAsia" w:ascii="宋体" w:hAnsi="宋体" w:eastAsia="宋体" w:cs="宋体"/>
          <w:snapToGrid/>
          <w:kern w:val="2"/>
          <w:sz w:val="24"/>
          <w:szCs w:val="24"/>
          <w:lang w:val="en-US" w:eastAsia="zh-CN"/>
        </w:rPr>
        <w:t>南水北调中线干线工程建设管理局《橡胶坝技术规范》SL227-1998、《水闸技术管理规程》SL75-201、《建筑消防设施的维护管理》GB25201-2010、土石坝《建筑设计防火规范》GB50016等相关文件及其他地区行业现行标准、设备说明、厂家说明等执行，保证建筑工程完好、各种设备设施正常使用。</w:t>
      </w:r>
    </w:p>
    <w:p w14:paraId="05A22209">
      <w:pPr>
        <w:pageBreakBefore w:val="0"/>
        <w:overflowPunct/>
        <w:topLinePunct w:val="0"/>
        <w:bidi w:val="0"/>
        <w:snapToGrid w:val="0"/>
        <w:spacing w:after="0" w:line="460" w:lineRule="exact"/>
        <w:ind w:firstLine="480" w:firstLineChars="200"/>
        <w:jc w:val="left"/>
        <w:rPr>
          <w:rFonts w:hint="default" w:ascii="Calibri" w:hAnsi="Calibri" w:eastAsia="宋体" w:cs="Times New Roman"/>
          <w:color w:val="auto"/>
          <w:kern w:val="2"/>
          <w:sz w:val="21"/>
          <w:szCs w:val="24"/>
          <w:highlight w:val="none"/>
          <w:lang w:val="en-US" w:eastAsia="zh-CN" w:bidi="ar-SA"/>
        </w:rPr>
      </w:pPr>
      <w:r>
        <w:rPr>
          <w:rFonts w:hint="eastAsia" w:ascii="宋体" w:hAnsi="宋体" w:eastAsia="宋体" w:cs="宋体"/>
          <w:snapToGrid/>
          <w:color w:val="auto"/>
          <w:kern w:val="2"/>
          <w:sz w:val="24"/>
          <w:szCs w:val="24"/>
          <w:highlight w:val="none"/>
          <w:lang w:eastAsia="zh-CN"/>
        </w:rPr>
        <w:t>在本合同履行期间，如政府相关管理部门发布新的管理规定或标准，且该规定或标准高于本合同约定的规定或标准的，供应商应按照新的规定和标准履行相应的义务。</w:t>
      </w:r>
      <w:r>
        <w:rPr>
          <w:rFonts w:hint="eastAsia" w:ascii="宋体" w:hAnsi="宋体" w:eastAsia="宋体" w:cs="宋体"/>
          <w:b/>
          <w:bCs/>
          <w:color w:val="auto"/>
          <w:sz w:val="24"/>
          <w:szCs w:val="24"/>
          <w:highlight w:val="none"/>
          <w:lang w:eastAsia="zh-CN"/>
        </w:rPr>
        <w:t>合同履行期间，如采购人新制定或更新了</w:t>
      </w:r>
      <w:r>
        <w:rPr>
          <w:rFonts w:hint="eastAsia" w:ascii="宋体" w:hAnsi="宋体" w:eastAsia="宋体" w:cs="宋体"/>
          <w:b/>
          <w:bCs/>
          <w:color w:val="auto"/>
          <w:sz w:val="24"/>
          <w:szCs w:val="24"/>
          <w:highlight w:val="none"/>
          <w:lang w:val="en-US" w:eastAsia="zh-CN"/>
        </w:rPr>
        <w:t>项目相关</w:t>
      </w:r>
      <w:r>
        <w:rPr>
          <w:rFonts w:hint="eastAsia" w:ascii="宋体" w:hAnsi="宋体" w:eastAsia="宋体" w:cs="宋体"/>
          <w:b/>
          <w:bCs/>
          <w:color w:val="auto"/>
          <w:sz w:val="24"/>
          <w:szCs w:val="24"/>
          <w:highlight w:val="none"/>
          <w:lang w:eastAsia="zh-CN"/>
        </w:rPr>
        <w:t>技术标准、维护标准、考核办法、应急预案等，供应商应遵照</w:t>
      </w:r>
      <w:r>
        <w:rPr>
          <w:rFonts w:hint="eastAsia" w:ascii="宋体" w:hAnsi="宋体" w:eastAsia="宋体" w:cs="宋体"/>
          <w:b/>
          <w:bCs/>
          <w:color w:val="auto"/>
          <w:sz w:val="24"/>
          <w:szCs w:val="24"/>
          <w:highlight w:val="none"/>
          <w:lang w:val="en-US" w:eastAsia="zh-CN"/>
        </w:rPr>
        <w:t>新制定或更新后</w:t>
      </w:r>
      <w:r>
        <w:rPr>
          <w:rFonts w:hint="eastAsia" w:ascii="宋体" w:hAnsi="宋体" w:eastAsia="宋体" w:cs="宋体"/>
          <w:b/>
          <w:bCs/>
          <w:color w:val="auto"/>
          <w:sz w:val="24"/>
          <w:szCs w:val="24"/>
          <w:highlight w:val="none"/>
          <w:lang w:eastAsia="zh-CN"/>
        </w:rPr>
        <w:t>相关标准、办法、</w:t>
      </w:r>
      <w:r>
        <w:rPr>
          <w:rFonts w:hint="eastAsia" w:ascii="宋体" w:hAnsi="宋体" w:eastAsia="宋体" w:cs="宋体"/>
          <w:b/>
          <w:bCs/>
          <w:color w:val="auto"/>
          <w:sz w:val="24"/>
          <w:szCs w:val="24"/>
          <w:highlight w:val="none"/>
          <w:lang w:val="en-US" w:eastAsia="zh-CN"/>
        </w:rPr>
        <w:t>预案</w:t>
      </w:r>
      <w:r>
        <w:rPr>
          <w:rFonts w:hint="eastAsia" w:ascii="宋体" w:hAnsi="宋体" w:eastAsia="宋体" w:cs="宋体"/>
          <w:b/>
          <w:bCs/>
          <w:color w:val="auto"/>
          <w:sz w:val="24"/>
          <w:szCs w:val="24"/>
          <w:highlight w:val="none"/>
          <w:lang w:eastAsia="zh-CN"/>
        </w:rPr>
        <w:t>履行相应义务。</w:t>
      </w:r>
    </w:p>
    <w:p w14:paraId="321C3DE8">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2. 服务内容及要求</w:t>
      </w:r>
    </w:p>
    <w:p w14:paraId="119832E1">
      <w:pPr>
        <w:pageBreakBefore w:val="0"/>
        <w:widowControl w:val="0"/>
        <w:overflowPunct/>
        <w:topLinePunct w:val="0"/>
        <w:bidi w:val="0"/>
        <w:snapToGrid w:val="0"/>
        <w:spacing w:after="0" w:line="360" w:lineRule="auto"/>
        <w:ind w:firstLine="0"/>
        <w:jc w:val="both"/>
        <w:outlineLvl w:val="2"/>
        <w:rPr>
          <w:rFonts w:ascii="Segoe UI Symbol" w:hAnsi="Segoe UI Symbol" w:eastAsia="宋体" w:cs="Segoe UI Symbol"/>
          <w:b w:val="0"/>
          <w:bCs w:val="0"/>
          <w:kern w:val="2"/>
          <w:sz w:val="24"/>
          <w:szCs w:val="24"/>
          <w:lang w:val="en-US" w:eastAsia="zh-CN" w:bidi="ar-SA"/>
        </w:rPr>
      </w:pPr>
      <w:r>
        <w:rPr>
          <w:rFonts w:hint="eastAsia" w:ascii="宋体" w:hAnsi="宋体" w:eastAsia="宋体" w:cs="宋体"/>
          <w:b w:val="0"/>
          <w:bCs w:val="0"/>
          <w:kern w:val="0"/>
          <w:sz w:val="24"/>
          <w:szCs w:val="24"/>
          <w:lang w:val="en-US" w:eastAsia="zh-CN" w:bidi="ar"/>
        </w:rPr>
        <w:t>（1）</w:t>
      </w:r>
      <w:r>
        <w:rPr>
          <w:rFonts w:hint="eastAsia" w:ascii="等线" w:hAnsi="等线" w:eastAsia="宋体" w:cs="Times New Roman"/>
          <w:b w:val="0"/>
          <w:bCs w:val="0"/>
          <w:kern w:val="2"/>
          <w:sz w:val="24"/>
          <w:szCs w:val="24"/>
          <w:lang w:val="en-US" w:eastAsia="zh-CN" w:bidi="ar-SA"/>
        </w:rPr>
        <w:t>服务</w:t>
      </w:r>
      <w:r>
        <w:rPr>
          <w:rFonts w:hint="eastAsia" w:ascii="Segoe UI Symbol" w:hAnsi="Segoe UI Symbol" w:eastAsia="宋体" w:cs="Segoe UI Symbol"/>
          <w:b w:val="0"/>
          <w:bCs w:val="0"/>
          <w:kern w:val="2"/>
          <w:sz w:val="24"/>
          <w:szCs w:val="24"/>
          <w:lang w:val="en-US" w:eastAsia="zh-CN" w:bidi="ar-SA"/>
        </w:rPr>
        <w:t>内容</w:t>
      </w:r>
    </w:p>
    <w:p w14:paraId="6C6E55B3">
      <w:pPr>
        <w:pageBreakBefore w:val="0"/>
        <w:widowControl w:val="0"/>
        <w:overflowPunct/>
        <w:topLinePunct w:val="0"/>
        <w:bidi w:val="0"/>
        <w:snapToGrid w:val="0"/>
        <w:spacing w:after="0" w:line="360" w:lineRule="auto"/>
        <w:ind w:firstLine="480" w:firstLineChars="2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 xml:space="preserve">大宁调蓄水库工程水工建筑物的维修养护主要包括：泵站工程维修养护、节制闸工程维修养护、橡胶坝工程维修养护、护坡维护、阀井建筑物维护。 </w:t>
      </w:r>
    </w:p>
    <w:p w14:paraId="3D9F3CE4">
      <w:pPr>
        <w:pageBreakBefore w:val="0"/>
        <w:widowControl w:val="0"/>
        <w:overflowPunct/>
        <w:topLinePunct w:val="0"/>
        <w:bidi w:val="0"/>
        <w:snapToGrid w:val="0"/>
        <w:spacing w:after="0" w:line="360" w:lineRule="auto"/>
        <w:ind w:firstLine="480" w:firstLineChars="2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河西支线工程水工建筑物的维修养护主要包括：中堤泵站、园博泵站及其相关管线的建筑物维护</w:t>
      </w:r>
    </w:p>
    <w:p w14:paraId="289C9894">
      <w:pPr>
        <w:pageBreakBefore w:val="0"/>
        <w:widowControl w:val="0"/>
        <w:overflowPunct/>
        <w:topLinePunct w:val="0"/>
        <w:bidi w:val="0"/>
        <w:snapToGrid w:val="0"/>
        <w:spacing w:after="0" w:line="360" w:lineRule="auto"/>
        <w:ind w:firstLine="480" w:firstLineChars="200"/>
        <w:jc w:val="left"/>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大宁调度中心水工建筑物的维修养护主要包括：大宁调度中心工程设施运行维护。</w:t>
      </w:r>
    </w:p>
    <w:p w14:paraId="4D52BBAB">
      <w:pPr>
        <w:pageBreakBefore w:val="0"/>
        <w:widowControl w:val="0"/>
        <w:overflowPunct/>
        <w:topLinePunct w:val="0"/>
        <w:bidi w:val="0"/>
        <w:snapToGrid w:val="0"/>
        <w:spacing w:after="0" w:line="360" w:lineRule="auto"/>
        <w:jc w:val="left"/>
        <w:rPr>
          <w:rFonts w:ascii="仿宋" w:hAnsi="仿宋" w:eastAsia="仿宋" w:cs="仿宋"/>
          <w:b w:val="0"/>
          <w:bCs w:val="0"/>
          <w:color w:val="auto"/>
          <w:kern w:val="2"/>
          <w:sz w:val="24"/>
          <w:szCs w:val="24"/>
          <w:lang w:val="en-US" w:eastAsia="zh-CN" w:bidi="ar-SA"/>
        </w:rPr>
      </w:pPr>
      <w:r>
        <w:rPr>
          <w:rFonts w:hint="eastAsia" w:ascii="宋体" w:hAnsi="宋体" w:eastAsia="宋体" w:cs="Times New Roman"/>
          <w:b w:val="0"/>
          <w:bCs w:val="0"/>
          <w:kern w:val="2"/>
          <w:sz w:val="24"/>
          <w:szCs w:val="24"/>
          <w:lang w:val="en-US" w:eastAsia="zh-CN" w:bidi="ar-SA"/>
        </w:rPr>
        <w:t>（2）服务要求</w:t>
      </w:r>
    </w:p>
    <w:p w14:paraId="5FD1F4AB">
      <w:pPr>
        <w:pageBreakBefore w:val="0"/>
        <w:widowControl w:val="0"/>
        <w:overflowPunct/>
        <w:topLinePunct w:val="0"/>
        <w:bidi w:val="0"/>
        <w:snapToGrid w:val="0"/>
        <w:spacing w:after="0" w:line="360" w:lineRule="auto"/>
        <w:ind w:firstLine="480" w:firstLineChars="200"/>
        <w:jc w:val="both"/>
        <w:outlineLvl w:val="2"/>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实施过程中，严格执行相关规范要求，确保工作频次，工作质量。及时对损坏设备设施进行维修。保证设备设施完好、正常使用。</w:t>
      </w:r>
    </w:p>
    <w:p w14:paraId="6D038814">
      <w:pPr>
        <w:pageBreakBefore w:val="0"/>
        <w:widowControl w:val="0"/>
        <w:overflowPunct/>
        <w:topLinePunct w:val="0"/>
        <w:bidi w:val="0"/>
        <w:snapToGrid w:val="0"/>
        <w:spacing w:after="0" w:line="360" w:lineRule="auto"/>
        <w:ind w:firstLine="480" w:firstLineChars="200"/>
        <w:jc w:val="both"/>
        <w:outlineLvl w:val="2"/>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2"/>
          <w:sz w:val="24"/>
          <w:szCs w:val="24"/>
          <w:lang w:val="en-US" w:eastAsia="zh-CN" w:bidi="ar-SA"/>
        </w:rPr>
        <w:t>需在合同签约日开始进场服务。</w:t>
      </w:r>
    </w:p>
    <w:p w14:paraId="4A8B8549">
      <w:pPr>
        <w:pageBreakBefore w:val="0"/>
        <w:widowControl w:val="0"/>
        <w:overflowPunct/>
        <w:topLinePunct w:val="0"/>
        <w:bidi w:val="0"/>
        <w:snapToGrid w:val="0"/>
        <w:spacing w:after="0" w:line="360" w:lineRule="auto"/>
        <w:ind w:firstLine="0"/>
        <w:jc w:val="both"/>
        <w:outlineLvl w:val="2"/>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（3）项目要求</w:t>
      </w:r>
    </w:p>
    <w:p w14:paraId="70857E52">
      <w:pPr>
        <w:pStyle w:val="42"/>
        <w:pageBreakBefore w:val="0"/>
        <w:overflowPunct/>
        <w:topLinePunct w:val="0"/>
        <w:bidi w:val="0"/>
        <w:snapToGrid w:val="0"/>
        <w:spacing w:after="0" w:line="360" w:lineRule="auto"/>
        <w:ind w:firstLine="560"/>
        <w:rPr>
          <w:rFonts w:hint="default" w:ascii="宋体" w:hAnsi="宋体" w:eastAsia="宋体" w:cs="宋体"/>
          <w:sz w:val="24"/>
          <w:szCs w:val="24"/>
          <w:lang w:val="en-US" w:eastAsia="zh-CN"/>
        </w:rPr>
      </w:pPr>
      <w:r>
        <w:rPr>
          <w:rFonts w:hint="eastAsia" w:ascii="宋体" w:hAnsi="宋体" w:eastAsia="宋体" w:cs="宋体"/>
          <w:color w:val="auto"/>
          <w:sz w:val="24"/>
          <w:szCs w:val="24"/>
          <w:lang w:val="en-US" w:eastAsia="zh-CN"/>
        </w:rPr>
        <w:t>采购人参照已制定和新制定的</w:t>
      </w:r>
      <w:r>
        <w:rPr>
          <w:rFonts w:hint="eastAsia" w:ascii="宋体" w:hAnsi="宋体" w:eastAsia="宋体" w:cs="宋体"/>
          <w:sz w:val="24"/>
          <w:szCs w:val="24"/>
          <w:lang w:val="en-US" w:eastAsia="zh-CN"/>
        </w:rPr>
        <w:t>项目管控办法、技术标准、运维标准、考核办法等开展日常项目监督检查与考核，供应商必须严格按照合同和各类标准规范组织项目实施，接受采购人监督和定期考核，考核应达到采购人要求合格标准，否则采购人有权按合同及采购人相关制度进行处置。</w:t>
      </w:r>
    </w:p>
    <w:p w14:paraId="79F550C4">
      <w:pPr>
        <w:pageBreakBefore w:val="0"/>
        <w:widowControl w:val="0"/>
        <w:numPr>
          <w:ilvl w:val="0"/>
          <w:numId w:val="0"/>
        </w:numPr>
        <w:overflowPunct/>
        <w:topLinePunct w:val="0"/>
        <w:bidi w:val="0"/>
        <w:snapToGrid w:val="0"/>
        <w:spacing w:after="0"/>
        <w:ind w:leftChars="0"/>
        <w:jc w:val="left"/>
        <w:rPr>
          <w:rFonts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r>
        <w:rPr>
          <w:rFonts w:ascii="宋体" w:hAnsi="宋体" w:eastAsia="宋体" w:cs="宋体"/>
          <w:kern w:val="0"/>
          <w:sz w:val="24"/>
          <w:szCs w:val="24"/>
          <w:lang w:val="en-US" w:eastAsia="zh-CN" w:bidi="ar"/>
        </w:rPr>
        <w:t>采购标的的其他技术、服务等要求</w:t>
      </w:r>
    </w:p>
    <w:p w14:paraId="17808A55">
      <w:pPr>
        <w:pStyle w:val="42"/>
        <w:pageBreakBefore w:val="0"/>
        <w:overflowPunct/>
        <w:topLinePunct w:val="0"/>
        <w:bidi w:val="0"/>
        <w:snapToGrid w:val="0"/>
        <w:spacing w:line="360" w:lineRule="auto"/>
        <w:ind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维护综合管理要求：</w:t>
      </w:r>
    </w:p>
    <w:p w14:paraId="0145723A">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供应商要建立、完善维护管理规章制度，并严格落实、执行。</w:t>
      </w:r>
    </w:p>
    <w:p w14:paraId="0625BD15">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配备能够满足维护要求、标准的维护人员等，做好各维护地点的水工设施维护计划安排。项目负责人应做好各站点维护统筹协调工作，维护人员应具备电气维修、机械维修、土建工程维修、消防设施维修以及焊接、测量等相关方面的技能。维护人员数量应满足相关规定和采购人维修养护工作要求。</w:t>
      </w:r>
    </w:p>
    <w:p w14:paraId="4AAE859B">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供应商的维修养护人员基本情况须提交采购人备案。采购人有权利对不满足合同要求的人员向供应商提出更换。</w:t>
      </w:r>
    </w:p>
    <w:p w14:paraId="2AD1DB5E">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供应商应制定维护人员培训及教育计划，并按计划落实。</w:t>
      </w:r>
    </w:p>
    <w:p w14:paraId="67FC74DC">
      <w:pPr>
        <w:pStyle w:val="42"/>
        <w:pageBreakBefore w:val="0"/>
        <w:overflowPunct/>
        <w:topLinePunct w:val="0"/>
        <w:bidi w:val="0"/>
        <w:snapToGrid w:val="0"/>
        <w:spacing w:line="360" w:lineRule="auto"/>
        <w:ind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维护实施管理要求：</w:t>
      </w:r>
    </w:p>
    <w:p w14:paraId="595F92D5">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供应商应根据设备设施的相关维护标准、规范等制定详细、全面的维护养护实施方案和计划，并及时报采购人审批。</w:t>
      </w:r>
    </w:p>
    <w:p w14:paraId="4EAECE24">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供应商应按维护作业标准、规范、维护方案、工作计划等实施维护工作，维护内容、标准及频次应符合质量、进度、周期要求。</w:t>
      </w:r>
    </w:p>
    <w:p w14:paraId="5C594D7F">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工程维修养护应做好维修养护记录、台账，并定期整编所有工作中形成的记录、台账和技术档案。</w:t>
      </w:r>
    </w:p>
    <w:p w14:paraId="6D0F1D16">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必须自行配备满足维修养护工作需要的各类工器具、设备设施及安全防护用品等，并符合国家相关的技术标准。对于采购人已配置并交由供应商使用的设备设施、工器具及安全防护用品等，供应商应妥善保管和正确使用，发生损坏、丢失等由供应商负责修复和赔偿，合同期结束后，应完好移交采购人。</w:t>
      </w:r>
    </w:p>
    <w:p w14:paraId="47873C76">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color w:val="000000"/>
          <w:sz w:val="24"/>
          <w:szCs w:val="24"/>
          <w:highlight w:val="none"/>
          <w:lang w:eastAsia="zh-CN"/>
        </w:rPr>
        <w:t>乙方更换配件的相关维修服务费用单价在人民币</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lang w:eastAsia="zh-CN"/>
        </w:rPr>
        <w:t>000元以内（含</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lang w:eastAsia="zh-CN"/>
        </w:rPr>
        <w:t>000元）的，由乙方自理，超过人民币</w:t>
      </w:r>
      <w:r>
        <w:rPr>
          <w:rFonts w:hint="eastAsia" w:ascii="宋体" w:hAnsi="宋体" w:eastAsia="宋体" w:cs="宋体"/>
          <w:color w:val="000000"/>
          <w:sz w:val="24"/>
          <w:szCs w:val="24"/>
          <w:highlight w:val="none"/>
          <w:lang w:val="en-US" w:eastAsia="zh-CN"/>
        </w:rPr>
        <w:t>10</w:t>
      </w:r>
      <w:r>
        <w:rPr>
          <w:rFonts w:hint="eastAsia" w:ascii="宋体" w:hAnsi="宋体" w:eastAsia="宋体" w:cs="宋体"/>
          <w:color w:val="000000"/>
          <w:sz w:val="24"/>
          <w:szCs w:val="24"/>
          <w:highlight w:val="none"/>
          <w:lang w:eastAsia="zh-CN"/>
        </w:rPr>
        <w:t>000元的，经甲乙双方协商办理后进行维修更换。</w:t>
      </w:r>
    </w:p>
    <w:p w14:paraId="39F20CB5">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发生故障或事故时，供应商应及时采取有效措施防止故障、事故扩大。并立即对其进行分析和排除，同时做好记录和分析、处理报告。供应商还应根据设备设施运行状况，对可能出现的故障进行预判，并及时提出维修方案和计划，报采购人审批。</w:t>
      </w:r>
    </w:p>
    <w:p w14:paraId="5A470967">
      <w:pPr>
        <w:pStyle w:val="42"/>
        <w:pageBreakBefore w:val="0"/>
        <w:overflowPunct/>
        <w:topLinePunct w:val="0"/>
        <w:bidi w:val="0"/>
        <w:snapToGrid w:val="0"/>
        <w:spacing w:line="360" w:lineRule="auto"/>
        <w:ind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供应商应及时发现和消除设备设施的缺陷。</w:t>
      </w:r>
    </w:p>
    <w:p w14:paraId="29AD2D07">
      <w:pPr>
        <w:pStyle w:val="42"/>
        <w:spacing w:line="360" w:lineRule="auto"/>
        <w:ind w:firstLine="56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供应商应建立一直不少于10人的应队伍，配合设备设施应急抢险处置相关工作。</w:t>
      </w:r>
    </w:p>
    <w:p w14:paraId="2998A356">
      <w:pPr>
        <w:pStyle w:val="42"/>
        <w:spacing w:line="360" w:lineRule="auto"/>
        <w:ind w:firstLine="560"/>
        <w:rPr>
          <w:rFonts w:hint="eastAsia" w:ascii="宋体" w:hAnsi="宋体" w:eastAsia="宋体" w:cs="宋体"/>
          <w:color w:val="000000"/>
          <w:sz w:val="24"/>
          <w:szCs w:val="24"/>
          <w:lang w:bidi="ar"/>
        </w:rPr>
      </w:pPr>
      <w:r>
        <w:rPr>
          <w:rFonts w:hint="eastAsia" w:ascii="宋体" w:hAnsi="宋体" w:eastAsia="宋体" w:cs="宋体"/>
          <w:sz w:val="24"/>
          <w:szCs w:val="24"/>
          <w:lang w:val="en-US" w:eastAsia="zh-CN" w:bidi="ar"/>
        </w:rPr>
        <w:t>（5）</w:t>
      </w:r>
      <w:r>
        <w:rPr>
          <w:rFonts w:hint="eastAsia" w:ascii="宋体" w:hAnsi="宋体" w:eastAsia="宋体" w:cs="宋体"/>
          <w:color w:val="000000"/>
          <w:sz w:val="24"/>
          <w:szCs w:val="24"/>
          <w:lang w:bidi="ar"/>
        </w:rPr>
        <w:t>其他特定资格要求：</w:t>
      </w:r>
    </w:p>
    <w:p w14:paraId="6FB5A833">
      <w:pPr>
        <w:pStyle w:val="42"/>
        <w:spacing w:line="360" w:lineRule="auto"/>
        <w:ind w:firstLine="560"/>
        <w:rPr>
          <w:rFonts w:hint="eastAsia" w:ascii="宋体" w:hAnsi="宋体" w:eastAsia="宋体" w:cs="宋体"/>
          <w:sz w:val="24"/>
          <w:szCs w:val="24"/>
          <w:lang w:bidi="ar"/>
        </w:rPr>
      </w:pPr>
      <w:r>
        <w:rPr>
          <w:rFonts w:hint="eastAsia" w:ascii="宋体" w:hAnsi="宋体" w:eastAsia="宋体" w:cs="宋体"/>
          <w:sz w:val="24"/>
          <w:szCs w:val="24"/>
          <w:lang w:bidi="ar"/>
        </w:rPr>
        <w:t>1）供应商应具备水利水电工程施工总承包三级（含）以上资质；</w:t>
      </w:r>
    </w:p>
    <w:p w14:paraId="4DDC0E7C">
      <w:pPr>
        <w:pStyle w:val="42"/>
        <w:spacing w:line="360" w:lineRule="auto"/>
        <w:ind w:firstLine="560"/>
        <w:rPr>
          <w:rFonts w:hint="eastAsia" w:ascii="宋体" w:hAnsi="宋体" w:eastAsia="宋体" w:cs="宋体"/>
          <w:sz w:val="24"/>
          <w:szCs w:val="24"/>
          <w:lang w:bidi="ar"/>
        </w:rPr>
      </w:pPr>
      <w:r>
        <w:rPr>
          <w:rFonts w:hint="eastAsia" w:ascii="宋体" w:hAnsi="宋体" w:eastAsia="宋体" w:cs="宋体"/>
          <w:sz w:val="24"/>
          <w:szCs w:val="24"/>
          <w:lang w:bidi="ar"/>
        </w:rPr>
        <w:t>2）供应商应具有建设行政主管部门核发的有效的安全生产许可证；</w:t>
      </w:r>
    </w:p>
    <w:p w14:paraId="3E254E04">
      <w:pPr>
        <w:pStyle w:val="42"/>
        <w:spacing w:line="360" w:lineRule="auto"/>
        <w:ind w:firstLine="560"/>
        <w:rPr>
          <w:rFonts w:hint="eastAsia" w:ascii="宋体" w:hAnsi="宋体" w:eastAsia="宋体" w:cs="宋体"/>
          <w:sz w:val="24"/>
          <w:szCs w:val="24"/>
          <w:lang w:bidi="ar"/>
        </w:rPr>
      </w:pPr>
      <w:r>
        <w:rPr>
          <w:rFonts w:hint="eastAsia" w:ascii="宋体" w:hAnsi="宋体" w:eastAsia="宋体" w:cs="宋体"/>
          <w:sz w:val="24"/>
          <w:szCs w:val="24"/>
          <w:lang w:bidi="ar"/>
        </w:rPr>
        <w:t>3）拟任项目经理</w:t>
      </w:r>
      <w:r>
        <w:rPr>
          <w:rFonts w:hint="eastAsia" w:ascii="宋体" w:hAnsi="宋体" w:eastAsia="宋体" w:cs="宋体"/>
          <w:sz w:val="24"/>
          <w:szCs w:val="24"/>
          <w:lang w:val="en-US" w:eastAsia="zh-CN" w:bidi="ar"/>
        </w:rPr>
        <w:t>需具有水利行业中级及以上职称</w:t>
      </w:r>
      <w:r>
        <w:rPr>
          <w:rFonts w:hint="eastAsia" w:ascii="宋体" w:hAnsi="宋体" w:eastAsia="宋体" w:cs="宋体"/>
          <w:sz w:val="24"/>
          <w:szCs w:val="24"/>
          <w:lang w:bidi="ar"/>
        </w:rPr>
        <w:t>；</w:t>
      </w:r>
    </w:p>
    <w:p w14:paraId="1588C280">
      <w:pPr>
        <w:pStyle w:val="42"/>
        <w:spacing w:line="360" w:lineRule="auto"/>
        <w:ind w:firstLine="560"/>
        <w:rPr>
          <w:rFonts w:hint="eastAsia" w:ascii="宋体" w:hAnsi="宋体" w:eastAsia="宋体" w:cs="宋体"/>
          <w:sz w:val="24"/>
          <w:szCs w:val="24"/>
          <w:lang w:eastAsia="zh-CN" w:bidi="ar"/>
        </w:rPr>
      </w:pPr>
      <w:r>
        <w:rPr>
          <w:rFonts w:hint="eastAsia" w:ascii="宋体" w:hAnsi="宋体" w:eastAsia="宋体" w:cs="宋体"/>
          <w:sz w:val="24"/>
          <w:szCs w:val="24"/>
          <w:lang w:bidi="ar"/>
        </w:rPr>
        <w:t>4）安全管理人员（专职安全生产管理人员）具有水行政主管部门颁发的C类安全生产考核合格证书</w:t>
      </w:r>
      <w:r>
        <w:rPr>
          <w:rFonts w:hint="eastAsia" w:ascii="宋体" w:hAnsi="宋体" w:eastAsia="宋体" w:cs="宋体"/>
          <w:sz w:val="24"/>
          <w:szCs w:val="24"/>
          <w:lang w:eastAsia="zh-CN" w:bidi="ar"/>
        </w:rPr>
        <w:t>；</w:t>
      </w:r>
    </w:p>
    <w:p w14:paraId="41EACE53">
      <w:pPr>
        <w:pStyle w:val="42"/>
        <w:spacing w:line="360" w:lineRule="auto"/>
        <w:ind w:firstLine="560"/>
        <w:rPr>
          <w:rFonts w:hint="default" w:ascii="宋体" w:hAnsi="宋体" w:eastAsia="宋体" w:cs="宋体"/>
          <w:sz w:val="24"/>
          <w:szCs w:val="24"/>
          <w:highlight w:val="none"/>
          <w:lang w:val="en-US" w:eastAsia="zh-CN"/>
        </w:rPr>
      </w:pPr>
      <w:r>
        <w:rPr>
          <w:rFonts w:hint="eastAsia" w:ascii="宋体" w:hAnsi="宋体" w:eastAsia="宋体" w:cs="宋体"/>
          <w:sz w:val="24"/>
          <w:szCs w:val="24"/>
          <w:lang w:bidi="ar"/>
        </w:rPr>
        <w:t>5）企业负责人具有水行政主管部门颁发的A类安全考核合格证书。</w:t>
      </w:r>
    </w:p>
    <w:p w14:paraId="71C12109">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3. 采购标的的服务期限 </w:t>
      </w:r>
    </w:p>
    <w:p w14:paraId="0320D290">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2025年1月1日至2025年12月31日，其中2025年1月1日至本合同签订之日前一日由原服务单位提供服务，本合同签订之日至2025年12月31日由新中选单位提供服务。本合同约定的服务期满后，如采购人需要，供应商应继续按照采购人要求延长其服务期限，直至下一年度实施单位进场。延长服务期限的，由甲乙双方协商签订书面补充协议。</w:t>
      </w:r>
    </w:p>
    <w:p w14:paraId="195E8578">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4. 为落实政府采购政策需满足的要求 </w:t>
      </w:r>
    </w:p>
    <w:p w14:paraId="0EE068C2">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宋体"/>
          <w:color w:val="000000"/>
          <w:kern w:val="2"/>
          <w:sz w:val="24"/>
          <w:szCs w:val="28"/>
          <w:lang w:val="en-US" w:eastAsia="zh-CN" w:bidi="ar-SA"/>
        </w:rPr>
        <w:t>（1）本项目专门面向中小企业，</w:t>
      </w:r>
      <w:r>
        <w:rPr>
          <w:rFonts w:hint="eastAsia" w:ascii="宋体" w:hAnsi="宋体" w:eastAsia="宋体" w:cs="Times New Roman"/>
          <w:color w:val="000000"/>
          <w:kern w:val="2"/>
          <w:sz w:val="24"/>
          <w:szCs w:val="28"/>
          <w:lang w:val="en-US" w:eastAsia="zh-CN" w:bidi="ar-SA"/>
        </w:rPr>
        <w:t>依据“关于《政府采购促进中小企业发展管理办法》的通知”（财库【2020】46号），</w:t>
      </w:r>
      <w:r>
        <w:rPr>
          <w:rFonts w:hint="eastAsia" w:ascii="宋体" w:hAnsi="宋体" w:eastAsia="宋体" w:cs="宋体"/>
          <w:kern w:val="2"/>
          <w:sz w:val="24"/>
          <w:szCs w:val="28"/>
          <w:lang w:val="en-US" w:eastAsia="zh-CN" w:bidi="ar"/>
        </w:rPr>
        <w:t>价格评审时，不再实行价格扣除</w:t>
      </w:r>
      <w:r>
        <w:rPr>
          <w:rFonts w:hint="eastAsia" w:ascii="宋体" w:hAnsi="宋体" w:eastAsia="宋体" w:cs="Times New Roman"/>
          <w:color w:val="000000"/>
          <w:kern w:val="2"/>
          <w:sz w:val="24"/>
          <w:szCs w:val="28"/>
          <w:lang w:val="en-US" w:eastAsia="zh-CN" w:bidi="ar-SA"/>
        </w:rPr>
        <w:t>；</w:t>
      </w:r>
    </w:p>
    <w:p w14:paraId="4F2E7B42">
      <w:pPr>
        <w:pageBreakBefore w:val="0"/>
        <w:widowControl w:val="0"/>
        <w:overflowPunct/>
        <w:topLinePunct w:val="0"/>
        <w:bidi w:val="0"/>
        <w:snapToGrid w:val="0"/>
        <w:spacing w:after="0" w:line="360" w:lineRule="auto"/>
        <w:ind w:firstLine="480" w:firstLineChars="20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w:t>
      </w:r>
      <w:r>
        <w:rPr>
          <w:rFonts w:ascii="宋体" w:hAnsi="宋体" w:eastAsia="宋体" w:cs="Times New Roman"/>
          <w:kern w:val="2"/>
          <w:sz w:val="24"/>
          <w:szCs w:val="24"/>
          <w:lang w:val="en-US" w:eastAsia="zh-CN" w:bidi="ar-SA"/>
        </w:rPr>
        <w:t>根据《财政部民政部中国残疾人联合会关于促进残疾人就业政府采购政策的通知》（财库〔2017〕141号），残疾人福利性单位视同小微企业</w:t>
      </w:r>
      <w:r>
        <w:rPr>
          <w:rFonts w:hint="eastAsia" w:ascii="宋体" w:hAnsi="宋体" w:eastAsia="宋体" w:cs="Times New Roman"/>
          <w:kern w:val="2"/>
          <w:sz w:val="24"/>
          <w:szCs w:val="24"/>
          <w:lang w:val="en-US" w:eastAsia="zh-CN" w:bidi="ar-SA"/>
        </w:rPr>
        <w:t>；</w:t>
      </w:r>
    </w:p>
    <w:p w14:paraId="0768658D">
      <w:pPr>
        <w:pageBreakBefore w:val="0"/>
        <w:widowControl w:val="0"/>
        <w:overflowPunct/>
        <w:topLinePunct w:val="0"/>
        <w:bidi w:val="0"/>
        <w:snapToGrid w:val="0"/>
        <w:spacing w:after="0" w:line="360" w:lineRule="auto"/>
        <w:ind w:firstLine="480" w:firstLineChars="200"/>
        <w:jc w:val="both"/>
        <w:rPr>
          <w:rFonts w:ascii="Calibri" w:hAnsi="Calibri" w:eastAsia="宋体" w:cs="Times New Roman"/>
          <w:kern w:val="2"/>
          <w:sz w:val="28"/>
          <w:szCs w:val="28"/>
          <w:lang w:val="en-US" w:eastAsia="zh-CN" w:bidi="ar-SA"/>
        </w:rPr>
      </w:pPr>
      <w:r>
        <w:rPr>
          <w:rFonts w:ascii="宋体" w:hAnsi="宋体" w:eastAsia="宋体" w:cs="Times New Roman"/>
          <w:kern w:val="2"/>
          <w:sz w:val="24"/>
          <w:szCs w:val="24"/>
          <w:lang w:val="en-US" w:eastAsia="zh-CN" w:bidi="ar-SA"/>
        </w:rPr>
        <w:t xml:space="preserve"> </w:t>
      </w:r>
      <w:r>
        <w:rPr>
          <w:rFonts w:hint="eastAsia" w:ascii="宋体" w:hAnsi="宋体" w:eastAsia="宋体" w:cs="Times New Roman"/>
          <w:kern w:val="2"/>
          <w:sz w:val="24"/>
          <w:szCs w:val="24"/>
          <w:lang w:val="en-US" w:eastAsia="zh-CN" w:bidi="ar-SA"/>
        </w:rPr>
        <w:t>（3）</w:t>
      </w:r>
      <w:r>
        <w:rPr>
          <w:rFonts w:ascii="宋体" w:hAnsi="宋体" w:eastAsia="宋体" w:cs="Times New Roman"/>
          <w:kern w:val="2"/>
          <w:sz w:val="24"/>
          <w:szCs w:val="24"/>
          <w:lang w:val="en-US" w:eastAsia="zh-CN" w:bidi="ar-SA"/>
        </w:rPr>
        <w:t>根据《关于政府采购支持监狱企业发展有关问题的通知》（财库〔2014〕68号）， 监狱企业视同小微企业</w:t>
      </w:r>
      <w:r>
        <w:rPr>
          <w:rFonts w:hint="eastAsia" w:ascii="宋体" w:hAnsi="宋体" w:eastAsia="宋体" w:cs="Times New Roman"/>
          <w:kern w:val="2"/>
          <w:sz w:val="24"/>
          <w:szCs w:val="24"/>
          <w:lang w:val="en-US" w:eastAsia="zh-CN" w:bidi="ar-SA"/>
        </w:rPr>
        <w:t>。</w:t>
      </w:r>
    </w:p>
    <w:p w14:paraId="3D0ED98E">
      <w:pPr>
        <w:keepNext w:val="0"/>
        <w:keepLines w:val="0"/>
        <w:pageBreakBefore w:val="0"/>
        <w:widowControl/>
        <w:numPr>
          <w:ilvl w:val="0"/>
          <w:numId w:val="0"/>
        </w:numPr>
        <w:suppressLineNumbers w:val="0"/>
        <w:kinsoku/>
        <w:overflowPunct/>
        <w:topLinePunct w:val="0"/>
        <w:autoSpaceDE/>
        <w:autoSpaceDN/>
        <w:bidi w:val="0"/>
        <w:adjustRightInd/>
        <w:snapToGrid w:val="0"/>
        <w:spacing w:after="0" w:line="240" w:lineRule="auto"/>
        <w:jc w:val="left"/>
        <w:textAlignment w:val="auto"/>
        <w:rPr>
          <w:rFonts w:hint="eastAsia" w:ascii="宋体" w:hAnsi="宋体" w:eastAsia="宋体" w:cs="宋体"/>
          <w:b/>
          <w:bCs/>
          <w:snapToGrid w:val="0"/>
          <w:color w:val="auto"/>
          <w:sz w:val="28"/>
          <w:szCs w:val="28"/>
          <w:lang w:val="en-US" w:eastAsia="zh-CN" w:bidi="ar-SA"/>
        </w:rPr>
      </w:pPr>
      <w:r>
        <w:rPr>
          <w:rFonts w:hint="eastAsia" w:ascii="宋体" w:hAnsi="宋体" w:eastAsia="宋体" w:cs="宋体"/>
          <w:b/>
          <w:bCs/>
          <w:snapToGrid w:val="0"/>
          <w:color w:val="auto"/>
          <w:sz w:val="28"/>
          <w:szCs w:val="28"/>
          <w:lang w:val="en-US" w:eastAsia="zh-CN" w:bidi="ar-SA"/>
        </w:rPr>
        <w:t>5. 需由供应商提供设计方案、解决方案或者组织方案的采购项目，应当说明采购标的的功能、应用场景、目标等基本要求</w:t>
      </w:r>
    </w:p>
    <w:p w14:paraId="7D02CF92">
      <w:pPr>
        <w:pStyle w:val="7"/>
        <w:rPr>
          <w:rFonts w:hint="default"/>
          <w:lang w:val="en-US" w:eastAsia="zh-CN"/>
        </w:rPr>
      </w:pPr>
      <w:r>
        <w:rPr>
          <w:rFonts w:hint="eastAsia" w:ascii="宋体" w:hAnsi="宋体" w:cs="宋体"/>
          <w:b/>
          <w:bCs/>
          <w:snapToGrid w:val="0"/>
          <w:color w:val="auto"/>
          <w:sz w:val="28"/>
          <w:szCs w:val="28"/>
          <w:lang w:val="en-US" w:eastAsia="zh-CN" w:bidi="ar-SA"/>
        </w:rPr>
        <w:t xml:space="preserve">    </w:t>
      </w:r>
      <w:r>
        <w:rPr>
          <w:rFonts w:hint="default" w:ascii="宋体" w:hAnsi="宋体" w:cs="Times New Roman"/>
          <w:b w:val="0"/>
          <w:bCs w:val="0"/>
          <w:snapToGrid w:val="0"/>
          <w:color w:val="000000"/>
          <w:sz w:val="24"/>
          <w:szCs w:val="24"/>
          <w:lang w:val="en-US" w:eastAsia="zh-CN" w:bidi="ar-SA"/>
        </w:rPr>
        <w:t>无。</w:t>
      </w:r>
    </w:p>
    <w:p w14:paraId="2893EC28">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6. 验收标准 </w:t>
      </w:r>
    </w:p>
    <w:p w14:paraId="5F171E27">
      <w:pPr>
        <w:pageBreakBefore w:val="0"/>
        <w:widowControl w:val="0"/>
        <w:kinsoku/>
        <w:overflowPunct/>
        <w:topLinePunct w:val="0"/>
        <w:autoSpaceDE/>
        <w:autoSpaceDN/>
        <w:bidi w:val="0"/>
        <w:adjustRightInd/>
        <w:snapToGrid w:val="0"/>
        <w:spacing w:after="0" w:line="360" w:lineRule="auto"/>
        <w:ind w:firstLine="480" w:firstLineChars="200"/>
        <w:jc w:val="both"/>
        <w:textAlignment w:val="auto"/>
        <w:rPr>
          <w:rFonts w:ascii="宋体" w:hAnsi="宋体" w:eastAsia="宋体" w:cs="Times New Roman"/>
          <w:snapToGrid/>
          <w:kern w:val="2"/>
          <w:sz w:val="24"/>
          <w:szCs w:val="24"/>
          <w:highlight w:val="none"/>
          <w:lang w:eastAsia="zh-CN"/>
        </w:rPr>
      </w:pPr>
      <w:r>
        <w:rPr>
          <w:rFonts w:hint="eastAsia" w:ascii="宋体" w:hAnsi="宋体" w:eastAsia="宋体" w:cs="Times New Roman"/>
          <w:snapToGrid/>
          <w:kern w:val="2"/>
          <w:sz w:val="24"/>
          <w:szCs w:val="24"/>
          <w:highlight w:val="none"/>
          <w:lang w:eastAsia="zh-CN"/>
        </w:rPr>
        <w:t>（</w:t>
      </w:r>
      <w:r>
        <w:rPr>
          <w:rFonts w:hint="eastAsia" w:ascii="宋体" w:hAnsi="宋体" w:eastAsia="宋体" w:cs="Times New Roman"/>
          <w:snapToGrid/>
          <w:kern w:val="2"/>
          <w:sz w:val="24"/>
          <w:szCs w:val="24"/>
          <w:highlight w:val="none"/>
          <w:lang w:val="en-US" w:eastAsia="zh-CN"/>
        </w:rPr>
        <w:t>1</w:t>
      </w:r>
      <w:r>
        <w:rPr>
          <w:rFonts w:hint="eastAsia" w:ascii="宋体" w:hAnsi="宋体" w:eastAsia="宋体" w:cs="Times New Roman"/>
          <w:snapToGrid/>
          <w:kern w:val="2"/>
          <w:sz w:val="24"/>
          <w:szCs w:val="24"/>
          <w:highlight w:val="none"/>
          <w:lang w:eastAsia="zh-CN"/>
        </w:rPr>
        <w:t>）验收标准：供应商按照合同约定完成</w:t>
      </w:r>
      <w:r>
        <w:rPr>
          <w:rFonts w:hint="eastAsia" w:ascii="宋体" w:hAnsi="宋体" w:eastAsia="宋体" w:cs="Times New Roman"/>
          <w:snapToGrid/>
          <w:kern w:val="2"/>
          <w:sz w:val="24"/>
          <w:szCs w:val="24"/>
          <w:highlight w:val="none"/>
          <w:lang w:val="en-US" w:eastAsia="zh-CN"/>
        </w:rPr>
        <w:t>全部工作内容</w:t>
      </w:r>
      <w:r>
        <w:rPr>
          <w:rFonts w:hint="eastAsia" w:ascii="宋体" w:hAnsi="宋体" w:eastAsia="宋体" w:cs="Times New Roman"/>
          <w:snapToGrid/>
          <w:kern w:val="2"/>
          <w:sz w:val="24"/>
          <w:szCs w:val="24"/>
          <w:highlight w:val="none"/>
          <w:lang w:eastAsia="zh-CN"/>
        </w:rPr>
        <w:t>，同时提交完整的验收资料。采购人组织相关专业人员对本项目技术和商务履约情况进行验收，验收合格后双方签署验收书。验收不合格的，由供应商按要求弥补缺陷后再次组织验收，直至验收合格。具体验收参照《北京市南水北调大宁管理处项目管理办法》进行。</w:t>
      </w:r>
    </w:p>
    <w:p w14:paraId="7E8745D6">
      <w:pPr>
        <w:pageBreakBefore w:val="0"/>
        <w:widowControl w:val="0"/>
        <w:overflowPunct/>
        <w:topLinePunct w:val="0"/>
        <w:bidi w:val="0"/>
        <w:snapToGrid w:val="0"/>
        <w:spacing w:after="0" w:line="360" w:lineRule="auto"/>
        <w:ind w:firstLine="480" w:firstLineChars="200"/>
        <w:jc w:val="left"/>
        <w:rPr>
          <w:rFonts w:hint="eastAsia"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（2）验收方法：采用现场检查、查阅资料、确认工程量计量单，召开验收会议等方式完成验收。</w:t>
      </w:r>
    </w:p>
    <w:p w14:paraId="05E1A264">
      <w:pPr>
        <w:pStyle w:val="42"/>
        <w:pageBreakBefore w:val="0"/>
        <w:overflowPunct/>
        <w:topLinePunct w:val="0"/>
        <w:bidi w:val="0"/>
        <w:snapToGrid w:val="0"/>
        <w:spacing w:after="0" w:line="360" w:lineRule="auto"/>
        <w:ind w:firstLine="0"/>
        <w:outlineLvl w:val="2"/>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7. 工程量清单</w:t>
      </w:r>
    </w:p>
    <w:p w14:paraId="06C64098">
      <w:pPr>
        <w:pageBreakBefore w:val="0"/>
        <w:kinsoku/>
        <w:overflowPunct/>
        <w:topLinePunct w:val="0"/>
        <w:autoSpaceDE/>
        <w:autoSpaceDN/>
        <w:bidi w:val="0"/>
        <w:adjustRightInd/>
        <w:snapToGrid w:val="0"/>
        <w:spacing w:after="0" w:line="560" w:lineRule="exact"/>
        <w:ind w:firstLine="560"/>
        <w:textAlignment w:val="auto"/>
        <w:rPr>
          <w:rFonts w:hint="eastAsia" w:ascii="宋体" w:hAnsi="宋体" w:eastAsia="宋体" w:cs="宋体"/>
          <w:color w:val="auto"/>
          <w:sz w:val="24"/>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sz w:val="24"/>
          <w:highlight w:val="none"/>
        </w:rPr>
        <w:t>清单见附件-</w:t>
      </w:r>
      <w:r>
        <w:rPr>
          <w:rFonts w:hint="eastAsia" w:ascii="宋体" w:hAnsi="宋体" w:eastAsia="宋体"/>
          <w:color w:val="auto"/>
          <w:sz w:val="24"/>
          <w:szCs w:val="24"/>
        </w:rPr>
        <w:t>北京市南水北调大宁管理处水利工程日常维修养护-水工建筑物维修养护</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清单</w:t>
      </w:r>
      <w:r>
        <w:rPr>
          <w:rFonts w:hint="eastAsia" w:ascii="宋体" w:hAnsi="宋体" w:eastAsia="宋体" w:cs="宋体"/>
          <w:color w:val="auto"/>
          <w:sz w:val="24"/>
        </w:rPr>
        <w:br w:type="page"/>
      </w:r>
    </w:p>
    <w:p w14:paraId="6E3DFD1A">
      <w:pPr>
        <w:pageBreakBefore w:val="0"/>
        <w:kinsoku/>
        <w:overflowPunct/>
        <w:topLinePunct w:val="0"/>
        <w:autoSpaceDE/>
        <w:autoSpaceDN/>
        <w:bidi w:val="0"/>
        <w:adjustRightInd/>
        <w:snapToGrid w:val="0"/>
        <w:spacing w:after="0"/>
        <w:jc w:val="center"/>
        <w:textAlignment w:val="auto"/>
        <w:outlineLvl w:val="1"/>
        <w:rPr>
          <w:rFonts w:hint="eastAsia" w:ascii="宋体" w:hAnsi="宋体" w:eastAsia="宋体"/>
          <w:b/>
          <w:bCs/>
          <w:color w:val="auto"/>
          <w:sz w:val="36"/>
          <w:szCs w:val="36"/>
        </w:rPr>
      </w:pPr>
      <w:bookmarkStart w:id="45" w:name="_Toc148096364"/>
      <w:r>
        <w:rPr>
          <w:rFonts w:hint="eastAsia" w:ascii="宋体" w:hAnsi="宋体" w:eastAsia="宋体"/>
          <w:b/>
          <w:bCs/>
          <w:color w:val="auto"/>
          <w:sz w:val="36"/>
          <w:szCs w:val="36"/>
        </w:rPr>
        <w:t>第六章   拟签订的合同文本</w:t>
      </w:r>
      <w:bookmarkEnd w:id="45"/>
    </w:p>
    <w:p w14:paraId="48219A8D">
      <w:pPr>
        <w:pageBreakBefore w:val="0"/>
        <w:overflowPunct/>
        <w:topLinePunct w:val="0"/>
        <w:bidi w:val="0"/>
        <w:snapToGrid w:val="0"/>
        <w:spacing w:after="0" w:line="360" w:lineRule="auto"/>
        <w:jc w:val="center"/>
        <w:rPr>
          <w:rFonts w:hint="eastAsia" w:ascii="仿宋" w:hAnsi="仿宋" w:eastAsia="仿宋" w:cs="仿宋"/>
          <w:b/>
          <w:color w:val="000000"/>
          <w:sz w:val="28"/>
          <w:lang w:val="en-US" w:eastAsia="zh-CN"/>
        </w:rPr>
      </w:pPr>
      <w:bookmarkStart w:id="46" w:name="_Hlt487972895"/>
      <w:bookmarkEnd w:id="46"/>
      <w:bookmarkStart w:id="47" w:name="_Toc487900382"/>
      <w:r>
        <w:rPr>
          <w:rFonts w:hint="eastAsia" w:ascii="仿宋" w:hAnsi="仿宋" w:eastAsia="仿宋" w:cs="仿宋"/>
          <w:b/>
          <w:color w:val="000000"/>
          <w:sz w:val="28"/>
          <w:lang w:val="en-US" w:eastAsia="zh-CN"/>
        </w:rPr>
        <w:t xml:space="preserve"> </w:t>
      </w:r>
    </w:p>
    <w:bookmarkEnd w:id="47"/>
    <w:p w14:paraId="6D9A7994">
      <w:pPr>
        <w:pageBreakBefore w:val="0"/>
        <w:overflowPunct/>
        <w:topLinePunct w:val="0"/>
        <w:bidi w:val="0"/>
        <w:snapToGrid w:val="0"/>
        <w:spacing w:after="0" w:line="360" w:lineRule="auto"/>
        <w:jc w:val="both"/>
        <w:rPr>
          <w:rFonts w:hint="eastAsia" w:ascii="仿宋" w:hAnsi="仿宋" w:eastAsia="仿宋" w:cs="仿宋"/>
          <w:color w:val="000000"/>
          <w:kern w:val="0"/>
          <w:sz w:val="48"/>
          <w:szCs w:val="48"/>
        </w:rPr>
      </w:pPr>
    </w:p>
    <w:p w14:paraId="0FBDB67F">
      <w:pPr>
        <w:pageBreakBefore w:val="0"/>
        <w:overflowPunct/>
        <w:topLinePunct w:val="0"/>
        <w:bidi w:val="0"/>
        <w:snapToGrid w:val="0"/>
        <w:spacing w:after="0" w:line="360" w:lineRule="auto"/>
        <w:jc w:val="center"/>
        <w:rPr>
          <w:rFonts w:hint="eastAsia" w:ascii="宋体" w:hAnsi="宋体" w:eastAsia="宋体" w:cs="宋体"/>
          <w:color w:val="000000"/>
          <w:sz w:val="48"/>
          <w:szCs w:val="48"/>
          <w:lang w:val="en-US" w:eastAsia="zh-CN"/>
        </w:rPr>
      </w:pPr>
      <w:r>
        <w:rPr>
          <w:rFonts w:hint="eastAsia" w:ascii="宋体" w:hAnsi="宋体" w:eastAsia="宋体" w:cs="宋体"/>
          <w:b/>
          <w:bCs/>
          <w:color w:val="000000"/>
          <w:kern w:val="0"/>
          <w:sz w:val="48"/>
          <w:szCs w:val="48"/>
          <w:lang w:val="en-US" w:eastAsia="zh-CN"/>
        </w:rPr>
        <w:t>北京市南水北调大宁管理处水利工程日常维修养护-水工建筑物维修养护合同</w:t>
      </w:r>
    </w:p>
    <w:p w14:paraId="1D73566D">
      <w:pPr>
        <w:pageBreakBefore w:val="0"/>
        <w:overflowPunct/>
        <w:topLinePunct w:val="0"/>
        <w:bidi w:val="0"/>
        <w:snapToGrid w:val="0"/>
        <w:spacing w:after="0" w:line="360" w:lineRule="auto"/>
        <w:ind w:firstLine="3450" w:firstLineChars="1150"/>
        <w:jc w:val="both"/>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w:t>
      </w:r>
      <w:r>
        <w:rPr>
          <w:rFonts w:hint="eastAsia" w:ascii="宋体" w:hAnsi="宋体" w:eastAsia="宋体" w:cs="宋体"/>
          <w:color w:val="000000"/>
          <w:sz w:val="30"/>
          <w:szCs w:val="30"/>
        </w:rPr>
        <w:t>合同编号</w:t>
      </w:r>
      <w:r>
        <w:rPr>
          <w:rFonts w:hint="eastAsia" w:ascii="宋体" w:hAnsi="宋体" w:eastAsia="宋体" w:cs="宋体"/>
          <w:color w:val="auto"/>
          <w:sz w:val="30"/>
          <w:szCs w:val="30"/>
        </w:rPr>
        <w:t>：</w:t>
      </w:r>
      <w:r>
        <w:rPr>
          <w:rFonts w:hint="eastAsia" w:ascii="宋体" w:hAnsi="宋体" w:cs="宋体"/>
          <w:color w:val="auto"/>
          <w:sz w:val="30"/>
          <w:szCs w:val="30"/>
          <w:lang w:val="en-US" w:eastAsia="zh-CN"/>
        </w:rPr>
        <w:t>）</w:t>
      </w:r>
    </w:p>
    <w:p w14:paraId="1074F41D">
      <w:pPr>
        <w:pageBreakBefore w:val="0"/>
        <w:overflowPunct/>
        <w:topLinePunct w:val="0"/>
        <w:bidi w:val="0"/>
        <w:snapToGrid w:val="0"/>
        <w:spacing w:after="0" w:line="360" w:lineRule="auto"/>
        <w:rPr>
          <w:rFonts w:hint="eastAsia" w:ascii="仿宋" w:hAnsi="仿宋" w:eastAsia="仿宋" w:cs="仿宋"/>
          <w:color w:val="000000"/>
          <w:sz w:val="30"/>
          <w:szCs w:val="30"/>
        </w:rPr>
      </w:pPr>
    </w:p>
    <w:p w14:paraId="6774DB1F">
      <w:pPr>
        <w:pageBreakBefore w:val="0"/>
        <w:overflowPunct/>
        <w:topLinePunct w:val="0"/>
        <w:bidi w:val="0"/>
        <w:snapToGrid w:val="0"/>
        <w:spacing w:after="0" w:line="360" w:lineRule="auto"/>
        <w:rPr>
          <w:rFonts w:hint="eastAsia" w:ascii="仿宋" w:hAnsi="仿宋" w:eastAsia="仿宋" w:cs="仿宋"/>
          <w:color w:val="000000"/>
          <w:sz w:val="30"/>
          <w:szCs w:val="30"/>
        </w:rPr>
      </w:pPr>
    </w:p>
    <w:p w14:paraId="20D58D24">
      <w:pPr>
        <w:pageBreakBefore w:val="0"/>
        <w:overflowPunct/>
        <w:topLinePunct w:val="0"/>
        <w:autoSpaceDE w:val="0"/>
        <w:autoSpaceDN w:val="0"/>
        <w:bidi w:val="0"/>
        <w:snapToGrid w:val="0"/>
        <w:spacing w:after="0" w:line="360" w:lineRule="auto"/>
        <w:ind w:firstLine="1125" w:firstLineChars="375"/>
        <w:jc w:val="left"/>
        <w:rPr>
          <w:rFonts w:hint="eastAsia" w:ascii="仿宋" w:hAnsi="仿宋" w:eastAsia="仿宋" w:cs="仿宋"/>
          <w:color w:val="000000"/>
          <w:kern w:val="0"/>
          <w:sz w:val="30"/>
          <w:szCs w:val="30"/>
        </w:rPr>
      </w:pPr>
    </w:p>
    <w:p w14:paraId="52854C61">
      <w:pPr>
        <w:pageBreakBefore w:val="0"/>
        <w:overflowPunct/>
        <w:topLinePunct w:val="0"/>
        <w:autoSpaceDE w:val="0"/>
        <w:autoSpaceDN w:val="0"/>
        <w:bidi w:val="0"/>
        <w:snapToGrid w:val="0"/>
        <w:spacing w:after="0" w:line="360" w:lineRule="auto"/>
        <w:ind w:firstLine="0" w:firstLineChars="0"/>
        <w:jc w:val="left"/>
        <w:rPr>
          <w:rFonts w:hint="eastAsia" w:ascii="仿宋" w:hAnsi="仿宋" w:eastAsia="仿宋" w:cs="仿宋"/>
          <w:color w:val="000000"/>
          <w:kern w:val="0"/>
          <w:sz w:val="30"/>
          <w:szCs w:val="30"/>
        </w:rPr>
      </w:pPr>
    </w:p>
    <w:p w14:paraId="70DF4C1F">
      <w:pPr>
        <w:pageBreakBefore w:val="0"/>
        <w:overflowPunct/>
        <w:topLinePunct w:val="0"/>
        <w:autoSpaceDE w:val="0"/>
        <w:autoSpaceDN w:val="0"/>
        <w:bidi w:val="0"/>
        <w:snapToGrid w:val="0"/>
        <w:spacing w:after="0" w:line="360" w:lineRule="auto"/>
        <w:jc w:val="left"/>
        <w:rPr>
          <w:rFonts w:hint="eastAsia" w:ascii="仿宋" w:hAnsi="仿宋" w:eastAsia="仿宋" w:cs="仿宋"/>
          <w:color w:val="000000"/>
          <w:kern w:val="0"/>
          <w:sz w:val="30"/>
          <w:szCs w:val="30"/>
        </w:rPr>
      </w:pPr>
    </w:p>
    <w:p w14:paraId="22D6E78D">
      <w:pPr>
        <w:pageBreakBefore w:val="0"/>
        <w:overflowPunct/>
        <w:topLinePunct w:val="0"/>
        <w:autoSpaceDE w:val="0"/>
        <w:autoSpaceDN w:val="0"/>
        <w:bidi w:val="0"/>
        <w:snapToGrid w:val="0"/>
        <w:spacing w:after="0" w:line="360" w:lineRule="auto"/>
        <w:ind w:firstLine="1125" w:firstLineChars="375"/>
        <w:jc w:val="left"/>
        <w:rPr>
          <w:rFonts w:hint="eastAsia" w:ascii="宋体" w:hAnsi="宋体" w:eastAsia="宋体" w:cs="宋体"/>
          <w:color w:val="000000"/>
          <w:kern w:val="0"/>
          <w:sz w:val="30"/>
          <w:szCs w:val="30"/>
        </w:rPr>
      </w:pPr>
    </w:p>
    <w:p w14:paraId="300EBAC9">
      <w:pPr>
        <w:pStyle w:val="7"/>
        <w:pageBreakBefore w:val="0"/>
        <w:overflowPunct/>
        <w:topLinePunct w:val="0"/>
        <w:bidi w:val="0"/>
        <w:snapToGrid w:val="0"/>
        <w:spacing w:after="0"/>
        <w:rPr>
          <w:rFonts w:hint="default" w:ascii="Times New Roman" w:hAnsi="Times New Roman" w:eastAsia="宋体" w:cs="Times New Roman"/>
          <w:kern w:val="2"/>
          <w:sz w:val="21"/>
          <w:szCs w:val="24"/>
        </w:rPr>
      </w:pPr>
    </w:p>
    <w:p w14:paraId="7423BC4A">
      <w:pPr>
        <w:pageBreakBefore w:val="0"/>
        <w:overflowPunct/>
        <w:topLinePunct w:val="0"/>
        <w:autoSpaceDE w:val="0"/>
        <w:autoSpaceDN w:val="0"/>
        <w:bidi w:val="0"/>
        <w:snapToGrid w:val="0"/>
        <w:spacing w:after="0" w:line="360" w:lineRule="auto"/>
        <w:ind w:firstLine="1425" w:firstLineChars="475"/>
        <w:jc w:val="left"/>
        <w:rPr>
          <w:rFonts w:hint="eastAsia" w:ascii="宋体" w:hAnsi="宋体" w:eastAsia="宋体" w:cs="宋体"/>
          <w:color w:val="000000"/>
          <w:sz w:val="30"/>
          <w:szCs w:val="30"/>
        </w:rPr>
      </w:pPr>
      <w:r>
        <w:rPr>
          <w:rFonts w:hint="eastAsia" w:ascii="宋体" w:hAnsi="宋体" w:eastAsia="宋体" w:cs="宋体"/>
          <w:color w:val="000000"/>
          <w:kern w:val="0"/>
          <w:sz w:val="30"/>
          <w:szCs w:val="30"/>
          <w:lang w:val="en-US" w:eastAsia="zh-CN"/>
        </w:rPr>
        <w:t>甲    方</w:t>
      </w:r>
      <w:r>
        <w:rPr>
          <w:rFonts w:hint="eastAsia" w:ascii="宋体" w:hAnsi="宋体" w:eastAsia="宋体" w:cs="宋体"/>
          <w:color w:val="000000"/>
          <w:kern w:val="0"/>
          <w:sz w:val="30"/>
          <w:szCs w:val="30"/>
        </w:rPr>
        <w:t>：北京市</w:t>
      </w:r>
      <w:r>
        <w:rPr>
          <w:rFonts w:hint="eastAsia" w:ascii="宋体" w:hAnsi="宋体" w:eastAsia="宋体" w:cs="宋体"/>
          <w:color w:val="000000"/>
          <w:kern w:val="0"/>
          <w:sz w:val="30"/>
          <w:szCs w:val="30"/>
          <w:lang w:eastAsia="zh-CN"/>
        </w:rPr>
        <w:t>水利工程管理中心</w:t>
      </w:r>
    </w:p>
    <w:p w14:paraId="386A681E">
      <w:pPr>
        <w:pageBreakBefore w:val="0"/>
        <w:overflowPunct/>
        <w:topLinePunct w:val="0"/>
        <w:bidi w:val="0"/>
        <w:snapToGrid w:val="0"/>
        <w:spacing w:after="0" w:line="360" w:lineRule="auto"/>
        <w:ind w:left="1" w:firstLine="1419" w:firstLineChars="473"/>
        <w:rPr>
          <w:rFonts w:hint="eastAsia" w:ascii="宋体" w:hAnsi="宋体" w:eastAsia="宋体" w:cs="宋体"/>
          <w:color w:val="000000"/>
          <w:kern w:val="0"/>
          <w:sz w:val="30"/>
          <w:szCs w:val="30"/>
        </w:rPr>
      </w:pPr>
      <w:r>
        <w:rPr>
          <w:rFonts w:hint="eastAsia" w:ascii="宋体" w:hAnsi="宋体" w:eastAsia="宋体" w:cs="宋体"/>
          <w:color w:val="000000"/>
          <w:sz w:val="30"/>
          <w:szCs w:val="30"/>
          <w:lang w:val="en-US" w:eastAsia="zh-CN"/>
        </w:rPr>
        <w:t>乙    方</w:t>
      </w:r>
      <w:r>
        <w:rPr>
          <w:rFonts w:hint="eastAsia" w:ascii="宋体" w:hAnsi="宋体" w:eastAsia="宋体" w:cs="宋体"/>
          <w:color w:val="000000"/>
          <w:kern w:val="0"/>
          <w:sz w:val="30"/>
          <w:szCs w:val="30"/>
        </w:rPr>
        <w:t>：</w:t>
      </w:r>
    </w:p>
    <w:p w14:paraId="625A9507">
      <w:pPr>
        <w:pageBreakBefore w:val="0"/>
        <w:overflowPunct/>
        <w:topLinePunct w:val="0"/>
        <w:bidi w:val="0"/>
        <w:snapToGrid w:val="0"/>
        <w:spacing w:after="0" w:line="360" w:lineRule="auto"/>
        <w:ind w:left="1" w:leftChars="0" w:firstLine="1419" w:firstLineChars="473"/>
        <w:rPr>
          <w:rFonts w:hint="eastAsia" w:ascii="宋体" w:hAnsi="宋体" w:eastAsia="宋体" w:cs="宋体"/>
          <w:color w:val="000000"/>
          <w:sz w:val="30"/>
          <w:szCs w:val="30"/>
        </w:rPr>
      </w:pPr>
      <w:r>
        <w:rPr>
          <w:rFonts w:hint="eastAsia" w:ascii="宋体" w:hAnsi="宋体" w:eastAsia="宋体" w:cs="宋体"/>
          <w:color w:val="000000"/>
          <w:sz w:val="30"/>
          <w:szCs w:val="30"/>
          <w:lang w:val="en-US" w:eastAsia="zh-CN"/>
        </w:rPr>
        <w:t>签订日期</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lang w:val="en-US" w:eastAsia="zh-CN"/>
        </w:rPr>
        <w:t xml:space="preserve">    </w:t>
      </w:r>
      <w:r>
        <w:rPr>
          <w:rFonts w:hint="eastAsia" w:ascii="宋体" w:hAnsi="宋体" w:eastAsia="宋体" w:cs="宋体"/>
          <w:color w:val="000000"/>
          <w:sz w:val="30"/>
          <w:szCs w:val="30"/>
        </w:rPr>
        <w:t>年  月  日</w:t>
      </w:r>
    </w:p>
    <w:p w14:paraId="6E1A0039">
      <w:pPr>
        <w:pageBreakBefore w:val="0"/>
        <w:overflowPunct/>
        <w:topLinePunct w:val="0"/>
        <w:bidi w:val="0"/>
        <w:snapToGrid w:val="0"/>
        <w:spacing w:after="0" w:line="360" w:lineRule="auto"/>
        <w:jc w:val="center"/>
        <w:rPr>
          <w:rFonts w:hint="eastAsia" w:ascii="仿宋" w:hAnsi="仿宋" w:eastAsia="仿宋" w:cs="仿宋"/>
          <w:b/>
          <w:sz w:val="24"/>
          <w:szCs w:val="24"/>
        </w:rPr>
      </w:pPr>
    </w:p>
    <w:p w14:paraId="166FBC45">
      <w:pPr>
        <w:pageBreakBefore w:val="0"/>
        <w:overflowPunct/>
        <w:topLinePunct w:val="0"/>
        <w:bidi w:val="0"/>
        <w:snapToGrid w:val="0"/>
        <w:spacing w:after="0" w:line="360" w:lineRule="auto"/>
        <w:jc w:val="center"/>
        <w:rPr>
          <w:rFonts w:hint="eastAsia" w:ascii="仿宋" w:hAnsi="仿宋" w:eastAsia="仿宋" w:cs="仿宋"/>
          <w:b/>
          <w:color w:val="auto"/>
          <w:sz w:val="24"/>
          <w:szCs w:val="24"/>
        </w:rPr>
      </w:pPr>
    </w:p>
    <w:p w14:paraId="77B8180B">
      <w:pPr>
        <w:pageBreakBefore w:val="0"/>
        <w:overflowPunct/>
        <w:topLinePunct w:val="0"/>
        <w:bidi w:val="0"/>
        <w:snapToGrid w:val="0"/>
        <w:spacing w:after="0" w:line="360" w:lineRule="auto"/>
        <w:jc w:val="center"/>
        <w:rPr>
          <w:rFonts w:hint="eastAsia" w:ascii="仿宋" w:hAnsi="仿宋" w:eastAsia="仿宋" w:cs="仿宋"/>
          <w:b/>
          <w:color w:val="auto"/>
          <w:sz w:val="24"/>
          <w:szCs w:val="24"/>
        </w:rPr>
        <w:sectPr>
          <w:headerReference r:id="rId12" w:type="default"/>
          <w:pgSz w:w="11907" w:h="16840"/>
          <w:pgMar w:top="1701" w:right="1418" w:bottom="1418" w:left="1701" w:header="851" w:footer="851" w:gutter="0"/>
          <w:pgNumType w:fmt="decimal"/>
          <w:cols w:space="720" w:num="1"/>
          <w:docGrid w:linePitch="462" w:charSpace="0"/>
        </w:sectPr>
      </w:pPr>
    </w:p>
    <w:p w14:paraId="428C8907">
      <w:pPr>
        <w:pageBreakBefore w:val="0"/>
        <w:overflowPunct/>
        <w:topLinePunct w:val="0"/>
        <w:bidi w:val="0"/>
        <w:snapToGrid w:val="0"/>
        <w:spacing w:after="0" w:line="360" w:lineRule="auto"/>
        <w:ind w:firstLine="482" w:firstLineChars="200"/>
        <w:jc w:val="left"/>
        <w:rPr>
          <w:rFonts w:hint="eastAsia" w:ascii="仿宋" w:hAnsi="仿宋" w:eastAsia="仿宋" w:cs="仿宋"/>
          <w:b/>
          <w:bCs/>
          <w:color w:val="000000"/>
          <w:sz w:val="24"/>
        </w:rPr>
      </w:pPr>
      <w:r>
        <w:rPr>
          <w:rFonts w:hint="eastAsia" w:ascii="仿宋" w:hAnsi="仿宋" w:eastAsia="仿宋" w:cs="仿宋"/>
          <w:b/>
          <w:bCs/>
          <w:color w:val="000000"/>
          <w:sz w:val="24"/>
        </w:rPr>
        <w:t>甲      方：北京市</w:t>
      </w:r>
      <w:r>
        <w:rPr>
          <w:rFonts w:hint="eastAsia" w:ascii="仿宋" w:hAnsi="仿宋" w:eastAsia="仿宋" w:cs="仿宋"/>
          <w:b/>
          <w:bCs/>
          <w:color w:val="000000"/>
          <w:sz w:val="24"/>
          <w:lang w:eastAsia="zh-CN"/>
        </w:rPr>
        <w:t>水利工程管理中心</w:t>
      </w:r>
      <w:r>
        <w:rPr>
          <w:rFonts w:hint="eastAsia" w:ascii="仿宋" w:hAnsi="仿宋" w:eastAsia="仿宋" w:cs="仿宋"/>
          <w:b/>
          <w:bCs/>
          <w:color w:val="000000"/>
          <w:sz w:val="24"/>
        </w:rPr>
        <w:t xml:space="preserve">    </w:t>
      </w:r>
    </w:p>
    <w:p w14:paraId="01E06EB4">
      <w:pPr>
        <w:pageBreakBefore w:val="0"/>
        <w:overflowPunct/>
        <w:topLinePunct w:val="0"/>
        <w:bidi w:val="0"/>
        <w:snapToGrid w:val="0"/>
        <w:spacing w:after="0" w:line="360" w:lineRule="auto"/>
        <w:ind w:firstLine="480" w:firstLineChars="200"/>
        <w:jc w:val="left"/>
        <w:rPr>
          <w:rFonts w:hint="eastAsia" w:ascii="仿宋" w:hAnsi="仿宋" w:eastAsia="仿宋" w:cs="仿宋"/>
          <w:color w:val="000000"/>
          <w:sz w:val="24"/>
          <w:lang w:eastAsia="zh-CN"/>
        </w:rPr>
      </w:pPr>
      <w:r>
        <w:rPr>
          <w:rFonts w:hint="eastAsia" w:ascii="仿宋" w:hAnsi="仿宋" w:eastAsia="仿宋" w:cs="仿宋"/>
          <w:color w:val="000000"/>
          <w:sz w:val="24"/>
        </w:rPr>
        <w:t>法定代表人：</w:t>
      </w:r>
      <w:r>
        <w:rPr>
          <w:rFonts w:hint="eastAsia" w:ascii="仿宋" w:hAnsi="仿宋" w:eastAsia="仿宋" w:cs="仿宋"/>
          <w:color w:val="000000"/>
          <w:sz w:val="24"/>
          <w:lang w:eastAsia="zh-CN"/>
        </w:rPr>
        <w:t>易忠</w:t>
      </w:r>
    </w:p>
    <w:p w14:paraId="4DF13832">
      <w:pPr>
        <w:pageBreakBefore w:val="0"/>
        <w:overflowPunct/>
        <w:topLinePunct w:val="0"/>
        <w:bidi w:val="0"/>
        <w:snapToGrid w:val="0"/>
        <w:spacing w:after="0" w:line="360" w:lineRule="auto"/>
        <w:ind w:firstLine="480" w:firstLineChars="200"/>
        <w:jc w:val="left"/>
        <w:rPr>
          <w:rFonts w:hint="eastAsia" w:ascii="仿宋" w:hAnsi="仿宋" w:eastAsia="仿宋" w:cs="仿宋"/>
          <w:color w:val="000000"/>
          <w:sz w:val="24"/>
        </w:rPr>
      </w:pPr>
      <w:r>
        <w:rPr>
          <w:rFonts w:hint="eastAsia" w:ascii="仿宋" w:hAnsi="仿宋" w:eastAsia="仿宋" w:cs="仿宋"/>
          <w:color w:val="000000"/>
          <w:sz w:val="24"/>
        </w:rPr>
        <w:t>住  所  地：北京市</w:t>
      </w:r>
      <w:r>
        <w:rPr>
          <w:rFonts w:hint="eastAsia" w:ascii="仿宋" w:hAnsi="仿宋" w:eastAsia="仿宋" w:cs="仿宋"/>
          <w:color w:val="000000"/>
          <w:sz w:val="24"/>
          <w:lang w:eastAsia="zh-CN"/>
        </w:rPr>
        <w:t>海淀区</w:t>
      </w:r>
      <w:r>
        <w:rPr>
          <w:rFonts w:hint="eastAsia" w:ascii="仿宋" w:hAnsi="仿宋" w:eastAsia="仿宋" w:cs="仿宋"/>
          <w:color w:val="000000"/>
          <w:sz w:val="24"/>
          <w:lang w:val="en-US" w:eastAsia="zh-CN"/>
        </w:rPr>
        <w:t>翠微</w:t>
      </w:r>
      <w:r>
        <w:rPr>
          <w:rFonts w:hint="eastAsia" w:ascii="仿宋" w:hAnsi="仿宋" w:eastAsia="仿宋" w:cs="仿宋"/>
          <w:color w:val="000000"/>
          <w:sz w:val="24"/>
          <w:lang w:eastAsia="zh-CN"/>
        </w:rPr>
        <w:t>路甲</w:t>
      </w:r>
      <w:r>
        <w:rPr>
          <w:rFonts w:hint="eastAsia" w:ascii="仿宋" w:hAnsi="仿宋" w:eastAsia="仿宋" w:cs="仿宋"/>
          <w:color w:val="000000"/>
          <w:sz w:val="24"/>
          <w:lang w:val="en-US" w:eastAsia="zh-CN"/>
        </w:rPr>
        <w:t>3</w:t>
      </w:r>
      <w:r>
        <w:rPr>
          <w:rFonts w:hint="eastAsia" w:ascii="仿宋" w:hAnsi="仿宋" w:eastAsia="仿宋" w:cs="仿宋"/>
          <w:color w:val="000000"/>
          <w:sz w:val="24"/>
        </w:rPr>
        <w:t>号</w:t>
      </w:r>
    </w:p>
    <w:p w14:paraId="47FD23C3">
      <w:pPr>
        <w:pStyle w:val="7"/>
        <w:pageBreakBefore w:val="0"/>
        <w:overflowPunct/>
        <w:topLinePunct w:val="0"/>
        <w:bidi w:val="0"/>
        <w:snapToGrid w:val="0"/>
        <w:spacing w:after="0"/>
        <w:ind w:firstLine="480"/>
        <w:rPr>
          <w:rFonts w:ascii="仿宋" w:hAnsi="仿宋" w:eastAsia="仿宋" w:cs="仿宋"/>
          <w:color w:val="000000"/>
          <w:sz w:val="24"/>
          <w:lang w:val="en-US" w:eastAsia="zh-CN"/>
        </w:rPr>
      </w:pPr>
      <w:r>
        <w:rPr>
          <w:rFonts w:hint="eastAsia" w:ascii="仿宋" w:hAnsi="仿宋" w:eastAsia="仿宋" w:cs="仿宋"/>
          <w:color w:val="000000"/>
          <w:sz w:val="24"/>
        </w:rPr>
        <w:t>电      话：</w:t>
      </w:r>
      <w:r>
        <w:rPr>
          <w:rFonts w:hint="eastAsia" w:ascii="仿宋" w:hAnsi="仿宋" w:eastAsia="仿宋" w:cs="仿宋"/>
          <w:color w:val="000000"/>
          <w:sz w:val="24"/>
          <w:lang w:val="en-US" w:eastAsia="zh-CN"/>
        </w:rPr>
        <w:t>010-80364712</w:t>
      </w:r>
    </w:p>
    <w:p w14:paraId="69574A07">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lang w:eastAsia="zh-CN"/>
        </w:rPr>
      </w:pPr>
    </w:p>
    <w:p w14:paraId="2D86F0A3">
      <w:pPr>
        <w:pageBreakBefore w:val="0"/>
        <w:overflowPunct/>
        <w:topLinePunct w:val="0"/>
        <w:bidi w:val="0"/>
        <w:snapToGrid w:val="0"/>
        <w:spacing w:after="0" w:line="360" w:lineRule="auto"/>
        <w:ind w:firstLine="482" w:firstLineChars="200"/>
        <w:rPr>
          <w:rFonts w:ascii="仿宋" w:hAnsi="仿宋" w:eastAsia="仿宋" w:cs="仿宋"/>
          <w:b/>
          <w:bCs/>
          <w:color w:val="000000"/>
          <w:kern w:val="2"/>
          <w:sz w:val="24"/>
          <w:szCs w:val="24"/>
          <w:u w:val="single"/>
          <w:lang w:eastAsia="zh-CN"/>
        </w:rPr>
      </w:pPr>
      <w:r>
        <w:rPr>
          <w:rFonts w:hint="eastAsia" w:ascii="仿宋" w:hAnsi="仿宋" w:eastAsia="仿宋" w:cs="仿宋"/>
          <w:b/>
          <w:bCs/>
          <w:color w:val="000000"/>
          <w:kern w:val="2"/>
          <w:sz w:val="24"/>
          <w:szCs w:val="24"/>
          <w:lang w:eastAsia="zh-CN"/>
        </w:rPr>
        <w:t>乙      方：</w:t>
      </w:r>
    </w:p>
    <w:p w14:paraId="14224BDF">
      <w:pPr>
        <w:pageBreakBefore w:val="0"/>
        <w:overflowPunct/>
        <w:topLinePunct w:val="0"/>
        <w:bidi w:val="0"/>
        <w:snapToGrid w:val="0"/>
        <w:spacing w:after="0" w:line="360" w:lineRule="auto"/>
        <w:ind w:firstLine="480" w:firstLineChars="200"/>
        <w:jc w:val="left"/>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法定代表人：</w:t>
      </w:r>
    </w:p>
    <w:p w14:paraId="528E361E">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u w:val="single"/>
          <w:lang w:eastAsia="zh-CN"/>
        </w:rPr>
      </w:pPr>
      <w:r>
        <w:rPr>
          <w:rFonts w:hint="eastAsia" w:ascii="仿宋" w:hAnsi="仿宋" w:eastAsia="仿宋" w:cs="仿宋"/>
          <w:color w:val="000000"/>
          <w:kern w:val="2"/>
          <w:sz w:val="24"/>
          <w:szCs w:val="24"/>
          <w:lang w:eastAsia="zh-CN"/>
        </w:rPr>
        <w:t>住  所  地：</w:t>
      </w:r>
    </w:p>
    <w:p w14:paraId="56151521">
      <w:pPr>
        <w:pageBreakBefore w:val="0"/>
        <w:overflowPunct/>
        <w:topLinePunct w:val="0"/>
        <w:bidi w:val="0"/>
        <w:snapToGrid w:val="0"/>
        <w:spacing w:after="0" w:line="360" w:lineRule="auto"/>
        <w:ind w:firstLine="480" w:firstLineChars="200"/>
        <w:rPr>
          <w:rFonts w:ascii="仿宋" w:hAnsi="仿宋" w:eastAsia="仿宋" w:cs="仿宋"/>
          <w:color w:val="000000"/>
          <w:kern w:val="2"/>
          <w:sz w:val="24"/>
          <w:szCs w:val="24"/>
          <w:lang w:eastAsia="zh-CN"/>
        </w:rPr>
      </w:pPr>
      <w:r>
        <w:rPr>
          <w:rFonts w:hint="eastAsia" w:ascii="仿宋" w:hAnsi="仿宋" w:eastAsia="仿宋" w:cs="仿宋"/>
          <w:color w:val="000000"/>
          <w:kern w:val="2"/>
          <w:sz w:val="24"/>
          <w:szCs w:val="24"/>
          <w:lang w:eastAsia="zh-CN"/>
        </w:rPr>
        <w:t>电      话：</w:t>
      </w:r>
    </w:p>
    <w:p w14:paraId="0B2B4883">
      <w:pPr>
        <w:pStyle w:val="7"/>
        <w:pageBreakBefore w:val="0"/>
        <w:overflowPunct/>
        <w:topLinePunct w:val="0"/>
        <w:bidi w:val="0"/>
        <w:snapToGrid w:val="0"/>
        <w:spacing w:after="0"/>
        <w:rPr>
          <w:rFonts w:ascii="仿宋" w:hAnsi="仿宋" w:eastAsia="仿宋" w:cs="仿宋"/>
          <w:lang w:eastAsia="zh-CN"/>
        </w:rPr>
      </w:pPr>
    </w:p>
    <w:p w14:paraId="60DA19FD">
      <w:pPr>
        <w:pageBreakBefore w:val="0"/>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000000"/>
          <w:sz w:val="24"/>
          <w:lang w:eastAsia="zh-CN"/>
        </w:rPr>
        <w:t>根</w:t>
      </w:r>
      <w:r>
        <w:rPr>
          <w:rFonts w:hint="eastAsia" w:ascii="仿宋" w:hAnsi="仿宋" w:eastAsia="仿宋" w:cs="仿宋"/>
          <w:color w:val="auto"/>
          <w:sz w:val="24"/>
          <w:highlight w:val="none"/>
          <w:lang w:eastAsia="zh-CN"/>
        </w:rPr>
        <w:t>根据《中华人民共和国民法典》等法律法规的规定，甲乙双方在平等、自愿、公平、诚实、守信的基础上，通过</w:t>
      </w:r>
      <w:r>
        <w:rPr>
          <w:rFonts w:hint="eastAsia" w:ascii="方正仿宋_GBK" w:hAnsi="方正仿宋_GBK" w:eastAsia="方正仿宋_GBK" w:cs="方正仿宋_GBK"/>
          <w:color w:val="auto"/>
          <w:spacing w:val="2"/>
          <w:sz w:val="23"/>
          <w:szCs w:val="23"/>
          <w:highlight w:val="none"/>
          <w:lang w:eastAsia="zh-CN"/>
        </w:rPr>
        <w:t>公开招标</w:t>
      </w:r>
      <w:r>
        <w:rPr>
          <w:rFonts w:hint="eastAsia" w:ascii="仿宋" w:hAnsi="仿宋" w:eastAsia="仿宋" w:cs="仿宋"/>
          <w:color w:val="auto"/>
          <w:sz w:val="24"/>
          <w:highlight w:val="none"/>
          <w:lang w:eastAsia="zh-CN"/>
        </w:rPr>
        <w:t>的方式，就</w:t>
      </w:r>
      <w:r>
        <w:rPr>
          <w:rFonts w:hint="eastAsia" w:ascii="仿宋" w:hAnsi="仿宋" w:eastAsia="仿宋" w:cs="仿宋"/>
          <w:color w:val="auto"/>
          <w:sz w:val="24"/>
          <w:highlight w:val="none"/>
          <w:u w:val="single"/>
          <w:lang w:val="en-US" w:eastAsia="zh-CN"/>
        </w:rPr>
        <w:t>北京市南水北调大宁管理处水利工程日常维修养护-水工建筑物维修养护</w:t>
      </w:r>
      <w:r>
        <w:rPr>
          <w:rFonts w:hint="eastAsia" w:ascii="仿宋" w:hAnsi="仿宋" w:eastAsia="仿宋" w:cs="仿宋"/>
          <w:color w:val="auto"/>
          <w:sz w:val="24"/>
          <w:highlight w:val="none"/>
          <w:lang w:eastAsia="zh-CN"/>
        </w:rPr>
        <w:t>项目相关事宜，协商一致签订本合同，以资双方共同信守。</w:t>
      </w:r>
    </w:p>
    <w:p w14:paraId="28B7314B">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p>
    <w:p w14:paraId="54B63FE7">
      <w:pPr>
        <w:pStyle w:val="5"/>
        <w:pageBreakBefore w:val="0"/>
        <w:tabs>
          <w:tab w:val="left" w:pos="540"/>
        </w:tabs>
        <w:overflowPunct/>
        <w:topLinePunct w:val="0"/>
        <w:bidi w:val="0"/>
        <w:snapToGrid w:val="0"/>
        <w:spacing w:before="0" w:after="0" w:line="460" w:lineRule="exact"/>
        <w:ind w:firstLine="361" w:firstLineChars="15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第一条 项目概况</w:t>
      </w:r>
    </w:p>
    <w:p w14:paraId="6016ABE9">
      <w:pPr>
        <w:pStyle w:val="5"/>
        <w:pageBreakBefore w:val="0"/>
        <w:tabs>
          <w:tab w:val="left" w:pos="540"/>
        </w:tabs>
        <w:overflowPunct/>
        <w:topLinePunct w:val="0"/>
        <w:bidi w:val="0"/>
        <w:snapToGrid w:val="0"/>
        <w:spacing w:before="0" w:after="0" w:line="460" w:lineRule="exact"/>
        <w:ind w:firstLine="360" w:firstLineChars="150"/>
        <w:jc w:val="left"/>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（一）项目名称：</w:t>
      </w:r>
      <w:r>
        <w:rPr>
          <w:rFonts w:hint="eastAsia" w:ascii="仿宋" w:hAnsi="仿宋" w:eastAsia="仿宋" w:cs="仿宋"/>
          <w:b w:val="0"/>
          <w:color w:val="auto"/>
          <w:sz w:val="24"/>
          <w:szCs w:val="24"/>
          <w:highlight w:val="none"/>
          <w:u w:val="none"/>
          <w:lang w:val="en-US" w:eastAsia="zh-CN"/>
        </w:rPr>
        <w:t>北京市南水北调大宁管理处水利工程日常维修养护-水工建筑物维修养护。</w:t>
      </w:r>
    </w:p>
    <w:p w14:paraId="3AA94FDB">
      <w:pPr>
        <w:pStyle w:val="5"/>
        <w:pageBreakBefore w:val="0"/>
        <w:tabs>
          <w:tab w:val="left" w:pos="540"/>
        </w:tabs>
        <w:overflowPunct/>
        <w:topLinePunct w:val="0"/>
        <w:bidi w:val="0"/>
        <w:snapToGrid w:val="0"/>
        <w:spacing w:before="0" w:after="0" w:line="460" w:lineRule="exact"/>
        <w:ind w:firstLine="360" w:firstLineChars="150"/>
        <w:jc w:val="both"/>
        <w:rPr>
          <w:rFonts w:ascii="仿宋" w:hAnsi="仿宋" w:eastAsia="仿宋" w:cs="仿宋"/>
          <w:b w:val="0"/>
          <w:color w:val="auto"/>
          <w:sz w:val="24"/>
          <w:szCs w:val="24"/>
          <w:highlight w:val="none"/>
          <w:u w:val="none"/>
          <w:lang w:eastAsia="zh-CN"/>
        </w:rPr>
      </w:pPr>
      <w:r>
        <w:rPr>
          <w:rFonts w:hint="eastAsia" w:ascii="仿宋" w:hAnsi="仿宋" w:eastAsia="仿宋" w:cs="仿宋"/>
          <w:b w:val="0"/>
          <w:color w:val="auto"/>
          <w:sz w:val="24"/>
          <w:szCs w:val="24"/>
          <w:highlight w:val="none"/>
          <w:u w:val="none"/>
          <w:lang w:eastAsia="zh-CN"/>
        </w:rPr>
        <w:t>（二）项目位置：北京市丰台区、房山区和门头沟区甲方分支机构北京市南水北调大宁管理处所辖范围内。</w:t>
      </w:r>
    </w:p>
    <w:p w14:paraId="31C470A8">
      <w:pPr>
        <w:pStyle w:val="6"/>
        <w:pageBreakBefore w:val="0"/>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（三）</w:t>
      </w:r>
      <w:r>
        <w:rPr>
          <w:rFonts w:hint="eastAsia" w:ascii="仿宋" w:hAnsi="仿宋" w:eastAsia="仿宋" w:cs="仿宋"/>
          <w:bCs/>
          <w:color w:val="auto"/>
          <w:sz w:val="24"/>
          <w:szCs w:val="24"/>
          <w:highlight w:val="none"/>
          <w:lang w:eastAsia="zh-CN"/>
        </w:rPr>
        <w:t>项目内容</w:t>
      </w:r>
      <w:r>
        <w:rPr>
          <w:rFonts w:hint="eastAsia" w:ascii="仿宋" w:hAnsi="仿宋" w:eastAsia="仿宋" w:cs="仿宋"/>
          <w:bCs/>
          <w:color w:val="auto"/>
          <w:sz w:val="24"/>
          <w:szCs w:val="24"/>
          <w:highlight w:val="none"/>
        </w:rPr>
        <w:t>：</w:t>
      </w:r>
      <w:r>
        <w:rPr>
          <w:rFonts w:hint="eastAsia" w:ascii="仿宋" w:hAnsi="仿宋" w:eastAsia="仿宋" w:cs="仿宋"/>
          <w:b w:val="0"/>
          <w:color w:val="auto"/>
          <w:sz w:val="24"/>
          <w:szCs w:val="24"/>
          <w:highlight w:val="none"/>
          <w:u w:val="none"/>
          <w:lang w:eastAsia="zh-CN"/>
        </w:rPr>
        <w:t>大宁调蓄水库工程、</w:t>
      </w:r>
      <w:r>
        <w:rPr>
          <w:rFonts w:hint="eastAsia" w:ascii="仿宋" w:hAnsi="仿宋" w:eastAsia="仿宋" w:cs="仿宋"/>
          <w:bCs/>
          <w:color w:val="auto"/>
          <w:sz w:val="24"/>
          <w:szCs w:val="24"/>
          <w:highlight w:val="none"/>
          <w:lang w:eastAsia="zh-CN"/>
        </w:rPr>
        <w:t>河西支线工程</w:t>
      </w:r>
      <w:r>
        <w:rPr>
          <w:rFonts w:hint="eastAsia" w:ascii="仿宋" w:hAnsi="仿宋" w:eastAsia="仿宋" w:cs="仿宋"/>
          <w:color w:val="auto"/>
          <w:kern w:val="2"/>
          <w:sz w:val="24"/>
          <w:szCs w:val="24"/>
          <w:highlight w:val="none"/>
          <w:lang w:eastAsia="zh-CN"/>
        </w:rPr>
        <w:t>、大宁调度中心</w:t>
      </w:r>
      <w:r>
        <w:rPr>
          <w:rFonts w:hint="eastAsia" w:ascii="仿宋" w:hAnsi="仿宋" w:eastAsia="仿宋" w:cs="仿宋"/>
          <w:color w:val="auto"/>
          <w:kern w:val="2"/>
          <w:sz w:val="24"/>
          <w:szCs w:val="24"/>
          <w:highlight w:val="none"/>
          <w:lang w:val="en-US" w:eastAsia="zh-CN"/>
        </w:rPr>
        <w:t>水工建筑物和工程设施的运行检查、缺陷处理和日常维修养护</w:t>
      </w:r>
      <w:r>
        <w:rPr>
          <w:rFonts w:hint="eastAsia" w:ascii="仿宋" w:hAnsi="仿宋" w:eastAsia="仿宋" w:cs="仿宋"/>
          <w:color w:val="auto"/>
          <w:sz w:val="24"/>
          <w:highlight w:val="none"/>
          <w:lang w:eastAsia="zh-CN"/>
        </w:rPr>
        <w:t>。</w:t>
      </w:r>
    </w:p>
    <w:p w14:paraId="13CF5DAB">
      <w:pPr>
        <w:pStyle w:val="5"/>
        <w:pageBreakBefore w:val="0"/>
        <w:tabs>
          <w:tab w:val="left" w:pos="540"/>
        </w:tabs>
        <w:overflowPunct/>
        <w:topLinePunct w:val="0"/>
        <w:bidi w:val="0"/>
        <w:snapToGrid w:val="0"/>
        <w:spacing w:before="0" w:after="0" w:line="460" w:lineRule="exact"/>
        <w:ind w:firstLine="361" w:firstLineChars="150"/>
        <w:jc w:val="both"/>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none"/>
          <w:lang w:eastAsia="zh-CN"/>
        </w:rPr>
        <w:t>第二条 服务的内容、要求</w:t>
      </w:r>
    </w:p>
    <w:p w14:paraId="022C829A">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（一）服务内容</w:t>
      </w:r>
    </w:p>
    <w:p w14:paraId="229B39BE">
      <w:pPr>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大宁调蓄水库工程，河西支线工程、大宁调度中心</w:t>
      </w:r>
      <w:r>
        <w:rPr>
          <w:rFonts w:hint="eastAsia" w:ascii="仿宋" w:hAnsi="仿宋" w:eastAsia="仿宋" w:cs="仿宋"/>
          <w:color w:val="auto"/>
          <w:kern w:val="2"/>
          <w:sz w:val="24"/>
          <w:szCs w:val="24"/>
          <w:highlight w:val="none"/>
          <w:lang w:val="en-US" w:eastAsia="zh-CN"/>
        </w:rPr>
        <w:t>水工建筑物和工程设施的运行检查、缺陷处理和日常维修养护</w:t>
      </w:r>
      <w:r>
        <w:rPr>
          <w:rFonts w:hint="eastAsia" w:ascii="仿宋" w:hAnsi="仿宋" w:eastAsia="仿宋" w:cs="仿宋"/>
          <w:color w:val="auto"/>
          <w:kern w:val="2"/>
          <w:sz w:val="24"/>
          <w:szCs w:val="24"/>
          <w:highlight w:val="none"/>
          <w:lang w:eastAsia="zh-CN"/>
        </w:rPr>
        <w:t>。</w:t>
      </w:r>
    </w:p>
    <w:p w14:paraId="4AA0C96D">
      <w:pPr>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大宁调蓄水库工程</w:t>
      </w:r>
      <w:r>
        <w:rPr>
          <w:rFonts w:hint="eastAsia" w:ascii="仿宋" w:hAnsi="仿宋" w:eastAsia="仿宋" w:cs="仿宋"/>
          <w:color w:val="auto"/>
          <w:kern w:val="2"/>
          <w:sz w:val="24"/>
          <w:szCs w:val="24"/>
          <w:highlight w:val="none"/>
          <w:lang w:val="en-US" w:eastAsia="zh-CN"/>
        </w:rPr>
        <w:t>水工建筑物</w:t>
      </w:r>
      <w:r>
        <w:rPr>
          <w:rFonts w:hint="eastAsia" w:ascii="仿宋" w:hAnsi="仿宋" w:eastAsia="仿宋" w:cs="仿宋"/>
          <w:color w:val="auto"/>
          <w:kern w:val="2"/>
          <w:sz w:val="24"/>
          <w:szCs w:val="24"/>
          <w:highlight w:val="none"/>
          <w:lang w:eastAsia="zh-CN"/>
        </w:rPr>
        <w:t>的</w:t>
      </w:r>
      <w:r>
        <w:rPr>
          <w:rFonts w:hint="eastAsia" w:ascii="仿宋" w:hAnsi="仿宋" w:eastAsia="仿宋" w:cs="仿宋"/>
          <w:color w:val="auto"/>
          <w:kern w:val="2"/>
          <w:sz w:val="24"/>
          <w:szCs w:val="24"/>
          <w:highlight w:val="none"/>
          <w:lang w:val="en-US" w:eastAsia="zh-CN"/>
        </w:rPr>
        <w:t xml:space="preserve">维修养护主要包括：泵站工程维修养护、节制闸工程维修养护、橡胶坝工程维修养护、护坡维护、阀井建筑物维护。 </w:t>
      </w:r>
    </w:p>
    <w:p w14:paraId="3D6956DD">
      <w:pPr>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eastAsia="zh-CN"/>
        </w:rPr>
        <w:t>河西支线工程</w:t>
      </w:r>
      <w:r>
        <w:rPr>
          <w:rFonts w:hint="eastAsia" w:ascii="仿宋" w:hAnsi="仿宋" w:eastAsia="仿宋" w:cs="仿宋"/>
          <w:color w:val="auto"/>
          <w:kern w:val="2"/>
          <w:sz w:val="24"/>
          <w:szCs w:val="24"/>
          <w:highlight w:val="none"/>
          <w:lang w:val="en-US" w:eastAsia="zh-CN"/>
        </w:rPr>
        <w:t>水工建筑物</w:t>
      </w:r>
      <w:r>
        <w:rPr>
          <w:rFonts w:hint="eastAsia" w:ascii="仿宋" w:hAnsi="仿宋" w:eastAsia="仿宋" w:cs="仿宋"/>
          <w:color w:val="auto"/>
          <w:kern w:val="2"/>
          <w:sz w:val="24"/>
          <w:szCs w:val="24"/>
          <w:highlight w:val="none"/>
          <w:lang w:eastAsia="zh-CN"/>
        </w:rPr>
        <w:t>的</w:t>
      </w:r>
      <w:r>
        <w:rPr>
          <w:rFonts w:hint="eastAsia" w:ascii="仿宋" w:hAnsi="仿宋" w:eastAsia="仿宋" w:cs="仿宋"/>
          <w:color w:val="auto"/>
          <w:kern w:val="2"/>
          <w:sz w:val="24"/>
          <w:szCs w:val="24"/>
          <w:highlight w:val="none"/>
          <w:lang w:val="en-US" w:eastAsia="zh-CN"/>
        </w:rPr>
        <w:t>维修养护主要包括：</w:t>
      </w:r>
      <w:r>
        <w:rPr>
          <w:rFonts w:hint="eastAsia" w:ascii="仿宋" w:hAnsi="仿宋" w:eastAsia="仿宋" w:cs="仿宋"/>
          <w:color w:val="auto"/>
          <w:kern w:val="2"/>
          <w:sz w:val="24"/>
          <w:szCs w:val="24"/>
          <w:lang w:eastAsia="zh-CN"/>
        </w:rPr>
        <w:t>中堤泵站、园博泵站</w:t>
      </w:r>
      <w:r>
        <w:rPr>
          <w:rFonts w:hint="eastAsia" w:ascii="仿宋" w:hAnsi="仿宋" w:eastAsia="仿宋" w:cs="仿宋"/>
          <w:bCs/>
          <w:color w:val="auto"/>
          <w:sz w:val="24"/>
          <w:szCs w:val="24"/>
          <w:highlight w:val="none"/>
          <w:lang w:val="en-US" w:eastAsia="zh-CN"/>
        </w:rPr>
        <w:t>及其相关管线的</w:t>
      </w:r>
      <w:r>
        <w:rPr>
          <w:rFonts w:hint="eastAsia" w:ascii="仿宋" w:hAnsi="仿宋" w:eastAsia="仿宋" w:cs="仿宋"/>
          <w:color w:val="auto"/>
          <w:kern w:val="2"/>
          <w:sz w:val="24"/>
          <w:szCs w:val="24"/>
          <w:highlight w:val="none"/>
          <w:lang w:val="en-US" w:eastAsia="zh-CN"/>
        </w:rPr>
        <w:t>建筑物维护。</w:t>
      </w:r>
    </w:p>
    <w:p w14:paraId="638C9C6A">
      <w:pPr>
        <w:pStyle w:val="7"/>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大宁调度中心水工建筑物</w:t>
      </w:r>
      <w:r>
        <w:rPr>
          <w:rFonts w:hint="eastAsia" w:ascii="仿宋" w:hAnsi="仿宋" w:eastAsia="仿宋" w:cs="仿宋"/>
          <w:color w:val="auto"/>
          <w:kern w:val="2"/>
          <w:sz w:val="24"/>
          <w:szCs w:val="24"/>
          <w:highlight w:val="none"/>
          <w:lang w:eastAsia="zh-CN"/>
        </w:rPr>
        <w:t>的</w:t>
      </w:r>
      <w:r>
        <w:rPr>
          <w:rFonts w:hint="eastAsia" w:ascii="仿宋" w:hAnsi="仿宋" w:eastAsia="仿宋" w:cs="仿宋"/>
          <w:color w:val="auto"/>
          <w:kern w:val="2"/>
          <w:sz w:val="24"/>
          <w:szCs w:val="24"/>
          <w:highlight w:val="none"/>
          <w:lang w:val="en-US" w:eastAsia="zh-CN"/>
        </w:rPr>
        <w:t xml:space="preserve">维修养护主要包括：大宁调度中心工程设施运行维护。 </w:t>
      </w:r>
    </w:p>
    <w:p w14:paraId="1E01D651">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（二）服务要求</w:t>
      </w:r>
    </w:p>
    <w:p w14:paraId="0AFB888E">
      <w:pPr>
        <w:pageBreakBefore w:val="0"/>
        <w:overflowPunct/>
        <w:topLinePunct w:val="0"/>
        <w:bidi w:val="0"/>
        <w:snapToGrid w:val="0"/>
        <w:spacing w:after="0" w:line="360" w:lineRule="auto"/>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1、保障大宁调蓄水库工程，河西支线工程、大宁调度中心的水工建筑物和工程设施正常安全运行，包括水工建筑物的运行检查、缺陷处理和日常维护养护。</w:t>
      </w:r>
    </w:p>
    <w:p w14:paraId="50353DA7">
      <w:pPr>
        <w:spacing w:line="360" w:lineRule="auto"/>
        <w:ind w:firstLine="480" w:firstLineChars="200"/>
        <w:rPr>
          <w:rFonts w:hint="eastAsia"/>
          <w:highlight w:val="none"/>
          <w:lang w:val="en-US" w:eastAsia="zh-CN"/>
        </w:rPr>
      </w:pPr>
      <w:r>
        <w:rPr>
          <w:rFonts w:hint="eastAsia" w:ascii="仿宋" w:hAnsi="仿宋" w:eastAsia="仿宋" w:cs="仿宋"/>
          <w:color w:val="auto"/>
          <w:kern w:val="2"/>
          <w:sz w:val="24"/>
          <w:szCs w:val="24"/>
          <w:highlight w:val="none"/>
          <w:lang w:val="en-US" w:eastAsia="zh-CN"/>
        </w:rPr>
        <w:t>2、供应商应具备水利水电工程施工总承包三级（含）以上资质，拟任项目经理需具有水利行业中级及以上职称。</w:t>
      </w:r>
    </w:p>
    <w:p w14:paraId="7AF96DD1">
      <w:pPr>
        <w:pStyle w:val="7"/>
        <w:pageBreakBefore w:val="0"/>
        <w:numPr>
          <w:ilvl w:val="0"/>
          <w:numId w:val="0"/>
        </w:numPr>
        <w:overflowPunct/>
        <w:topLinePunct w:val="0"/>
        <w:bidi w:val="0"/>
        <w:snapToGrid w:val="0"/>
        <w:spacing w:after="0"/>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sz w:val="24"/>
          <w:szCs w:val="24"/>
          <w:highlight w:val="none"/>
          <w:lang w:val="en-US" w:eastAsia="zh-CN"/>
        </w:rPr>
        <w:t>3、实施过程中，严格执行相关规范要求，确保工作频次，工作质量。及时对损坏设备设施进行维修，保证设备设施完好、正常使用。</w:t>
      </w:r>
    </w:p>
    <w:p w14:paraId="340B6881">
      <w:pPr>
        <w:pStyle w:val="7"/>
        <w:pageBreakBefore w:val="0"/>
        <w:numPr>
          <w:ilvl w:val="-1"/>
          <w:numId w:val="0"/>
        </w:numPr>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4、建立相应的管理组织机构，配备足够的岗位服务人员，各岗位人员不得交叉。</w:t>
      </w:r>
    </w:p>
    <w:p w14:paraId="74BFD17F">
      <w:pPr>
        <w:pStyle w:val="7"/>
        <w:pageBreakBefore w:val="0"/>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5、项目实施所需物资与投标文件一致，接受甲方合理要求。 </w:t>
      </w:r>
    </w:p>
    <w:p w14:paraId="13B296D9">
      <w:pPr>
        <w:pStyle w:val="7"/>
        <w:pageBreakBefore w:val="0"/>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6、乙方需在合同签约日开始进场服务。</w:t>
      </w:r>
    </w:p>
    <w:p w14:paraId="46FA60DA">
      <w:pPr>
        <w:pageBreakBefore w:val="0"/>
        <w:overflowPunct/>
        <w:topLinePunct w:val="0"/>
        <w:bidi w:val="0"/>
        <w:snapToGrid w:val="0"/>
        <w:spacing w:after="0" w:line="460" w:lineRule="exact"/>
        <w:ind w:firstLine="480" w:firstLineChars="200"/>
      </w:pPr>
      <w:r>
        <w:rPr>
          <w:rFonts w:hint="eastAsia" w:ascii="仿宋" w:hAnsi="仿宋" w:eastAsia="仿宋" w:cs="仿宋"/>
          <w:color w:val="auto"/>
          <w:sz w:val="24"/>
          <w:szCs w:val="24"/>
          <w:highlight w:val="none"/>
          <w:lang w:val="en-US" w:eastAsia="zh-CN"/>
        </w:rPr>
        <w:t>7、以招标文件技术条款为基础，保障项目高效落实。</w:t>
      </w:r>
    </w:p>
    <w:p w14:paraId="400813A9">
      <w:pPr>
        <w:pStyle w:val="7"/>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lang w:eastAsia="zh-CN"/>
        </w:rPr>
        <w:t>执行规范标准</w:t>
      </w:r>
    </w:p>
    <w:p w14:paraId="14209FFA">
      <w:pPr>
        <w:pageBreakBefore w:val="0"/>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本合同履行执行的相关规程规范、法律法规、服务标准包括但不限于：</w:t>
      </w:r>
    </w:p>
    <w:p w14:paraId="12F0FE82">
      <w:pPr>
        <w:pageBreakBefore w:val="0"/>
        <w:widowControl/>
        <w:overflowPunct/>
        <w:topLinePunct w:val="0"/>
        <w:bidi w:val="0"/>
        <w:snapToGrid w:val="0"/>
        <w:spacing w:after="0" w:line="460" w:lineRule="exact"/>
        <w:ind w:firstLine="480" w:firstLineChars="200"/>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南水北调中线干线工程建设管理局《</w:t>
      </w:r>
      <w:r>
        <w:rPr>
          <w:rFonts w:hint="eastAsia" w:ascii="仿宋" w:hAnsi="仿宋" w:eastAsia="仿宋" w:cs="仿宋"/>
          <w:color w:val="auto"/>
          <w:kern w:val="2"/>
          <w:sz w:val="24"/>
          <w:szCs w:val="24"/>
          <w:highlight w:val="none"/>
          <w:lang w:eastAsia="zh-CN"/>
        </w:rPr>
        <w:t>泵站金属结构及机电设备维护检修规程</w:t>
      </w:r>
      <w:r>
        <w:rPr>
          <w:rFonts w:hint="eastAsia" w:ascii="仿宋" w:hAnsi="仿宋" w:eastAsia="仿宋" w:cs="仿宋"/>
          <w:color w:val="auto"/>
          <w:kern w:val="2"/>
          <w:sz w:val="24"/>
          <w:szCs w:val="24"/>
          <w:highlight w:val="none"/>
          <w:lang w:val="en-US" w:eastAsia="zh-CN"/>
        </w:rPr>
        <w:t>》、《橡胶坝技术规范》SL 227-1998、</w:t>
      </w:r>
      <w:r>
        <w:rPr>
          <w:rFonts w:hint="eastAsia" w:ascii="仿宋" w:hAnsi="仿宋" w:eastAsia="仿宋" w:cs="仿宋"/>
          <w:color w:val="auto"/>
          <w:kern w:val="2"/>
          <w:sz w:val="24"/>
          <w:szCs w:val="24"/>
          <w:highlight w:val="none"/>
          <w:lang w:val="en-US" w:eastAsia="zh-CN" w:bidi="ar-SA"/>
        </w:rPr>
        <w:t>《水闸技术管理规程》SL75-201、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建筑消防设施的维护管理</w:t>
      </w:r>
      <w:r>
        <w:rPr>
          <w:rFonts w:hint="eastAsia" w:ascii="仿宋" w:hAnsi="仿宋" w:eastAsia="仿宋" w:cs="仿宋"/>
          <w:color w:val="auto"/>
          <w:kern w:val="2"/>
          <w:sz w:val="24"/>
          <w:szCs w:val="24"/>
          <w:highlight w:val="none"/>
          <w:lang w:val="en-US" w:eastAsia="zh-CN"/>
        </w:rPr>
        <w:t>》GB 25201-2010、《建筑设计防火规范》GB50016等</w:t>
      </w:r>
      <w:r>
        <w:rPr>
          <w:rFonts w:hint="eastAsia" w:ascii="仿宋" w:hAnsi="仿宋" w:eastAsia="仿宋" w:cs="仿宋"/>
          <w:color w:val="auto"/>
          <w:kern w:val="2"/>
          <w:sz w:val="24"/>
          <w:szCs w:val="24"/>
          <w:highlight w:val="none"/>
          <w:lang w:eastAsia="zh-CN"/>
        </w:rPr>
        <w:t>规范标准</w:t>
      </w:r>
      <w:r>
        <w:rPr>
          <w:rFonts w:hint="eastAsia" w:ascii="仿宋" w:hAnsi="仿宋" w:eastAsia="仿宋" w:cs="仿宋"/>
          <w:color w:val="auto"/>
          <w:kern w:val="2"/>
          <w:sz w:val="24"/>
          <w:szCs w:val="24"/>
          <w:highlight w:val="none"/>
          <w:lang w:val="en-US" w:eastAsia="zh-CN"/>
        </w:rPr>
        <w:t>。</w:t>
      </w:r>
    </w:p>
    <w:p w14:paraId="03D55E33">
      <w:pPr>
        <w:pStyle w:val="7"/>
        <w:snapToGrid w:val="0"/>
        <w:spacing w:after="0" w:line="460" w:lineRule="exact"/>
        <w:ind w:firstLine="480" w:firstLineChars="200"/>
        <w:rPr>
          <w:rFonts w:hint="eastAsia"/>
          <w:lang w:val="en-US" w:eastAsia="zh-CN"/>
        </w:rPr>
      </w:pPr>
      <w:r>
        <w:rPr>
          <w:rFonts w:hint="eastAsia" w:ascii="仿宋" w:hAnsi="仿宋" w:eastAsia="仿宋" w:cs="仿宋"/>
          <w:color w:val="auto"/>
          <w:kern w:val="2"/>
          <w:sz w:val="24"/>
          <w:szCs w:val="24"/>
          <w:highlight w:val="none"/>
          <w:lang w:val="en-US" w:eastAsia="zh-CN"/>
        </w:rPr>
        <w:t>合同履行期间，如政府相关管理部门发布新的管理规定或标准，且该规定或标准高于本合同约定的规定或标准的，乙方应按照新的规定和标准履行相应的义务。合同履行期间，如甲方新制定或更新了技术标准、维护标准、考核办法、应急预案等，乙方应遵照相关标准和办法履行相应义务。</w:t>
      </w:r>
    </w:p>
    <w:p w14:paraId="4AA0834C">
      <w:pPr>
        <w:pStyle w:val="5"/>
        <w:pageBreakBefore w:val="0"/>
        <w:tabs>
          <w:tab w:val="left" w:pos="540"/>
        </w:tabs>
        <w:overflowPunct/>
        <w:topLinePunct w:val="0"/>
        <w:bidi w:val="0"/>
        <w:snapToGrid w:val="0"/>
        <w:spacing w:before="0" w:after="0" w:line="460" w:lineRule="exact"/>
        <w:ind w:firstLine="482" w:firstLineChars="200"/>
        <w:jc w:val="both"/>
        <w:rPr>
          <w:rFonts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lang w:eastAsia="zh-CN"/>
        </w:rPr>
        <w:t>第三条 合同期限</w:t>
      </w:r>
    </w:p>
    <w:p w14:paraId="63ABAEE2">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olor w:val="auto"/>
          <w:sz w:val="24"/>
          <w:highlight w:val="none"/>
          <w:lang w:eastAsia="zh-CN"/>
        </w:rPr>
        <w:t>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年12月31日，其中202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w:t>
      </w:r>
      <w:r>
        <w:rPr>
          <w:rFonts w:hint="eastAsia" w:ascii="仿宋" w:hAnsi="仿宋" w:eastAsia="仿宋"/>
          <w:color w:val="auto"/>
          <w:sz w:val="24"/>
          <w:highlight w:val="none"/>
          <w:lang w:val="en-US" w:eastAsia="zh-CN"/>
        </w:rPr>
        <w:t>1</w:t>
      </w:r>
      <w:r>
        <w:rPr>
          <w:rFonts w:hint="eastAsia" w:ascii="仿宋" w:hAnsi="仿宋" w:eastAsia="仿宋"/>
          <w:color w:val="auto"/>
          <w:sz w:val="24"/>
          <w:highlight w:val="none"/>
          <w:lang w:eastAsia="zh-CN"/>
        </w:rPr>
        <w:t>月1日至本合同签订之日前一日由原服务单位提供服务，本合同签订之日至202</w:t>
      </w:r>
      <w:r>
        <w:rPr>
          <w:rFonts w:hint="eastAsia" w:ascii="仿宋" w:hAnsi="仿宋" w:eastAsia="仿宋"/>
          <w:color w:val="auto"/>
          <w:sz w:val="24"/>
          <w:highlight w:val="none"/>
          <w:lang w:val="en-US" w:eastAsia="zh-CN"/>
        </w:rPr>
        <w:t>5</w:t>
      </w:r>
      <w:r>
        <w:rPr>
          <w:rFonts w:hint="eastAsia" w:ascii="仿宋" w:hAnsi="仿宋" w:eastAsia="仿宋"/>
          <w:color w:val="auto"/>
          <w:sz w:val="24"/>
          <w:highlight w:val="none"/>
          <w:lang w:eastAsia="zh-CN"/>
        </w:rPr>
        <w:t>年12月31日由新中选单位提供服务。本合同服务期满后，如甲方需要，乙方继续按照甲方要求延长其服务期限，直至下一年度实施单位进场。延长服务期限的，由甲乙双方协商签订书面补充协议。</w:t>
      </w:r>
    </w:p>
    <w:p w14:paraId="12D5AA64">
      <w:pPr>
        <w:keepNext/>
        <w:keepLines/>
        <w:pageBreakBefore w:val="0"/>
        <w:tabs>
          <w:tab w:val="left" w:pos="540"/>
        </w:tabs>
        <w:overflowPunct/>
        <w:topLinePunct w:val="0"/>
        <w:autoSpaceDE w:val="0"/>
        <w:autoSpaceDN w:val="0"/>
        <w:bidi w:val="0"/>
        <w:snapToGrid w:val="0"/>
        <w:spacing w:after="0" w:line="460" w:lineRule="exact"/>
        <w:ind w:firstLine="482" w:firstLineChars="20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第四条 合同价款及支付</w:t>
      </w:r>
    </w:p>
    <w:p w14:paraId="2F3E24A3">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（一）合同价款</w:t>
      </w:r>
    </w:p>
    <w:p w14:paraId="0F6EBCD5">
      <w:pPr>
        <w:pageBreakBefore w:val="0"/>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本合同总价为人民币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（小写：</w:t>
      </w:r>
      <w:r>
        <w:rPr>
          <w:rFonts w:hint="eastAsia" w:ascii="仿宋" w:hAnsi="仿宋" w:eastAsia="仿宋" w:cs="仿宋"/>
          <w:color w:val="auto"/>
          <w:kern w:val="2"/>
          <w:sz w:val="24"/>
          <w:szCs w:val="24"/>
          <w:highlight w:val="none"/>
          <w:u w:val="none"/>
          <w:lang w:eastAsia="zh-CN"/>
        </w:rPr>
        <w:t>¥</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lang w:eastAsia="zh-CN"/>
        </w:rPr>
        <w:t>），</w:t>
      </w:r>
      <w:r>
        <w:rPr>
          <w:rFonts w:hint="eastAsia" w:ascii="仿宋" w:hAnsi="仿宋" w:eastAsia="仿宋"/>
          <w:color w:val="auto"/>
          <w:sz w:val="24"/>
          <w:szCs w:val="24"/>
          <w:u w:val="none"/>
          <w:lang w:eastAsia="zh-CN"/>
        </w:rPr>
        <w:t>上</w:t>
      </w:r>
      <w:r>
        <w:rPr>
          <w:rFonts w:hint="eastAsia" w:ascii="仿宋" w:hAnsi="仿宋" w:eastAsia="仿宋"/>
          <w:color w:val="auto"/>
          <w:sz w:val="24"/>
          <w:szCs w:val="24"/>
          <w:lang w:eastAsia="zh-CN"/>
        </w:rPr>
        <w:t>述合同总价为202</w:t>
      </w:r>
      <w:r>
        <w:rPr>
          <w:rFonts w:hint="eastAsia" w:ascii="仿宋" w:hAnsi="仿宋" w:eastAsia="仿宋"/>
          <w:color w:val="auto"/>
          <w:sz w:val="24"/>
          <w:szCs w:val="24"/>
          <w:lang w:val="en-US" w:eastAsia="zh-CN"/>
        </w:rPr>
        <w:t>5</w:t>
      </w:r>
      <w:r>
        <w:rPr>
          <w:rFonts w:hint="eastAsia" w:ascii="仿宋" w:hAnsi="仿宋" w:eastAsia="仿宋"/>
          <w:color w:val="auto"/>
          <w:sz w:val="24"/>
          <w:szCs w:val="24"/>
          <w:lang w:eastAsia="zh-CN"/>
        </w:rPr>
        <w:t>年</w:t>
      </w:r>
      <w:r>
        <w:rPr>
          <w:rFonts w:hint="eastAsia" w:ascii="仿宋" w:hAnsi="仿宋" w:eastAsia="仿宋"/>
          <w:color w:val="auto"/>
          <w:sz w:val="24"/>
          <w:szCs w:val="24"/>
          <w:lang w:val="en-US" w:eastAsia="zh-CN"/>
        </w:rPr>
        <w:t>1</w:t>
      </w:r>
      <w:r>
        <w:rPr>
          <w:rFonts w:hint="eastAsia" w:ascii="仿宋" w:hAnsi="仿宋" w:eastAsia="仿宋"/>
          <w:color w:val="auto"/>
          <w:sz w:val="24"/>
          <w:szCs w:val="24"/>
          <w:lang w:eastAsia="zh-CN"/>
        </w:rPr>
        <w:t>月1日至202</w:t>
      </w:r>
      <w:r>
        <w:rPr>
          <w:rFonts w:hint="eastAsia" w:ascii="仿宋" w:hAnsi="仿宋" w:eastAsia="仿宋"/>
          <w:color w:val="auto"/>
          <w:sz w:val="24"/>
          <w:szCs w:val="24"/>
          <w:lang w:val="en-US" w:eastAsia="zh-CN"/>
        </w:rPr>
        <w:t>5</w:t>
      </w:r>
      <w:r>
        <w:rPr>
          <w:rFonts w:hint="eastAsia" w:ascii="仿宋" w:hAnsi="仿宋" w:eastAsia="仿宋"/>
          <w:color w:val="auto"/>
          <w:sz w:val="24"/>
          <w:szCs w:val="24"/>
          <w:lang w:eastAsia="zh-CN"/>
        </w:rPr>
        <w:t>年12月31日服务费用，合同价为含税价，</w:t>
      </w:r>
      <w:r>
        <w:rPr>
          <w:rFonts w:hint="eastAsia" w:ascii="仿宋" w:hAnsi="仿宋" w:eastAsia="仿宋" w:cs="仿宋"/>
          <w:color w:val="auto"/>
          <w:sz w:val="24"/>
          <w:highlight w:val="none"/>
          <w:lang w:eastAsia="zh-CN"/>
        </w:rPr>
        <w:t>已包含了乙方履行本合同所必需的</w:t>
      </w:r>
      <w:r>
        <w:rPr>
          <w:rFonts w:hint="eastAsia" w:ascii="仿宋" w:hAnsi="仿宋" w:eastAsia="仿宋" w:cs="仿宋"/>
          <w:color w:val="auto"/>
          <w:sz w:val="24"/>
          <w:highlight w:val="none"/>
          <w:lang w:val="en-US" w:eastAsia="zh-CN"/>
        </w:rPr>
        <w:t>所有</w:t>
      </w:r>
      <w:r>
        <w:rPr>
          <w:rFonts w:hint="eastAsia" w:ascii="仿宋" w:hAnsi="仿宋" w:eastAsia="仿宋" w:cs="仿宋"/>
          <w:color w:val="auto"/>
          <w:sz w:val="24"/>
          <w:highlight w:val="none"/>
          <w:lang w:eastAsia="zh-CN"/>
        </w:rPr>
        <w:t>费用，包括但不限于乙方履行本合同所需的人工费、材料费、水电费、设备购置或租用费、运输费、措施费、综合管理费、保险费、利润和各种税费等，以及人工、维护用料、水、电等费用涨价在内的各种影响成本的风险费用。</w:t>
      </w:r>
    </w:p>
    <w:p w14:paraId="0EE10A32">
      <w:pPr>
        <w:pageBreakBefore w:val="0"/>
        <w:overflowPunct/>
        <w:topLinePunct w:val="0"/>
        <w:bidi w:val="0"/>
        <w:snapToGrid w:val="0"/>
        <w:spacing w:after="0" w:line="500" w:lineRule="exact"/>
        <w:ind w:firstLine="480" w:firstLineChars="200"/>
        <w:rPr>
          <w:rFonts w:hint="eastAsia" w:ascii="仿宋" w:hAnsi="仿宋" w:eastAsia="仿宋"/>
          <w:color w:val="auto"/>
          <w:sz w:val="24"/>
          <w:szCs w:val="24"/>
          <w:u w:val="none"/>
          <w:lang w:val="en-US" w:eastAsia="zh-CN"/>
        </w:rPr>
      </w:pPr>
      <w:r>
        <w:rPr>
          <w:rFonts w:hint="eastAsia" w:ascii="仿宋" w:hAnsi="仿宋" w:eastAsia="仿宋"/>
          <w:color w:val="auto"/>
          <w:sz w:val="24"/>
          <w:szCs w:val="24"/>
          <w:u w:val="none"/>
          <w:lang w:val="en-US" w:eastAsia="zh-CN"/>
        </w:rPr>
        <w:t>2.合同价款由以下两部分组成：</w:t>
      </w:r>
    </w:p>
    <w:p w14:paraId="7AF60B79">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（1）合同价款1：2025年1月1日至合同签订前一日的合同价款。</w:t>
      </w:r>
    </w:p>
    <w:p w14:paraId="002769DB">
      <w:pPr>
        <w:pageBreakBefore w:val="0"/>
        <w:overflowPunct/>
        <w:topLinePunct w:val="0"/>
        <w:bidi w:val="0"/>
        <w:snapToGrid w:val="0"/>
        <w:spacing w:after="0" w:line="460" w:lineRule="exact"/>
        <w:ind w:firstLine="480" w:firstLineChars="200"/>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（2）合同价款2：合同签订之日至2025年12月31日的合同价款。</w:t>
      </w:r>
    </w:p>
    <w:p w14:paraId="53598DBD">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3、具体合同价款明细详见</w:t>
      </w:r>
      <w:r>
        <w:rPr>
          <w:rFonts w:hint="eastAsia" w:ascii="仿宋" w:hAnsi="仿宋" w:eastAsia="仿宋" w:cs="仿宋"/>
          <w:color w:val="auto"/>
          <w:kern w:val="2"/>
          <w:sz w:val="24"/>
          <w:szCs w:val="24"/>
          <w:highlight w:val="none"/>
          <w:lang w:val="en-US" w:eastAsia="zh-CN"/>
        </w:rPr>
        <w:t>北京市南水北调大宁管理处水利工程日常维修养护-水工建筑物维修养护</w:t>
      </w:r>
      <w:r>
        <w:rPr>
          <w:rFonts w:hint="eastAsia" w:ascii="仿宋" w:hAnsi="仿宋" w:eastAsia="仿宋" w:cs="仿宋"/>
          <w:bCs/>
          <w:color w:val="auto"/>
          <w:sz w:val="24"/>
          <w:szCs w:val="24"/>
          <w:highlight w:val="none"/>
          <w:lang w:eastAsia="zh-CN"/>
        </w:rPr>
        <w:t>项目投标</w:t>
      </w:r>
      <w:r>
        <w:rPr>
          <w:rFonts w:hint="eastAsia" w:ascii="仿宋" w:hAnsi="仿宋" w:eastAsia="仿宋" w:cs="仿宋"/>
          <w:color w:val="auto"/>
          <w:kern w:val="2"/>
          <w:sz w:val="24"/>
          <w:szCs w:val="24"/>
          <w:highlight w:val="none"/>
          <w:lang w:eastAsia="zh-CN"/>
        </w:rPr>
        <w:t>文件。</w:t>
      </w:r>
    </w:p>
    <w:p w14:paraId="7B73A73A">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（二）合同价款的支付</w:t>
      </w:r>
    </w:p>
    <w:p w14:paraId="304E90D5">
      <w:pPr>
        <w:pageBreakBefore w:val="0"/>
        <w:numPr>
          <w:ilvl w:val="-1"/>
          <w:numId w:val="0"/>
        </w:numPr>
        <w:overflowPunct/>
        <w:topLinePunct w:val="0"/>
        <w:bidi w:val="0"/>
        <w:snapToGrid w:val="0"/>
        <w:spacing w:after="0" w:line="46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1.合同价款1：</w:t>
      </w:r>
      <w:r>
        <w:rPr>
          <w:rFonts w:hint="eastAsia" w:ascii="仿宋" w:hAnsi="仿宋" w:eastAsia="仿宋" w:cs="仿宋"/>
          <w:color w:val="auto"/>
          <w:sz w:val="24"/>
          <w:highlight w:val="none"/>
          <w:lang w:eastAsia="zh-CN"/>
        </w:rPr>
        <w:t>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由甲方按本合同单价和经甲方确认的实际工作量支付给原服务单位。</w:t>
      </w:r>
    </w:p>
    <w:p w14:paraId="6A8FFA35">
      <w:pPr>
        <w:pageBreakBefore w:val="0"/>
        <w:overflowPunct/>
        <w:topLinePunct w:val="0"/>
        <w:bidi w:val="0"/>
        <w:snapToGrid w:val="0"/>
        <w:spacing w:after="0" w:line="460" w:lineRule="exact"/>
        <w:ind w:firstLine="480" w:firstLineChars="200"/>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2.合同价款2：由甲方按以下进度分期支付给乙方。</w:t>
      </w:r>
    </w:p>
    <w:p w14:paraId="10CB1CAD">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（1）本合同生效且财政资金到位后</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日内，</w:t>
      </w:r>
      <w:r>
        <w:rPr>
          <w:rFonts w:hint="eastAsia" w:ascii="仿宋" w:hAnsi="仿宋" w:eastAsia="仿宋" w:cs="仿宋"/>
          <w:color w:val="auto"/>
          <w:sz w:val="24"/>
          <w:highlight w:val="none"/>
          <w:lang w:val="en-US" w:eastAsia="zh-CN"/>
        </w:rPr>
        <w:t>甲方向乙方支付合同总价的50%扣除合同价款1后的金额</w:t>
      </w:r>
      <w:r>
        <w:rPr>
          <w:rFonts w:hint="eastAsia" w:ascii="仿宋" w:hAnsi="仿宋" w:eastAsia="仿宋" w:cs="仿宋"/>
          <w:color w:val="auto"/>
          <w:sz w:val="24"/>
          <w:highlight w:val="none"/>
          <w:lang w:eastAsia="zh-CN"/>
        </w:rPr>
        <w:t>。</w:t>
      </w:r>
    </w:p>
    <w:p w14:paraId="034616E5">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w:t>
      </w:r>
      <w:r>
        <w:rPr>
          <w:rFonts w:hint="eastAsia" w:ascii="仿宋" w:hAnsi="仿宋" w:eastAsia="仿宋" w:cs="仿宋"/>
          <w:color w:val="auto"/>
          <w:sz w:val="24"/>
          <w:highlight w:val="none"/>
          <w:lang w:val="en-US" w:eastAsia="zh-CN"/>
        </w:rPr>
        <w:t>2025年6</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w:t>
      </w:r>
    </w:p>
    <w:p w14:paraId="5BF9C06C">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2025年9</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20</w:t>
      </w:r>
      <w:r>
        <w:rPr>
          <w:rFonts w:hint="eastAsia" w:ascii="仿宋" w:hAnsi="仿宋" w:eastAsia="仿宋" w:cs="仿宋"/>
          <w:color w:val="auto"/>
          <w:sz w:val="24"/>
          <w:highlight w:val="none"/>
          <w:lang w:eastAsia="zh-CN"/>
        </w:rPr>
        <w:t>%。</w:t>
      </w:r>
    </w:p>
    <w:p w14:paraId="7D5B67E2">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2025年11</w:t>
      </w:r>
      <w:r>
        <w:rPr>
          <w:rFonts w:hint="eastAsia" w:ascii="仿宋" w:hAnsi="仿宋" w:eastAsia="仿宋" w:cs="仿宋"/>
          <w:color w:val="auto"/>
          <w:sz w:val="24"/>
          <w:highlight w:val="none"/>
          <w:lang w:eastAsia="zh-CN"/>
        </w:rPr>
        <w:t>月</w:t>
      </w:r>
      <w:r>
        <w:rPr>
          <w:rFonts w:hint="eastAsia" w:ascii="仿宋" w:hAnsi="仿宋" w:eastAsia="仿宋" w:cs="仿宋"/>
          <w:color w:val="auto"/>
          <w:sz w:val="24"/>
          <w:highlight w:val="none"/>
          <w:lang w:val="en-US" w:eastAsia="zh-CN"/>
        </w:rPr>
        <w:t>30</w:t>
      </w:r>
      <w:r>
        <w:rPr>
          <w:rFonts w:hint="eastAsia" w:ascii="仿宋" w:hAnsi="仿宋" w:eastAsia="仿宋" w:cs="仿宋"/>
          <w:color w:val="auto"/>
          <w:sz w:val="24"/>
          <w:highlight w:val="none"/>
          <w:lang w:eastAsia="zh-CN"/>
        </w:rPr>
        <w:t>日前甲方向乙方支付合同总价的</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w:t>
      </w:r>
    </w:p>
    <w:p w14:paraId="07A8475B">
      <w:pPr>
        <w:pageBreakBefore w:val="0"/>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付款方式：以电汇或银行支票为主要付款方式，并以电汇为首选支付方式。</w:t>
      </w:r>
    </w:p>
    <w:p w14:paraId="0CBCB87B">
      <w:pPr>
        <w:pageBreakBefore w:val="0"/>
        <w:overflowPunct/>
        <w:topLinePunct w:val="0"/>
        <w:bidi w:val="0"/>
        <w:snapToGrid w:val="0"/>
        <w:spacing w:after="0"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付款时间：乙方按照采购人要求提供完整支付文件，甲方收到上述文件后原则上1</w:t>
      </w:r>
      <w:r>
        <w:rPr>
          <w:rFonts w:hint="eastAsia" w:ascii="仿宋" w:hAnsi="仿宋" w:eastAsia="仿宋" w:cs="仿宋"/>
          <w:color w:val="auto"/>
          <w:sz w:val="24"/>
          <w:highlight w:val="none"/>
          <w:lang w:val="en-US" w:eastAsia="zh-CN"/>
        </w:rPr>
        <w:t>0个工作</w:t>
      </w:r>
      <w:r>
        <w:rPr>
          <w:rFonts w:hint="eastAsia" w:ascii="仿宋" w:hAnsi="仿宋" w:eastAsia="仿宋" w:cs="仿宋"/>
          <w:color w:val="auto"/>
          <w:sz w:val="24"/>
          <w:highlight w:val="none"/>
          <w:lang w:eastAsia="zh-CN"/>
        </w:rPr>
        <w:t>日内将款项支付给乙方。</w:t>
      </w:r>
    </w:p>
    <w:p w14:paraId="47BCEE25">
      <w:pPr>
        <w:pageBreakBefore w:val="0"/>
        <w:overflowPunct/>
        <w:topLinePunct w:val="0"/>
        <w:bidi w:val="0"/>
        <w:snapToGrid w:val="0"/>
        <w:spacing w:after="0" w:line="460" w:lineRule="exact"/>
        <w:ind w:firstLine="480" w:firstLineChars="200"/>
        <w:rPr>
          <w:rFonts w:eastAsia="仿宋"/>
          <w:color w:val="auto"/>
          <w:highlight w:val="none"/>
          <w:lang w:eastAsia="zh-CN"/>
        </w:rPr>
      </w:pPr>
      <w:r>
        <w:rPr>
          <w:rFonts w:hint="eastAsia" w:ascii="仿宋" w:hAnsi="仿宋" w:eastAsia="仿宋" w:cs="仿宋"/>
          <w:color w:val="auto"/>
          <w:sz w:val="24"/>
          <w:highlight w:val="none"/>
          <w:lang w:eastAsia="zh-CN"/>
        </w:rPr>
        <w:t>甲方付款前，乙方出具当期应付合同款等额合法有效发票、支付申请和甲方要求提供的支付文件，否则甲方有权暂停付款，直至乙方提供合同等额合法有效发票、支付申请等，且不承担违约责任。</w:t>
      </w:r>
    </w:p>
    <w:p w14:paraId="25267CBC">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如甲方未收到财政资金而导致逾期向乙方付款的，则甲方不承担逾期付款的责任。在实际支付时，如遇财政部门国库结账等特殊时期，具体支付将根据财政部门有关要求调整执行，由此造成的支付迟延，甲方不承担任何责任。</w:t>
      </w:r>
    </w:p>
    <w:p w14:paraId="0024EDF6">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lang w:eastAsia="zh-CN"/>
        </w:rPr>
        <w:t>、乙方收款账户</w:t>
      </w:r>
    </w:p>
    <w:p w14:paraId="57985114">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甲方应将前述款项打入乙方如下账户：</w:t>
      </w:r>
    </w:p>
    <w:p w14:paraId="717D0268">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户    名：</w:t>
      </w:r>
    </w:p>
    <w:p w14:paraId="4E51B564">
      <w:pPr>
        <w:pageBreakBefore w:val="0"/>
        <w:overflowPunct/>
        <w:topLinePunct w:val="0"/>
        <w:bidi w:val="0"/>
        <w:snapToGrid w:val="0"/>
        <w:spacing w:after="0" w:line="460" w:lineRule="exact"/>
        <w:ind w:firstLine="480" w:firstLineChars="200"/>
        <w:rPr>
          <w:rFonts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lang w:eastAsia="zh-CN"/>
        </w:rPr>
        <w:t>开 户 行：</w:t>
      </w:r>
    </w:p>
    <w:p w14:paraId="4E15E49A">
      <w:pPr>
        <w:pageBreakBefore w:val="0"/>
        <w:overflowPunct/>
        <w:topLinePunct w:val="0"/>
        <w:bidi w:val="0"/>
        <w:snapToGrid w:val="0"/>
        <w:spacing w:after="0" w:line="460" w:lineRule="exact"/>
        <w:ind w:firstLine="480" w:firstLineChars="200"/>
        <w:rPr>
          <w:rFonts w:hint="default" w:ascii="仿宋" w:hAnsi="仿宋" w:eastAsia="仿宋" w:cs="仿宋"/>
          <w:color w:val="auto"/>
          <w:kern w:val="2"/>
          <w:sz w:val="24"/>
          <w:szCs w:val="24"/>
          <w:highlight w:val="none"/>
          <w:u w:val="single"/>
          <w:lang w:val="en-US" w:eastAsia="zh-CN"/>
        </w:rPr>
      </w:pPr>
      <w:r>
        <w:rPr>
          <w:rFonts w:hint="eastAsia" w:ascii="仿宋" w:hAnsi="仿宋" w:eastAsia="仿宋" w:cs="仿宋"/>
          <w:color w:val="auto"/>
          <w:kern w:val="2"/>
          <w:sz w:val="24"/>
          <w:szCs w:val="24"/>
          <w:highlight w:val="none"/>
          <w:lang w:eastAsia="zh-CN"/>
        </w:rPr>
        <w:t>银行账号：</w:t>
      </w:r>
    </w:p>
    <w:p w14:paraId="6F709A2E">
      <w:pPr>
        <w:pStyle w:val="7"/>
        <w:pageBreakBefore w:val="0"/>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甲方将款项支付至上述账户后，无论乙方是否实际收到，均视为甲方已经完成付款。</w:t>
      </w:r>
    </w:p>
    <w:p w14:paraId="4FEE70F6">
      <w:pPr>
        <w:pStyle w:val="7"/>
        <w:pageBreakBefore w:val="0"/>
        <w:numPr>
          <w:ilvl w:val="-1"/>
          <w:numId w:val="0"/>
        </w:numPr>
        <w:overflowPunct/>
        <w:topLinePunct w:val="0"/>
        <w:bidi w:val="0"/>
        <w:snapToGrid w:val="0"/>
        <w:spacing w:after="0"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6.甲方按照乙方在本合同服务期内经甲方确认的实际工作量以及实际工作的考核情况结算，如经甲方考核乙方提供的服务不符合本合同约定的，</w:t>
      </w:r>
      <w:r>
        <w:rPr>
          <w:rFonts w:hint="eastAsia" w:ascii="仿宋" w:hAnsi="仿宋" w:eastAsia="仿宋" w:cs="仿宋"/>
          <w:color w:val="auto"/>
          <w:sz w:val="24"/>
          <w:highlight w:val="none"/>
          <w:lang w:eastAsia="zh-CN"/>
        </w:rPr>
        <w:t>甲方有权在支付费用时扣除</w:t>
      </w:r>
      <w:r>
        <w:rPr>
          <w:rFonts w:hint="eastAsia" w:ascii="仿宋" w:hAnsi="仿宋" w:eastAsia="仿宋" w:cs="仿宋"/>
          <w:color w:val="auto"/>
          <w:sz w:val="24"/>
          <w:highlight w:val="none"/>
          <w:lang w:val="en-US" w:eastAsia="zh-CN"/>
        </w:rPr>
        <w:t>扣款、</w:t>
      </w:r>
      <w:r>
        <w:rPr>
          <w:rFonts w:hint="eastAsia" w:ascii="仿宋" w:hAnsi="仿宋" w:eastAsia="仿宋" w:cs="仿宋"/>
          <w:color w:val="auto"/>
          <w:sz w:val="24"/>
          <w:highlight w:val="none"/>
          <w:lang w:eastAsia="zh-CN"/>
        </w:rPr>
        <w:t>罚款、</w:t>
      </w:r>
      <w:r>
        <w:rPr>
          <w:rFonts w:hint="eastAsia" w:ascii="仿宋" w:hAnsi="仿宋" w:eastAsia="仿宋" w:cs="仿宋"/>
          <w:color w:val="auto"/>
          <w:sz w:val="24"/>
          <w:highlight w:val="none"/>
          <w:lang w:val="en-US" w:eastAsia="zh-CN"/>
        </w:rPr>
        <w:t>违约金及甲方损失等相应款项</w:t>
      </w:r>
      <w:r>
        <w:rPr>
          <w:rFonts w:hint="eastAsia" w:ascii="仿宋" w:hAnsi="仿宋" w:eastAsia="仿宋" w:cs="仿宋"/>
          <w:color w:val="auto"/>
          <w:sz w:val="24"/>
          <w:highlight w:val="none"/>
          <w:lang w:eastAsia="zh-CN"/>
        </w:rPr>
        <w:t>。</w:t>
      </w:r>
    </w:p>
    <w:p w14:paraId="120EDABC">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第五条 履约保证金</w:t>
      </w:r>
    </w:p>
    <w:p w14:paraId="24464564">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sz w:val="24"/>
          <w:highlight w:val="none"/>
          <w:lang w:eastAsia="zh-CN"/>
        </w:rPr>
        <w:t>履约保证金金额：乙方应自签订合同日后</w:t>
      </w:r>
      <w:r>
        <w:rPr>
          <w:rFonts w:hint="eastAsia" w:ascii="仿宋" w:hAnsi="仿宋" w:eastAsia="仿宋" w:cs="仿宋"/>
          <w:color w:val="auto"/>
          <w:sz w:val="24"/>
          <w:highlight w:val="none"/>
          <w:lang w:val="en-US" w:eastAsia="zh-CN"/>
        </w:rPr>
        <w:t>15个工作</w:t>
      </w:r>
      <w:r>
        <w:rPr>
          <w:rFonts w:hint="eastAsia" w:ascii="仿宋" w:hAnsi="仿宋" w:eastAsia="仿宋" w:cs="仿宋"/>
          <w:color w:val="auto"/>
          <w:sz w:val="24"/>
          <w:highlight w:val="none"/>
          <w:lang w:eastAsia="zh-CN"/>
        </w:rPr>
        <w:t>日内向甲方支付本合同总价的10</w:t>
      </w:r>
      <w:r>
        <w:rPr>
          <w:rFonts w:hint="eastAsia" w:ascii="仿宋" w:hAnsi="仿宋" w:eastAsia="仿宋" w:cs="仿宋"/>
          <w:color w:val="auto"/>
          <w:sz w:val="24"/>
          <w:highlight w:val="none"/>
          <w:lang w:val="en-GB" w:eastAsia="zh-CN"/>
        </w:rPr>
        <w:t>%，</w:t>
      </w:r>
      <w:r>
        <w:rPr>
          <w:rFonts w:hint="eastAsia" w:ascii="仿宋" w:hAnsi="仿宋" w:eastAsia="仿宋" w:cs="仿宋"/>
          <w:color w:val="auto"/>
          <w:sz w:val="24"/>
          <w:highlight w:val="none"/>
          <w:lang w:eastAsia="zh-CN"/>
        </w:rPr>
        <w:t>即人民币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（小写：￥</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sz w:val="24"/>
          <w:highlight w:val="none"/>
          <w:lang w:eastAsia="zh-CN"/>
        </w:rPr>
        <w:t>）作为履行本合同的履约保证金。</w:t>
      </w:r>
    </w:p>
    <w:p w14:paraId="1B23FD65">
      <w:pPr>
        <w:pStyle w:val="7"/>
        <w:widowControl/>
        <w:numPr>
          <w:ilvl w:val="0"/>
          <w:numId w:val="3"/>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前述</w:t>
      </w:r>
      <w:r>
        <w:rPr>
          <w:rFonts w:hint="eastAsia" w:ascii="仿宋" w:hAnsi="仿宋" w:eastAsia="仿宋" w:cs="仿宋"/>
          <w:color w:val="auto"/>
          <w:kern w:val="2"/>
          <w:sz w:val="24"/>
          <w:szCs w:val="24"/>
          <w:highlight w:val="none"/>
          <w:lang w:eastAsia="zh-CN"/>
        </w:rPr>
        <w:t>履约保证金形式：金融机构、担保机构出具的保函等非现金形式。</w:t>
      </w:r>
    </w:p>
    <w:p w14:paraId="4DCA9AF0">
      <w:pPr>
        <w:pStyle w:val="7"/>
        <w:widowControl/>
        <w:numPr>
          <w:ilvl w:val="0"/>
          <w:numId w:val="4"/>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履约保证金有效期截止日期：202</w:t>
      </w: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lang w:eastAsia="zh-CN"/>
        </w:rPr>
        <w:t>年1月31日。</w:t>
      </w:r>
    </w:p>
    <w:p w14:paraId="446815EC">
      <w:pPr>
        <w:pStyle w:val="7"/>
        <w:widowControl/>
        <w:numPr>
          <w:ilvl w:val="0"/>
          <w:numId w:val="0"/>
        </w:num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（四）履约保证金退还：</w:t>
      </w:r>
      <w:r>
        <w:rPr>
          <w:rFonts w:hint="eastAsia" w:ascii="仿宋" w:hAnsi="仿宋" w:eastAsia="仿宋" w:cs="仿宋"/>
          <w:color w:val="auto"/>
          <w:sz w:val="24"/>
          <w:szCs w:val="24"/>
          <w:highlight w:val="none"/>
        </w:rPr>
        <w:t>合同期满并经</w:t>
      </w:r>
      <w:r>
        <w:rPr>
          <w:rFonts w:hint="eastAsia" w:ascii="仿宋" w:hAnsi="仿宋" w:eastAsia="仿宋" w:cs="仿宋"/>
          <w:color w:val="auto"/>
          <w:sz w:val="24"/>
          <w:szCs w:val="24"/>
          <w:highlight w:val="none"/>
          <w:lang w:val="en-US" w:eastAsia="zh-CN"/>
        </w:rPr>
        <w:t>甲方</w:t>
      </w:r>
      <w:r>
        <w:rPr>
          <w:rFonts w:hint="eastAsia" w:ascii="仿宋" w:hAnsi="仿宋" w:eastAsia="仿宋" w:cs="仿宋"/>
          <w:color w:val="auto"/>
          <w:sz w:val="24"/>
          <w:szCs w:val="24"/>
          <w:highlight w:val="none"/>
        </w:rPr>
        <w:t>验收合格</w:t>
      </w:r>
      <w:r>
        <w:rPr>
          <w:rFonts w:hint="eastAsia" w:ascii="仿宋" w:hAnsi="仿宋" w:eastAsia="仿宋" w:cs="仿宋"/>
          <w:color w:val="auto"/>
          <w:sz w:val="24"/>
          <w:szCs w:val="24"/>
          <w:highlight w:val="none"/>
          <w:lang w:val="en-US" w:eastAsia="zh-CN"/>
        </w:rPr>
        <w:t>、档案移交</w:t>
      </w:r>
      <w:r>
        <w:rPr>
          <w:rFonts w:hint="eastAsia" w:ascii="仿宋" w:hAnsi="仿宋" w:eastAsia="仿宋" w:cs="仿宋"/>
          <w:color w:val="auto"/>
          <w:sz w:val="24"/>
          <w:szCs w:val="24"/>
          <w:highlight w:val="none"/>
        </w:rPr>
        <w:t>后15个工作日内，甲方将履约保证金</w:t>
      </w:r>
      <w:r>
        <w:rPr>
          <w:rFonts w:hint="eastAsia" w:ascii="仿宋" w:hAnsi="仿宋" w:eastAsia="仿宋" w:cs="仿宋"/>
          <w:color w:val="auto"/>
          <w:sz w:val="24"/>
          <w:szCs w:val="24"/>
          <w:highlight w:val="none"/>
          <w:lang w:val="en-US" w:eastAsia="zh-CN"/>
        </w:rPr>
        <w:t>无息</w:t>
      </w:r>
      <w:r>
        <w:rPr>
          <w:rFonts w:hint="eastAsia" w:ascii="仿宋" w:hAnsi="仿宋" w:eastAsia="仿宋" w:cs="仿宋"/>
          <w:color w:val="auto"/>
          <w:sz w:val="24"/>
          <w:szCs w:val="24"/>
          <w:highlight w:val="none"/>
        </w:rPr>
        <w:t>退还给乙方。甲方退还履约保证金时，有权按照合同约定扣除违约金。履约保证金的退还方式为：采用保函方式提交的，合同义务终止保函自行</w:t>
      </w:r>
      <w:r>
        <w:rPr>
          <w:rFonts w:hint="eastAsia" w:ascii="仿宋" w:hAnsi="仿宋" w:eastAsia="仿宋" w:cs="仿宋"/>
          <w:color w:val="auto"/>
          <w:sz w:val="24"/>
          <w:szCs w:val="24"/>
          <w:highlight w:val="none"/>
          <w:u w:val="none"/>
        </w:rPr>
        <w:t>失效，采用其他方式提交的，双方另行协商履约保证金的退还事宜。</w:t>
      </w:r>
      <w:r>
        <w:rPr>
          <w:rFonts w:hint="eastAsia" w:ascii="仿宋" w:hAnsi="仿宋" w:eastAsia="仿宋" w:cs="仿宋"/>
          <w:color w:val="auto"/>
          <w:sz w:val="24"/>
          <w:szCs w:val="24"/>
          <w:highlight w:val="none"/>
          <w:u w:val="none"/>
          <w:lang w:val="en-US" w:eastAsia="zh-CN"/>
        </w:rPr>
        <w:t xml:space="preserve">  </w:t>
      </w:r>
    </w:p>
    <w:p w14:paraId="66B7EB82">
      <w:pPr>
        <w:keepNext/>
        <w:keepLines/>
        <w:tabs>
          <w:tab w:val="left" w:pos="540"/>
        </w:tabs>
        <w:autoSpaceDE w:val="0"/>
        <w:autoSpaceDN w:val="0"/>
        <w:spacing w:line="460" w:lineRule="exact"/>
        <w:ind w:firstLine="602" w:firstLineChars="2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第六条 甲方的权利与义务</w:t>
      </w:r>
    </w:p>
    <w:p w14:paraId="1017B4DC">
      <w:pPr>
        <w:pStyle w:val="7"/>
        <w:spacing w:line="460" w:lineRule="exact"/>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 xml:space="preserve">    </w:t>
      </w:r>
      <w:r>
        <w:rPr>
          <w:rFonts w:hint="eastAsia" w:ascii="仿宋" w:hAnsi="仿宋" w:eastAsia="仿宋" w:cs="仿宋"/>
          <w:color w:val="auto"/>
          <w:sz w:val="24"/>
          <w:highlight w:val="none"/>
          <w:lang w:eastAsia="zh-CN"/>
        </w:rPr>
        <w:t>（一）按照本合同第二条约定的要求对乙方工作质量进行检查、监督、验收。</w:t>
      </w:r>
    </w:p>
    <w:p w14:paraId="1C06820A">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（二）乙方提供服务不符合要求时，有权对乙方服务下达整改通知要求整改，整改不合格或逾期不整改给甲方造成损失的，甲方有权解除合同，并要求乙方承担相应损失。</w:t>
      </w:r>
    </w:p>
    <w:p w14:paraId="2ABC7E82">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（三）对乙方收到的项目资金使用情况进行监督。</w:t>
      </w:r>
    </w:p>
    <w:p w14:paraId="5F8643C3">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（四）对乙方提交的实施方案进行审核，制定相关管理制度，供乙方遵守。</w:t>
      </w:r>
    </w:p>
    <w:p w14:paraId="0F6176E7">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在本合同履行期间，如果政府相关管理部门发布了新的维护保养管理规定或标准，且该规定或标准高于本合同约定的规定和标准时，甲方有权要求乙方根据甲方的需要，对乙方提交且已经甲方审核的维护方案进行修改或调整，乙方应按照新的规定和标准履行，并不得因此要求甲方增加服务费用。</w:t>
      </w:r>
    </w:p>
    <w:p w14:paraId="39F34E25">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（六）本合同履行期间，甲方有权按照自身项目管控要求及标准对乙方进行考核评分，若考核结果不满足要求，甲方有权要求乙方进行改正，并有权根据项目实施情况扣除部分服务费用。</w:t>
      </w:r>
    </w:p>
    <w:p w14:paraId="096EAF1D">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（七）甲方发现水工建筑物有异常情况出现后，应及时通知乙方并详细说明故障现象，以便于乙方根据故障现象进行相应准备。</w:t>
      </w:r>
    </w:p>
    <w:p w14:paraId="045C524F">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（八）在乙方进行维护及保养过程中，甲方在有条件情况下为乙方提供必要的协调帮助和便利设施。维护保养完毕后，甲方及时派人进行检查和验收。</w:t>
      </w:r>
    </w:p>
    <w:p w14:paraId="008D979A">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（九）按照本合同第四条的约定履行支付合同价款的义务。</w:t>
      </w:r>
    </w:p>
    <w:p w14:paraId="089A7F0B">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第七条 乙方的权利与义务</w:t>
      </w:r>
    </w:p>
    <w:p w14:paraId="66C1B1A4">
      <w:pPr>
        <w:pStyle w:val="7"/>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（一）按本合同第二条中的工作内容，提供满足本合同要求的服务。</w:t>
      </w:r>
    </w:p>
    <w:p w14:paraId="294C131C">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（二）按本合同约定的维修养护标准进行维护保养工作，遵守国家相关法律、法规、甲方的规章制度及安全环保等相关规定，服从甲方的管理。</w:t>
      </w:r>
    </w:p>
    <w:p w14:paraId="750F8AFD">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（三）按照甲方要求和项目情况制定实施方案，并在本合同签订后7日内，将实施方案报请甲方审核，并以此作为项目实施的依据。</w:t>
      </w:r>
    </w:p>
    <w:p w14:paraId="18F434BD">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（四）在项目实施期内，如因重大组织活动或其他原因，甲方认为确有必要暂停维护工作或调整维护方案的，乙方应按照甲方要求调整维护保养时间或更改维护保养措施。</w:t>
      </w:r>
    </w:p>
    <w:p w14:paraId="104921B4">
      <w:pPr>
        <w:tabs>
          <w:tab w:val="left" w:pos="1060"/>
        </w:tabs>
        <w:adjustRightInd w:val="0"/>
        <w:spacing w:line="460" w:lineRule="exact"/>
        <w:ind w:firstLine="480" w:firstLineChars="200"/>
        <w:rPr>
          <w:rFonts w:hint="default"/>
          <w:lang w:val="en-US" w:eastAsia="zh-CN"/>
        </w:rPr>
      </w:pPr>
      <w:r>
        <w:rPr>
          <w:rFonts w:hint="eastAsia" w:ascii="仿宋" w:hAnsi="仿宋" w:eastAsia="仿宋" w:cs="仿宋"/>
          <w:color w:val="auto"/>
          <w:sz w:val="24"/>
          <w:szCs w:val="24"/>
          <w:highlight w:val="none"/>
          <w:lang w:eastAsia="zh-CN"/>
        </w:rPr>
        <w:t>（五）对参与项目的人员（如电工、维修员、检测员等）进行严格的岗前培训，上述各岗位均应持有国家承认的资格证书。</w:t>
      </w:r>
      <w:r>
        <w:rPr>
          <w:rFonts w:hint="eastAsia" w:ascii="仿宋" w:hAnsi="仿宋" w:eastAsia="仿宋" w:cs="仿宋"/>
          <w:color w:val="auto"/>
          <w:sz w:val="24"/>
          <w:szCs w:val="24"/>
          <w:highlight w:val="none"/>
          <w:lang w:val="en-US" w:eastAsia="zh-CN"/>
        </w:rPr>
        <w:t>向甲方提供技术交流，技术咨询等服务，对甲方工作人员提供必要的技术培训，使其达到熟练掌握程度。</w:t>
      </w:r>
    </w:p>
    <w:p w14:paraId="186B2712">
      <w:pPr>
        <w:pStyle w:val="7"/>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（六）制定项目管理制度，编制岗位职责、岗位规范等，并将其所制定的管理制度、岗位规范及拟派本项目的主要人员名单及资质证明材料报甲方备案。</w:t>
      </w:r>
    </w:p>
    <w:p w14:paraId="549987C5">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w:t>
      </w:r>
      <w:r>
        <w:rPr>
          <w:rFonts w:hint="eastAsia" w:ascii="仿宋" w:hAnsi="仿宋" w:eastAsia="仿宋" w:cs="方正仿宋_GBK"/>
          <w:color w:val="auto"/>
          <w:sz w:val="24"/>
          <w:highlight w:val="none"/>
          <w:lang w:eastAsia="zh-CN"/>
        </w:rPr>
        <w:t>乙方应熟悉所有设备操作流程，</w:t>
      </w:r>
      <w:r>
        <w:rPr>
          <w:rFonts w:hint="eastAsia" w:ascii="仿宋" w:hAnsi="仿宋" w:eastAsia="仿宋" w:cs="仿宋"/>
          <w:color w:val="auto"/>
          <w:sz w:val="24"/>
          <w:highlight w:val="none"/>
          <w:lang w:eastAsia="zh-CN"/>
        </w:rPr>
        <w:t>向甲方提供完整的维护记录和相关设备维修资料。每次完成维护工作后填写相应的记录。</w:t>
      </w:r>
      <w:r>
        <w:rPr>
          <w:rFonts w:hint="eastAsia" w:ascii="仿宋" w:hAnsi="仿宋" w:eastAsia="仿宋" w:cs="仿宋"/>
          <w:color w:val="auto"/>
          <w:kern w:val="2"/>
          <w:sz w:val="24"/>
          <w:szCs w:val="24"/>
          <w:highlight w:val="none"/>
          <w:lang w:eastAsia="zh-CN"/>
        </w:rPr>
        <w:t>根据甲方要求每月向甲方报送工作计划、月报。</w:t>
      </w:r>
    </w:p>
    <w:p w14:paraId="1964A124">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（八）乙方须做好备品备件、耗材的供应工作。设备在平时使用过程中出现故障，如当时无法修复，乙方需提供免费替代设备，并保证在3个工作日内使系统恢复正常运行；</w:t>
      </w:r>
    </w:p>
    <w:p w14:paraId="21E6CF26">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（九）如出现故障，需要维修更换相应的设备、材料等时，乙方提供的设备和材料应经过甲方验收合格后，方能用于维护和检修。</w:t>
      </w:r>
    </w:p>
    <w:p w14:paraId="566A7F15">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（十）乙方更换的设备和材料应优先选择原厂产品，更换的设备和材料保修期为自更换之日起12个月，保修期内出现质量问题由乙方负责免费更换或修复。</w:t>
      </w:r>
    </w:p>
    <w:p w14:paraId="23F39E12">
      <w:pPr>
        <w:tabs>
          <w:tab w:val="left" w:pos="1060"/>
        </w:tabs>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（十一）乙方更换配件的相关维修服务费用单价在人民币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000元以内（含</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000元）的，由乙方自理，超过人民币</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lang w:eastAsia="zh-CN"/>
        </w:rPr>
        <w:t>000元的，经甲乙双方协商办理后进行维修更换。</w:t>
      </w:r>
    </w:p>
    <w:p w14:paraId="0C79F7AB">
      <w:pPr>
        <w:tabs>
          <w:tab w:val="left" w:pos="1060"/>
        </w:tabs>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二）项目实施过程中，乙方项目负责人需了解本项目情况，统筹项目人员安排，与甲方保持密切沟通，并按照甲方要求参加工作会。如甲方对该项目开展验收、考核、检查、项目交接、延伸审计等，乙方须无条件配合。</w:t>
      </w:r>
    </w:p>
    <w:p w14:paraId="2BE47580">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（十三）更换项目负责人</w:t>
      </w:r>
    </w:p>
    <w:p w14:paraId="1F8D0DF6">
      <w:pPr>
        <w:tabs>
          <w:tab w:val="left" w:pos="1060"/>
        </w:tabs>
        <w:adjustRightInd w:val="0"/>
        <w:spacing w:line="460" w:lineRule="exact"/>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 xml:space="preserve">    1、乙方更换项目主要负责人的，必须经甲方书面同意；</w:t>
      </w:r>
    </w:p>
    <w:p w14:paraId="5D05811A">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2、更换人员的资质水平应高于项目原负责人或与原负责人资质水平保持一致；</w:t>
      </w:r>
    </w:p>
    <w:p w14:paraId="4F07413D">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3、乙方未经甲方同意更换项目负责人的，视为违约，甲方有权要求乙方在三个工作日内按甲方要求补足相应的人员；经甲方两次要求，乙方仍不补足相应人员的，甲方有权随时解除本合同，并从应向乙方支付的服务费中扣除相应费用作为乙方违约的违约金。</w:t>
      </w:r>
    </w:p>
    <w:p w14:paraId="01356946">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四）对派驻到甲方服务的维护人员进行安全教育、培训应急抢险相关知识、技能，并形成培训记录，供甲方随时备查，以保证人员具备相应的安全责任意识和自我保护技能。乙方负责项目实施过程中的安全管理工作，须采取必要的安全防护措施，消除事故隐患，不得违章指挥和违规操作。由于乙方管理不力或工作人员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仿宋"/>
          <w:color w:val="auto"/>
          <w:sz w:val="24"/>
          <w:highlight w:val="none"/>
          <w:lang w:eastAsia="zh-CN"/>
        </w:rPr>
        <w:t>造成事故的责任和因此发生的费用由乙方承担。</w:t>
      </w:r>
    </w:p>
    <w:p w14:paraId="12B26EF2">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（十五）</w:t>
      </w:r>
      <w:r>
        <w:rPr>
          <w:rFonts w:hint="eastAsia" w:ascii="仿宋" w:hAnsi="仿宋" w:eastAsia="仿宋" w:cs="仿宋"/>
          <w:color w:val="auto"/>
          <w:kern w:val="2"/>
          <w:sz w:val="24"/>
          <w:szCs w:val="24"/>
          <w:highlight w:val="none"/>
          <w:lang w:eastAsia="zh-CN"/>
        </w:rPr>
        <w:t>每月对维护情况自检一次，并做好自检记录。乙方须参加甲方组织的维护工作检查、验收、考核等活动。</w:t>
      </w:r>
      <w:r>
        <w:rPr>
          <w:rFonts w:hint="eastAsia" w:ascii="仿宋" w:hAnsi="仿宋" w:eastAsia="仿宋" w:cs="仿宋"/>
          <w:color w:val="auto"/>
          <w:sz w:val="24"/>
          <w:highlight w:val="none"/>
          <w:lang w:eastAsia="zh-CN"/>
        </w:rPr>
        <w:t>对甲方发出的整改通知，应在收到通知之日起5日内完成整改，紧急情况应24小时内整改。乙方无正当理由拒绝整改时，除甲方有权解除合同外，甲方可以另行委托他人进行整改，所发生的费用由乙方承担。</w:t>
      </w:r>
    </w:p>
    <w:p w14:paraId="71FB1A02">
      <w:pPr>
        <w:tabs>
          <w:tab w:val="left" w:pos="1060"/>
        </w:tabs>
        <w:adjustRightInd w:val="0"/>
        <w:spacing w:line="460" w:lineRule="exact"/>
        <w:ind w:firstLine="360" w:firstLineChars="15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（十六）乙方应做到文明施工，加强现场环境保护工作，做好善后工作，遵守北京市环境保护各项规定。</w:t>
      </w:r>
    </w:p>
    <w:p w14:paraId="6C9FA000">
      <w:pPr>
        <w:spacing w:line="460" w:lineRule="exact"/>
        <w:ind w:firstLine="480" w:firstLineChars="20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eastAsia="zh-CN"/>
        </w:rPr>
        <w:t>（十七）未经甲方同意不得在项目实施范围内建设或搭设任何正式或临时设施，如违反此条规定，乙方应在甲方要求限定期限内拆除并恢复原貌，同时承担拆除及恢复费用</w:t>
      </w:r>
      <w:r>
        <w:rPr>
          <w:rFonts w:hint="eastAsia" w:ascii="仿宋" w:hAnsi="仿宋" w:eastAsia="仿宋" w:cs="仿宋"/>
          <w:color w:val="auto"/>
          <w:sz w:val="24"/>
          <w:highlight w:val="none"/>
        </w:rPr>
        <w:t>。逾期不拆除及恢复的，甲方有权解除本合同，乙方应承担合同</w:t>
      </w:r>
      <w:r>
        <w:rPr>
          <w:rFonts w:hint="eastAsia" w:ascii="仿宋" w:hAnsi="仿宋" w:eastAsia="仿宋" w:cs="仿宋"/>
          <w:color w:val="auto"/>
          <w:sz w:val="24"/>
          <w:highlight w:val="none"/>
          <w:lang w:val="en-US" w:eastAsia="zh-CN"/>
        </w:rPr>
        <w:t>总</w:t>
      </w:r>
      <w:r>
        <w:rPr>
          <w:rFonts w:hint="eastAsia" w:ascii="仿宋" w:hAnsi="仿宋" w:eastAsia="仿宋" w:cs="仿宋"/>
          <w:color w:val="auto"/>
          <w:sz w:val="24"/>
          <w:highlight w:val="none"/>
        </w:rPr>
        <w:t>金额</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2</w:t>
      </w:r>
      <w:r>
        <w:rPr>
          <w:rFonts w:hint="eastAsia" w:ascii="仿宋" w:hAnsi="仿宋" w:eastAsia="仿宋" w:cs="仿宋"/>
          <w:color w:val="auto"/>
          <w:sz w:val="24"/>
          <w:highlight w:val="none"/>
          <w:lang w:val="en-US" w:eastAsia="zh-CN"/>
        </w:rPr>
        <w:t>0</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eastAsia="zh-CN"/>
        </w:rPr>
        <w:t>的</w:t>
      </w:r>
      <w:r>
        <w:rPr>
          <w:rFonts w:hint="eastAsia" w:ascii="仿宋" w:hAnsi="仿宋" w:eastAsia="仿宋" w:cs="仿宋"/>
          <w:color w:val="auto"/>
          <w:sz w:val="24"/>
          <w:highlight w:val="none"/>
        </w:rPr>
        <w:t>违约金，</w:t>
      </w:r>
      <w:r>
        <w:rPr>
          <w:rFonts w:hint="eastAsia" w:ascii="仿宋" w:hAnsi="仿宋" w:eastAsia="仿宋" w:cs="仿宋"/>
          <w:color w:val="auto"/>
          <w:sz w:val="24"/>
          <w:highlight w:val="none"/>
          <w:lang w:val="en-US" w:eastAsia="zh-CN"/>
        </w:rPr>
        <w:t>并</w:t>
      </w:r>
      <w:r>
        <w:rPr>
          <w:rFonts w:hint="eastAsia" w:ascii="仿宋" w:hAnsi="仿宋" w:eastAsia="仿宋" w:cs="仿宋"/>
          <w:color w:val="auto"/>
          <w:sz w:val="24"/>
          <w:highlight w:val="none"/>
        </w:rPr>
        <w:t>赔偿甲方损失。</w:t>
      </w:r>
      <w:r>
        <w:rPr>
          <w:rFonts w:hint="eastAsia" w:ascii="仿宋" w:hAnsi="仿宋" w:eastAsia="仿宋" w:cs="仿宋"/>
          <w:color w:val="auto"/>
          <w:sz w:val="24"/>
          <w:highlight w:val="none"/>
          <w:lang w:val="en-US" w:eastAsia="zh-CN"/>
        </w:rPr>
        <w:t xml:space="preserve">   </w:t>
      </w:r>
    </w:p>
    <w:p w14:paraId="70347CC1">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方正仿宋_GBK"/>
          <w:color w:val="auto"/>
          <w:sz w:val="24"/>
          <w:highlight w:val="none"/>
          <w:lang w:eastAsia="zh-CN"/>
        </w:rPr>
        <w:t>（十八）乙方进入甲方属地工作时须服从甲方的监管，未经甲方同意，乙方人员不得随意进出设备间、触碰工程设备。因乙方违反甲方管理要求或因自身原因</w:t>
      </w:r>
      <w:r>
        <w:rPr>
          <w:rFonts w:hint="eastAsia" w:ascii="仿宋" w:hAnsi="仿宋" w:eastAsia="仿宋" w:cs="仿宋"/>
          <w:color w:val="auto"/>
          <w:sz w:val="24"/>
          <w:highlight w:val="none"/>
          <w:lang w:val="en-US" w:eastAsia="zh-CN"/>
        </w:rPr>
        <w:t>等非甲方原因</w:t>
      </w:r>
      <w:r>
        <w:rPr>
          <w:rFonts w:hint="eastAsia" w:ascii="仿宋" w:hAnsi="仿宋" w:eastAsia="仿宋" w:cs="方正仿宋_GBK"/>
          <w:color w:val="auto"/>
          <w:sz w:val="24"/>
          <w:highlight w:val="none"/>
          <w:lang w:eastAsia="zh-CN"/>
        </w:rPr>
        <w:t>造成的人员伤害、设备损坏及其他损失，由乙方承担。</w:t>
      </w:r>
    </w:p>
    <w:p w14:paraId="1FF13E83">
      <w:p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（十九）所有工作人员在工作时间必须统一着装，并佩戴反光警示标识、工卡上岗。</w:t>
      </w:r>
    </w:p>
    <w:p w14:paraId="0E9137CF">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（二十）劳动法上的义务</w:t>
      </w:r>
    </w:p>
    <w:p w14:paraId="163F89E2">
      <w:pPr>
        <w:numPr>
          <w:ilvl w:val="0"/>
          <w:numId w:val="5"/>
        </w:numPr>
        <w:spacing w:line="460" w:lineRule="exact"/>
        <w:ind w:firstLine="480" w:firstLineChars="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严格遵守国家关于劳动时间的规定;</w:t>
      </w:r>
    </w:p>
    <w:p w14:paraId="2A51E512">
      <w:pPr>
        <w:numPr>
          <w:ilvl w:val="0"/>
          <w:numId w:val="5"/>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完全遵守《中华人民共和国妇女权益保障法》中关于“劳动和社会保障权益”的有关要求。</w:t>
      </w:r>
    </w:p>
    <w:p w14:paraId="45118E0D">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、虽然乙方所派人员在甲方处工作，但并不意味着乙方人员与甲方建立了劳动关系。乙方应与所派本单位人员签订书面劳动合同，并缴纳的社会保险，按时支付劳动报酬，保证与所派人员不存在劳动纠纷；</w:t>
      </w:r>
    </w:p>
    <w:p w14:paraId="60C65310">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lang w:eastAsia="zh-CN"/>
        </w:rPr>
        <w:t>、如因未与派驻本合同项目的本单位工作人员签订书面劳动合同、未缴纳社会保险费用等原因引起的一切责任，由乙方承担；</w:t>
      </w:r>
    </w:p>
    <w:p w14:paraId="26291AE9">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lang w:eastAsia="zh-CN"/>
        </w:rPr>
        <w:t>、乙方派驻甲方的维护人员在提供服务的过程中因意外事故受到人身财产损害或者导致第三方人身财产损害的，由乙方承担全部责任，并由乙方与第三方交涉，保证甲方不受追究。如甲方因此而承担责任的，由乙方负责赔偿。</w:t>
      </w:r>
    </w:p>
    <w:p w14:paraId="740DFA91">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一）乙方应对收到的项目资金进行专款专用、专账管理。该项目资金应首先保证维护保养人员工资支出，防止因拖欠维护保养人员工资而引起的群体事件（如讨薪示威等）。若发生此类事件，视为乙方违约，甲方有权解除本合同。</w:t>
      </w:r>
    </w:p>
    <w:p w14:paraId="6F9F9EF7">
      <w:pPr>
        <w:spacing w:line="460" w:lineRule="exact"/>
        <w:ind w:firstLine="480" w:firstLineChars="200"/>
        <w:rPr>
          <w:color w:val="auto"/>
          <w:highlight w:val="none"/>
          <w:lang w:eastAsia="zh-CN"/>
        </w:rPr>
      </w:pPr>
      <w:r>
        <w:rPr>
          <w:rFonts w:hint="eastAsia" w:ascii="仿宋" w:hAnsi="仿宋" w:eastAsia="仿宋" w:cs="仿宋"/>
          <w:color w:val="auto"/>
          <w:sz w:val="24"/>
          <w:highlight w:val="none"/>
          <w:lang w:eastAsia="zh-CN"/>
        </w:rPr>
        <w:t>（二十二）依本合同第四条的约定收取服务费。如因甲方的违约导致乙方损失的，乙方有权向甲方主张违约责任。</w:t>
      </w:r>
    </w:p>
    <w:p w14:paraId="2B0131ED">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kern w:val="2"/>
          <w:sz w:val="24"/>
          <w:szCs w:val="24"/>
          <w:highlight w:val="none"/>
          <w:lang w:eastAsia="zh-CN"/>
        </w:rPr>
        <w:t>（二十三）建</w:t>
      </w:r>
      <w:r>
        <w:rPr>
          <w:rFonts w:hint="eastAsia" w:ascii="仿宋" w:hAnsi="仿宋" w:eastAsia="仿宋" w:cs="仿宋"/>
          <w:color w:val="auto"/>
          <w:sz w:val="24"/>
          <w:highlight w:val="none"/>
          <w:lang w:eastAsia="zh-CN"/>
        </w:rPr>
        <w:t>立不少于10人的应急保障队伍，并纳入甲方应急抢险体系，按照甲方要求随时调遣用于紧急情况的应对处置，参与辖区范围内火灾、水旱灾害及各类安全事故等突发事件的应急抢险工作。出现险情时，应在险情出现起1小时内响应和处理。</w:t>
      </w:r>
    </w:p>
    <w:p w14:paraId="33DEC98F">
      <w:pPr>
        <w:keepNext/>
        <w:keepLines/>
        <w:tabs>
          <w:tab w:val="left" w:pos="540"/>
        </w:tabs>
        <w:autoSpaceDE w:val="0"/>
        <w:autoSpaceDN w:val="0"/>
        <w:spacing w:line="460" w:lineRule="exact"/>
        <w:ind w:firstLine="361" w:firstLineChars="150"/>
        <w:outlineLvl w:val="2"/>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第八条</w:t>
      </w:r>
      <w:r>
        <w:rPr>
          <w:rFonts w:hint="eastAsia" w:ascii="仿宋" w:hAnsi="仿宋" w:eastAsia="仿宋" w:cs="仿宋"/>
          <w:b/>
          <w:color w:val="auto"/>
          <w:sz w:val="24"/>
          <w:szCs w:val="24"/>
          <w:highlight w:val="none"/>
          <w:lang w:val="en-US" w:eastAsia="zh-CN"/>
        </w:rPr>
        <w:t xml:space="preserve"> </w:t>
      </w:r>
      <w:r>
        <w:rPr>
          <w:rFonts w:hint="eastAsia" w:ascii="仿宋" w:hAnsi="仿宋" w:eastAsia="仿宋" w:cs="仿宋"/>
          <w:b/>
          <w:color w:val="auto"/>
          <w:sz w:val="24"/>
          <w:szCs w:val="24"/>
          <w:highlight w:val="none"/>
          <w:lang w:eastAsia="zh-CN"/>
        </w:rPr>
        <w:t>验收</w:t>
      </w:r>
    </w:p>
    <w:p w14:paraId="2E65BB09">
      <w:pPr>
        <w:keepNext w:val="0"/>
        <w:keepLines w:val="0"/>
        <w:widowControl/>
        <w:numPr>
          <w:ilvl w:val="0"/>
          <w:numId w:val="6"/>
        </w:numPr>
        <w:autoSpaceDE/>
        <w:autoSpaceDN/>
        <w:spacing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在甲方正式验收前，乙方应组织相关人员对本项目完成情况及档案资料整理情况进行自行验收，自行验收通过后，乙方向甲方提出书面验收申请。</w:t>
      </w:r>
    </w:p>
    <w:p w14:paraId="09EBE972">
      <w:pPr>
        <w:keepNext w:val="0"/>
        <w:keepLines w:val="0"/>
        <w:widowControl/>
        <w:numPr>
          <w:ilvl w:val="0"/>
          <w:numId w:val="7"/>
        </w:numPr>
        <w:autoSpaceDE/>
        <w:autoSpaceDN/>
        <w:spacing w:line="460" w:lineRule="exact"/>
        <w:ind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验收方式：甲方自行组织，采用现场检查、查阅资料、确认工程量计量单，召开验收会议等方式，完成验收。</w:t>
      </w:r>
    </w:p>
    <w:p w14:paraId="62A6F505">
      <w:pPr>
        <w:keepNext w:val="0"/>
        <w:keepLines w:val="0"/>
        <w:widowControl/>
        <w:numPr>
          <w:ilvl w:val="0"/>
          <w:numId w:val="7"/>
        </w:numPr>
        <w:autoSpaceDE/>
        <w:autoSpaceDN/>
        <w:spacing w:line="460" w:lineRule="exact"/>
        <w:ind w:left="0" w:leftChars="0" w:firstLine="480" w:firstLineChars="2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验收条件：</w:t>
      </w:r>
    </w:p>
    <w:p w14:paraId="4FB6DFC1">
      <w:pPr>
        <w:keepNext w:val="0"/>
        <w:keepLines w:val="0"/>
        <w:widowControl/>
        <w:numPr>
          <w:ilvl w:val="0"/>
          <w:numId w:val="8"/>
        </w:numPr>
        <w:autoSpaceDE/>
        <w:autoSpaceDN/>
        <w:spacing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乙方按合同约定的期限、数量和标准完成各项工作；</w:t>
      </w:r>
    </w:p>
    <w:p w14:paraId="4F19D7C1">
      <w:pPr>
        <w:keepNext w:val="0"/>
        <w:keepLines w:val="0"/>
        <w:widowControl/>
        <w:numPr>
          <w:ilvl w:val="0"/>
          <w:numId w:val="9"/>
        </w:numPr>
        <w:autoSpaceDE/>
        <w:autoSpaceDN/>
        <w:spacing w:line="460" w:lineRule="exact"/>
        <w:ind w:leftChars="200" w:firstLine="240" w:firstLineChars="100"/>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有完整的技术档案。</w:t>
      </w:r>
    </w:p>
    <w:p w14:paraId="4DB412AD">
      <w:pPr>
        <w:pStyle w:val="7"/>
        <w:spacing w:line="460" w:lineRule="exact"/>
        <w:rPr>
          <w:rFonts w:hint="default"/>
          <w:lang w:val="en-US" w:eastAsia="zh-CN"/>
        </w:rPr>
      </w:pPr>
      <w:r>
        <w:rPr>
          <w:rFonts w:hint="eastAsia" w:ascii="仿宋" w:hAnsi="仿宋" w:eastAsia="仿宋" w:cs="仿宋"/>
          <w:color w:val="auto"/>
          <w:sz w:val="24"/>
          <w:highlight w:val="none"/>
          <w:lang w:val="en-US" w:eastAsia="zh-CN"/>
        </w:rPr>
        <w:t xml:space="preserve">    （四）验收时间：</w:t>
      </w:r>
      <w:r>
        <w:rPr>
          <w:rFonts w:hint="eastAsia" w:ascii="仿宋" w:hAnsi="仿宋" w:eastAsia="仿宋" w:cs="仿宋"/>
          <w:color w:val="auto"/>
          <w:sz w:val="24"/>
          <w:highlight w:val="none"/>
          <w:lang w:eastAsia="zh-CN"/>
        </w:rPr>
        <w:t>项目执行完成</w:t>
      </w:r>
      <w:r>
        <w:rPr>
          <w:rFonts w:hint="eastAsia" w:ascii="仿宋" w:hAnsi="仿宋" w:eastAsia="仿宋" w:cs="仿宋"/>
          <w:color w:val="auto"/>
          <w:sz w:val="24"/>
          <w:highlight w:val="none"/>
          <w:lang w:val="en-US" w:eastAsia="zh-CN"/>
        </w:rPr>
        <w:t>60日内，在无遗留问题后，经乙方申请验收甲方同意后，甲方组织进行验收。</w:t>
      </w:r>
    </w:p>
    <w:p w14:paraId="39A1D59F">
      <w:pPr>
        <w:keepNext w:val="0"/>
        <w:keepLines w:val="0"/>
        <w:widowControl/>
        <w:numPr>
          <w:ilvl w:val="-1"/>
          <w:numId w:val="0"/>
        </w:numPr>
        <w:autoSpaceDE/>
        <w:autoSpaceDN/>
        <w:spacing w:line="460" w:lineRule="exact"/>
        <w:ind w:leftChars="0" w:firstLine="480" w:firstLineChars="200"/>
        <w:outlineLvl w:val="9"/>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五）验收程序：经甲方项目执行部门对现场、资料、工程量计量单等初验合格后，乙方向甲方提出书面验收申请，提请验收，由甲方组织验收小组成员核查乙方提交的工作记录文件及其他验收资料，以及日常检查考核记录，验收小组成员全部认为符合要求后在验收单上签字确认，未经确认的，不得认定乙方提供的服务符合本合同约定；验收不合格的，由乙方负责整改直至验收合格止，由此产生的费用全部由乙方承担。</w:t>
      </w:r>
    </w:p>
    <w:p w14:paraId="3C503195">
      <w:pPr>
        <w:keepNext/>
        <w:keepLines/>
        <w:tabs>
          <w:tab w:val="left" w:pos="540"/>
        </w:tabs>
        <w:autoSpaceDE w:val="0"/>
        <w:autoSpaceDN w:val="0"/>
        <w:spacing w:line="460" w:lineRule="exact"/>
        <w:ind w:firstLine="480" w:firstLineChars="200"/>
        <w:outlineLvl w:val="2"/>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（六）验收内容：乙方是否按合同约定完成各项工作内容，质量、进度、资金使用是否满足合同要求，档案资料是否齐全。</w:t>
      </w:r>
    </w:p>
    <w:p w14:paraId="231EAFDE">
      <w:pPr>
        <w:pStyle w:val="7"/>
        <w:spacing w:line="460" w:lineRule="exact"/>
        <w:rPr>
          <w:rFonts w:hint="default"/>
          <w:lang w:val="en-US" w:eastAsia="zh-CN"/>
        </w:rPr>
      </w:pPr>
      <w:r>
        <w:rPr>
          <w:rFonts w:hint="eastAsia" w:ascii="仿宋" w:hAnsi="仿宋" w:eastAsia="仿宋" w:cs="仿宋"/>
          <w:color w:val="auto"/>
          <w:sz w:val="24"/>
          <w:highlight w:val="none"/>
          <w:lang w:val="en-US" w:eastAsia="zh-CN"/>
        </w:rPr>
        <w:t xml:space="preserve">    （七）验收标准：参照《北京市南水北调大宁管理处项目管理办法》和《北京市南水北调大宁管理处合同管理办法》。</w:t>
      </w:r>
    </w:p>
    <w:p w14:paraId="2771DB30">
      <w:pPr>
        <w:keepNext/>
        <w:keepLines/>
        <w:widowControl/>
        <w:tabs>
          <w:tab w:val="left" w:pos="540"/>
        </w:tabs>
        <w:autoSpaceDE w:val="0"/>
        <w:autoSpaceDN w:val="0"/>
        <w:spacing w:line="460" w:lineRule="exact"/>
        <w:ind w:firstLine="480" w:firstLineChars="200"/>
        <w:outlineLvl w:val="2"/>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（八） 验收通过5日内，乙方应向甲方提供完整的技术档案及管理资料。</w:t>
      </w:r>
    </w:p>
    <w:p w14:paraId="76A41F39">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第九条 信息和保密</w:t>
      </w:r>
    </w:p>
    <w:p w14:paraId="3F26A521">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一</w:t>
      </w:r>
      <w:r>
        <w:rPr>
          <w:rFonts w:hint="eastAsia" w:ascii="仿宋" w:hAnsi="仿宋" w:eastAsia="仿宋" w:cs="仿宋"/>
          <w:color w:val="auto"/>
          <w:kern w:val="2"/>
          <w:sz w:val="24"/>
          <w:szCs w:val="24"/>
          <w:highlight w:val="none"/>
          <w:lang w:val="en-GB" w:eastAsia="zh-CN"/>
        </w:rPr>
        <w:t>）乙方应准确系统地建立服务过程中的文档和记录，其形式和详细程度应符合</w:t>
      </w:r>
      <w:r>
        <w:rPr>
          <w:rFonts w:hint="eastAsia" w:ascii="仿宋" w:hAnsi="仿宋" w:eastAsia="仿宋" w:cs="仿宋"/>
          <w:color w:val="auto"/>
          <w:sz w:val="24"/>
          <w:highlight w:val="none"/>
          <w:lang w:val="en-GB" w:eastAsia="zh-CN"/>
        </w:rPr>
        <w:t>标准和甲方要求，</w:t>
      </w:r>
      <w:r>
        <w:rPr>
          <w:rFonts w:hint="eastAsia" w:ascii="仿宋" w:hAnsi="仿宋" w:eastAsia="仿宋" w:cs="仿宋"/>
          <w:color w:val="auto"/>
          <w:kern w:val="2"/>
          <w:sz w:val="24"/>
          <w:szCs w:val="24"/>
          <w:highlight w:val="none"/>
          <w:lang w:val="en-GB" w:eastAsia="zh-CN"/>
        </w:rPr>
        <w:t>并允许甲方在项目执行过程中进行检查和复印。</w:t>
      </w:r>
    </w:p>
    <w:p w14:paraId="71FF04B5">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二</w:t>
      </w:r>
      <w:r>
        <w:rPr>
          <w:rFonts w:hint="eastAsia" w:ascii="仿宋" w:hAnsi="仿宋" w:eastAsia="仿宋" w:cs="仿宋"/>
          <w:color w:val="auto"/>
          <w:kern w:val="2"/>
          <w:sz w:val="24"/>
          <w:szCs w:val="24"/>
          <w:highlight w:val="none"/>
          <w:lang w:val="en-GB" w:eastAsia="zh-CN"/>
        </w:rPr>
        <w:t>）对于双方相互提供的信息和资料，另一方须以合理和合适的方式或按照适用的专业标准</w:t>
      </w:r>
      <w:r>
        <w:rPr>
          <w:rFonts w:hint="eastAsia" w:ascii="仿宋" w:hAnsi="仿宋" w:eastAsia="仿宋" w:cs="仿宋"/>
          <w:color w:val="auto"/>
          <w:kern w:val="2"/>
          <w:sz w:val="24"/>
          <w:szCs w:val="24"/>
          <w:highlight w:val="none"/>
          <w:lang w:eastAsia="zh-CN"/>
        </w:rPr>
        <w:t>进行保密</w:t>
      </w:r>
      <w:r>
        <w:rPr>
          <w:rFonts w:hint="eastAsia" w:ascii="仿宋" w:hAnsi="仿宋" w:eastAsia="仿宋" w:cs="仿宋"/>
          <w:color w:val="auto"/>
          <w:kern w:val="2"/>
          <w:sz w:val="24"/>
          <w:szCs w:val="24"/>
          <w:highlight w:val="none"/>
          <w:lang w:val="en-GB" w:eastAsia="zh-CN"/>
        </w:rPr>
        <w:t>。未经提供方书面同意，另一方不得将</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资料通过任何方式</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露给第三方。但甲方</w:t>
      </w:r>
      <w:r>
        <w:rPr>
          <w:rFonts w:hint="eastAsia" w:ascii="仿宋" w:hAnsi="仿宋" w:eastAsia="仿宋" w:cs="仿宋"/>
          <w:color w:val="auto"/>
          <w:kern w:val="2"/>
          <w:sz w:val="24"/>
          <w:szCs w:val="24"/>
          <w:highlight w:val="none"/>
          <w:lang w:eastAsia="zh-CN"/>
        </w:rPr>
        <w:t>为获得项目成果而合理使用此类材料的</w:t>
      </w:r>
      <w:r>
        <w:rPr>
          <w:rFonts w:hint="eastAsia" w:ascii="仿宋" w:hAnsi="仿宋" w:eastAsia="仿宋" w:cs="仿宋"/>
          <w:color w:val="auto"/>
          <w:kern w:val="2"/>
          <w:sz w:val="24"/>
          <w:szCs w:val="24"/>
          <w:highlight w:val="none"/>
          <w:lang w:val="en-GB" w:eastAsia="zh-CN"/>
        </w:rPr>
        <w:t>不</w:t>
      </w:r>
      <w:r>
        <w:rPr>
          <w:rFonts w:hint="eastAsia" w:ascii="仿宋" w:hAnsi="仿宋" w:eastAsia="仿宋" w:cs="仿宋"/>
          <w:color w:val="auto"/>
          <w:kern w:val="2"/>
          <w:sz w:val="24"/>
          <w:szCs w:val="24"/>
          <w:highlight w:val="none"/>
          <w:lang w:eastAsia="zh-CN"/>
        </w:rPr>
        <w:t>受此限制</w:t>
      </w:r>
      <w:r>
        <w:rPr>
          <w:rFonts w:hint="eastAsia" w:ascii="仿宋" w:hAnsi="仿宋" w:eastAsia="仿宋" w:cs="仿宋"/>
          <w:color w:val="auto"/>
          <w:kern w:val="2"/>
          <w:sz w:val="24"/>
          <w:szCs w:val="24"/>
          <w:highlight w:val="none"/>
          <w:lang w:val="en-GB" w:eastAsia="zh-CN"/>
        </w:rPr>
        <w:t>。</w:t>
      </w:r>
    </w:p>
    <w:p w14:paraId="0515FFAA">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三</w:t>
      </w:r>
      <w:r>
        <w:rPr>
          <w:rFonts w:hint="eastAsia" w:ascii="仿宋" w:hAnsi="仿宋" w:eastAsia="仿宋" w:cs="仿宋"/>
          <w:color w:val="auto"/>
          <w:kern w:val="2"/>
          <w:sz w:val="24"/>
          <w:szCs w:val="24"/>
          <w:highlight w:val="none"/>
          <w:lang w:val="en-GB" w:eastAsia="zh-CN"/>
        </w:rPr>
        <w:t>）甲方向乙方提供的资料、档案均属于甲方的财产，当项目完成或终止后，应甲方要求，乙方须归还</w:t>
      </w:r>
      <w:r>
        <w:rPr>
          <w:rFonts w:hint="eastAsia" w:ascii="仿宋" w:hAnsi="仿宋" w:eastAsia="仿宋" w:cs="仿宋"/>
          <w:color w:val="auto"/>
          <w:kern w:val="2"/>
          <w:sz w:val="24"/>
          <w:szCs w:val="24"/>
          <w:highlight w:val="none"/>
          <w:lang w:eastAsia="zh-CN"/>
        </w:rPr>
        <w:t>此类</w:t>
      </w:r>
      <w:r>
        <w:rPr>
          <w:rFonts w:hint="eastAsia" w:ascii="仿宋" w:hAnsi="仿宋" w:eastAsia="仿宋" w:cs="仿宋"/>
          <w:color w:val="auto"/>
          <w:kern w:val="2"/>
          <w:sz w:val="24"/>
          <w:szCs w:val="24"/>
          <w:highlight w:val="none"/>
          <w:lang w:val="en-GB" w:eastAsia="zh-CN"/>
        </w:rPr>
        <w:t>资料和档案（包括</w:t>
      </w:r>
      <w:r>
        <w:rPr>
          <w:rFonts w:hint="eastAsia" w:ascii="仿宋" w:hAnsi="仿宋" w:eastAsia="仿宋" w:cs="仿宋"/>
          <w:color w:val="auto"/>
          <w:kern w:val="2"/>
          <w:sz w:val="24"/>
          <w:szCs w:val="24"/>
          <w:highlight w:val="none"/>
          <w:lang w:eastAsia="zh-CN"/>
        </w:rPr>
        <w:t>乙方</w:t>
      </w:r>
      <w:r>
        <w:rPr>
          <w:rFonts w:hint="eastAsia" w:ascii="仿宋" w:hAnsi="仿宋" w:eastAsia="仿宋" w:cs="仿宋"/>
          <w:color w:val="auto"/>
          <w:kern w:val="2"/>
          <w:sz w:val="24"/>
          <w:szCs w:val="24"/>
          <w:highlight w:val="none"/>
          <w:lang w:val="en-GB" w:eastAsia="zh-CN"/>
        </w:rPr>
        <w:t>拷贝</w:t>
      </w:r>
      <w:r>
        <w:rPr>
          <w:rFonts w:hint="eastAsia" w:ascii="仿宋" w:hAnsi="仿宋" w:eastAsia="仿宋" w:cs="仿宋"/>
          <w:color w:val="auto"/>
          <w:kern w:val="2"/>
          <w:sz w:val="24"/>
          <w:szCs w:val="24"/>
          <w:highlight w:val="none"/>
          <w:lang w:eastAsia="zh-CN"/>
        </w:rPr>
        <w:t>的资料</w:t>
      </w:r>
      <w:r>
        <w:rPr>
          <w:rFonts w:hint="eastAsia" w:ascii="仿宋" w:hAnsi="仿宋" w:eastAsia="仿宋" w:cs="仿宋"/>
          <w:color w:val="auto"/>
          <w:kern w:val="2"/>
          <w:sz w:val="24"/>
          <w:szCs w:val="24"/>
          <w:highlight w:val="none"/>
          <w:lang w:val="en-GB" w:eastAsia="zh-CN"/>
        </w:rPr>
        <w:t>）。</w:t>
      </w:r>
    </w:p>
    <w:p w14:paraId="43061C2F">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四</w:t>
      </w:r>
      <w:r>
        <w:rPr>
          <w:rFonts w:hint="eastAsia" w:ascii="仿宋" w:hAnsi="仿宋" w:eastAsia="仿宋" w:cs="仿宋"/>
          <w:color w:val="auto"/>
          <w:kern w:val="2"/>
          <w:sz w:val="24"/>
          <w:szCs w:val="24"/>
          <w:highlight w:val="none"/>
          <w:lang w:val="en-GB" w:eastAsia="zh-CN"/>
        </w:rPr>
        <w:t>）本项目形成成果的所有权、使用权和著作权归甲方所有，乙方在项目外使用本项目成果时需征的甲方同意。</w:t>
      </w:r>
    </w:p>
    <w:p w14:paraId="18EDB6C1">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五</w:t>
      </w:r>
      <w:r>
        <w:rPr>
          <w:rFonts w:hint="eastAsia" w:ascii="仿宋" w:hAnsi="仿宋" w:eastAsia="仿宋" w:cs="仿宋"/>
          <w:color w:val="auto"/>
          <w:kern w:val="2"/>
          <w:sz w:val="24"/>
          <w:szCs w:val="24"/>
          <w:highlight w:val="none"/>
          <w:lang w:val="en-GB" w:eastAsia="zh-CN"/>
        </w:rPr>
        <w:t>）未经甲方同意，乙方不得将本项目成果</w:t>
      </w:r>
      <w:r>
        <w:rPr>
          <w:rFonts w:hint="eastAsia" w:ascii="仿宋" w:hAnsi="仿宋" w:eastAsia="仿宋" w:cs="仿宋"/>
          <w:color w:val="auto"/>
          <w:kern w:val="2"/>
          <w:sz w:val="24"/>
          <w:szCs w:val="24"/>
          <w:highlight w:val="none"/>
          <w:lang w:eastAsia="zh-CN"/>
        </w:rPr>
        <w:t>和与本项目有关的信息</w:t>
      </w:r>
      <w:r>
        <w:rPr>
          <w:rFonts w:hint="eastAsia" w:ascii="仿宋" w:hAnsi="仿宋" w:eastAsia="仿宋" w:cs="仿宋"/>
          <w:color w:val="auto"/>
          <w:kern w:val="2"/>
          <w:sz w:val="24"/>
          <w:szCs w:val="24"/>
          <w:highlight w:val="none"/>
          <w:lang w:val="en-GB" w:eastAsia="zh-CN"/>
        </w:rPr>
        <w:t>公开或</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露给</w:t>
      </w:r>
      <w:r>
        <w:rPr>
          <w:rFonts w:hint="eastAsia" w:ascii="仿宋" w:hAnsi="仿宋" w:eastAsia="仿宋" w:cs="仿宋"/>
          <w:color w:val="auto"/>
          <w:kern w:val="2"/>
          <w:sz w:val="24"/>
          <w:szCs w:val="24"/>
          <w:highlight w:val="none"/>
          <w:lang w:eastAsia="zh-CN"/>
        </w:rPr>
        <w:t>任何</w:t>
      </w:r>
      <w:r>
        <w:rPr>
          <w:rFonts w:hint="eastAsia" w:ascii="仿宋" w:hAnsi="仿宋" w:eastAsia="仿宋" w:cs="仿宋"/>
          <w:color w:val="auto"/>
          <w:kern w:val="2"/>
          <w:sz w:val="24"/>
          <w:szCs w:val="24"/>
          <w:highlight w:val="none"/>
          <w:lang w:val="en-GB" w:eastAsia="zh-CN"/>
        </w:rPr>
        <w:t>第三方。</w:t>
      </w:r>
    </w:p>
    <w:p w14:paraId="343F7ABB">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val="en-GB" w:eastAsia="zh-CN"/>
        </w:rPr>
        <w:t>（</w:t>
      </w:r>
      <w:r>
        <w:rPr>
          <w:rFonts w:hint="eastAsia" w:ascii="仿宋" w:hAnsi="仿宋" w:eastAsia="仿宋" w:cs="仿宋"/>
          <w:color w:val="auto"/>
          <w:kern w:val="2"/>
          <w:sz w:val="24"/>
          <w:szCs w:val="24"/>
          <w:highlight w:val="none"/>
          <w:lang w:eastAsia="zh-CN"/>
        </w:rPr>
        <w:t>六</w:t>
      </w:r>
      <w:r>
        <w:rPr>
          <w:rFonts w:hint="eastAsia" w:ascii="仿宋" w:hAnsi="仿宋" w:eastAsia="仿宋" w:cs="仿宋"/>
          <w:color w:val="auto"/>
          <w:kern w:val="2"/>
          <w:sz w:val="24"/>
          <w:szCs w:val="24"/>
          <w:highlight w:val="none"/>
          <w:lang w:val="en-GB" w:eastAsia="zh-CN"/>
        </w:rPr>
        <w:t>）在任何时</w:t>
      </w:r>
      <w:r>
        <w:rPr>
          <w:rFonts w:hint="eastAsia" w:ascii="仿宋" w:hAnsi="仿宋" w:eastAsia="仿宋" w:cs="仿宋"/>
          <w:color w:val="auto"/>
          <w:kern w:val="2"/>
          <w:sz w:val="24"/>
          <w:szCs w:val="24"/>
          <w:highlight w:val="none"/>
          <w:lang w:eastAsia="zh-CN"/>
        </w:rPr>
        <w:t>间</w:t>
      </w:r>
      <w:r>
        <w:rPr>
          <w:rFonts w:hint="eastAsia" w:ascii="仿宋" w:hAnsi="仿宋" w:eastAsia="仿宋" w:cs="仿宋"/>
          <w:color w:val="auto"/>
          <w:kern w:val="2"/>
          <w:sz w:val="24"/>
          <w:szCs w:val="24"/>
          <w:highlight w:val="none"/>
          <w:lang w:val="en-GB" w:eastAsia="zh-CN"/>
        </w:rPr>
        <w:t>，不论</w:t>
      </w:r>
      <w:r>
        <w:rPr>
          <w:rFonts w:hint="eastAsia" w:ascii="仿宋" w:hAnsi="仿宋" w:eastAsia="仿宋" w:cs="仿宋"/>
          <w:color w:val="auto"/>
          <w:kern w:val="2"/>
          <w:sz w:val="24"/>
          <w:szCs w:val="24"/>
          <w:highlight w:val="none"/>
          <w:lang w:eastAsia="zh-CN"/>
        </w:rPr>
        <w:t>在</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履行期限内</w:t>
      </w:r>
      <w:r>
        <w:rPr>
          <w:rFonts w:hint="eastAsia" w:ascii="仿宋" w:hAnsi="仿宋" w:eastAsia="仿宋" w:cs="仿宋"/>
          <w:color w:val="auto"/>
          <w:kern w:val="2"/>
          <w:sz w:val="24"/>
          <w:szCs w:val="24"/>
          <w:highlight w:val="none"/>
          <w:lang w:val="en-GB" w:eastAsia="zh-CN"/>
        </w:rPr>
        <w:t>还是合同终止后，</w:t>
      </w:r>
      <w:r>
        <w:rPr>
          <w:rFonts w:hint="eastAsia" w:ascii="仿宋" w:hAnsi="仿宋" w:eastAsia="仿宋" w:cs="仿宋"/>
          <w:color w:val="auto"/>
          <w:kern w:val="2"/>
          <w:sz w:val="24"/>
          <w:szCs w:val="24"/>
          <w:highlight w:val="none"/>
          <w:lang w:eastAsia="zh-CN"/>
        </w:rPr>
        <w:t>双方应对彼此</w:t>
      </w:r>
      <w:r>
        <w:rPr>
          <w:rFonts w:hint="eastAsia" w:ascii="仿宋" w:hAnsi="仿宋" w:eastAsia="仿宋" w:cs="仿宋"/>
          <w:color w:val="auto"/>
          <w:kern w:val="2"/>
          <w:sz w:val="24"/>
          <w:szCs w:val="24"/>
          <w:highlight w:val="none"/>
          <w:lang w:val="en-GB" w:eastAsia="zh-CN"/>
        </w:rPr>
        <w:t>提供的技术文件、事务、业务或操作方法以及甲方系统的配置等（下称</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秘密信息</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GB" w:eastAsia="zh-CN"/>
        </w:rPr>
        <w:t>）实行严格保密。除非另一方书面授权或该方在本项目下开展业务活动需要，任何一方不得向任何人</w:t>
      </w:r>
      <w:r>
        <w:rPr>
          <w:rFonts w:hint="eastAsia" w:ascii="仿宋" w:hAnsi="仿宋" w:eastAsia="仿宋" w:cs="仿宋"/>
          <w:color w:val="auto"/>
          <w:kern w:val="2"/>
          <w:sz w:val="24"/>
          <w:szCs w:val="24"/>
          <w:highlight w:val="none"/>
          <w:lang w:eastAsia="zh-CN"/>
        </w:rPr>
        <w:t>披</w:t>
      </w:r>
      <w:r>
        <w:rPr>
          <w:rFonts w:hint="eastAsia" w:ascii="仿宋" w:hAnsi="仿宋" w:eastAsia="仿宋" w:cs="仿宋"/>
          <w:color w:val="auto"/>
          <w:kern w:val="2"/>
          <w:sz w:val="24"/>
          <w:szCs w:val="24"/>
          <w:highlight w:val="none"/>
          <w:lang w:val="en-GB" w:eastAsia="zh-CN"/>
        </w:rPr>
        <w:t>露任何秘密信息。</w:t>
      </w:r>
    </w:p>
    <w:p w14:paraId="2A2D0546">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第十条 违约责任</w:t>
      </w:r>
    </w:p>
    <w:p w14:paraId="0CA251DC">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（一）甲乙双方任何一方违反本合同约定即构成违约，违约方应对其违约行为引起的后果或与之有关的事宜负责，守约方有权要求违约方承担违约责任。</w:t>
      </w:r>
    </w:p>
    <w:p w14:paraId="08990B71">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（二）乙方未能按期完成本合同约定的工作或未按时完成维护保养的，甲方有权解除本合同。</w:t>
      </w:r>
    </w:p>
    <w:p w14:paraId="5FCA02B4">
      <w:pPr>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（三）乙方提供服务不符合约定的，甲方有权要求乙方在3日内完成整改，整改后仍不合格的，甲方有权解除合同，乙方按照合同总价的20%的标准向甲方支付违约金。</w:t>
      </w:r>
    </w:p>
    <w:p w14:paraId="65942749">
      <w:pPr>
        <w:pStyle w:val="7"/>
        <w:numPr>
          <w:ilvl w:val="255"/>
          <w:numId w:val="0"/>
        </w:num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（四）</w:t>
      </w:r>
      <w:r>
        <w:rPr>
          <w:rFonts w:hint="eastAsia" w:ascii="仿宋" w:hAnsi="仿宋" w:eastAsia="仿宋" w:cs="仿宋"/>
          <w:color w:val="auto"/>
          <w:sz w:val="24"/>
          <w:szCs w:val="24"/>
          <w:highlight w:val="none"/>
          <w:lang w:eastAsia="zh-CN"/>
        </w:rPr>
        <w:t>若乙方违反保密义务，每一次乙方应向甲方支付本合同价款的</w:t>
      </w:r>
      <w:r>
        <w:rPr>
          <w:rFonts w:hint="eastAsia" w:ascii="仿宋" w:hAnsi="仿宋" w:eastAsia="仿宋" w:cs="仿宋"/>
          <w:color w:val="auto"/>
          <w:sz w:val="24"/>
          <w:szCs w:val="24"/>
          <w:highlight w:val="none"/>
          <w:lang w:val="en-US" w:eastAsia="zh-CN"/>
        </w:rPr>
        <w:t>5</w:t>
      </w:r>
      <w:r>
        <w:rPr>
          <w:rFonts w:ascii="仿宋" w:hAnsi="仿宋" w:eastAsia="仿宋" w:cs="仿宋"/>
          <w:color w:val="auto"/>
          <w:sz w:val="24"/>
          <w:szCs w:val="24"/>
          <w:highlight w:val="none"/>
          <w:lang w:eastAsia="zh-CN"/>
        </w:rPr>
        <w:t>%作为违约金</w:t>
      </w:r>
      <w:r>
        <w:rPr>
          <w:rFonts w:hint="eastAsia" w:ascii="仿宋" w:hAnsi="仿宋" w:eastAsia="仿宋" w:cs="仿宋"/>
          <w:color w:val="auto"/>
          <w:sz w:val="24"/>
          <w:szCs w:val="24"/>
          <w:highlight w:val="none"/>
          <w:lang w:eastAsia="zh-CN"/>
        </w:rPr>
        <w:t>，并赔偿甲方的全部损失；</w:t>
      </w:r>
    </w:p>
    <w:p w14:paraId="4D7F9D97">
      <w:pPr>
        <w:numPr>
          <w:ilvl w:val="255"/>
          <w:numId w:val="0"/>
        </w:numPr>
        <w:spacing w:line="460" w:lineRule="exact"/>
        <w:ind w:firstLine="480" w:firstLineChars="200"/>
        <w:rPr>
          <w:rFonts w:ascii="仿宋" w:hAnsi="仿宋" w:eastAsia="仿宋" w:cs="仿宋"/>
          <w:color w:val="0000FF"/>
          <w:sz w:val="24"/>
          <w:highlight w:val="none"/>
          <w:lang w:eastAsia="zh-CN"/>
        </w:rPr>
      </w:pPr>
      <w:r>
        <w:rPr>
          <w:rFonts w:hint="eastAsia" w:ascii="仿宋" w:hAnsi="仿宋" w:eastAsia="仿宋" w:cs="仿宋"/>
          <w:color w:val="auto"/>
          <w:sz w:val="24"/>
          <w:highlight w:val="none"/>
          <w:lang w:eastAsia="zh-CN"/>
        </w:rPr>
        <w:t>（五）无论何种原因，乙方不得将合同中的主体工作分包、转让或将合同义务转让给第三方，非主体工作需按照约定进行分包，否则甲方有权解除合同。</w:t>
      </w:r>
    </w:p>
    <w:p w14:paraId="307BF27C">
      <w:pPr>
        <w:numPr>
          <w:ilvl w:val="255"/>
          <w:numId w:val="0"/>
        </w:numPr>
        <w:tabs>
          <w:tab w:val="left" w:pos="1060"/>
        </w:tabs>
        <w:adjustRightInd w:val="0"/>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szCs w:val="21"/>
          <w:highlight w:val="none"/>
          <w:lang w:eastAsia="zh-CN"/>
        </w:rPr>
        <w:t>（六）由于乙方或其工作人员原因造成安全事故的，每一次乙方应向甲方支付本合同价款的5%作为违约金，并赔偿甲方的全部损失，且甲方有权解除本合同。</w:t>
      </w:r>
    </w:p>
    <w:p w14:paraId="1FB5AB89">
      <w:pPr>
        <w:spacing w:line="460" w:lineRule="exact"/>
        <w:ind w:firstLine="480" w:firstLineChars="200"/>
        <w:rPr>
          <w:rFonts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（七）乙方应支付的违约金、赔偿金，甲方可以从应支付给乙方的费用</w:t>
      </w:r>
      <w:r>
        <w:rPr>
          <w:rFonts w:hint="eastAsia" w:ascii="仿宋" w:hAnsi="仿宋" w:eastAsia="仿宋" w:cs="仿宋"/>
          <w:color w:val="auto"/>
          <w:sz w:val="24"/>
          <w:highlight w:val="none"/>
          <w:lang w:val="en-US" w:eastAsia="zh-CN"/>
        </w:rPr>
        <w:t>或履约保证金</w:t>
      </w:r>
      <w:r>
        <w:rPr>
          <w:rFonts w:hint="eastAsia" w:ascii="仿宋" w:hAnsi="仿宋" w:eastAsia="仿宋" w:cs="仿宋"/>
          <w:color w:val="auto"/>
          <w:sz w:val="24"/>
          <w:highlight w:val="none"/>
          <w:lang w:eastAsia="zh-CN"/>
        </w:rPr>
        <w:t>中直接扣除，</w:t>
      </w:r>
      <w:r>
        <w:rPr>
          <w:rFonts w:hint="eastAsia" w:ascii="仿宋" w:hAnsi="仿宋" w:eastAsia="仿宋" w:cs="仿宋"/>
          <w:color w:val="auto"/>
          <w:sz w:val="24"/>
          <w:highlight w:val="none"/>
          <w:lang w:val="en-US" w:eastAsia="zh-CN"/>
        </w:rPr>
        <w:t>费用不足时，乙方还应另行补足违约金及赔偿甲方损失</w:t>
      </w:r>
      <w:r>
        <w:rPr>
          <w:rFonts w:hint="eastAsia" w:ascii="仿宋" w:hAnsi="仿宋" w:eastAsia="仿宋" w:cs="仿宋"/>
          <w:color w:val="auto"/>
          <w:sz w:val="24"/>
          <w:highlight w:val="none"/>
          <w:lang w:eastAsia="zh-CN"/>
        </w:rPr>
        <w:t>。违约金的支付或扣除不影响合同约定的乙方应履行的其他义务；</w:t>
      </w:r>
    </w:p>
    <w:p w14:paraId="7B71BF7F">
      <w:pPr>
        <w:tabs>
          <w:tab w:val="left" w:pos="1060"/>
        </w:tabs>
        <w:adjustRightInd w:val="0"/>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sz w:val="24"/>
          <w:highlight w:val="none"/>
          <w:lang w:eastAsia="zh-CN"/>
        </w:rPr>
        <w:t xml:space="preserve">（八）违约方应对守约方承担的违约责任，包括因违约行为所造成的直接损失、间接损失及因一方实现债权所发生的费用（包括但不限于诉讼费、保全费、保函费、律师费等）。 </w:t>
      </w:r>
    </w:p>
    <w:p w14:paraId="770200D8">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第十一条 合同的终止与解除</w:t>
      </w:r>
    </w:p>
    <w:p w14:paraId="11B98C7C">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（一）本合同期满后即终止</w:t>
      </w:r>
      <w:r>
        <w:rPr>
          <w:rFonts w:hint="eastAsia" w:ascii="仿宋" w:hAnsi="仿宋" w:eastAsia="仿宋" w:cs="仿宋"/>
          <w:color w:val="auto"/>
          <w:kern w:val="2"/>
          <w:sz w:val="24"/>
          <w:szCs w:val="24"/>
          <w:highlight w:val="none"/>
          <w:lang w:val="en-GB" w:eastAsia="zh-CN"/>
        </w:rPr>
        <w:t>。</w:t>
      </w:r>
    </w:p>
    <w:p w14:paraId="7FD98629">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（二）经甲乙双方协商一致，可解除本合同。</w:t>
      </w:r>
    </w:p>
    <w:p w14:paraId="2DD2A21D">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（三）出现如下情形之一的，可解除本合同：</w:t>
      </w:r>
    </w:p>
    <w:p w14:paraId="108EE99E">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1、因不可抗力致使本合同无继续履行之必要，或履行不能的。因不可抗力致使本合同解除的，双方互不承担违约责任；</w:t>
      </w:r>
    </w:p>
    <w:p w14:paraId="0152192C">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2、一方迟延履行主要义务，经催告后在合理期限内仍未履行的；</w:t>
      </w:r>
    </w:p>
    <w:p w14:paraId="78169130">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3、在履行期限届满前，一方明确表示或者以自己的行为表示不履行主要义务的；</w:t>
      </w:r>
    </w:p>
    <w:p w14:paraId="35F99D10">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4、一方因迟延履行义务或其他违约行为致使不能实现本合同目的的。</w:t>
      </w:r>
    </w:p>
    <w:p w14:paraId="2C840EB6">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第十二条 争议的解决</w:t>
      </w:r>
    </w:p>
    <w:p w14:paraId="3EC17740">
      <w:pPr>
        <w:spacing w:line="460" w:lineRule="exact"/>
        <w:ind w:firstLine="480" w:firstLineChars="200"/>
        <w:rPr>
          <w:rFonts w:ascii="仿宋" w:hAnsi="仿宋" w:eastAsia="仿宋" w:cs="仿宋"/>
          <w:color w:val="auto"/>
          <w:kern w:val="2"/>
          <w:sz w:val="24"/>
          <w:szCs w:val="24"/>
          <w:highlight w:val="none"/>
          <w:lang w:val="en-GB" w:eastAsia="zh-CN"/>
        </w:rPr>
      </w:pPr>
      <w:r>
        <w:rPr>
          <w:rFonts w:hint="eastAsia" w:ascii="仿宋" w:hAnsi="仿宋" w:eastAsia="仿宋" w:cs="仿宋"/>
          <w:color w:val="auto"/>
          <w:kern w:val="2"/>
          <w:sz w:val="24"/>
          <w:szCs w:val="24"/>
          <w:highlight w:val="none"/>
          <w:lang w:eastAsia="zh-CN"/>
        </w:rPr>
        <w:t>本</w:t>
      </w:r>
      <w:r>
        <w:rPr>
          <w:rFonts w:hint="eastAsia" w:ascii="仿宋" w:hAnsi="仿宋" w:eastAsia="仿宋" w:cs="仿宋"/>
          <w:color w:val="auto"/>
          <w:kern w:val="2"/>
          <w:sz w:val="24"/>
          <w:szCs w:val="24"/>
          <w:highlight w:val="none"/>
          <w:lang w:val="en-GB" w:eastAsia="zh-CN"/>
        </w:rPr>
        <w:t>合同</w:t>
      </w:r>
      <w:r>
        <w:rPr>
          <w:rFonts w:hint="eastAsia" w:ascii="仿宋" w:hAnsi="仿宋" w:eastAsia="仿宋" w:cs="仿宋"/>
          <w:color w:val="auto"/>
          <w:kern w:val="2"/>
          <w:sz w:val="24"/>
          <w:szCs w:val="24"/>
          <w:highlight w:val="none"/>
          <w:lang w:eastAsia="zh-CN"/>
        </w:rPr>
        <w:t>履行中如</w:t>
      </w:r>
      <w:r>
        <w:rPr>
          <w:rFonts w:hint="eastAsia" w:ascii="仿宋" w:hAnsi="仿宋" w:eastAsia="仿宋" w:cs="仿宋"/>
          <w:color w:val="auto"/>
          <w:kern w:val="2"/>
          <w:sz w:val="24"/>
          <w:szCs w:val="24"/>
          <w:highlight w:val="none"/>
          <w:lang w:val="en-GB" w:eastAsia="zh-CN"/>
        </w:rPr>
        <w:t>出现争议，双方</w:t>
      </w:r>
      <w:r>
        <w:rPr>
          <w:rFonts w:hint="eastAsia" w:ascii="仿宋" w:hAnsi="仿宋" w:eastAsia="仿宋" w:cs="仿宋"/>
          <w:color w:val="auto"/>
          <w:kern w:val="2"/>
          <w:sz w:val="24"/>
          <w:szCs w:val="24"/>
          <w:highlight w:val="none"/>
          <w:lang w:eastAsia="zh-CN"/>
        </w:rPr>
        <w:t>应</w:t>
      </w:r>
      <w:r>
        <w:rPr>
          <w:rFonts w:hint="eastAsia" w:ascii="仿宋" w:hAnsi="仿宋" w:eastAsia="仿宋" w:cs="仿宋"/>
          <w:color w:val="auto"/>
          <w:kern w:val="2"/>
          <w:sz w:val="24"/>
          <w:szCs w:val="24"/>
          <w:highlight w:val="none"/>
          <w:lang w:val="en-GB" w:eastAsia="zh-CN"/>
        </w:rPr>
        <w:t>协商解决，</w:t>
      </w:r>
      <w:r>
        <w:rPr>
          <w:rFonts w:hint="eastAsia" w:ascii="仿宋" w:hAnsi="仿宋" w:eastAsia="仿宋" w:cs="仿宋"/>
          <w:color w:val="auto"/>
          <w:kern w:val="2"/>
          <w:sz w:val="24"/>
          <w:szCs w:val="24"/>
          <w:highlight w:val="none"/>
          <w:lang w:eastAsia="zh-CN"/>
        </w:rPr>
        <w:t>协商不成的，任何一方均有权向北京市</w:t>
      </w:r>
      <w:r>
        <w:rPr>
          <w:rFonts w:hint="eastAsia" w:ascii="仿宋" w:hAnsi="仿宋" w:eastAsia="仿宋" w:cs="仿宋"/>
          <w:color w:val="auto"/>
          <w:kern w:val="2"/>
          <w:sz w:val="24"/>
          <w:szCs w:val="24"/>
          <w:highlight w:val="none"/>
          <w:u w:val="single"/>
          <w:lang w:eastAsia="zh-CN"/>
        </w:rPr>
        <w:t>海淀区</w:t>
      </w:r>
      <w:r>
        <w:rPr>
          <w:rFonts w:hint="eastAsia" w:ascii="仿宋" w:hAnsi="仿宋" w:eastAsia="仿宋" w:cs="仿宋"/>
          <w:color w:val="auto"/>
          <w:kern w:val="2"/>
          <w:sz w:val="24"/>
          <w:szCs w:val="24"/>
          <w:highlight w:val="none"/>
          <w:lang w:eastAsia="zh-CN"/>
        </w:rPr>
        <w:t>人民</w:t>
      </w:r>
      <w:r>
        <w:rPr>
          <w:rFonts w:hint="eastAsia" w:ascii="仿宋" w:hAnsi="仿宋" w:eastAsia="仿宋" w:cs="仿宋"/>
          <w:color w:val="auto"/>
          <w:kern w:val="2"/>
          <w:sz w:val="24"/>
          <w:szCs w:val="24"/>
          <w:highlight w:val="none"/>
          <w:lang w:val="en-GB" w:eastAsia="zh-CN"/>
        </w:rPr>
        <w:t>法院</w:t>
      </w:r>
      <w:r>
        <w:rPr>
          <w:rFonts w:hint="eastAsia" w:ascii="仿宋" w:hAnsi="仿宋" w:eastAsia="仿宋" w:cs="仿宋"/>
          <w:color w:val="auto"/>
          <w:kern w:val="2"/>
          <w:sz w:val="24"/>
          <w:szCs w:val="24"/>
          <w:highlight w:val="none"/>
          <w:lang w:eastAsia="zh-CN"/>
        </w:rPr>
        <w:t>提起诉讼</w:t>
      </w:r>
      <w:r>
        <w:rPr>
          <w:rFonts w:hint="eastAsia" w:ascii="仿宋" w:hAnsi="仿宋" w:eastAsia="仿宋" w:cs="仿宋"/>
          <w:color w:val="auto"/>
          <w:kern w:val="2"/>
          <w:sz w:val="24"/>
          <w:szCs w:val="24"/>
          <w:highlight w:val="none"/>
          <w:lang w:val="en-GB" w:eastAsia="zh-CN"/>
        </w:rPr>
        <w:t>。</w:t>
      </w:r>
    </w:p>
    <w:p w14:paraId="4AC1D484">
      <w:pPr>
        <w:keepNext/>
        <w:keepLines/>
        <w:tabs>
          <w:tab w:val="left" w:pos="540"/>
        </w:tabs>
        <w:autoSpaceDE w:val="0"/>
        <w:autoSpaceDN w:val="0"/>
        <w:spacing w:line="460" w:lineRule="exact"/>
        <w:ind w:firstLine="361" w:firstLineChars="150"/>
        <w:jc w:val="both"/>
        <w:outlineLvl w:val="2"/>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第十三条 其他</w:t>
      </w:r>
    </w:p>
    <w:p w14:paraId="04C74937">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（一）本合同自双方签字并盖章之日起生效。</w:t>
      </w:r>
    </w:p>
    <w:p w14:paraId="33FC16DB">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（二）本合同未尽之事宜，由双方协商确定并签订书面补充协议，书面补充协议与本合同具有同等法律效力。补充协议的内容与本合同冲突的，以补充协议为准。</w:t>
      </w:r>
    </w:p>
    <w:p w14:paraId="43AE503E">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（三）下列文件构成本合同的组成部分，文件内容发生冲突的，按照如下优先顺序进行解释：</w:t>
      </w:r>
    </w:p>
    <w:p w14:paraId="271AFA13">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1、本合同；</w:t>
      </w:r>
    </w:p>
    <w:p w14:paraId="0A69B327">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2、北京市南水北调大宁管理处水利工程日常维修养护-水工建筑物维修养护项目投标文件（含澄清文件）；</w:t>
      </w:r>
    </w:p>
    <w:p w14:paraId="6988044C">
      <w:pPr>
        <w:spacing w:line="460" w:lineRule="exact"/>
        <w:ind w:firstLine="480" w:firstLineChars="200"/>
        <w:rPr>
          <w:rFonts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lang w:eastAsia="zh-CN"/>
        </w:rPr>
        <w:t>3、</w:t>
      </w:r>
      <w:r>
        <w:rPr>
          <w:rFonts w:hint="eastAsia" w:ascii="仿宋" w:hAnsi="仿宋" w:eastAsia="仿宋" w:cs="仿宋"/>
          <w:color w:val="auto"/>
          <w:sz w:val="24"/>
          <w:highlight w:val="none"/>
          <w:u w:val="none"/>
          <w:lang w:eastAsia="zh-CN"/>
        </w:rPr>
        <w:t>北京市南水北调大宁管理处水利工程日常维修养护-水工建筑物维修养护</w:t>
      </w:r>
      <w:r>
        <w:rPr>
          <w:rFonts w:hint="eastAsia" w:ascii="仿宋" w:hAnsi="仿宋" w:eastAsia="仿宋" w:cs="仿宋"/>
          <w:color w:val="auto"/>
          <w:kern w:val="2"/>
          <w:sz w:val="24"/>
          <w:szCs w:val="24"/>
          <w:highlight w:val="none"/>
          <w:lang w:eastAsia="zh-CN"/>
        </w:rPr>
        <w:t>项目招标文件（含招标文件补充通知）。</w:t>
      </w:r>
    </w:p>
    <w:p w14:paraId="35726FD4">
      <w:pPr>
        <w:spacing w:line="460" w:lineRule="exact"/>
        <w:ind w:firstLine="480" w:firstLineChars="200"/>
        <w:rPr>
          <w:rFonts w:hint="eastAsia" w:ascii="仿宋" w:hAnsi="仿宋" w:eastAsia="仿宋" w:cs="仿宋"/>
          <w:color w:val="auto"/>
          <w:sz w:val="24"/>
          <w:lang w:val="en-GB"/>
        </w:rPr>
      </w:pPr>
      <w:r>
        <w:rPr>
          <w:rFonts w:hint="eastAsia" w:ascii="仿宋" w:hAnsi="仿宋" w:eastAsia="仿宋" w:cs="仿宋"/>
          <w:color w:val="auto"/>
          <w:kern w:val="2"/>
          <w:sz w:val="24"/>
          <w:szCs w:val="24"/>
          <w:highlight w:val="none"/>
          <w:lang w:val="en-GB" w:eastAsia="zh-CN"/>
        </w:rPr>
        <w:t>（四）本</w:t>
      </w:r>
      <w:r>
        <w:rPr>
          <w:rFonts w:hint="eastAsia" w:ascii="仿宋" w:hAnsi="仿宋" w:eastAsia="仿宋" w:cs="仿宋"/>
          <w:color w:val="auto"/>
          <w:sz w:val="24"/>
          <w:lang w:val="en-GB" w:eastAsia="zh-CN"/>
        </w:rPr>
        <w:t>合同一式四份，其中</w:t>
      </w:r>
      <w:r>
        <w:rPr>
          <w:rFonts w:hint="eastAsia" w:ascii="仿宋" w:hAnsi="仿宋" w:eastAsia="仿宋" w:cs="仿宋"/>
          <w:color w:val="auto"/>
          <w:sz w:val="24"/>
          <w:lang w:val="en-GB"/>
        </w:rPr>
        <w:t>正本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w:t>
      </w:r>
      <w:r>
        <w:rPr>
          <w:rFonts w:hint="eastAsia" w:ascii="仿宋" w:hAnsi="仿宋" w:eastAsia="仿宋" w:cs="仿宋"/>
          <w:color w:val="auto"/>
          <w:sz w:val="24"/>
          <w:lang w:val="en-GB"/>
        </w:rPr>
        <w:t>副本</w:t>
      </w:r>
      <w:r>
        <w:rPr>
          <w:rFonts w:hint="eastAsia" w:ascii="仿宋" w:hAnsi="仿宋" w:eastAsia="仿宋" w:cs="仿宋"/>
          <w:color w:val="auto"/>
          <w:sz w:val="24"/>
          <w:lang w:val="en-GB" w:eastAsia="zh-CN"/>
        </w:rPr>
        <w:t>二</w:t>
      </w:r>
      <w:r>
        <w:rPr>
          <w:rFonts w:hint="eastAsia" w:ascii="仿宋" w:hAnsi="仿宋" w:eastAsia="仿宋" w:cs="仿宋"/>
          <w:color w:val="auto"/>
          <w:sz w:val="24"/>
          <w:lang w:val="en-GB"/>
        </w:rPr>
        <w:t>份，</w:t>
      </w:r>
      <w:r>
        <w:rPr>
          <w:rFonts w:hint="eastAsia" w:ascii="仿宋" w:hAnsi="仿宋" w:eastAsia="仿宋" w:cs="仿宋"/>
          <w:color w:val="auto"/>
          <w:sz w:val="24"/>
          <w:lang w:val="en-GB" w:eastAsia="zh-CN"/>
        </w:rPr>
        <w:t>甲方</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正本一份，大宁管理处</w:t>
      </w:r>
      <w:r>
        <w:rPr>
          <w:rFonts w:hint="eastAsia" w:ascii="仿宋" w:hAnsi="仿宋" w:eastAsia="仿宋" w:cs="仿宋"/>
          <w:color w:val="auto"/>
          <w:sz w:val="24"/>
          <w:lang w:val="en-GB"/>
        </w:rPr>
        <w:t>执</w:t>
      </w:r>
      <w:r>
        <w:rPr>
          <w:rFonts w:hint="eastAsia" w:ascii="仿宋" w:hAnsi="仿宋" w:eastAsia="仿宋" w:cs="仿宋"/>
          <w:color w:val="auto"/>
          <w:sz w:val="24"/>
          <w:lang w:val="en-GB" w:eastAsia="zh-CN"/>
        </w:rPr>
        <w:t>副本二份</w:t>
      </w:r>
      <w:r>
        <w:rPr>
          <w:rFonts w:hint="eastAsia" w:ascii="仿宋" w:hAnsi="仿宋" w:eastAsia="仿宋" w:cs="仿宋"/>
          <w:color w:val="auto"/>
          <w:sz w:val="24"/>
          <w:lang w:val="en-GB"/>
        </w:rPr>
        <w:t>，乙方执</w:t>
      </w:r>
      <w:r>
        <w:rPr>
          <w:rFonts w:hint="eastAsia" w:ascii="仿宋" w:hAnsi="仿宋" w:eastAsia="仿宋" w:cs="仿宋"/>
          <w:color w:val="auto"/>
          <w:sz w:val="24"/>
          <w:lang w:val="en-GB" w:eastAsia="zh-CN"/>
        </w:rPr>
        <w:t>正本一份</w:t>
      </w:r>
      <w:r>
        <w:rPr>
          <w:rFonts w:hint="eastAsia" w:ascii="仿宋" w:hAnsi="仿宋" w:eastAsia="仿宋" w:cs="仿宋"/>
          <w:color w:val="auto"/>
          <w:sz w:val="24"/>
          <w:lang w:val="en-GB"/>
        </w:rPr>
        <w:t>，正副本具有同等法律效力。</w:t>
      </w:r>
    </w:p>
    <w:p w14:paraId="61795A35">
      <w:pPr>
        <w:spacing w:line="360" w:lineRule="auto"/>
        <w:ind w:firstLine="480" w:firstLineChars="200"/>
        <w:rPr>
          <w:rFonts w:ascii="仿宋" w:hAnsi="仿宋" w:eastAsia="仿宋" w:cs="仿宋"/>
          <w:color w:val="auto"/>
          <w:sz w:val="24"/>
          <w:szCs w:val="24"/>
          <w:highlight w:val="none"/>
          <w:lang w:eastAsia="zh-CN"/>
        </w:rPr>
      </w:pPr>
      <w:r>
        <w:rPr>
          <w:rFonts w:hint="eastAsia" w:ascii="仿宋" w:hAnsi="仿宋" w:eastAsia="仿宋" w:cs="仿宋"/>
          <w:color w:val="auto"/>
          <w:kern w:val="2"/>
          <w:sz w:val="24"/>
          <w:szCs w:val="24"/>
          <w:highlight w:val="none"/>
          <w:lang w:eastAsia="zh-CN"/>
        </w:rPr>
        <w:t>（以下无正文）</w:t>
      </w:r>
    </w:p>
    <w:p w14:paraId="3D9F0F27">
      <w:pPr>
        <w:pStyle w:val="7"/>
        <w:rPr>
          <w:rFonts w:ascii="仿宋" w:hAnsi="仿宋" w:eastAsia="仿宋" w:cs="仿宋"/>
          <w:color w:val="auto"/>
          <w:sz w:val="24"/>
          <w:szCs w:val="24"/>
          <w:highlight w:val="none"/>
          <w:lang w:eastAsia="zh-CN"/>
        </w:rPr>
      </w:pPr>
    </w:p>
    <w:p w14:paraId="6ECD2D31">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甲方：北京市水利工程管理中心（盖章）</w:t>
      </w:r>
    </w:p>
    <w:p w14:paraId="106BCDF0">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法定代表人或授权代表（签字）：</w:t>
      </w:r>
    </w:p>
    <w:p w14:paraId="5D1AB44A">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                     年    月    日</w:t>
      </w:r>
    </w:p>
    <w:p w14:paraId="69633A6F">
      <w:pPr>
        <w:spacing w:line="600" w:lineRule="auto"/>
        <w:ind w:firstLine="472" w:firstLineChars="196"/>
        <w:rPr>
          <w:rFonts w:ascii="仿宋" w:hAnsi="仿宋" w:eastAsia="仿宋" w:cs="仿宋"/>
          <w:b/>
          <w:color w:val="auto"/>
          <w:sz w:val="24"/>
          <w:szCs w:val="24"/>
          <w:highlight w:val="none"/>
          <w:lang w:eastAsia="zh-CN"/>
        </w:rPr>
      </w:pPr>
    </w:p>
    <w:p w14:paraId="5CB5B220">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乙方:</w:t>
      </w:r>
      <w:r>
        <w:rPr>
          <w:rFonts w:hint="eastAsia" w:ascii="仿宋" w:hAnsi="仿宋" w:eastAsia="仿宋" w:cs="仿宋"/>
          <w:b/>
          <w:color w:val="auto"/>
          <w:sz w:val="24"/>
          <w:highlight w:val="none"/>
          <w:lang w:eastAsia="zh-CN"/>
        </w:rPr>
        <w:t xml:space="preserve"> </w:t>
      </w:r>
      <w:r>
        <w:rPr>
          <w:rFonts w:hint="eastAsia" w:ascii="仿宋" w:hAnsi="仿宋" w:eastAsia="仿宋" w:cs="仿宋"/>
          <w:b/>
          <w:color w:val="auto"/>
          <w:sz w:val="24"/>
          <w:szCs w:val="24"/>
          <w:highlight w:val="none"/>
          <w:lang w:eastAsia="zh-CN"/>
        </w:rPr>
        <w:t>（盖章）</w:t>
      </w:r>
    </w:p>
    <w:p w14:paraId="1AC43A5D">
      <w:pPr>
        <w:spacing w:line="600" w:lineRule="auto"/>
        <w:ind w:firstLine="472" w:firstLineChars="196"/>
        <w:rPr>
          <w:rFonts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t xml:space="preserve">法定代表人或授权代表（签字）：   </w:t>
      </w:r>
    </w:p>
    <w:p w14:paraId="4E48C4C2">
      <w:pPr>
        <w:widowControl/>
        <w:numPr>
          <w:ilvl w:val="-1"/>
          <w:numId w:val="0"/>
        </w:numPr>
        <w:spacing w:line="600" w:lineRule="auto"/>
        <w:ind w:firstLine="723" w:firstLineChars="300"/>
        <w:rPr>
          <w:rFonts w:ascii="仿宋" w:hAnsi="仿宋" w:eastAsia="仿宋" w:cs="仿宋"/>
          <w:color w:val="auto"/>
          <w:kern w:val="2"/>
          <w:sz w:val="24"/>
          <w:szCs w:val="24"/>
          <w:highlight w:val="none"/>
          <w:lang w:eastAsia="zh-CN"/>
        </w:rPr>
      </w:pPr>
      <w:r>
        <w:rPr>
          <w:rFonts w:hint="eastAsia" w:ascii="仿宋" w:hAnsi="仿宋" w:eastAsia="仿宋" w:cs="仿宋"/>
          <w:b/>
          <w:color w:val="auto"/>
          <w:sz w:val="24"/>
          <w:szCs w:val="24"/>
          <w:highlight w:val="none"/>
        </w:rPr>
        <w:t xml:space="preserve">                    年    月    日</w:t>
      </w:r>
    </w:p>
    <w:bookmarkEnd w:id="41"/>
    <w:p w14:paraId="0757C433">
      <w:pPr>
        <w:pageBreakBefore w:val="0"/>
        <w:tabs>
          <w:tab w:val="left" w:pos="2808"/>
        </w:tabs>
        <w:overflowPunct/>
        <w:topLinePunct w:val="0"/>
        <w:bidi w:val="0"/>
        <w:snapToGrid w:val="0"/>
        <w:spacing w:after="0"/>
        <w:rPr>
          <w:rFonts w:hint="eastAsia"/>
        </w:rPr>
        <w:sectPr>
          <w:headerReference r:id="rId13" w:type="default"/>
          <w:footerReference r:id="rId14" w:type="default"/>
          <w:pgSz w:w="11907" w:h="16840"/>
          <w:pgMar w:top="1117" w:right="1133" w:bottom="1060" w:left="1700" w:header="878" w:footer="886" w:gutter="0"/>
          <w:pgNumType w:fmt="decimal"/>
          <w:cols w:space="720" w:num="1"/>
        </w:sectPr>
      </w:pPr>
      <w:r>
        <w:tab/>
      </w:r>
    </w:p>
    <w:p w14:paraId="1DDAF543">
      <w:pPr>
        <w:pStyle w:val="6"/>
        <w:pageBreakBefore w:val="0"/>
        <w:overflowPunct/>
        <w:topLinePunct w:val="0"/>
        <w:bidi w:val="0"/>
        <w:snapToGrid w:val="0"/>
        <w:spacing w:after="0"/>
        <w:ind w:firstLine="0"/>
        <w:rPr>
          <w:rFonts w:hint="eastAsia" w:hAnsi="宋体"/>
        </w:rPr>
      </w:pPr>
    </w:p>
    <w:p w14:paraId="3F75A22A">
      <w:pPr>
        <w:pStyle w:val="6"/>
        <w:pageBreakBefore w:val="0"/>
        <w:overflowPunct/>
        <w:topLinePunct w:val="0"/>
        <w:bidi w:val="0"/>
        <w:snapToGrid w:val="0"/>
        <w:spacing w:after="0" w:line="360" w:lineRule="auto"/>
        <w:jc w:val="center"/>
        <w:outlineLvl w:val="0"/>
        <w:rPr>
          <w:rFonts w:hint="eastAsia" w:hAnsi="宋体"/>
          <w:b/>
          <w:bCs/>
          <w:sz w:val="36"/>
          <w:szCs w:val="36"/>
        </w:rPr>
      </w:pPr>
      <w:bookmarkStart w:id="48" w:name="_Toc183959679"/>
      <w:r>
        <w:rPr>
          <w:rFonts w:hint="eastAsia" w:hAnsi="宋体"/>
          <w:b/>
          <w:bCs/>
          <w:sz w:val="36"/>
          <w:szCs w:val="36"/>
        </w:rPr>
        <w:t>第七章   投标文件格式</w:t>
      </w:r>
      <w:bookmarkEnd w:id="48"/>
    </w:p>
    <w:p w14:paraId="32BDAB82">
      <w:pPr>
        <w:pageBreakBefore w:val="0"/>
        <w:overflowPunct/>
        <w:topLinePunct w:val="0"/>
        <w:bidi w:val="0"/>
        <w:snapToGrid w:val="0"/>
        <w:spacing w:after="0" w:line="360" w:lineRule="auto"/>
        <w:rPr>
          <w:rFonts w:hint="eastAsia" w:ascii="宋体" w:hAnsi="宋体" w:eastAsia="宋体" w:cs="宋体"/>
          <w:b/>
          <w:bCs/>
          <w:color w:val="auto"/>
          <w:spacing w:val="-1"/>
          <w:sz w:val="24"/>
          <w:szCs w:val="24"/>
        </w:rPr>
      </w:pPr>
      <w:r>
        <w:rPr>
          <w:rFonts w:hint="eastAsia" w:ascii="宋体" w:hAnsi="宋体" w:eastAsia="宋体" w:cs="宋体"/>
          <w:b/>
          <w:bCs/>
          <w:color w:val="auto"/>
          <w:spacing w:val="-1"/>
          <w:sz w:val="24"/>
          <w:szCs w:val="24"/>
        </w:rPr>
        <w:t>投标人编制文件须知</w:t>
      </w:r>
    </w:p>
    <w:p w14:paraId="3D9515D4">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1、投标人按照本部分的顺序编制投标文件(资格证明文件)、投标文件(商务技术文 件)，编制中涉及格式资料的，应按照本部分提供的内容和格式(所有表格的格式可扩展)填写提交。</w:t>
      </w:r>
    </w:p>
    <w:p w14:paraId="7209888E">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1"/>
          <w:sz w:val="24"/>
          <w:szCs w:val="24"/>
        </w:rPr>
        <w:t>投标无效</w:t>
      </w:r>
      <w:r>
        <w:rPr>
          <w:rFonts w:hint="eastAsia" w:ascii="宋体" w:hAnsi="宋体" w:eastAsia="宋体" w:cs="宋体"/>
          <w:color w:val="auto"/>
          <w:spacing w:val="-1"/>
          <w:sz w:val="24"/>
          <w:szCs w:val="24"/>
        </w:rPr>
        <w:t>。未标记“实质性格式”的文件和招标文件未提供格式的内容，可由投标人自行编写。</w:t>
      </w:r>
    </w:p>
    <w:p w14:paraId="283F68B9">
      <w:pPr>
        <w:pageBreakBefore w:val="0"/>
        <w:overflowPunct/>
        <w:topLinePunct w:val="0"/>
        <w:bidi w:val="0"/>
        <w:snapToGrid w:val="0"/>
        <w:spacing w:after="0" w:line="360" w:lineRule="auto"/>
        <w:ind w:firstLine="476" w:firstLineChars="200"/>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3、全部声明和问题的回答及所附材料必须是真实的、准确的和完整的。</w:t>
      </w:r>
    </w:p>
    <w:p w14:paraId="39903DD5">
      <w:pPr>
        <w:pageBreakBefore w:val="0"/>
        <w:tabs>
          <w:tab w:val="left" w:pos="360"/>
          <w:tab w:val="left" w:pos="1080"/>
        </w:tabs>
        <w:overflowPunct/>
        <w:topLinePunct w:val="0"/>
        <w:bidi w:val="0"/>
        <w:snapToGrid w:val="0"/>
        <w:spacing w:after="0" w:line="360" w:lineRule="auto"/>
        <w:ind w:firstLine="482"/>
        <w:rPr>
          <w:rFonts w:hint="eastAsia" w:ascii="宋体" w:hAnsi="宋体" w:eastAsia="宋体" w:cs="宋体"/>
          <w:color w:val="auto"/>
          <w:sz w:val="24"/>
        </w:rPr>
      </w:pPr>
    </w:p>
    <w:p w14:paraId="6E0C9871">
      <w:pPr>
        <w:pStyle w:val="6"/>
        <w:pageBreakBefore w:val="0"/>
        <w:overflowPunct/>
        <w:topLinePunct w:val="0"/>
        <w:bidi w:val="0"/>
        <w:snapToGrid w:val="0"/>
        <w:spacing w:after="0"/>
        <w:rPr>
          <w:rFonts w:hint="eastAsia" w:hAnsi="宋体"/>
        </w:rPr>
      </w:pPr>
    </w:p>
    <w:p w14:paraId="7B9661BF">
      <w:pPr>
        <w:pStyle w:val="6"/>
        <w:pageBreakBefore w:val="0"/>
        <w:overflowPunct/>
        <w:topLinePunct w:val="0"/>
        <w:bidi w:val="0"/>
        <w:snapToGrid w:val="0"/>
        <w:spacing w:after="0"/>
        <w:rPr>
          <w:rFonts w:hint="eastAsia" w:hAnsi="宋体"/>
        </w:rPr>
      </w:pPr>
      <w:r>
        <w:rPr>
          <w:rFonts w:hAnsi="宋体"/>
        </w:rPr>
        <w:br w:type="page"/>
      </w:r>
    </w:p>
    <w:p w14:paraId="39E5A4BA">
      <w:pPr>
        <w:pageBreakBefore w:val="0"/>
        <w:widowControl w:val="0"/>
        <w:kinsoku/>
        <w:overflowPunct/>
        <w:topLinePunct w:val="0"/>
        <w:autoSpaceDE/>
        <w:autoSpaceDN/>
        <w:bidi w:val="0"/>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bookmarkStart w:id="49" w:name="_Toc148096366"/>
      <w:r>
        <w:rPr>
          <w:rFonts w:hint="eastAsia" w:ascii="宋体" w:hAnsi="宋体" w:eastAsia="宋体" w:cs="Times New Roman"/>
          <w:b/>
          <w:bCs/>
          <w:snapToGrid/>
          <w:color w:val="auto"/>
          <w:kern w:val="2"/>
          <w:sz w:val="28"/>
          <w:szCs w:val="36"/>
        </w:rPr>
        <w:t>一 、资格证明文件格式</w:t>
      </w:r>
      <w:bookmarkEnd w:id="49"/>
    </w:p>
    <w:p w14:paraId="6C58958B">
      <w:pPr>
        <w:pageBreakBefore w:val="0"/>
        <w:overflowPunct/>
        <w:topLinePunct w:val="0"/>
        <w:bidi w:val="0"/>
        <w:snapToGrid w:val="0"/>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投标文件（资格证明文件） 封面（非实质性格式）</w:t>
      </w:r>
    </w:p>
    <w:p w14:paraId="54AB8D1B">
      <w:pPr>
        <w:pageBreakBefore w:val="0"/>
        <w:overflowPunct/>
        <w:topLinePunct w:val="0"/>
        <w:bidi w:val="0"/>
        <w:snapToGrid w:val="0"/>
        <w:spacing w:before="360" w:after="0" w:line="220" w:lineRule="auto"/>
        <w:ind w:left="1843"/>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pPr>
    </w:p>
    <w:p w14:paraId="1B3772E8">
      <w:pPr>
        <w:pageBreakBefore w:val="0"/>
        <w:overflowPunct/>
        <w:topLinePunct w:val="0"/>
        <w:bidi w:val="0"/>
        <w:snapToGrid w:val="0"/>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116F83F4">
      <w:pPr>
        <w:pageBreakBefore w:val="0"/>
        <w:overflowPunct/>
        <w:topLinePunct w:val="0"/>
        <w:bidi w:val="0"/>
        <w:snapToGrid w:val="0"/>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资</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格</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证</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明</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文</w:t>
      </w:r>
      <w:r>
        <w:rPr>
          <w:rFonts w:hint="eastAsia" w:ascii="宋体" w:hAnsi="宋体" w:eastAsia="宋体" w:cs="宋体"/>
          <w:color w:val="auto"/>
          <w:spacing w:val="-28"/>
          <w:sz w:val="52"/>
          <w:szCs w:val="52"/>
        </w:rPr>
        <w:t xml:space="preserve"> </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件</w:t>
      </w:r>
      <w:r>
        <w:rPr>
          <w:rFonts w:ascii="宋体" w:hAnsi="宋体" w:eastAsia="宋体" w:cs="宋体"/>
          <w:color w:val="auto"/>
          <w:spacing w:val="-28"/>
          <w:sz w:val="52"/>
          <w:szCs w:val="52"/>
        </w:rPr>
        <w:t>）</w:t>
      </w:r>
    </w:p>
    <w:p w14:paraId="36BCC173">
      <w:pPr>
        <w:pageBreakBefore w:val="0"/>
        <w:overflowPunct/>
        <w:topLinePunct w:val="0"/>
        <w:bidi w:val="0"/>
        <w:snapToGrid w:val="0"/>
        <w:spacing w:after="0" w:line="332" w:lineRule="auto"/>
        <w:rPr>
          <w:rFonts w:hint="eastAsia" w:ascii="宋体" w:hAnsi="宋体" w:eastAsia="宋体" w:cs="宋体"/>
          <w:color w:val="auto"/>
        </w:rPr>
      </w:pPr>
    </w:p>
    <w:p w14:paraId="660742B8">
      <w:pPr>
        <w:pageBreakBefore w:val="0"/>
        <w:overflowPunct/>
        <w:topLinePunct w:val="0"/>
        <w:bidi w:val="0"/>
        <w:snapToGrid w:val="0"/>
        <w:spacing w:after="0" w:line="332" w:lineRule="auto"/>
        <w:rPr>
          <w:rFonts w:hint="eastAsia" w:ascii="宋体" w:hAnsi="宋体" w:eastAsia="宋体" w:cs="宋体"/>
          <w:color w:val="auto"/>
        </w:rPr>
      </w:pPr>
    </w:p>
    <w:p w14:paraId="568B38BB">
      <w:pPr>
        <w:pStyle w:val="6"/>
        <w:pageBreakBefore w:val="0"/>
        <w:overflowPunct/>
        <w:topLinePunct w:val="0"/>
        <w:bidi w:val="0"/>
        <w:snapToGrid w:val="0"/>
        <w:spacing w:after="0"/>
        <w:rPr>
          <w:rFonts w:hint="eastAsia" w:hAnsi="宋体"/>
        </w:rPr>
      </w:pPr>
    </w:p>
    <w:p w14:paraId="5FA81748">
      <w:pPr>
        <w:pStyle w:val="6"/>
        <w:pageBreakBefore w:val="0"/>
        <w:overflowPunct/>
        <w:topLinePunct w:val="0"/>
        <w:bidi w:val="0"/>
        <w:snapToGrid w:val="0"/>
        <w:spacing w:after="0"/>
        <w:rPr>
          <w:rFonts w:hint="eastAsia" w:hAnsi="宋体"/>
        </w:rPr>
      </w:pPr>
    </w:p>
    <w:p w14:paraId="2DD81172">
      <w:pPr>
        <w:pStyle w:val="6"/>
        <w:pageBreakBefore w:val="0"/>
        <w:overflowPunct/>
        <w:topLinePunct w:val="0"/>
        <w:bidi w:val="0"/>
        <w:snapToGrid w:val="0"/>
        <w:spacing w:after="0"/>
        <w:rPr>
          <w:rFonts w:hint="eastAsia" w:hAnsi="宋体"/>
        </w:rPr>
      </w:pPr>
    </w:p>
    <w:p w14:paraId="13A5C53B">
      <w:pPr>
        <w:pStyle w:val="6"/>
        <w:pageBreakBefore w:val="0"/>
        <w:overflowPunct/>
        <w:topLinePunct w:val="0"/>
        <w:bidi w:val="0"/>
        <w:snapToGrid w:val="0"/>
        <w:spacing w:after="0"/>
        <w:rPr>
          <w:rFonts w:hint="eastAsia" w:hAnsi="宋体"/>
        </w:rPr>
      </w:pPr>
    </w:p>
    <w:p w14:paraId="366F0F81">
      <w:pPr>
        <w:pStyle w:val="6"/>
        <w:pageBreakBefore w:val="0"/>
        <w:overflowPunct/>
        <w:topLinePunct w:val="0"/>
        <w:bidi w:val="0"/>
        <w:snapToGrid w:val="0"/>
        <w:spacing w:after="0"/>
        <w:rPr>
          <w:rFonts w:hint="eastAsia" w:hAnsi="宋体"/>
        </w:rPr>
      </w:pPr>
    </w:p>
    <w:p w14:paraId="384EA8E0">
      <w:pPr>
        <w:pStyle w:val="6"/>
        <w:pageBreakBefore w:val="0"/>
        <w:overflowPunct/>
        <w:topLinePunct w:val="0"/>
        <w:bidi w:val="0"/>
        <w:snapToGrid w:val="0"/>
        <w:spacing w:after="0"/>
        <w:rPr>
          <w:rFonts w:hint="eastAsia" w:hAnsi="宋体"/>
        </w:rPr>
      </w:pPr>
    </w:p>
    <w:p w14:paraId="4F6AA813">
      <w:pPr>
        <w:pStyle w:val="6"/>
        <w:pageBreakBefore w:val="0"/>
        <w:overflowPunct/>
        <w:topLinePunct w:val="0"/>
        <w:bidi w:val="0"/>
        <w:snapToGrid w:val="0"/>
        <w:spacing w:after="0"/>
        <w:rPr>
          <w:rFonts w:hint="eastAsia" w:hAnsi="宋体"/>
        </w:rPr>
      </w:pPr>
    </w:p>
    <w:p w14:paraId="6021EEE9">
      <w:pPr>
        <w:pStyle w:val="6"/>
        <w:pageBreakBefore w:val="0"/>
        <w:overflowPunct/>
        <w:topLinePunct w:val="0"/>
        <w:bidi w:val="0"/>
        <w:snapToGrid w:val="0"/>
        <w:spacing w:after="0"/>
        <w:rPr>
          <w:rFonts w:hint="eastAsia" w:hAnsi="宋体"/>
        </w:rPr>
      </w:pPr>
    </w:p>
    <w:p w14:paraId="36E4C983">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38EA160A">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481C0DB3">
      <w:pPr>
        <w:pageBreakBefore w:val="0"/>
        <w:overflowPunct/>
        <w:topLinePunct w:val="0"/>
        <w:bidi w:val="0"/>
        <w:snapToGrid w:val="0"/>
        <w:spacing w:after="0" w:line="360" w:lineRule="auto"/>
        <w:rPr>
          <w:rFonts w:hint="eastAsia" w:ascii="宋体" w:hAnsi="宋体" w:eastAsia="宋体"/>
          <w:color w:val="auto"/>
          <w:sz w:val="32"/>
          <w:szCs w:val="32"/>
        </w:rPr>
        <w:sectPr>
          <w:pgSz w:w="11907" w:h="16840"/>
          <w:pgMar w:top="1117" w:right="1133" w:bottom="1060" w:left="1700" w:header="878" w:footer="886" w:gutter="0"/>
          <w:pgNumType w:fmt="decimal"/>
          <w:cols w:space="720" w:num="1"/>
        </w:sectPr>
      </w:pPr>
      <w:r>
        <w:rPr>
          <w:rFonts w:hint="eastAsia" w:ascii="宋体" w:hAnsi="宋体" w:eastAsia="宋体"/>
          <w:color w:val="auto"/>
          <w:sz w:val="32"/>
          <w:szCs w:val="32"/>
        </w:rPr>
        <w:t>投标人名称：</w:t>
      </w:r>
    </w:p>
    <w:p w14:paraId="2DB4C75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0" w:name="_Toc148096367"/>
      <w:r>
        <w:rPr>
          <w:rFonts w:hint="eastAsia" w:ascii="宋体" w:hAnsi="宋体" w:eastAsia="宋体" w:cs="宋体"/>
          <w:color w:val="auto"/>
          <w:spacing w:val="-1"/>
          <w:sz w:val="24"/>
          <w:szCs w:val="24"/>
        </w:rPr>
        <w:t>1</w:t>
      </w:r>
      <w:r>
        <w:rPr>
          <w:rFonts w:ascii="宋体" w:hAnsi="宋体" w:eastAsia="宋体" w:cs="宋体"/>
          <w:color w:val="auto"/>
          <w:spacing w:val="-1"/>
          <w:sz w:val="24"/>
          <w:szCs w:val="24"/>
        </w:rPr>
        <w:t xml:space="preserve"> </w:t>
      </w:r>
      <w:r>
        <w:rPr>
          <w:rFonts w:hint="eastAsia" w:ascii="宋体" w:hAnsi="宋体" w:eastAsia="宋体" w:cs="宋体"/>
          <w:color w:val="auto"/>
          <w:spacing w:val="-1"/>
          <w:sz w:val="24"/>
          <w:szCs w:val="24"/>
        </w:rPr>
        <w:t>满足《中华人民共和国政府采购法》第二十二条规定</w:t>
      </w:r>
      <w:bookmarkEnd w:id="50"/>
    </w:p>
    <w:p w14:paraId="7E9844AE">
      <w:pPr>
        <w:pageBreakBefore w:val="0"/>
        <w:widowControl w:val="0"/>
        <w:numPr>
          <w:ilvl w:val="1"/>
          <w:numId w:val="0"/>
        </w:numPr>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1" w:name="_Toc148096368"/>
      <w:r>
        <w:rPr>
          <w:rFonts w:ascii="宋体" w:hAnsi="宋体" w:eastAsia="宋体" w:cs="宋体"/>
          <w:color w:val="auto"/>
          <w:spacing w:val="-1"/>
          <w:sz w:val="24"/>
          <w:szCs w:val="24"/>
        </w:rPr>
        <w:t>1-1</w:t>
      </w:r>
      <w:r>
        <w:rPr>
          <w:rFonts w:hint="eastAsia" w:ascii="宋体" w:hAnsi="宋体" w:eastAsia="宋体" w:cs="宋体"/>
          <w:color w:val="auto"/>
          <w:spacing w:val="-1"/>
          <w:sz w:val="24"/>
          <w:szCs w:val="24"/>
        </w:rPr>
        <w:t>营业执照</w:t>
      </w:r>
      <w:bookmarkEnd w:id="51"/>
      <w:r>
        <w:rPr>
          <w:rFonts w:hint="eastAsia" w:ascii="宋体" w:hAnsi="宋体" w:eastAsia="宋体" w:cs="宋体"/>
          <w:color w:val="auto"/>
          <w:spacing w:val="-1"/>
          <w:sz w:val="24"/>
          <w:szCs w:val="24"/>
        </w:rPr>
        <w:t>等证明文件</w:t>
      </w:r>
    </w:p>
    <w:p w14:paraId="055C4369">
      <w:pPr>
        <w:pStyle w:val="6"/>
        <w:pageBreakBefore w:val="0"/>
        <w:overflowPunct/>
        <w:topLinePunct w:val="0"/>
        <w:bidi w:val="0"/>
        <w:snapToGrid w:val="0"/>
        <w:spacing w:after="0"/>
        <w:rPr>
          <w:rFonts w:hint="eastAsia" w:hAnsi="宋体"/>
        </w:rPr>
      </w:pPr>
    </w:p>
    <w:p w14:paraId="04E84CED">
      <w:pPr>
        <w:pStyle w:val="6"/>
        <w:pageBreakBefore w:val="0"/>
        <w:overflowPunct/>
        <w:topLinePunct w:val="0"/>
        <w:bidi w:val="0"/>
        <w:snapToGrid w:val="0"/>
        <w:spacing w:after="0"/>
        <w:rPr>
          <w:rFonts w:hint="eastAsia" w:hAnsi="宋体"/>
        </w:rPr>
      </w:pPr>
      <w:r>
        <w:rPr>
          <w:rFonts w:hAnsi="宋体"/>
        </w:rPr>
        <w:br w:type="page"/>
      </w:r>
    </w:p>
    <w:p w14:paraId="32A1AA8C">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2" w:name="_Toc148096369"/>
      <w:r>
        <w:rPr>
          <w:rFonts w:hint="eastAsia" w:ascii="宋体" w:hAnsi="宋体" w:eastAsia="宋体" w:cs="宋体"/>
          <w:color w:val="auto"/>
          <w:spacing w:val="-1"/>
          <w:sz w:val="24"/>
          <w:szCs w:val="24"/>
        </w:rPr>
        <w:t>1-2 投标人资格声明书</w:t>
      </w:r>
      <w:bookmarkEnd w:id="52"/>
      <w:r>
        <w:rPr>
          <w:rFonts w:hint="eastAsia" w:ascii="宋体" w:hAnsi="宋体" w:eastAsia="宋体" w:cs="宋体"/>
          <w:color w:val="auto"/>
          <w:spacing w:val="-1"/>
          <w:sz w:val="24"/>
          <w:szCs w:val="24"/>
        </w:rPr>
        <w:t>（实质性格式）</w:t>
      </w:r>
    </w:p>
    <w:p w14:paraId="051BA027">
      <w:pPr>
        <w:pageBreakBefore w:val="0"/>
        <w:overflowPunct/>
        <w:topLinePunct w:val="0"/>
        <w:bidi w:val="0"/>
        <w:snapToGrid w:val="0"/>
        <w:spacing w:before="164" w:after="0" w:line="219" w:lineRule="auto"/>
        <w:ind w:left="3110"/>
        <w:rPr>
          <w:rFonts w:hint="eastAsia" w:ascii="宋体" w:hAnsi="宋体" w:eastAsia="宋体" w:cs="宋体"/>
          <w:color w:val="auto"/>
          <w:sz w:val="36"/>
          <w:szCs w:val="36"/>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w:t>
      </w: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标人资格声明书</w:t>
      </w:r>
    </w:p>
    <w:p w14:paraId="42059641">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致</w:t>
      </w:r>
      <w:r>
        <w:rPr>
          <w:rFonts w:hint="eastAsia" w:ascii="宋体" w:hAnsi="宋体" w:eastAsia="宋体" w:cs="Times New Roman"/>
          <w:snapToGrid/>
          <w:color w:val="auto"/>
          <w:kern w:val="2"/>
          <w:sz w:val="24"/>
          <w:szCs w:val="24"/>
          <w:u w:val="single"/>
        </w:rPr>
        <w:t xml:space="preserve">    </w:t>
      </w:r>
      <w:r>
        <w:rPr>
          <w:rFonts w:hint="eastAsia" w:ascii="宋体" w:hAnsi="宋体" w:eastAsia="宋体" w:cs="Times New Roman"/>
          <w:snapToGrid/>
          <w:color w:val="auto"/>
          <w:kern w:val="2"/>
          <w:sz w:val="24"/>
          <w:szCs w:val="24"/>
        </w:rPr>
        <w:t>（采购人或采购代理机构）：</w:t>
      </w:r>
    </w:p>
    <w:p w14:paraId="56CD2D9B">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在参与本次项目投标中，我单位承诺：</w:t>
      </w:r>
    </w:p>
    <w:p w14:paraId="461469D4">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(一)具有良好的商业信誉和健全的财务会计制度；</w:t>
      </w:r>
    </w:p>
    <w:p w14:paraId="4C438A9E">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(二)具有履行合同所必需的设备和专业技术能力；</w:t>
      </w:r>
    </w:p>
    <w:p w14:paraId="2889A292">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(三)有依法缴纳税收和社会保障资金的良好记录；</w:t>
      </w:r>
    </w:p>
    <w:p w14:paraId="444812D2">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927B9C0">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(五)我单位不属于政府采购法律、行政法规规定的公益一类事业单位、或使用事 业编制且由财政拨款保障的群团组织(仅适用于政府购买服务项目)；</w:t>
      </w:r>
    </w:p>
    <w:p w14:paraId="2B713C3D">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(六)我单位不存在为采购项目提供整体设计、规范编制或者项目管理、监理、检 测等服务后，再参加该采购项目的其他采购活动的情形(单一来源采购项目除外)；</w:t>
      </w:r>
    </w:p>
    <w:p w14:paraId="73D230E5">
      <w:pPr>
        <w:pageBreakBefore w:val="0"/>
        <w:widowControl w:val="0"/>
        <w:tabs>
          <w:tab w:val="left" w:pos="5580"/>
        </w:tabs>
        <w:kinsoku/>
        <w:overflowPunct/>
        <w:topLinePunct w:val="0"/>
        <w:autoSpaceDE/>
        <w:autoSpaceDN/>
        <w:bidi w:val="0"/>
        <w:adjustRightInd/>
        <w:snapToGrid w:val="0"/>
        <w:spacing w:after="0" w:line="360" w:lineRule="auto"/>
        <w:jc w:val="both"/>
        <w:textAlignment w:val="auto"/>
        <w:rPr>
          <w:rFonts w:hint="eastAsia" w:ascii="宋体" w:hAnsi="宋体" w:eastAsia="宋体" w:cs="Times New Roman"/>
          <w:snapToGrid/>
          <w:color w:val="auto"/>
          <w:kern w:val="2"/>
          <w:sz w:val="24"/>
          <w:szCs w:val="24"/>
        </w:rPr>
      </w:pPr>
      <w:r>
        <w:rPr>
          <w:rFonts w:hint="eastAsia" w:ascii="宋体" w:hAnsi="宋体" w:eastAsia="宋体" w:cs="Times New Roman"/>
          <w:snapToGrid/>
          <w:color w:val="auto"/>
          <w:kern w:val="2"/>
          <w:sz w:val="24"/>
          <w:szCs w:val="24"/>
        </w:rPr>
        <w:t>(七)与我单位存在“单位负责人为同一人或者存在直接控股、管理关系”的其他法人单位信息如下(如有，不论其是否参加同一合同项下的政府采购活动均须填写)：</w:t>
      </w:r>
    </w:p>
    <w:tbl>
      <w:tblPr>
        <w:tblStyle w:val="27"/>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6998B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3C8889DD">
            <w:pPr>
              <w:pageBreakBefore w:val="0"/>
              <w:overflowPunct/>
              <w:topLinePunct w:val="0"/>
              <w:bidi w:val="0"/>
              <w:snapToGrid w:val="0"/>
              <w:spacing w:before="100" w:after="0" w:line="222" w:lineRule="auto"/>
              <w:ind w:left="243"/>
              <w:rPr>
                <w:rFonts w:hint="eastAsia" w:ascii="宋体" w:hAnsi="宋体" w:eastAsia="宋体" w:cs="宋体"/>
                <w:color w:val="auto"/>
                <w:sz w:val="24"/>
                <w:szCs w:val="24"/>
              </w:rPr>
            </w:pPr>
            <w:r>
              <w:rPr>
                <w:rFonts w:hint="eastAsia" w:ascii="宋体" w:hAnsi="宋体" w:eastAsia="宋体" w:cs="宋体"/>
                <w:color w:val="auto"/>
                <w:spacing w:val="-3"/>
                <w:sz w:val="24"/>
                <w:szCs w:val="24"/>
              </w:rPr>
              <w:t>序</w:t>
            </w:r>
            <w:r>
              <w:rPr>
                <w:rFonts w:hint="eastAsia" w:ascii="宋体" w:hAnsi="宋体" w:eastAsia="宋体" w:cs="宋体"/>
                <w:color w:val="auto"/>
                <w:spacing w:val="-2"/>
                <w:sz w:val="24"/>
                <w:szCs w:val="24"/>
              </w:rPr>
              <w:t>号</w:t>
            </w:r>
          </w:p>
        </w:tc>
        <w:tc>
          <w:tcPr>
            <w:tcW w:w="4571" w:type="dxa"/>
          </w:tcPr>
          <w:p w14:paraId="7660FF23">
            <w:pPr>
              <w:pageBreakBefore w:val="0"/>
              <w:overflowPunct/>
              <w:topLinePunct w:val="0"/>
              <w:bidi w:val="0"/>
              <w:snapToGrid w:val="0"/>
              <w:spacing w:before="101" w:after="0" w:line="221" w:lineRule="auto"/>
              <w:ind w:left="1814"/>
              <w:rPr>
                <w:rFonts w:hint="eastAsia" w:ascii="宋体" w:hAnsi="宋体" w:eastAsia="宋体" w:cs="宋体"/>
                <w:color w:val="auto"/>
                <w:sz w:val="24"/>
                <w:szCs w:val="24"/>
              </w:rPr>
            </w:pPr>
            <w:r>
              <w:rPr>
                <w:rFonts w:hint="eastAsia" w:ascii="宋体" w:hAnsi="宋体" w:eastAsia="宋体" w:cs="宋体"/>
                <w:color w:val="auto"/>
                <w:spacing w:val="-3"/>
                <w:sz w:val="24"/>
                <w:szCs w:val="24"/>
              </w:rPr>
              <w:t>单</w:t>
            </w:r>
            <w:r>
              <w:rPr>
                <w:rFonts w:hint="eastAsia" w:ascii="宋体" w:hAnsi="宋体" w:eastAsia="宋体" w:cs="宋体"/>
                <w:color w:val="auto"/>
                <w:spacing w:val="-2"/>
                <w:sz w:val="24"/>
                <w:szCs w:val="24"/>
              </w:rPr>
              <w:t>位名称</w:t>
            </w:r>
          </w:p>
        </w:tc>
        <w:tc>
          <w:tcPr>
            <w:tcW w:w="2980" w:type="dxa"/>
          </w:tcPr>
          <w:p w14:paraId="64127F8D">
            <w:pPr>
              <w:pageBreakBefore w:val="0"/>
              <w:overflowPunct/>
              <w:topLinePunct w:val="0"/>
              <w:bidi w:val="0"/>
              <w:snapToGrid w:val="0"/>
              <w:spacing w:before="101" w:after="0" w:line="221" w:lineRule="auto"/>
              <w:ind w:left="1017"/>
              <w:rPr>
                <w:rFonts w:hint="eastAsia" w:ascii="宋体" w:hAnsi="宋体" w:eastAsia="宋体" w:cs="宋体"/>
                <w:color w:val="auto"/>
                <w:sz w:val="24"/>
                <w:szCs w:val="24"/>
              </w:rPr>
            </w:pPr>
            <w:r>
              <w:rPr>
                <w:rFonts w:hint="eastAsia" w:ascii="宋体" w:hAnsi="宋体" w:eastAsia="宋体" w:cs="宋体"/>
                <w:color w:val="auto"/>
                <w:spacing w:val="-2"/>
                <w:sz w:val="24"/>
                <w:szCs w:val="24"/>
              </w:rPr>
              <w:t>相互关</w:t>
            </w:r>
            <w:r>
              <w:rPr>
                <w:rFonts w:hint="eastAsia" w:ascii="宋体" w:hAnsi="宋体" w:eastAsia="宋体" w:cs="宋体"/>
                <w:color w:val="auto"/>
                <w:spacing w:val="-1"/>
                <w:sz w:val="24"/>
                <w:szCs w:val="24"/>
              </w:rPr>
              <w:t>系</w:t>
            </w:r>
          </w:p>
        </w:tc>
      </w:tr>
      <w:tr w14:paraId="3F5E5E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74CEBDC5">
            <w:pPr>
              <w:pageBreakBefore w:val="0"/>
              <w:overflowPunct/>
              <w:topLinePunct w:val="0"/>
              <w:bidi w:val="0"/>
              <w:snapToGrid w:val="0"/>
              <w:spacing w:before="119" w:after="0" w:line="199" w:lineRule="auto"/>
              <w:ind w:left="424"/>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4571" w:type="dxa"/>
          </w:tcPr>
          <w:p w14:paraId="78FCD4E0">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2265EAF8">
            <w:pPr>
              <w:pageBreakBefore w:val="0"/>
              <w:overflowPunct/>
              <w:topLinePunct w:val="0"/>
              <w:bidi w:val="0"/>
              <w:snapToGrid w:val="0"/>
              <w:spacing w:after="0"/>
              <w:rPr>
                <w:rFonts w:hint="eastAsia" w:ascii="宋体" w:hAnsi="宋体" w:eastAsia="宋体" w:cs="宋体"/>
                <w:color w:val="auto"/>
                <w:sz w:val="20"/>
              </w:rPr>
            </w:pPr>
          </w:p>
        </w:tc>
      </w:tr>
      <w:tr w14:paraId="2B2F0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0BAE9119">
            <w:pPr>
              <w:pageBreakBefore w:val="0"/>
              <w:overflowPunct/>
              <w:topLinePunct w:val="0"/>
              <w:bidi w:val="0"/>
              <w:snapToGrid w:val="0"/>
              <w:spacing w:before="121" w:after="0" w:line="201" w:lineRule="auto"/>
              <w:ind w:left="415"/>
              <w:rPr>
                <w:rFonts w:hint="eastAsia" w:ascii="宋体" w:hAnsi="宋体" w:eastAsia="宋体" w:cs="宋体"/>
                <w:color w:val="auto"/>
                <w:sz w:val="24"/>
                <w:szCs w:val="24"/>
              </w:rPr>
            </w:pPr>
            <w:r>
              <w:rPr>
                <w:rFonts w:hint="eastAsia" w:ascii="宋体" w:hAnsi="宋体" w:eastAsia="宋体" w:cs="宋体"/>
                <w:color w:val="auto"/>
                <w:spacing w:val="1"/>
                <w:sz w:val="24"/>
                <w:szCs w:val="24"/>
              </w:rPr>
              <w:t>2</w:t>
            </w:r>
          </w:p>
        </w:tc>
        <w:tc>
          <w:tcPr>
            <w:tcW w:w="4571" w:type="dxa"/>
          </w:tcPr>
          <w:p w14:paraId="078624BB">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190CEECD">
            <w:pPr>
              <w:pageBreakBefore w:val="0"/>
              <w:overflowPunct/>
              <w:topLinePunct w:val="0"/>
              <w:bidi w:val="0"/>
              <w:snapToGrid w:val="0"/>
              <w:spacing w:after="0"/>
              <w:rPr>
                <w:rFonts w:hint="eastAsia" w:ascii="宋体" w:hAnsi="宋体" w:eastAsia="宋体" w:cs="宋体"/>
                <w:color w:val="auto"/>
                <w:sz w:val="20"/>
              </w:rPr>
            </w:pPr>
          </w:p>
        </w:tc>
      </w:tr>
      <w:tr w14:paraId="2D3152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56AFFC22">
            <w:pPr>
              <w:pageBreakBefore w:val="0"/>
              <w:overflowPunct/>
              <w:topLinePunct w:val="0"/>
              <w:bidi w:val="0"/>
              <w:snapToGrid w:val="0"/>
              <w:spacing w:before="271" w:after="0" w:line="81" w:lineRule="exact"/>
              <w:ind w:left="382"/>
              <w:rPr>
                <w:rFonts w:hint="eastAsia" w:ascii="宋体" w:hAnsi="宋体" w:eastAsia="宋体" w:cs="宋体"/>
                <w:color w:val="auto"/>
                <w:sz w:val="24"/>
                <w:szCs w:val="24"/>
              </w:rPr>
            </w:pPr>
            <w:r>
              <w:rPr>
                <w:rFonts w:hint="eastAsia" w:ascii="宋体" w:hAnsi="宋体" w:eastAsia="宋体" w:cs="宋体"/>
                <w:color w:val="auto"/>
                <w:position w:val="1"/>
                <w:sz w:val="24"/>
                <w:szCs w:val="24"/>
              </w:rPr>
              <w:t>…</w:t>
            </w:r>
          </w:p>
        </w:tc>
        <w:tc>
          <w:tcPr>
            <w:tcW w:w="4571" w:type="dxa"/>
          </w:tcPr>
          <w:p w14:paraId="7899CA39">
            <w:pPr>
              <w:pageBreakBefore w:val="0"/>
              <w:overflowPunct/>
              <w:topLinePunct w:val="0"/>
              <w:bidi w:val="0"/>
              <w:snapToGrid w:val="0"/>
              <w:spacing w:after="0"/>
              <w:rPr>
                <w:rFonts w:hint="eastAsia" w:ascii="宋体" w:hAnsi="宋体" w:eastAsia="宋体" w:cs="宋体"/>
                <w:color w:val="auto"/>
                <w:sz w:val="20"/>
              </w:rPr>
            </w:pPr>
          </w:p>
        </w:tc>
        <w:tc>
          <w:tcPr>
            <w:tcW w:w="2980" w:type="dxa"/>
          </w:tcPr>
          <w:p w14:paraId="27072F6C">
            <w:pPr>
              <w:pageBreakBefore w:val="0"/>
              <w:overflowPunct/>
              <w:topLinePunct w:val="0"/>
              <w:bidi w:val="0"/>
              <w:snapToGrid w:val="0"/>
              <w:spacing w:after="0"/>
              <w:rPr>
                <w:rFonts w:hint="eastAsia" w:ascii="宋体" w:hAnsi="宋体" w:eastAsia="宋体" w:cs="宋体"/>
                <w:color w:val="auto"/>
                <w:sz w:val="20"/>
              </w:rPr>
            </w:pPr>
          </w:p>
        </w:tc>
      </w:tr>
    </w:tbl>
    <w:p w14:paraId="6DE3D5F7">
      <w:pPr>
        <w:pageBreakBefore w:val="0"/>
        <w:overflowPunct/>
        <w:topLinePunct w:val="0"/>
        <w:bidi w:val="0"/>
        <w:snapToGrid w:val="0"/>
        <w:spacing w:before="281" w:after="0" w:line="220" w:lineRule="auto"/>
        <w:ind w:left="491"/>
        <w:rPr>
          <w:rFonts w:hint="eastAsia" w:ascii="宋体" w:hAnsi="宋体" w:eastAsia="宋体" w:cs="宋体"/>
          <w:color w:val="auto"/>
          <w:sz w:val="24"/>
          <w:szCs w:val="24"/>
        </w:rPr>
      </w:pPr>
      <w:r>
        <w:rPr>
          <w:rFonts w:hint="eastAsia" w:ascii="宋体" w:hAnsi="宋体" w:eastAsia="宋体" w:cs="宋体"/>
          <w:color w:val="auto"/>
          <w:spacing w:val="-4"/>
          <w:sz w:val="24"/>
          <w:szCs w:val="24"/>
        </w:rPr>
        <w:t>上述</w:t>
      </w:r>
      <w:r>
        <w:rPr>
          <w:rFonts w:hint="eastAsia" w:ascii="宋体" w:hAnsi="宋体" w:eastAsia="宋体" w:cs="宋体"/>
          <w:color w:val="auto"/>
          <w:spacing w:val="-3"/>
          <w:sz w:val="24"/>
          <w:szCs w:val="24"/>
        </w:rPr>
        <w:t>声</w:t>
      </w:r>
      <w:r>
        <w:rPr>
          <w:rFonts w:hint="eastAsia" w:ascii="宋体" w:hAnsi="宋体" w:eastAsia="宋体" w:cs="宋体"/>
          <w:color w:val="auto"/>
          <w:spacing w:val="-2"/>
          <w:sz w:val="24"/>
          <w:szCs w:val="24"/>
        </w:rPr>
        <w:t>明真实有效，否则我方负全部责任。</w:t>
      </w:r>
    </w:p>
    <w:p w14:paraId="43013CB6">
      <w:pPr>
        <w:pageBreakBefore w:val="0"/>
        <w:overflowPunct/>
        <w:topLinePunct w:val="0"/>
        <w:bidi w:val="0"/>
        <w:snapToGrid w:val="0"/>
        <w:spacing w:before="78" w:after="0" w:line="360" w:lineRule="auto"/>
        <w:jc w:val="right"/>
        <w:rPr>
          <w:rFonts w:hint="eastAsia" w:ascii="宋体" w:hAnsi="宋体" w:eastAsia="宋体"/>
          <w:color w:val="auto"/>
          <w:sz w:val="24"/>
          <w:szCs w:val="24"/>
        </w:rPr>
      </w:pPr>
      <w:r>
        <w:rPr>
          <w:rFonts w:hint="eastAsia" w:ascii="宋体" w:hAnsi="宋体" w:eastAsia="宋体" w:cs="宋体"/>
          <w:color w:val="auto"/>
          <w:spacing w:val="-18"/>
          <w:sz w:val="24"/>
          <w:szCs w:val="24"/>
        </w:rPr>
        <w:t xml:space="preserve"> </w:t>
      </w:r>
      <w:r>
        <w:rPr>
          <w:rFonts w:ascii="宋体" w:hAnsi="宋体" w:eastAsia="宋体" w:cs="宋体"/>
          <w:color w:val="auto"/>
          <w:spacing w:val="-18"/>
          <w:sz w:val="24"/>
          <w:szCs w:val="24"/>
        </w:rPr>
        <w:t xml:space="preserve"> </w:t>
      </w: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_____</w:t>
      </w:r>
    </w:p>
    <w:p w14:paraId="3EFC6D7C">
      <w:pPr>
        <w:pageBreakBefore w:val="0"/>
        <w:overflowPunct/>
        <w:topLinePunct w:val="0"/>
        <w:bidi w:val="0"/>
        <w:snapToGrid w:val="0"/>
        <w:spacing w:after="0" w:line="360" w:lineRule="auto"/>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1696ED0E">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说明：供应商承诺不实的，依据《政府采购法》第七十七条“提供虚假材料谋取中标、成交的”有关规定予以处理。</w:t>
      </w:r>
    </w:p>
    <w:p w14:paraId="1A9AF4F1">
      <w:pPr>
        <w:pStyle w:val="6"/>
        <w:pageBreakBefore w:val="0"/>
        <w:overflowPunct/>
        <w:topLinePunct w:val="0"/>
        <w:bidi w:val="0"/>
        <w:snapToGrid w:val="0"/>
        <w:spacing w:after="0"/>
      </w:pPr>
    </w:p>
    <w:p w14:paraId="739405B7">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sectPr>
          <w:footerReference r:id="rId15" w:type="default"/>
          <w:pgSz w:w="11907" w:h="16840"/>
          <w:pgMar w:top="1117" w:right="1133" w:bottom="1057" w:left="1700" w:header="878" w:footer="886" w:gutter="0"/>
          <w:pgNumType w:fmt="decimal"/>
          <w:cols w:space="720" w:num="1"/>
        </w:sectPr>
      </w:pPr>
    </w:p>
    <w:p w14:paraId="339C98F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2 落实政府采购政策需满足的资格要求(如有)</w:t>
      </w:r>
    </w:p>
    <w:p w14:paraId="0B76E9EB">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r>
        <w:rPr>
          <w:rFonts w:hint="eastAsia" w:ascii="宋体" w:hAnsi="宋体" w:eastAsia="宋体"/>
          <w:color w:val="auto"/>
          <w:sz w:val="24"/>
          <w:szCs w:val="24"/>
        </w:rPr>
        <w:t>2-1 中小企业证明文件（实质性格式）</w:t>
      </w:r>
    </w:p>
    <w:p w14:paraId="348C0E9E">
      <w:pPr>
        <w:pStyle w:val="6"/>
        <w:pageBreakBefore w:val="0"/>
        <w:overflowPunct/>
        <w:topLinePunct w:val="0"/>
        <w:bidi w:val="0"/>
        <w:snapToGrid w:val="0"/>
        <w:spacing w:after="0"/>
        <w:rPr>
          <w:rFonts w:hint="eastAsia" w:hAnsi="宋体"/>
        </w:rPr>
      </w:pPr>
      <w:r>
        <w:rPr>
          <w:rFonts w:hint="eastAsia" w:hAnsi="宋体"/>
        </w:rPr>
        <w:t>说明：</w:t>
      </w:r>
    </w:p>
    <w:p w14:paraId="76802DA0">
      <w:pPr>
        <w:pStyle w:val="6"/>
        <w:pageBreakBefore w:val="0"/>
        <w:overflowPunct/>
        <w:topLinePunct w:val="0"/>
        <w:bidi w:val="0"/>
        <w:snapToGrid w:val="0"/>
        <w:spacing w:after="0" w:line="360" w:lineRule="auto"/>
        <w:rPr>
          <w:rFonts w:hint="eastAsia" w:hAnsi="宋体"/>
        </w:rPr>
      </w:pPr>
      <w:r>
        <w:rPr>
          <w:rFonts w:hint="eastAsia" w:hAnsi="宋体"/>
        </w:rPr>
        <w:t>（1）如本项目（包）不专门面向中小企业预留采购份额，资格证明文件部分无需提供《中小企业声明函》或《残疾人福利性单位声明函》或由省级以上监狱管理局、戒毒管 理局（含新疆生产建设兵团) 出具的属于监狱企业的证明文件；供应商如具有上述证明文件，建议在商务技术文件中提供。</w:t>
      </w:r>
    </w:p>
    <w:p w14:paraId="261F8A16">
      <w:pPr>
        <w:pStyle w:val="6"/>
        <w:pageBreakBefore w:val="0"/>
        <w:overflowPunct/>
        <w:topLinePunct w:val="0"/>
        <w:bidi w:val="0"/>
        <w:snapToGrid w:val="0"/>
        <w:spacing w:after="0" w:line="360" w:lineRule="auto"/>
        <w:rPr>
          <w:rFonts w:hint="eastAsia" w:hAnsi="宋体"/>
        </w:rPr>
      </w:pPr>
      <w:r>
        <w:rPr>
          <w:rFonts w:hint="eastAsia" w:hAnsi="宋体"/>
        </w:rPr>
        <w:t>（2）如本项目（包）专门面向中小企业采购，投标文件中须提供《中小企业声明函》 或《残疾人福利性单位声明函》或由省级以上监狱管理局、戒毒管理局(含新疆生产建 设兵团)出具的属于监狱企业的证明文件，且建议在资格证明文件部分提供。</w:t>
      </w:r>
    </w:p>
    <w:p w14:paraId="2C4E028E">
      <w:pPr>
        <w:pStyle w:val="6"/>
        <w:pageBreakBefore w:val="0"/>
        <w:overflowPunct/>
        <w:topLinePunct w:val="0"/>
        <w:bidi w:val="0"/>
        <w:snapToGrid w:val="0"/>
        <w:spacing w:after="0" w:line="360" w:lineRule="auto"/>
        <w:rPr>
          <w:rFonts w:hint="eastAsia" w:hAnsi="宋体"/>
        </w:rPr>
      </w:pPr>
      <w:r>
        <w:rPr>
          <w:rFonts w:hint="eastAsia" w:hAnsi="宋体"/>
        </w:rPr>
        <w:t>（3）如本项目（包） 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7ED43A70">
      <w:pPr>
        <w:pStyle w:val="6"/>
        <w:pageBreakBefore w:val="0"/>
        <w:overflowPunct/>
        <w:topLinePunct w:val="0"/>
        <w:bidi w:val="0"/>
        <w:snapToGrid w:val="0"/>
        <w:spacing w:after="0" w:line="360" w:lineRule="auto"/>
        <w:rPr>
          <w:rFonts w:hint="eastAsia" w:hAnsi="宋体"/>
        </w:rPr>
      </w:pPr>
      <w:r>
        <w:rPr>
          <w:rFonts w:hint="eastAsia" w:hAnsi="宋体"/>
        </w:rPr>
        <w:t>（4）如本项目（包）预留部分采购项目预算专门面向中小企业采购，且要求供应商以联合体形式参加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81108FB">
      <w:pPr>
        <w:pStyle w:val="6"/>
        <w:pageBreakBefore w:val="0"/>
        <w:overflowPunct/>
        <w:topLinePunct w:val="0"/>
        <w:bidi w:val="0"/>
        <w:snapToGrid w:val="0"/>
        <w:spacing w:after="0" w:line="360" w:lineRule="auto"/>
        <w:rPr>
          <w:rFonts w:hint="eastAsia" w:hAnsi="宋体"/>
        </w:rPr>
      </w:pPr>
      <w:r>
        <w:rPr>
          <w:rFonts w:hint="eastAsia" w:hAnsi="宋体"/>
        </w:rPr>
        <w:t>（5）中小企业声明函填写注意事项</w:t>
      </w:r>
    </w:p>
    <w:p w14:paraId="13FF63A0">
      <w:pPr>
        <w:pStyle w:val="6"/>
        <w:pageBreakBefore w:val="0"/>
        <w:overflowPunct/>
        <w:topLinePunct w:val="0"/>
        <w:bidi w:val="0"/>
        <w:snapToGrid w:val="0"/>
        <w:spacing w:after="0" w:line="360" w:lineRule="auto"/>
        <w:rPr>
          <w:rFonts w:hint="eastAsia" w:hAnsi="宋体"/>
        </w:rPr>
      </w:pPr>
      <w:r>
        <w:rPr>
          <w:rFonts w:hint="eastAsia" w:hAnsi="宋体"/>
        </w:rPr>
        <w:t>1）《中小企业声明函》由参加政府采购活动的投标人出具。联合体投标的，《中小企业 声明函》可由牵头人出具。</w:t>
      </w:r>
    </w:p>
    <w:p w14:paraId="11430921">
      <w:pPr>
        <w:pStyle w:val="6"/>
        <w:pageBreakBefore w:val="0"/>
        <w:overflowPunct/>
        <w:topLinePunct w:val="0"/>
        <w:bidi w:val="0"/>
        <w:snapToGrid w:val="0"/>
        <w:spacing w:after="0" w:line="360" w:lineRule="auto"/>
        <w:rPr>
          <w:rFonts w:hint="eastAsia" w:hAnsi="宋体"/>
        </w:rPr>
      </w:pPr>
      <w:r>
        <w:rPr>
          <w:rFonts w:hint="eastAsia" w:hAnsi="宋体"/>
        </w:rPr>
        <w:t>2）对于联合体中由中小企业承担的部分，或者分包给中小企业的部分，必须全部由中 小企业制造、承建或者承接。供应商应当在声明函“标的名称”部分标明联合体中中小企 业承担的具体内容或者中小企业的具体分包内容。</w:t>
      </w:r>
    </w:p>
    <w:p w14:paraId="5745A6D2">
      <w:pPr>
        <w:pStyle w:val="6"/>
        <w:pageBreakBefore w:val="0"/>
        <w:overflowPunct/>
        <w:topLinePunct w:val="0"/>
        <w:bidi w:val="0"/>
        <w:snapToGrid w:val="0"/>
        <w:spacing w:after="0" w:line="360" w:lineRule="auto"/>
        <w:rPr>
          <w:rFonts w:hint="eastAsia" w:hAnsi="宋体"/>
        </w:rPr>
      </w:pPr>
      <w:r>
        <w:rPr>
          <w:rFonts w:hint="eastAsia" w:hAnsi="宋体"/>
        </w:rPr>
        <w:t>3）对于多标的采购项目，投标人应充分、准确地了解所提供货物的制造企业、提供服务的承接企业信息。对相关情况了解不清楚的，不建议填报本声明函。</w:t>
      </w:r>
    </w:p>
    <w:p w14:paraId="5CA840EE">
      <w:pPr>
        <w:pStyle w:val="6"/>
        <w:pageBreakBefore w:val="0"/>
        <w:overflowPunct/>
        <w:topLinePunct w:val="0"/>
        <w:bidi w:val="0"/>
        <w:snapToGrid w:val="0"/>
        <w:spacing w:after="0" w:line="360" w:lineRule="auto"/>
        <w:rPr>
          <w:rFonts w:hint="eastAsia" w:hAnsi="宋体"/>
        </w:rPr>
      </w:pPr>
      <w:r>
        <w:rPr>
          <w:rFonts w:hint="eastAsia" w:hAnsi="宋体"/>
        </w:rPr>
        <w:t>（6）温馨提示：为方便广大中小企业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14:paraId="031E2A25">
      <w:pPr>
        <w:pStyle w:val="6"/>
        <w:pageBreakBefore w:val="0"/>
        <w:overflowPunct/>
        <w:topLinePunct w:val="0"/>
        <w:bidi w:val="0"/>
        <w:snapToGrid w:val="0"/>
        <w:spacing w:after="0" w:line="360" w:lineRule="auto"/>
        <w:rPr>
          <w:rFonts w:hint="eastAsia" w:hAnsi="宋体"/>
        </w:rPr>
      </w:pPr>
    </w:p>
    <w:p w14:paraId="4BC33599">
      <w:pPr>
        <w:pStyle w:val="6"/>
        <w:pageBreakBefore w:val="0"/>
        <w:overflowPunct/>
        <w:topLinePunct w:val="0"/>
        <w:bidi w:val="0"/>
        <w:snapToGrid w:val="0"/>
        <w:spacing w:after="0"/>
      </w:pPr>
      <w:r>
        <w:br w:type="page"/>
      </w:r>
    </w:p>
    <w:p w14:paraId="608D9433">
      <w:pPr>
        <w:pageBreakBefore w:val="0"/>
        <w:overflowPunct/>
        <w:topLinePunct w:val="0"/>
        <w:bidi w:val="0"/>
        <w:snapToGrid w:val="0"/>
        <w:spacing w:after="0" w:line="473" w:lineRule="auto"/>
        <w:jc w:val="center"/>
        <w:rPr>
          <w:rFonts w:hint="eastAsia" w:ascii="宋体" w:hAnsi="宋体" w:eastAsia="宋体" w:cs="宋体"/>
          <w:color w:val="auto"/>
        </w:rPr>
      </w:pPr>
      <w:bookmarkStart w:id="53" w:name="OLE_LINK7"/>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中小企业声明函(工程、服务)格式</w:t>
      </w:r>
    </w:p>
    <w:p w14:paraId="1867816A">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bookmarkStart w:id="54" w:name="OLE_LINK6"/>
      <w:r>
        <w:rPr>
          <w:rFonts w:hint="eastAsia" w:ascii="宋体" w:hAnsi="宋体" w:eastAsia="宋体"/>
          <w:color w:val="auto"/>
          <w:sz w:val="24"/>
          <w:szCs w:val="24"/>
        </w:rPr>
        <w:t>本公司</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郑重声明，根据《政府采购促进中小企业发展管理办法》(财库﹝2020﹞46号)的规定，本公司______参加(单位名称) ______的(项目名称) ______采购活动，工程施工单位全部为符合政策要求的中小企业（或者：服务全部由符合政策要求的中小企业承接）。相关企业(含联合体中的中小企业、签订分包意向协议的中小企业) 的具体情况如下：</w:t>
      </w:r>
    </w:p>
    <w:p w14:paraId="4C5ADAD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  </w:t>
      </w:r>
      <w:r>
        <w:rPr>
          <w:rFonts w:hint="eastAsia" w:ascii="宋体" w:hAnsi="宋体" w:eastAsia="宋体"/>
          <w:color w:val="auto"/>
          <w:sz w:val="24"/>
          <w:szCs w:val="24"/>
          <w:u w:val="single"/>
        </w:rPr>
        <w:t xml:space="preserve"> (标的名称)   </w:t>
      </w:r>
      <w:r>
        <w:rPr>
          <w:rFonts w:hint="eastAsia" w:ascii="宋体" w:hAnsi="宋体" w:eastAsia="宋体"/>
          <w:color w:val="auto"/>
          <w:sz w:val="24"/>
          <w:szCs w:val="24"/>
        </w:rPr>
        <w:t>，属于(采购文件中明确的所属行业)行业；承建（承接）企业名称，从业人员______人，营业收入为______万元，资产总额为______万元，属于</w:t>
      </w:r>
      <w:r>
        <w:rPr>
          <w:rFonts w:hint="eastAsia" w:ascii="宋体" w:hAnsi="宋体" w:eastAsia="宋体"/>
          <w:color w:val="auto"/>
          <w:sz w:val="24"/>
          <w:szCs w:val="24"/>
          <w:u w:val="single"/>
        </w:rPr>
        <w:t>(中型企业、小型企业、微型企业)</w:t>
      </w:r>
      <w:r>
        <w:rPr>
          <w:rFonts w:hint="eastAsia" w:ascii="宋体" w:hAnsi="宋体" w:eastAsia="宋体"/>
          <w:color w:val="auto"/>
          <w:sz w:val="24"/>
          <w:szCs w:val="24"/>
        </w:rPr>
        <w:t>；</w:t>
      </w:r>
    </w:p>
    <w:p w14:paraId="73036CD7">
      <w:pPr>
        <w:pageBreakBefore w:val="0"/>
        <w:overflowPunct/>
        <w:topLinePunct w:val="0"/>
        <w:bidi w:val="0"/>
        <w:snapToGrid w:val="0"/>
        <w:spacing w:before="69" w:after="0" w:line="81" w:lineRule="exact"/>
        <w:ind w:left="640"/>
        <w:rPr>
          <w:rFonts w:hint="eastAsia" w:ascii="宋体" w:hAnsi="宋体" w:eastAsia="宋体" w:cs="宋体"/>
          <w:color w:val="auto"/>
          <w:sz w:val="24"/>
          <w:szCs w:val="24"/>
        </w:rPr>
      </w:pPr>
      <w:r>
        <w:rPr>
          <w:rFonts w:hint="eastAsia" w:ascii="宋体" w:hAnsi="宋体" w:eastAsia="宋体" w:cs="宋体"/>
          <w:color w:val="auto"/>
          <w:spacing w:val="-12"/>
          <w:position w:val="1"/>
          <w:sz w:val="24"/>
          <w:szCs w:val="24"/>
        </w:rPr>
        <w:t>…</w:t>
      </w:r>
      <w:r>
        <w:rPr>
          <w:rFonts w:hint="eastAsia" w:ascii="宋体" w:hAnsi="宋体" w:eastAsia="宋体" w:cs="宋体"/>
          <w:color w:val="auto"/>
          <w:spacing w:val="-11"/>
          <w:position w:val="1"/>
          <w:sz w:val="24"/>
          <w:szCs w:val="24"/>
        </w:rPr>
        <w:t>…</w:t>
      </w:r>
    </w:p>
    <w:p w14:paraId="44781A40">
      <w:pPr>
        <w:pageBreakBefore w:val="0"/>
        <w:overflowPunct/>
        <w:topLinePunct w:val="0"/>
        <w:bidi w:val="0"/>
        <w:snapToGrid w:val="0"/>
        <w:spacing w:before="182" w:after="0" w:line="359" w:lineRule="auto"/>
        <w:ind w:left="116" w:right="61" w:firstLine="532"/>
        <w:rPr>
          <w:rFonts w:hint="eastAsia" w:ascii="宋体" w:hAnsi="宋体" w:eastAsia="宋体"/>
          <w:color w:val="auto"/>
          <w:sz w:val="24"/>
          <w:szCs w:val="24"/>
        </w:rPr>
      </w:pPr>
      <w:r>
        <w:rPr>
          <w:rFonts w:hint="eastAsia" w:ascii="宋体" w:hAnsi="宋体" w:eastAsia="宋体"/>
          <w:color w:val="auto"/>
          <w:sz w:val="24"/>
          <w:szCs w:val="24"/>
        </w:rPr>
        <w:t>以上企业，不属于大企业的分支机构，不存在控股股东为大企业的情形，也不存在与大企业的负责人为同一人的情形。</w:t>
      </w:r>
    </w:p>
    <w:p w14:paraId="56374A6C">
      <w:pPr>
        <w:pageBreakBefore w:val="0"/>
        <w:overflowPunct/>
        <w:topLinePunct w:val="0"/>
        <w:bidi w:val="0"/>
        <w:snapToGrid w:val="0"/>
        <w:spacing w:after="0" w:line="219" w:lineRule="auto"/>
        <w:ind w:left="622"/>
        <w:rPr>
          <w:rFonts w:hint="eastAsia" w:ascii="宋体" w:hAnsi="宋体" w:eastAsia="宋体"/>
          <w:color w:val="auto"/>
          <w:sz w:val="24"/>
          <w:szCs w:val="24"/>
        </w:rPr>
      </w:pPr>
      <w:r>
        <w:rPr>
          <w:rFonts w:hint="eastAsia" w:ascii="宋体" w:hAnsi="宋体" w:eastAsia="宋体"/>
          <w:color w:val="auto"/>
          <w:sz w:val="24"/>
          <w:szCs w:val="24"/>
        </w:rPr>
        <w:t>本企业对上述声明内容的真实性负责。如有虚假，将依法承担相应责任。</w:t>
      </w:r>
    </w:p>
    <w:p w14:paraId="59C7E0CB">
      <w:pPr>
        <w:pageBreakBefore w:val="0"/>
        <w:overflowPunct/>
        <w:topLinePunct w:val="0"/>
        <w:bidi w:val="0"/>
        <w:snapToGrid w:val="0"/>
        <w:spacing w:after="0" w:line="259" w:lineRule="auto"/>
        <w:rPr>
          <w:rFonts w:hint="eastAsia" w:ascii="宋体" w:hAnsi="宋体" w:eastAsia="宋体" w:cs="宋体"/>
          <w:color w:val="auto"/>
        </w:rPr>
      </w:pPr>
    </w:p>
    <w:p w14:paraId="5E7AAADA">
      <w:pPr>
        <w:pageBreakBefore w:val="0"/>
        <w:overflowPunct/>
        <w:topLinePunct w:val="0"/>
        <w:bidi w:val="0"/>
        <w:snapToGrid w:val="0"/>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企业名称(盖章)：_______</w:t>
      </w:r>
    </w:p>
    <w:p w14:paraId="7780AA24">
      <w:pPr>
        <w:pageBreakBefore w:val="0"/>
        <w:overflowPunct/>
        <w:topLinePunct w:val="0"/>
        <w:bidi w:val="0"/>
        <w:snapToGrid w:val="0"/>
        <w:spacing w:before="79" w:after="0" w:line="360" w:lineRule="auto"/>
        <w:ind w:right="416"/>
        <w:jc w:val="right"/>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日 期：________</w:t>
      </w:r>
    </w:p>
    <w:bookmarkEnd w:id="54"/>
    <w:p w14:paraId="75381173">
      <w:pPr>
        <w:pageBreakBefore w:val="0"/>
        <w:overflowPunct/>
        <w:topLinePunct w:val="0"/>
        <w:bidi w:val="0"/>
        <w:snapToGrid w:val="0"/>
        <w:spacing w:after="0" w:line="247" w:lineRule="auto"/>
        <w:rPr>
          <w:rFonts w:hint="eastAsia" w:ascii="宋体" w:hAnsi="宋体" w:eastAsia="宋体" w:cs="宋体"/>
          <w:color w:val="auto"/>
        </w:rPr>
      </w:pPr>
    </w:p>
    <w:p w14:paraId="5939ADD8">
      <w:pPr>
        <w:pageBreakBefore w:val="0"/>
        <w:overflowPunct/>
        <w:topLinePunct w:val="0"/>
        <w:bidi w:val="0"/>
        <w:snapToGrid w:val="0"/>
        <w:spacing w:after="0" w:line="248" w:lineRule="auto"/>
        <w:rPr>
          <w:rFonts w:hint="eastAsia" w:ascii="宋体" w:hAnsi="宋体" w:eastAsia="宋体" w:cs="宋体"/>
          <w:color w:val="auto"/>
        </w:rPr>
      </w:pPr>
    </w:p>
    <w:p w14:paraId="6FFC7DC9">
      <w:pPr>
        <w:pStyle w:val="6"/>
        <w:pageBreakBefore w:val="0"/>
        <w:overflowPunct/>
        <w:topLinePunct w:val="0"/>
        <w:bidi w:val="0"/>
        <w:snapToGrid w:val="0"/>
        <w:spacing w:after="0" w:line="360" w:lineRule="auto"/>
        <w:rPr>
          <w:rFonts w:hint="eastAsia" w:hAnsi="宋体" w:cs="宋体"/>
          <w:spacing w:val="9"/>
          <w:sz w:val="18"/>
          <w:szCs w:val="18"/>
        </w:rPr>
      </w:pPr>
      <w:r>
        <w:rPr>
          <w:rFonts w:hint="eastAsia" w:hAnsi="宋体" w:cs="宋体"/>
          <w:spacing w:val="18"/>
          <w:position w:val="5"/>
          <w:sz w:val="18"/>
          <w:szCs w:val="18"/>
        </w:rPr>
        <w:t>1</w:t>
      </w:r>
      <w:r>
        <w:rPr>
          <w:rFonts w:hint="eastAsia" w:hAnsi="宋体" w:cs="宋体"/>
          <w:spacing w:val="11"/>
          <w:position w:val="5"/>
          <w:sz w:val="18"/>
          <w:szCs w:val="18"/>
        </w:rPr>
        <w:t xml:space="preserve"> </w:t>
      </w:r>
      <w:r>
        <w:rPr>
          <w:rFonts w:hint="eastAsia" w:hAnsi="宋体" w:cs="宋体"/>
          <w:spacing w:val="9"/>
          <w:sz w:val="18"/>
          <w:szCs w:val="18"/>
        </w:rPr>
        <w:t>从业人员、营业收入、资产总额填报上一年度数据，无上一年度数据的新成立企业可不填报。</w:t>
      </w:r>
    </w:p>
    <w:bookmarkEnd w:id="53"/>
    <w:p w14:paraId="4CCCFA26">
      <w:pPr>
        <w:pageBreakBefore w:val="0"/>
        <w:overflowPunct/>
        <w:topLinePunct w:val="0"/>
        <w:bidi w:val="0"/>
        <w:snapToGrid w:val="0"/>
        <w:spacing w:after="0"/>
        <w:jc w:val="center"/>
        <w:rPr>
          <w:color w:val="auto"/>
        </w:rPr>
      </w:pPr>
    </w:p>
    <w:p w14:paraId="35C84CD2">
      <w:pPr>
        <w:pStyle w:val="6"/>
        <w:pageBreakBefore w:val="0"/>
        <w:overflowPunct/>
        <w:topLinePunct w:val="0"/>
        <w:bidi w:val="0"/>
        <w:snapToGrid w:val="0"/>
        <w:spacing w:after="0"/>
      </w:pPr>
      <w:r>
        <w:br w:type="page"/>
      </w:r>
    </w:p>
    <w:p w14:paraId="32CF8AC8">
      <w:pPr>
        <w:pageBreakBefore w:val="0"/>
        <w:overflowPunct/>
        <w:topLinePunct w:val="0"/>
        <w:bidi w:val="0"/>
        <w:snapToGrid w:val="0"/>
        <w:spacing w:after="0"/>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sz w:val="24"/>
          <w:szCs w:val="24"/>
          <w:lang w:bidi="ar"/>
        </w:rPr>
        <w:t>2-2 残疾人福利性单位声明函格式（如有）（实质性格式）</w:t>
      </w:r>
    </w:p>
    <w:p w14:paraId="711C2727">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残疾人福利性单位声明函格式</w:t>
      </w:r>
    </w:p>
    <w:p w14:paraId="04C0FF13">
      <w:pPr>
        <w:pageBreakBefore w:val="0"/>
        <w:overflowPunct/>
        <w:topLinePunct w:val="0"/>
        <w:bidi w:val="0"/>
        <w:snapToGrid w:val="0"/>
        <w:spacing w:after="0" w:line="321" w:lineRule="auto"/>
        <w:rPr>
          <w:rFonts w:hint="eastAsia" w:ascii="宋体" w:hAnsi="宋体" w:eastAsia="宋体" w:cs="宋体"/>
          <w:color w:val="auto"/>
        </w:rPr>
      </w:pPr>
    </w:p>
    <w:p w14:paraId="77353C4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本单位郑重声明，根据《财政部 民政部 中国残疾人联合会关于促进残疾人就业政府采购政策的通知》(财库〔2017〕141号) 的规定，本单位(</w:t>
      </w:r>
      <w:r>
        <w:rPr>
          <w:rFonts w:hint="eastAsia" w:ascii="宋体" w:hAnsi="宋体" w:eastAsia="宋体"/>
          <w:b/>
          <w:bCs/>
          <w:color w:val="auto"/>
          <w:sz w:val="24"/>
          <w:szCs w:val="24"/>
        </w:rPr>
        <w:t>请进行选择</w:t>
      </w:r>
      <w:r>
        <w:rPr>
          <w:rFonts w:hint="eastAsia" w:ascii="宋体" w:hAnsi="宋体" w:eastAsia="宋体"/>
          <w:color w:val="auto"/>
          <w:sz w:val="24"/>
          <w:szCs w:val="24"/>
        </w:rPr>
        <w:t>)：</w:t>
      </w:r>
    </w:p>
    <w:p w14:paraId="63E2A913">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□不属于符合条件的残疾人福利性单位。</w:t>
      </w:r>
    </w:p>
    <w:p w14:paraId="44193950">
      <w:pPr>
        <w:pageBreakBefore w:val="0"/>
        <w:overflowPunct/>
        <w:topLinePunct w:val="0"/>
        <w:bidi w:val="0"/>
        <w:snapToGrid w:val="0"/>
        <w:spacing w:after="0" w:line="360" w:lineRule="auto"/>
        <w:ind w:firstLine="482" w:firstLineChars="200"/>
        <w:rPr>
          <w:rFonts w:hint="eastAsia" w:ascii="宋体" w:hAnsi="宋体" w:eastAsia="宋体"/>
          <w:color w:val="auto"/>
          <w:sz w:val="24"/>
          <w:szCs w:val="24"/>
        </w:rPr>
      </w:pPr>
      <w:r>
        <w:rPr>
          <w:rFonts w:hint="eastAsia" w:ascii="宋体" w:hAnsi="宋体" w:eastAsia="宋体"/>
          <w:b/>
          <w:bCs/>
          <w:color w:val="auto"/>
          <w:sz w:val="24"/>
          <w:szCs w:val="24"/>
        </w:rPr>
        <w:t>□属于符合条件的残疾人福利性单位，</w:t>
      </w:r>
      <w:r>
        <w:rPr>
          <w:rFonts w:hint="eastAsia" w:ascii="宋体" w:hAnsi="宋体" w:eastAsia="宋体"/>
          <w:color w:val="auto"/>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14:paraId="0A1D4550">
      <w:pPr>
        <w:pageBreakBefore w:val="0"/>
        <w:overflowPunct/>
        <w:topLinePunct w:val="0"/>
        <w:bidi w:val="0"/>
        <w:snapToGrid w:val="0"/>
        <w:spacing w:after="0" w:line="360" w:lineRule="auto"/>
        <w:ind w:firstLine="482" w:firstLineChars="200"/>
        <w:rPr>
          <w:rFonts w:hint="eastAsia" w:ascii="宋体" w:hAnsi="宋体" w:eastAsia="宋体"/>
          <w:b/>
          <w:bCs/>
          <w:color w:val="auto"/>
          <w:sz w:val="24"/>
          <w:szCs w:val="24"/>
        </w:rPr>
      </w:pPr>
      <w:r>
        <w:rPr>
          <w:rFonts w:hint="eastAsia" w:ascii="宋体" w:hAnsi="宋体" w:eastAsia="宋体"/>
          <w:b/>
          <w:bCs/>
          <w:color w:val="auto"/>
          <w:sz w:val="24"/>
          <w:szCs w:val="24"/>
        </w:rPr>
        <w:t>本单位对上述声明的真实性负责。如有虚假，将依法承担相应责任。</w:t>
      </w:r>
    </w:p>
    <w:p w14:paraId="063DC78D">
      <w:pPr>
        <w:pageBreakBefore w:val="0"/>
        <w:overflowPunct/>
        <w:topLinePunct w:val="0"/>
        <w:bidi w:val="0"/>
        <w:snapToGrid w:val="0"/>
        <w:spacing w:after="0"/>
        <w:rPr>
          <w:rFonts w:hint="eastAsia" w:ascii="宋体" w:hAnsi="宋体" w:eastAsia="宋体" w:cs="宋体"/>
          <w:color w:val="auto"/>
        </w:rPr>
      </w:pPr>
    </w:p>
    <w:p w14:paraId="09995900">
      <w:pPr>
        <w:pageBreakBefore w:val="0"/>
        <w:overflowPunct/>
        <w:topLinePunct w:val="0"/>
        <w:bidi w:val="0"/>
        <w:snapToGrid w:val="0"/>
        <w:spacing w:after="0"/>
        <w:rPr>
          <w:rFonts w:hint="eastAsia" w:ascii="宋体" w:hAnsi="宋体" w:eastAsia="宋体" w:cs="宋体"/>
          <w:color w:val="auto"/>
        </w:rPr>
      </w:pPr>
    </w:p>
    <w:p w14:paraId="00FCD847">
      <w:pPr>
        <w:pageBreakBefore w:val="0"/>
        <w:overflowPunct/>
        <w:topLinePunct w:val="0"/>
        <w:bidi w:val="0"/>
        <w:snapToGrid w:val="0"/>
        <w:spacing w:after="0"/>
        <w:rPr>
          <w:rFonts w:hint="eastAsia" w:ascii="宋体" w:hAnsi="宋体" w:eastAsia="宋体" w:cs="宋体"/>
          <w:color w:val="auto"/>
        </w:rPr>
      </w:pPr>
    </w:p>
    <w:p w14:paraId="28F372BC">
      <w:pPr>
        <w:pageBreakBefore w:val="0"/>
        <w:overflowPunct/>
        <w:topLinePunct w:val="0"/>
        <w:bidi w:val="0"/>
        <w:snapToGrid w:val="0"/>
        <w:spacing w:after="0" w:line="279" w:lineRule="auto"/>
        <w:rPr>
          <w:rFonts w:hint="eastAsia" w:ascii="宋体" w:hAnsi="宋体" w:eastAsia="宋体" w:cs="宋体"/>
          <w:color w:val="auto"/>
        </w:rPr>
      </w:pPr>
    </w:p>
    <w:p w14:paraId="5089B318">
      <w:pPr>
        <w:pageBreakBefore w:val="0"/>
        <w:overflowPunct/>
        <w:topLinePunct w:val="0"/>
        <w:bidi w:val="0"/>
        <w:snapToGrid w:val="0"/>
        <w:spacing w:after="0" w:line="279" w:lineRule="auto"/>
        <w:rPr>
          <w:rFonts w:hint="eastAsia" w:ascii="宋体" w:hAnsi="宋体" w:eastAsia="宋体" w:cs="宋体"/>
          <w:color w:val="auto"/>
        </w:rPr>
      </w:pPr>
    </w:p>
    <w:p w14:paraId="7BE70DCD">
      <w:pPr>
        <w:pageBreakBefore w:val="0"/>
        <w:wordWrap w:val="0"/>
        <w:overflowPunct/>
        <w:topLinePunct w:val="0"/>
        <w:bidi w:val="0"/>
        <w:snapToGrid w:val="0"/>
        <w:spacing w:before="78" w:after="0" w:line="360" w:lineRule="auto"/>
        <w:ind w:left="3938"/>
        <w:jc w:val="right"/>
        <w:rPr>
          <w:rFonts w:hint="eastAsia" w:ascii="宋体" w:hAnsi="宋体" w:eastAsia="宋体"/>
          <w:color w:val="auto"/>
          <w:sz w:val="24"/>
          <w:szCs w:val="24"/>
        </w:rPr>
      </w:pPr>
      <w:r>
        <w:rPr>
          <w:rFonts w:hint="eastAsia" w:ascii="宋体" w:hAnsi="宋体" w:eastAsia="宋体"/>
          <w:color w:val="auto"/>
          <w:sz w:val="24"/>
          <w:szCs w:val="24"/>
        </w:rPr>
        <w:t>单位名称(盖章)：</w:t>
      </w:r>
      <w:r>
        <w:rPr>
          <w:rFonts w:hint="eastAsia" w:ascii="宋体" w:hAnsi="宋体" w:eastAsia="宋体"/>
          <w:color w:val="auto"/>
          <w:sz w:val="24"/>
          <w:szCs w:val="24"/>
          <w:u w:val="single"/>
        </w:rPr>
        <w:t xml:space="preserve">         </w:t>
      </w:r>
    </w:p>
    <w:p w14:paraId="55241DE8">
      <w:pPr>
        <w:pageBreakBefore w:val="0"/>
        <w:wordWrap w:val="0"/>
        <w:overflowPunct/>
        <w:topLinePunct w:val="0"/>
        <w:bidi w:val="0"/>
        <w:snapToGrid w:val="0"/>
        <w:spacing w:before="1" w:after="0" w:line="360" w:lineRule="auto"/>
        <w:ind w:left="4011"/>
        <w:jc w:val="right"/>
        <w:rPr>
          <w:rFonts w:hint="eastAsia" w:ascii="宋体" w:hAnsi="宋体" w:eastAsia="宋体"/>
          <w:color w:val="auto"/>
          <w:sz w:val="24"/>
          <w:szCs w:val="24"/>
        </w:rPr>
      </w:pPr>
      <w:r>
        <w:rPr>
          <w:rFonts w:hint="eastAsia" w:ascii="宋体" w:hAnsi="宋体" w:eastAsia="宋体"/>
          <w:color w:val="auto"/>
          <w:sz w:val="24"/>
          <w:szCs w:val="24"/>
        </w:rPr>
        <w:t>日  期 ：</w:t>
      </w:r>
      <w:r>
        <w:rPr>
          <w:rFonts w:hint="eastAsia" w:ascii="宋体" w:hAnsi="宋体" w:eastAsia="宋体"/>
          <w:color w:val="auto"/>
          <w:sz w:val="24"/>
          <w:szCs w:val="24"/>
          <w:u w:val="single"/>
        </w:rPr>
        <w:t xml:space="preserve">         </w:t>
      </w:r>
    </w:p>
    <w:p w14:paraId="45F4FFF4">
      <w:pPr>
        <w:pageBreakBefore w:val="0"/>
        <w:overflowPunct/>
        <w:topLinePunct w:val="0"/>
        <w:bidi w:val="0"/>
        <w:snapToGrid w:val="0"/>
        <w:spacing w:after="0"/>
        <w:jc w:val="center"/>
        <w:rPr>
          <w:color w:val="auto"/>
        </w:rPr>
      </w:pPr>
    </w:p>
    <w:p w14:paraId="4EAAE06C">
      <w:pPr>
        <w:pStyle w:val="6"/>
        <w:pageBreakBefore w:val="0"/>
        <w:overflowPunct/>
        <w:topLinePunct w:val="0"/>
        <w:bidi w:val="0"/>
        <w:snapToGrid w:val="0"/>
        <w:spacing w:after="0"/>
      </w:pPr>
      <w:r>
        <w:br w:type="page"/>
      </w:r>
    </w:p>
    <w:p w14:paraId="754A5DC3">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bookmarkStart w:id="55" w:name="_Toc148096374"/>
      <w:r>
        <w:rPr>
          <w:rFonts w:hint="eastAsia" w:ascii="宋体" w:hAnsi="宋体" w:eastAsia="宋体"/>
          <w:color w:val="auto"/>
          <w:sz w:val="24"/>
          <w:szCs w:val="24"/>
        </w:rPr>
        <w:t xml:space="preserve">2-3 </w:t>
      </w:r>
      <w:bookmarkEnd w:id="55"/>
      <w:r>
        <w:rPr>
          <w:rFonts w:hint="eastAsia" w:ascii="宋体" w:hAnsi="宋体" w:eastAsia="宋体"/>
          <w:color w:val="auto"/>
          <w:sz w:val="24"/>
          <w:szCs w:val="24"/>
        </w:rPr>
        <w:t>如监狱企业参加政府采购活动（非实质性格式）</w:t>
      </w:r>
    </w:p>
    <w:p w14:paraId="798FD040">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olor w:val="auto"/>
          <w:sz w:val="24"/>
          <w:szCs w:val="24"/>
        </w:rPr>
      </w:pPr>
    </w:p>
    <w:p w14:paraId="001F128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olor w:val="auto"/>
          <w:sz w:val="24"/>
          <w:szCs w:val="24"/>
        </w:rPr>
      </w:pPr>
    </w:p>
    <w:p w14:paraId="4557F1C4">
      <w:pPr>
        <w:pageBreakBefore w:val="0"/>
        <w:overflowPunct/>
        <w:topLinePunct w:val="0"/>
        <w:bidi w:val="0"/>
        <w:snapToGrid w:val="0"/>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监狱企业须提供由省级以上监狱管理局（北京市含教育矫治局）、戒毒管理局（含新疆生产建设兵团）出具的属于监狱企业的证明文件</w:t>
      </w:r>
    </w:p>
    <w:p w14:paraId="31DF4132">
      <w:pPr>
        <w:pageBreakBefore w:val="0"/>
        <w:overflowPunct/>
        <w:topLinePunct w:val="0"/>
        <w:bidi w:val="0"/>
        <w:snapToGrid w:val="0"/>
        <w:spacing w:after="0"/>
        <w:jc w:val="center"/>
        <w:rPr>
          <w:color w:val="auto"/>
        </w:rPr>
      </w:pPr>
    </w:p>
    <w:p w14:paraId="6FA53B4E">
      <w:pPr>
        <w:pStyle w:val="6"/>
        <w:pageBreakBefore w:val="0"/>
        <w:overflowPunct/>
        <w:topLinePunct w:val="0"/>
        <w:bidi w:val="0"/>
        <w:snapToGrid w:val="0"/>
        <w:spacing w:after="0"/>
        <w:sectPr>
          <w:pgSz w:w="11907" w:h="16840"/>
          <w:pgMar w:top="1117" w:right="1133" w:bottom="1057" w:left="1700" w:header="878" w:footer="886" w:gutter="0"/>
          <w:pgNumType w:fmt="decimal"/>
          <w:cols w:space="720" w:num="1"/>
        </w:sectPr>
      </w:pPr>
      <w:r>
        <w:rPr>
          <w:rFonts w:hint="eastAsia"/>
        </w:rPr>
        <w:t>【政策详见《财政部 司法部关于政府采购支持监狱企业发展有关问题的通知》（财库〔2014〕68号）】</w:t>
      </w:r>
    </w:p>
    <w:p w14:paraId="5B6F57D9">
      <w:pPr>
        <w:pStyle w:val="6"/>
        <w:pageBreakBefore w:val="0"/>
        <w:overflowPunct/>
        <w:topLinePunct w:val="0"/>
        <w:bidi w:val="0"/>
        <w:snapToGrid w:val="0"/>
        <w:spacing w:after="0"/>
        <w:ind w:firstLine="0"/>
      </w:pPr>
      <w:r>
        <w:rPr>
          <w:rFonts w:hint="eastAsia"/>
        </w:rPr>
        <w:t>2-4 附件：《中小企业划型标准规定》</w:t>
      </w:r>
    </w:p>
    <w:p w14:paraId="47894FC1">
      <w:pPr>
        <w:pageBreakBefore w:val="0"/>
        <w:tabs>
          <w:tab w:val="left" w:pos="4860"/>
        </w:tabs>
        <w:overflowPunct/>
        <w:topLinePunct w:val="0"/>
        <w:bidi w:val="0"/>
        <w:snapToGrid w:val="0"/>
        <w:spacing w:after="0" w:line="360" w:lineRule="auto"/>
        <w:ind w:firstLine="480" w:firstLineChars="200"/>
        <w:rPr>
          <w:rFonts w:hint="eastAsia" w:ascii="宋体" w:hAnsi="宋体" w:eastAsia="宋体" w:cs="宋体"/>
          <w:sz w:val="24"/>
        </w:rPr>
      </w:pPr>
      <w:r>
        <w:rPr>
          <w:rFonts w:hint="eastAsia" w:ascii="宋体" w:hAnsi="宋体" w:eastAsia="宋体" w:cs="宋体"/>
          <w:sz w:val="24"/>
        </w:rPr>
        <w:t>一、根据《中华人民共和国中小企业促进法》和《国务院关于进一步促进中小企业发展的若干意见》(国发〔2009〕36号)，制定本规定。</w:t>
      </w:r>
    </w:p>
    <w:p w14:paraId="377789A5">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二、中小企业划分为中型、小型、微型三种类型，具体标准根据企业从业人员、营业收入、资产总额等指标，结合行业特点制定。</w:t>
      </w:r>
    </w:p>
    <w:p w14:paraId="7936DA5F">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57C3FC0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四、各行业划型标准为：</w:t>
      </w:r>
    </w:p>
    <w:p w14:paraId="72532DD7">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（一）农、林、牧、渔业。营业收入20000万元以下的为中小微型企业。其中，营业收入500万元及以上的为中型企业，营业收入50万元及以上的为小型企业，营业收入50万元以下的为微型企业。</w:t>
      </w:r>
    </w:p>
    <w:p w14:paraId="73531CC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A9124F">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0512514">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C76D66D">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A878473">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A61070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06B6B99">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C35CFB0">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60544A1">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F30641C">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4B3C990">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20FFAE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873C806">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7A6884F">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8BD897C">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（十六）其他未列明行业。从业人员300人以下的为中小微型企业。其中，从业人员100人及以上的为中型企业；从业人员10人及以上的为小型企业；从业人员10人以下的为微型企业。</w:t>
      </w:r>
    </w:p>
    <w:p w14:paraId="13972A1E">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五、企业类型的划分以统计部门的统计数据为依据。</w:t>
      </w:r>
    </w:p>
    <w:p w14:paraId="33DDBCB9">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六、本规定适用于在中华人民共和国境内依法设立的各类所有制和各种组织形式的企业。个体工商户和本规定以外的行业，参照本规定进行划型。</w:t>
      </w:r>
    </w:p>
    <w:p w14:paraId="5916D73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七、本规定的中型企业标准上限即为大型企业标准的下限，国家统计部门据此制定大中小微型企业的统计分类。国务院有关部门据此进行相关数据分析，不得制定与本规定不一致的企业划型标准。</w:t>
      </w:r>
    </w:p>
    <w:p w14:paraId="7811CD06">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八、本规定由工业和信息化部、国家统计局会同有关部门根据《国民经济行业分类》修订情况和企业发展变化情况适时修订。</w:t>
      </w:r>
    </w:p>
    <w:p w14:paraId="36F4172B">
      <w:pPr>
        <w:pageBreakBefore w:val="0"/>
        <w:tabs>
          <w:tab w:val="left" w:pos="4860"/>
        </w:tabs>
        <w:overflowPunct/>
        <w:topLinePunct w:val="0"/>
        <w:bidi w:val="0"/>
        <w:snapToGrid w:val="0"/>
        <w:spacing w:after="0" w:line="360" w:lineRule="auto"/>
        <w:ind w:firstLine="480"/>
        <w:rPr>
          <w:rFonts w:hint="eastAsia" w:ascii="宋体" w:hAnsi="宋体" w:eastAsia="宋体" w:cs="宋体"/>
          <w:sz w:val="24"/>
        </w:rPr>
      </w:pPr>
      <w:r>
        <w:rPr>
          <w:rFonts w:hint="eastAsia" w:ascii="宋体" w:hAnsi="宋体" w:eastAsia="宋体" w:cs="宋体"/>
          <w:sz w:val="24"/>
        </w:rPr>
        <w:t>九、本规定由工业和信息化部、国家统计局会同有关部门负责解释。</w:t>
      </w:r>
    </w:p>
    <w:p w14:paraId="3BEE95C3">
      <w:pPr>
        <w:pStyle w:val="6"/>
        <w:pageBreakBefore w:val="0"/>
        <w:overflowPunct/>
        <w:topLinePunct w:val="0"/>
        <w:bidi w:val="0"/>
        <w:snapToGrid w:val="0"/>
        <w:spacing w:after="0"/>
        <w:ind w:firstLine="480" w:firstLineChars="200"/>
      </w:pPr>
      <w:r>
        <w:rPr>
          <w:rFonts w:hint="eastAsia" w:hAnsi="宋体" w:cs="宋体"/>
        </w:rPr>
        <w:t>十、本规定自发布之日起执行，原国家经贸委、原国家计委、财政部和国家统计局2003年颁布的《中小企业标准暂行规定》同时废止。</w:t>
      </w:r>
      <w:r>
        <w:br w:type="page"/>
      </w:r>
    </w:p>
    <w:p w14:paraId="6DA8748B">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olor w:val="auto"/>
          <w:sz w:val="24"/>
          <w:szCs w:val="24"/>
        </w:rPr>
      </w:pPr>
      <w:bookmarkStart w:id="56" w:name="_Toc148096375"/>
      <w:r>
        <w:rPr>
          <w:rFonts w:hint="eastAsia" w:ascii="宋体" w:hAnsi="宋体" w:eastAsia="宋体"/>
          <w:color w:val="auto"/>
          <w:sz w:val="24"/>
          <w:szCs w:val="24"/>
        </w:rPr>
        <w:t>3</w:t>
      </w:r>
      <w:r>
        <w:rPr>
          <w:rFonts w:ascii="宋体" w:hAnsi="宋体" w:eastAsia="宋体"/>
          <w:color w:val="auto"/>
          <w:sz w:val="24"/>
          <w:szCs w:val="24"/>
        </w:rPr>
        <w:t xml:space="preserve"> </w:t>
      </w:r>
      <w:bookmarkEnd w:id="56"/>
      <w:r>
        <w:rPr>
          <w:rFonts w:hint="eastAsia" w:ascii="宋体" w:hAnsi="宋体" w:eastAsia="宋体"/>
          <w:color w:val="auto"/>
          <w:sz w:val="24"/>
          <w:szCs w:val="24"/>
        </w:rPr>
        <w:t>其他特定资格要求</w:t>
      </w:r>
    </w:p>
    <w:p w14:paraId="211AE830">
      <w:pPr>
        <w:pageBreakBefore w:val="0"/>
        <w:overflowPunct/>
        <w:topLinePunct w:val="0"/>
        <w:bidi w:val="0"/>
        <w:snapToGrid w:val="0"/>
        <w:spacing w:after="0" w:line="360" w:lineRule="auto"/>
        <w:ind w:firstLine="480" w:firstLineChars="200"/>
        <w:rPr>
          <w:rFonts w:ascii="宋体" w:hAnsi="宋体" w:eastAsia="宋体" w:cs="宋体"/>
          <w:sz w:val="24"/>
          <w:szCs w:val="24"/>
        </w:rPr>
      </w:pPr>
      <w:bookmarkStart w:id="57" w:name="_Toc148096379"/>
      <w:r>
        <w:rPr>
          <w:rFonts w:hint="eastAsia" w:ascii="宋体" w:hAnsi="宋体" w:eastAsia="宋体" w:cs="宋体"/>
          <w:sz w:val="24"/>
          <w:szCs w:val="24"/>
        </w:rPr>
        <w:t>1）供应商应具备水利水电工程施工总承包三级（含）以上资质；</w:t>
      </w:r>
    </w:p>
    <w:p w14:paraId="7B5188FA">
      <w:pPr>
        <w:pageBreakBefore w:val="0"/>
        <w:overflowPunct/>
        <w:topLinePunct w:val="0"/>
        <w:bidi w:val="0"/>
        <w:snapToGrid w:val="0"/>
        <w:spacing w:after="0" w:line="360" w:lineRule="auto"/>
        <w:ind w:firstLine="480" w:firstLineChars="200"/>
        <w:rPr>
          <w:rFonts w:ascii="宋体" w:hAnsi="宋体" w:eastAsia="宋体" w:cs="宋体"/>
          <w:sz w:val="24"/>
          <w:szCs w:val="24"/>
        </w:rPr>
      </w:pPr>
      <w:r>
        <w:rPr>
          <w:rFonts w:hint="eastAsia" w:ascii="宋体" w:hAnsi="宋体" w:eastAsia="宋体" w:cs="宋体"/>
          <w:sz w:val="24"/>
          <w:szCs w:val="24"/>
        </w:rPr>
        <w:t>2）供应商应具有建设行政主管部门核发的有效的安全生产许可证；</w:t>
      </w:r>
    </w:p>
    <w:p w14:paraId="0D776FBE">
      <w:pPr>
        <w:pageBreakBefore w:val="0"/>
        <w:widowControl/>
        <w:kinsoku/>
        <w:overflowPunct/>
        <w:topLinePunct w:val="0"/>
        <w:autoSpaceDE/>
        <w:autoSpaceDN/>
        <w:bidi w:val="0"/>
        <w:adjustRightInd/>
        <w:snapToGrid/>
        <w:spacing w:after="0"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3）拟任项目经理</w:t>
      </w:r>
      <w:r>
        <w:rPr>
          <w:rFonts w:hint="eastAsia" w:ascii="宋体" w:hAnsi="宋体" w:eastAsia="宋体" w:cs="宋体"/>
          <w:sz w:val="24"/>
          <w:szCs w:val="24"/>
          <w:lang w:val="en-US" w:eastAsia="zh-CN"/>
        </w:rPr>
        <w:t>需具</w:t>
      </w:r>
      <w:r>
        <w:rPr>
          <w:rFonts w:hint="eastAsia" w:ascii="宋体" w:hAnsi="宋体" w:eastAsia="宋体" w:cs="宋体"/>
          <w:color w:val="auto"/>
          <w:sz w:val="24"/>
          <w:szCs w:val="24"/>
          <w:lang w:val="en-US" w:eastAsia="zh-CN"/>
        </w:rPr>
        <w:t>有水利行业中级及以上职称</w:t>
      </w:r>
      <w:r>
        <w:rPr>
          <w:rFonts w:hint="eastAsia" w:ascii="宋体" w:hAnsi="宋体" w:eastAsia="宋体" w:cs="宋体"/>
          <w:color w:val="auto"/>
          <w:sz w:val="24"/>
          <w:szCs w:val="24"/>
        </w:rPr>
        <w:t>；</w:t>
      </w:r>
    </w:p>
    <w:p w14:paraId="32D2767F">
      <w:pPr>
        <w:pageBreakBefore w:val="0"/>
        <w:overflowPunct/>
        <w:topLinePunct w:val="0"/>
        <w:bidi w:val="0"/>
        <w:snapToGrid w:val="0"/>
        <w:spacing w:after="0" w:line="360" w:lineRule="auto"/>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4）安全管理人员（专职安全生产管理人员）具有水行政主管部门颁发的C类安全生产考核合格证书</w:t>
      </w:r>
      <w:r>
        <w:rPr>
          <w:rFonts w:hint="eastAsia" w:ascii="宋体" w:hAnsi="宋体" w:eastAsia="宋体" w:cs="宋体"/>
          <w:sz w:val="24"/>
          <w:szCs w:val="24"/>
          <w:lang w:eastAsia="zh-CN"/>
        </w:rPr>
        <w:t>；</w:t>
      </w:r>
    </w:p>
    <w:p w14:paraId="4260F4C1">
      <w:pPr>
        <w:pageBreakBefore w:val="0"/>
        <w:overflowPunct/>
        <w:topLinePunct w:val="0"/>
        <w:bidi w:val="0"/>
        <w:snapToGrid w:val="0"/>
        <w:spacing w:after="0" w:line="360" w:lineRule="auto"/>
        <w:ind w:firstLine="480" w:firstLineChars="200"/>
      </w:pPr>
      <w:r>
        <w:rPr>
          <w:rFonts w:hint="eastAsia" w:ascii="宋体" w:hAnsi="宋体" w:eastAsia="宋体" w:cs="宋体"/>
          <w:sz w:val="24"/>
          <w:szCs w:val="24"/>
        </w:rPr>
        <w:t>5）企业负责人具有水行政主管部门颁发的A类安全考核合格证书。</w:t>
      </w:r>
    </w:p>
    <w:p w14:paraId="22DB7560">
      <w:pPr>
        <w:pStyle w:val="7"/>
      </w:pPr>
    </w:p>
    <w:p w14:paraId="0E3F9FFA">
      <w:pPr>
        <w:pStyle w:val="7"/>
      </w:pPr>
    </w:p>
    <w:p w14:paraId="0E1EC6F5">
      <w:pPr>
        <w:pStyle w:val="7"/>
      </w:pPr>
    </w:p>
    <w:p w14:paraId="728CD70B">
      <w:pPr>
        <w:pStyle w:val="7"/>
      </w:pPr>
    </w:p>
    <w:p w14:paraId="74BCAF15">
      <w:pPr>
        <w:pStyle w:val="7"/>
      </w:pPr>
    </w:p>
    <w:p w14:paraId="3B7EF0FA">
      <w:pPr>
        <w:pStyle w:val="7"/>
      </w:pPr>
    </w:p>
    <w:p w14:paraId="297CB9D2">
      <w:pPr>
        <w:pStyle w:val="7"/>
      </w:pPr>
    </w:p>
    <w:p w14:paraId="40CACA36">
      <w:pPr>
        <w:pStyle w:val="7"/>
      </w:pPr>
    </w:p>
    <w:p w14:paraId="62D9A5A6">
      <w:pPr>
        <w:pStyle w:val="7"/>
      </w:pPr>
    </w:p>
    <w:p w14:paraId="22B52BC9">
      <w:pPr>
        <w:pStyle w:val="7"/>
      </w:pPr>
    </w:p>
    <w:p w14:paraId="51B2172D">
      <w:pPr>
        <w:pStyle w:val="7"/>
      </w:pPr>
    </w:p>
    <w:p w14:paraId="7F0C423C">
      <w:pPr>
        <w:pStyle w:val="7"/>
      </w:pPr>
    </w:p>
    <w:p w14:paraId="4B6788B0">
      <w:pPr>
        <w:pStyle w:val="7"/>
      </w:pPr>
    </w:p>
    <w:p w14:paraId="79F3C2FE">
      <w:pPr>
        <w:pStyle w:val="7"/>
      </w:pPr>
    </w:p>
    <w:p w14:paraId="47E6930D">
      <w:pPr>
        <w:pStyle w:val="7"/>
      </w:pPr>
    </w:p>
    <w:p w14:paraId="1FCBCA6C">
      <w:pPr>
        <w:pStyle w:val="7"/>
      </w:pPr>
    </w:p>
    <w:p w14:paraId="59600F32">
      <w:pPr>
        <w:pStyle w:val="7"/>
      </w:pPr>
    </w:p>
    <w:p w14:paraId="36FD411F">
      <w:pPr>
        <w:pStyle w:val="7"/>
      </w:pPr>
    </w:p>
    <w:p w14:paraId="272ED896">
      <w:pPr>
        <w:pStyle w:val="7"/>
      </w:pPr>
    </w:p>
    <w:p w14:paraId="7D71B117">
      <w:pPr>
        <w:pStyle w:val="7"/>
      </w:pPr>
    </w:p>
    <w:p w14:paraId="5F636D2C">
      <w:pPr>
        <w:pStyle w:val="8"/>
        <w:spacing w:before="307" w:line="201" w:lineRule="auto"/>
        <w:ind w:left="12"/>
        <w:outlineLvl w:val="1"/>
        <w:rPr>
          <w:rFonts w:hint="eastAsia" w:ascii="宋体" w:hAnsi="宋体" w:eastAsia="宋体"/>
          <w:sz w:val="24"/>
          <w:szCs w:val="24"/>
          <w:lang w:eastAsia="zh-CN"/>
        </w:rPr>
      </w:pPr>
      <w:r>
        <w:rPr>
          <w:rFonts w:ascii="宋体" w:hAnsi="宋体" w:eastAsia="宋体" w:cs="Arial"/>
          <w:spacing w:val="1"/>
          <w:sz w:val="24"/>
          <w:szCs w:val="24"/>
          <w:lang w:eastAsia="zh-CN"/>
        </w:rPr>
        <w:t xml:space="preserve">4   </w:t>
      </w:r>
      <w:r>
        <w:rPr>
          <w:rFonts w:ascii="宋体" w:hAnsi="宋体" w:eastAsia="宋体"/>
          <w:spacing w:val="1"/>
          <w:sz w:val="24"/>
          <w:szCs w:val="24"/>
          <w:lang w:eastAsia="zh-CN"/>
        </w:rPr>
        <w:t>投标保证金凭证</w:t>
      </w:r>
      <w:r>
        <w:rPr>
          <w:rFonts w:ascii="宋体" w:hAnsi="宋体" w:eastAsia="宋体" w:cs="Arial"/>
          <w:spacing w:val="1"/>
          <w:sz w:val="24"/>
          <w:szCs w:val="24"/>
          <w:lang w:eastAsia="zh-CN"/>
        </w:rPr>
        <w:t>/</w:t>
      </w:r>
      <w:r>
        <w:rPr>
          <w:rFonts w:ascii="宋体" w:hAnsi="宋体" w:eastAsia="宋体"/>
          <w:spacing w:val="1"/>
          <w:sz w:val="24"/>
          <w:szCs w:val="24"/>
          <w:lang w:eastAsia="zh-CN"/>
        </w:rPr>
        <w:t>交款单据电子件</w:t>
      </w:r>
    </w:p>
    <w:p w14:paraId="30736310">
      <w:pPr>
        <w:pStyle w:val="7"/>
      </w:pPr>
    </w:p>
    <w:p w14:paraId="32490D45">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7A5411C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0EA20B2A">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1DB705A9">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66B84EC4">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19C227D3">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7E7FBC6C">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2E0B6A1E">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19FC1A57">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69ED0BD6">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395B2616">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7A280940">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46F6B480">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02A156B2">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0DFC0276">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41AB6755">
      <w:pPr>
        <w:pStyle w:val="7"/>
        <w:rPr>
          <w:rFonts w:ascii="宋体" w:hAnsi="宋体" w:eastAsia="宋体" w:cs="宋体"/>
          <w:sz w:val="24"/>
          <w:szCs w:val="24"/>
        </w:rPr>
      </w:pPr>
    </w:p>
    <w:p w14:paraId="7AAE2CAB">
      <w:pPr>
        <w:pStyle w:val="7"/>
        <w:rPr>
          <w:rFonts w:ascii="宋体" w:hAnsi="宋体" w:eastAsia="宋体" w:cs="宋体"/>
          <w:sz w:val="24"/>
          <w:szCs w:val="24"/>
        </w:rPr>
      </w:pPr>
    </w:p>
    <w:p w14:paraId="7AC3CB05">
      <w:pPr>
        <w:pStyle w:val="7"/>
        <w:rPr>
          <w:rFonts w:ascii="宋体" w:hAnsi="宋体" w:eastAsia="宋体" w:cs="宋体"/>
          <w:sz w:val="24"/>
          <w:szCs w:val="24"/>
        </w:rPr>
      </w:pPr>
    </w:p>
    <w:p w14:paraId="0CD147EF">
      <w:pPr>
        <w:pStyle w:val="7"/>
        <w:rPr>
          <w:rFonts w:ascii="宋体" w:hAnsi="宋体" w:eastAsia="宋体" w:cs="宋体"/>
          <w:sz w:val="24"/>
          <w:szCs w:val="24"/>
        </w:rPr>
      </w:pPr>
    </w:p>
    <w:p w14:paraId="6DCC818A">
      <w:pPr>
        <w:pStyle w:val="7"/>
        <w:rPr>
          <w:rFonts w:ascii="宋体" w:hAnsi="宋体" w:eastAsia="宋体" w:cs="宋体"/>
          <w:sz w:val="24"/>
          <w:szCs w:val="24"/>
        </w:rPr>
      </w:pPr>
    </w:p>
    <w:p w14:paraId="3E4D038F">
      <w:pPr>
        <w:pStyle w:val="7"/>
        <w:rPr>
          <w:rFonts w:ascii="宋体" w:hAnsi="宋体" w:eastAsia="宋体" w:cs="宋体"/>
          <w:sz w:val="24"/>
          <w:szCs w:val="24"/>
        </w:rPr>
      </w:pPr>
    </w:p>
    <w:p w14:paraId="0DFE6604">
      <w:pPr>
        <w:pStyle w:val="7"/>
        <w:rPr>
          <w:rFonts w:ascii="宋体" w:hAnsi="宋体" w:eastAsia="宋体" w:cs="宋体"/>
          <w:sz w:val="24"/>
          <w:szCs w:val="24"/>
        </w:rPr>
      </w:pPr>
    </w:p>
    <w:p w14:paraId="5619A522">
      <w:pPr>
        <w:pStyle w:val="7"/>
        <w:rPr>
          <w:rFonts w:ascii="宋体" w:hAnsi="宋体" w:eastAsia="宋体" w:cs="宋体"/>
          <w:sz w:val="24"/>
          <w:szCs w:val="24"/>
        </w:rPr>
      </w:pPr>
    </w:p>
    <w:p w14:paraId="003D876F">
      <w:pPr>
        <w:pStyle w:val="7"/>
        <w:rPr>
          <w:rFonts w:ascii="宋体" w:hAnsi="宋体" w:eastAsia="宋体" w:cs="宋体"/>
          <w:sz w:val="24"/>
          <w:szCs w:val="24"/>
        </w:rPr>
      </w:pPr>
    </w:p>
    <w:p w14:paraId="70DF1C8C">
      <w:pPr>
        <w:pStyle w:val="7"/>
        <w:rPr>
          <w:rFonts w:ascii="宋体" w:hAnsi="宋体" w:eastAsia="宋体" w:cs="宋体"/>
          <w:sz w:val="24"/>
          <w:szCs w:val="24"/>
        </w:rPr>
      </w:pPr>
    </w:p>
    <w:p w14:paraId="17EBF730">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1A1754F2">
      <w:pPr>
        <w:pageBreakBefore w:val="0"/>
        <w:widowControl w:val="0"/>
        <w:kinsoku/>
        <w:overflowPunct/>
        <w:topLinePunct w:val="0"/>
        <w:autoSpaceDE/>
        <w:autoSpaceDN/>
        <w:bidi w:val="0"/>
        <w:adjustRightInd/>
        <w:snapToGrid w:val="0"/>
        <w:spacing w:after="0" w:line="360" w:lineRule="auto"/>
        <w:textAlignment w:val="auto"/>
        <w:rPr>
          <w:rFonts w:ascii="宋体" w:hAnsi="宋体" w:eastAsia="宋体" w:cs="宋体"/>
          <w:sz w:val="24"/>
          <w:szCs w:val="24"/>
        </w:rPr>
      </w:pPr>
    </w:p>
    <w:p w14:paraId="37F3D63D">
      <w:pPr>
        <w:pageBreakBefore w:val="0"/>
        <w:widowControl w:val="0"/>
        <w:kinsoku/>
        <w:overflowPunct/>
        <w:topLinePunct w:val="0"/>
        <w:autoSpaceDE/>
        <w:autoSpaceDN/>
        <w:bidi w:val="0"/>
        <w:adjustRightInd/>
        <w:snapToGrid w:val="0"/>
        <w:spacing w:after="0" w:line="360" w:lineRule="auto"/>
        <w:textAlignment w:val="auto"/>
        <w:outlineLvl w:val="1"/>
        <w:rPr>
          <w:rFonts w:hint="eastAsia" w:ascii="宋体" w:hAnsi="宋体" w:eastAsia="宋体" w:cs="Times New Roman"/>
          <w:b/>
          <w:bCs/>
          <w:snapToGrid/>
          <w:color w:val="auto"/>
          <w:kern w:val="2"/>
          <w:sz w:val="28"/>
          <w:szCs w:val="36"/>
        </w:rPr>
      </w:pPr>
      <w:r>
        <w:rPr>
          <w:rFonts w:hint="eastAsia" w:ascii="宋体" w:hAnsi="宋体" w:eastAsia="宋体" w:cs="Times New Roman"/>
          <w:b/>
          <w:bCs/>
          <w:snapToGrid/>
          <w:color w:val="auto"/>
          <w:kern w:val="2"/>
          <w:sz w:val="28"/>
          <w:szCs w:val="36"/>
        </w:rPr>
        <w:t>二、商务技术文件格式</w:t>
      </w:r>
      <w:bookmarkEnd w:id="57"/>
    </w:p>
    <w:p w14:paraId="101A9C0D">
      <w:pPr>
        <w:pageBreakBefore w:val="0"/>
        <w:overflowPunct/>
        <w:topLinePunct w:val="0"/>
        <w:bidi w:val="0"/>
        <w:snapToGrid w:val="0"/>
        <w:spacing w:before="78" w:after="0" w:line="220" w:lineRule="auto"/>
        <w:ind w:left="1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投标文件（商务技术文件） 封面（非实质性格式）</w:t>
      </w:r>
    </w:p>
    <w:p w14:paraId="443245D2">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7ED52A98">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522456D2">
      <w:pPr>
        <w:pStyle w:val="6"/>
        <w:pageBreakBefore w:val="0"/>
        <w:overflowPunct/>
        <w:topLinePunct w:val="0"/>
        <w:bidi w:val="0"/>
        <w:snapToGrid w:val="0"/>
        <w:spacing w:after="0"/>
      </w:pPr>
    </w:p>
    <w:p w14:paraId="41A68FB3">
      <w:pPr>
        <w:pStyle w:val="6"/>
        <w:pageBreakBefore w:val="0"/>
        <w:overflowPunct/>
        <w:topLinePunct w:val="0"/>
        <w:bidi w:val="0"/>
        <w:snapToGrid w:val="0"/>
        <w:spacing w:after="0"/>
      </w:pPr>
    </w:p>
    <w:p w14:paraId="29E8A348">
      <w:pPr>
        <w:pStyle w:val="6"/>
        <w:pageBreakBefore w:val="0"/>
        <w:overflowPunct/>
        <w:topLinePunct w:val="0"/>
        <w:bidi w:val="0"/>
        <w:snapToGrid w:val="0"/>
        <w:spacing w:after="0"/>
      </w:pPr>
    </w:p>
    <w:p w14:paraId="168AF69A">
      <w:pPr>
        <w:pageBreakBefore w:val="0"/>
        <w:overflowPunct/>
        <w:topLinePunct w:val="0"/>
        <w:bidi w:val="0"/>
        <w:snapToGrid w:val="0"/>
        <w:spacing w:before="78" w:after="0" w:line="220" w:lineRule="auto"/>
        <w:rPr>
          <w:rFonts w:hint="eastAsia" w:ascii="宋体" w:hAnsi="宋体" w:eastAsia="宋体" w:cs="宋体"/>
          <w:color w:val="auto"/>
          <w:sz w:val="24"/>
          <w:szCs w:val="24"/>
        </w:rPr>
      </w:pPr>
    </w:p>
    <w:p w14:paraId="199EC140">
      <w:pPr>
        <w:pageBreakBefore w:val="0"/>
        <w:overflowPunct/>
        <w:topLinePunct w:val="0"/>
        <w:bidi w:val="0"/>
        <w:snapToGrid w:val="0"/>
        <w:spacing w:before="360" w:after="0" w:line="360" w:lineRule="auto"/>
        <w:jc w:val="center"/>
        <w:rPr>
          <w:rFonts w:hint="eastAsia" w:ascii="宋体" w:hAnsi="宋体" w:eastAsia="宋体" w:cs="宋体"/>
          <w:color w:val="auto"/>
          <w:sz w:val="84"/>
          <w:szCs w:val="84"/>
        </w:rPr>
      </w:pPr>
      <w:r>
        <w:rPr>
          <w:rFonts w:hint="eastAsia" w:ascii="宋体" w:hAnsi="宋体" w:eastAsia="宋体" w:cs="宋体"/>
          <w:color w:val="auto"/>
          <w:spacing w:val="103"/>
          <w:sz w:val="84"/>
          <w:szCs w:val="84"/>
          <w14:textOutline w14:w="5384" w14:cap="flat" w14:cmpd="sng" w14:algn="ctr">
            <w14:solidFill>
              <w14:srgbClr w14:val="000000"/>
            </w14:solidFill>
            <w14:prstDash w14:val="solid"/>
            <w14:miter w14:val="0"/>
          </w14:textOutline>
        </w:rPr>
        <w:t>投</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文</w:t>
      </w:r>
      <w:r>
        <w:rPr>
          <w:rFonts w:hint="eastAsia" w:ascii="宋体" w:hAnsi="宋体" w:eastAsia="宋体" w:cs="宋体"/>
          <w:color w:val="auto"/>
          <w:spacing w:val="102"/>
          <w:sz w:val="84"/>
          <w:szCs w:val="84"/>
        </w:rPr>
        <w:t xml:space="preserve"> </w:t>
      </w:r>
      <w:r>
        <w:rPr>
          <w:rFonts w:hint="eastAsia" w:ascii="宋体" w:hAnsi="宋体" w:eastAsia="宋体" w:cs="宋体"/>
          <w:color w:val="auto"/>
          <w:spacing w:val="102"/>
          <w:sz w:val="84"/>
          <w:szCs w:val="84"/>
          <w14:textOutline w14:w="5384" w14:cap="flat" w14:cmpd="sng" w14:algn="ctr">
            <w14:solidFill>
              <w14:srgbClr w14:val="000000"/>
            </w14:solidFill>
            <w14:prstDash w14:val="solid"/>
            <w14:miter w14:val="0"/>
          </w14:textOutline>
        </w:rPr>
        <w:t>件</w:t>
      </w:r>
    </w:p>
    <w:p w14:paraId="7A92E2D4">
      <w:pPr>
        <w:pageBreakBefore w:val="0"/>
        <w:overflowPunct/>
        <w:topLinePunct w:val="0"/>
        <w:bidi w:val="0"/>
        <w:snapToGrid w:val="0"/>
        <w:spacing w:before="39" w:after="0" w:line="360" w:lineRule="auto"/>
        <w:jc w:val="center"/>
        <w:rPr>
          <w:rFonts w:hint="eastAsia" w:ascii="宋体" w:hAnsi="宋体" w:eastAsia="宋体" w:cs="宋体"/>
          <w:color w:val="auto"/>
          <w:sz w:val="52"/>
          <w:szCs w:val="52"/>
        </w:rPr>
      </w:pPr>
      <w:r>
        <w:rPr>
          <w:rFonts w:hint="eastAsia" w:ascii="宋体" w:hAnsi="宋体" w:eastAsia="宋体" w:cs="宋体"/>
          <w:color w:val="auto"/>
          <w:spacing w:val="-39"/>
          <w:sz w:val="52"/>
          <w:szCs w:val="52"/>
          <w14:textOutline w14:w="3340" w14:cap="flat" w14:cmpd="sng" w14:algn="ctr">
            <w14:solidFill>
              <w14:srgbClr w14:val="000000"/>
            </w14:solidFill>
            <w14:prstDash w14:val="solid"/>
            <w14:miter w14:val="0"/>
          </w14:textOutline>
        </w:rPr>
        <w:t>（</w:t>
      </w:r>
      <w:r>
        <w:rPr>
          <w:rFonts w:hint="eastAsia" w:ascii="宋体" w:hAnsi="宋体" w:eastAsia="宋体" w:cs="宋体"/>
          <w:color w:val="auto"/>
          <w:spacing w:val="-28"/>
          <w:sz w:val="52"/>
          <w:szCs w:val="52"/>
          <w14:textOutline w14:w="3340" w14:cap="flat" w14:cmpd="sng" w14:algn="ctr">
            <w14:solidFill>
              <w14:srgbClr w14:val="000000"/>
            </w14:solidFill>
            <w14:prstDash w14:val="solid"/>
            <w14:miter w14:val="0"/>
          </w14:textOutline>
        </w:rPr>
        <w:t>商 务 技 术 文 件</w:t>
      </w:r>
      <w:r>
        <w:rPr>
          <w:rFonts w:ascii="宋体" w:hAnsi="宋体" w:eastAsia="宋体" w:cs="宋体"/>
          <w:color w:val="auto"/>
          <w:spacing w:val="-28"/>
          <w:sz w:val="52"/>
          <w:szCs w:val="52"/>
        </w:rPr>
        <w:t>）</w:t>
      </w:r>
    </w:p>
    <w:p w14:paraId="5817200F">
      <w:pPr>
        <w:pageBreakBefore w:val="0"/>
        <w:overflowPunct/>
        <w:topLinePunct w:val="0"/>
        <w:bidi w:val="0"/>
        <w:snapToGrid w:val="0"/>
        <w:spacing w:after="0" w:line="332" w:lineRule="auto"/>
        <w:rPr>
          <w:rFonts w:hint="eastAsia" w:ascii="宋体" w:hAnsi="宋体" w:eastAsia="宋体" w:cs="宋体"/>
          <w:color w:val="auto"/>
        </w:rPr>
      </w:pPr>
    </w:p>
    <w:p w14:paraId="6269D882">
      <w:pPr>
        <w:pageBreakBefore w:val="0"/>
        <w:overflowPunct/>
        <w:topLinePunct w:val="0"/>
        <w:bidi w:val="0"/>
        <w:snapToGrid w:val="0"/>
        <w:spacing w:after="0" w:line="360" w:lineRule="auto"/>
        <w:rPr>
          <w:rFonts w:hint="eastAsia" w:ascii="宋体" w:hAnsi="宋体" w:eastAsia="宋体"/>
          <w:color w:val="auto"/>
          <w:sz w:val="32"/>
          <w:szCs w:val="32"/>
        </w:rPr>
      </w:pPr>
    </w:p>
    <w:p w14:paraId="6AFFFDDF">
      <w:pPr>
        <w:pStyle w:val="6"/>
        <w:pageBreakBefore w:val="0"/>
        <w:overflowPunct/>
        <w:topLinePunct w:val="0"/>
        <w:bidi w:val="0"/>
        <w:snapToGrid w:val="0"/>
        <w:spacing w:after="0"/>
      </w:pPr>
    </w:p>
    <w:p w14:paraId="201E2DD5">
      <w:pPr>
        <w:pStyle w:val="6"/>
        <w:pageBreakBefore w:val="0"/>
        <w:overflowPunct/>
        <w:topLinePunct w:val="0"/>
        <w:bidi w:val="0"/>
        <w:snapToGrid w:val="0"/>
        <w:spacing w:after="0"/>
      </w:pPr>
    </w:p>
    <w:p w14:paraId="76814F1A">
      <w:pPr>
        <w:pStyle w:val="6"/>
        <w:pageBreakBefore w:val="0"/>
        <w:overflowPunct/>
        <w:topLinePunct w:val="0"/>
        <w:bidi w:val="0"/>
        <w:snapToGrid w:val="0"/>
        <w:spacing w:after="0"/>
      </w:pPr>
    </w:p>
    <w:p w14:paraId="5B567867">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项目名称：</w:t>
      </w:r>
    </w:p>
    <w:p w14:paraId="104423BF">
      <w:pPr>
        <w:pageBreakBefore w:val="0"/>
        <w:overflowPunct/>
        <w:topLinePunct w:val="0"/>
        <w:bidi w:val="0"/>
        <w:snapToGrid w:val="0"/>
        <w:spacing w:after="0" w:line="360" w:lineRule="auto"/>
        <w:rPr>
          <w:rFonts w:hint="eastAsia" w:ascii="宋体" w:hAnsi="宋体" w:eastAsia="宋体"/>
          <w:color w:val="auto"/>
          <w:sz w:val="32"/>
          <w:szCs w:val="32"/>
        </w:rPr>
      </w:pPr>
      <w:r>
        <w:rPr>
          <w:rFonts w:hint="eastAsia" w:ascii="宋体" w:hAnsi="宋体" w:eastAsia="宋体"/>
          <w:color w:val="auto"/>
          <w:sz w:val="32"/>
          <w:szCs w:val="32"/>
        </w:rPr>
        <w:t>项目编号/包号：</w:t>
      </w:r>
    </w:p>
    <w:p w14:paraId="1993C983">
      <w:pPr>
        <w:pageBreakBefore w:val="0"/>
        <w:overflowPunct/>
        <w:topLinePunct w:val="0"/>
        <w:bidi w:val="0"/>
        <w:snapToGrid w:val="0"/>
        <w:spacing w:after="0"/>
        <w:rPr>
          <w:rFonts w:hint="eastAsia" w:ascii="宋体" w:hAnsi="宋体" w:eastAsia="宋体"/>
          <w:color w:val="auto"/>
          <w:sz w:val="32"/>
          <w:szCs w:val="32"/>
        </w:rPr>
      </w:pPr>
      <w:r>
        <w:rPr>
          <w:rFonts w:hint="eastAsia" w:ascii="宋体" w:hAnsi="宋体" w:eastAsia="宋体"/>
          <w:color w:val="auto"/>
          <w:sz w:val="32"/>
          <w:szCs w:val="32"/>
        </w:rPr>
        <w:t>投标人名称：</w:t>
      </w:r>
    </w:p>
    <w:p w14:paraId="41DF5C4A">
      <w:pPr>
        <w:pStyle w:val="6"/>
        <w:pageBreakBefore w:val="0"/>
        <w:overflowPunct/>
        <w:topLinePunct w:val="0"/>
        <w:bidi w:val="0"/>
        <w:snapToGrid w:val="0"/>
        <w:spacing w:after="0"/>
      </w:pPr>
      <w:r>
        <w:br w:type="page"/>
      </w:r>
    </w:p>
    <w:p w14:paraId="30A34F7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8" w:name="_Toc148096380"/>
      <w:r>
        <w:rPr>
          <w:rFonts w:hint="eastAsia" w:ascii="宋体" w:hAnsi="宋体" w:eastAsia="宋体" w:cs="宋体"/>
          <w:color w:val="auto"/>
          <w:spacing w:val="-1"/>
          <w:sz w:val="24"/>
          <w:szCs w:val="24"/>
        </w:rPr>
        <w:t>1 投标书(实质性格式)</w:t>
      </w:r>
      <w:bookmarkEnd w:id="58"/>
    </w:p>
    <w:p w14:paraId="30E217A0">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投标书</w:t>
      </w:r>
    </w:p>
    <w:p w14:paraId="62855AB1">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致</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（采购人或采购代理机构）：</w:t>
      </w:r>
    </w:p>
    <w:p w14:paraId="45C0CEDE">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我方参加你方就___________(项目名称，项目编号/包号) 组织的招标活动，并对此项目进行投标。</w:t>
      </w:r>
    </w:p>
    <w:p w14:paraId="2C4E4B7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1.我方已详细审查全部招标文件，自愿参与投标并承诺如下：</w:t>
      </w:r>
    </w:p>
    <w:p w14:paraId="1BB9CB9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(1)本投标有效期为自提交投标文件的截止之日起_____个日历日。</w:t>
      </w:r>
    </w:p>
    <w:p w14:paraId="2867854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(2)除合同条款及采购需求偏离表列出的偏离外，我方响应招标文件的全部要求。</w:t>
      </w:r>
    </w:p>
    <w:p w14:paraId="0FDEC82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(3)我方已提供的全部文件资料是真实、准确的，并对此承担一切法律后果。</w:t>
      </w:r>
    </w:p>
    <w:p w14:paraId="64121B5A">
      <w:pPr>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(4)如我方中标，我方将在法律规定的期限内与你方签订合同，按照招标文件</w:t>
      </w:r>
      <w:r>
        <w:rPr>
          <w:rFonts w:hint="eastAsia" w:ascii="宋体" w:hAnsi="宋体" w:eastAsia="宋体" w:cs="宋体"/>
          <w:color w:val="auto"/>
          <w:sz w:val="24"/>
          <w:szCs w:val="24"/>
        </w:rPr>
        <w:t>要求提交履约保证金，并在合同约定的期限内完成合同规定的全部义务。</w:t>
      </w:r>
    </w:p>
    <w:p w14:paraId="499E73C4">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s="宋体"/>
          <w:color w:val="auto"/>
          <w:sz w:val="24"/>
          <w:szCs w:val="24"/>
        </w:rPr>
        <w:t>2.其他补充条款</w:t>
      </w:r>
      <w:r>
        <w:rPr>
          <w:rFonts w:hint="eastAsia" w:ascii="宋体" w:hAnsi="宋体" w:eastAsia="宋体"/>
          <w:color w:val="auto"/>
          <w:sz w:val="24"/>
          <w:szCs w:val="24"/>
        </w:rPr>
        <w:t>(如有)：___________。</w:t>
      </w:r>
    </w:p>
    <w:p w14:paraId="1E13178C">
      <w:pPr>
        <w:pageBreakBefore w:val="0"/>
        <w:overflowPunct/>
        <w:topLinePunct w:val="0"/>
        <w:bidi w:val="0"/>
        <w:snapToGrid w:val="0"/>
        <w:spacing w:after="0" w:line="360" w:lineRule="auto"/>
        <w:ind w:firstLine="480" w:firstLineChars="200"/>
        <w:rPr>
          <w:rFonts w:hint="eastAsia" w:ascii="宋体" w:hAnsi="宋体" w:eastAsia="宋体" w:cs="宋体"/>
          <w:color w:val="auto"/>
          <w:sz w:val="24"/>
          <w:szCs w:val="24"/>
        </w:rPr>
      </w:pPr>
      <w:r>
        <w:rPr>
          <w:rFonts w:hint="eastAsia" w:ascii="宋体" w:hAnsi="宋体" w:eastAsia="宋体"/>
          <w:color w:val="auto"/>
          <w:sz w:val="24"/>
          <w:szCs w:val="24"/>
        </w:rPr>
        <w:t>3. 是否外商投资</w:t>
      </w:r>
      <w:r>
        <w:rPr>
          <w:rFonts w:hint="eastAsia" w:ascii="宋体" w:hAnsi="宋体" w:eastAsia="宋体"/>
          <w:b/>
          <w:bCs/>
          <w:color w:val="auto"/>
          <w:sz w:val="24"/>
          <w:szCs w:val="24"/>
        </w:rPr>
        <w:t>（请进行选择）</w:t>
      </w:r>
      <w:r>
        <w:rPr>
          <w:rFonts w:hint="eastAsia" w:ascii="宋体" w:hAnsi="宋体" w:eastAsia="宋体"/>
          <w:color w:val="auto"/>
          <w:sz w:val="24"/>
          <w:szCs w:val="24"/>
        </w:rPr>
        <w:t xml:space="preserve">： </w:t>
      </w:r>
      <w:r>
        <w:rPr>
          <w:rFonts w:hint="eastAsia" w:ascii="宋体" w:hAnsi="宋体" w:eastAsia="宋体" w:cs="宋体"/>
          <w:spacing w:val="-10"/>
          <w:sz w:val="24"/>
          <w:szCs w:val="24"/>
          <w:u w:val="single"/>
        </w:rPr>
        <w:t>□是</w:t>
      </w:r>
      <w:r>
        <w:rPr>
          <w:rFonts w:hint="eastAsia" w:ascii="宋体" w:hAnsi="宋体" w:eastAsia="宋体" w:cs="宋体"/>
          <w:spacing w:val="17"/>
          <w:sz w:val="24"/>
          <w:szCs w:val="24"/>
          <w:u w:val="single"/>
        </w:rPr>
        <w:t xml:space="preserve">  </w:t>
      </w:r>
      <w:r>
        <w:rPr>
          <w:rFonts w:hint="eastAsia" w:ascii="宋体" w:hAnsi="宋体" w:eastAsia="宋体" w:cs="宋体"/>
          <w:spacing w:val="-10"/>
          <w:sz w:val="24"/>
          <w:szCs w:val="24"/>
          <w:u w:val="single"/>
        </w:rPr>
        <w:t>□否</w:t>
      </w:r>
      <w:r>
        <w:rPr>
          <w:rFonts w:hint="eastAsia" w:ascii="宋体" w:hAnsi="宋体" w:eastAsia="宋体" w:cs="宋体"/>
          <w:spacing w:val="-10"/>
          <w:sz w:val="24"/>
          <w:szCs w:val="24"/>
        </w:rPr>
        <w:t>。</w:t>
      </w:r>
    </w:p>
    <w:p w14:paraId="707476C1">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与本投标有关的一切正式往来信函请寄：</w:t>
      </w:r>
    </w:p>
    <w:p w14:paraId="5954C376">
      <w:pPr>
        <w:pageBreakBefore w:val="0"/>
        <w:overflowPunct/>
        <w:topLinePunct w:val="0"/>
        <w:bidi w:val="0"/>
        <w:snapToGrid w:val="0"/>
        <w:spacing w:after="0" w:line="360" w:lineRule="auto"/>
        <w:ind w:firstLine="400" w:firstLineChars="200"/>
        <w:rPr>
          <w:rFonts w:hint="eastAsia" w:ascii="宋体" w:hAnsi="宋体" w:eastAsia="宋体"/>
          <w:color w:val="auto"/>
          <w:sz w:val="24"/>
          <w:szCs w:val="24"/>
        </w:rPr>
      </w:pPr>
      <w:r>
        <w:rPr>
          <w:rFonts w:hint="eastAsia" w:ascii="宋体" w:hAnsi="宋体" w:eastAsia="宋体" w:cs="宋体"/>
          <w:color w:val="auto"/>
          <w:spacing w:val="-20"/>
          <w:sz w:val="24"/>
          <w:szCs w:val="24"/>
        </w:rPr>
        <w:t>地址___</w:t>
      </w:r>
      <w:r>
        <w:rPr>
          <w:rFonts w:hint="eastAsia" w:ascii="宋体" w:hAnsi="宋体" w:eastAsia="宋体" w:cs="宋体"/>
          <w:color w:val="auto"/>
          <w:spacing w:val="-11"/>
          <w:sz w:val="24"/>
          <w:szCs w:val="24"/>
        </w:rPr>
        <w:t>_</w:t>
      </w:r>
      <w:r>
        <w:rPr>
          <w:rFonts w:hint="eastAsia" w:ascii="宋体" w:hAnsi="宋体" w:eastAsia="宋体" w:cs="宋体"/>
          <w:color w:val="auto"/>
          <w:spacing w:val="-10"/>
          <w:sz w:val="24"/>
          <w:szCs w:val="24"/>
        </w:rPr>
        <w:t>_____________________         传真____________________________</w:t>
      </w:r>
    </w:p>
    <w:p w14:paraId="6209E957">
      <w:pPr>
        <w:pageBreakBefore w:val="0"/>
        <w:overflowPunct/>
        <w:topLinePunct w:val="0"/>
        <w:bidi w:val="0"/>
        <w:snapToGrid w:val="0"/>
        <w:spacing w:after="0" w:line="360" w:lineRule="auto"/>
        <w:ind w:firstLine="400" w:firstLineChars="200"/>
        <w:rPr>
          <w:rFonts w:hint="eastAsia" w:ascii="宋体" w:hAnsi="宋体" w:eastAsia="宋体" w:cs="宋体"/>
          <w:color w:val="auto"/>
          <w:spacing w:val="-10"/>
          <w:sz w:val="24"/>
          <w:szCs w:val="24"/>
        </w:rPr>
      </w:pPr>
      <w:r>
        <w:rPr>
          <w:rFonts w:hint="eastAsia" w:ascii="宋体" w:hAnsi="宋体" w:eastAsia="宋体" w:cs="宋体"/>
          <w:color w:val="auto"/>
          <w:spacing w:val="-20"/>
          <w:sz w:val="24"/>
          <w:szCs w:val="24"/>
        </w:rPr>
        <w:t>电话__</w:t>
      </w:r>
      <w:r>
        <w:rPr>
          <w:rFonts w:hint="eastAsia" w:ascii="宋体" w:hAnsi="宋体" w:eastAsia="宋体" w:cs="宋体"/>
          <w:color w:val="auto"/>
          <w:spacing w:val="-15"/>
          <w:sz w:val="24"/>
          <w:szCs w:val="24"/>
        </w:rPr>
        <w:t>_</w:t>
      </w:r>
      <w:r>
        <w:rPr>
          <w:rFonts w:hint="eastAsia" w:ascii="宋体" w:hAnsi="宋体" w:eastAsia="宋体" w:cs="宋体"/>
          <w:color w:val="auto"/>
          <w:spacing w:val="-10"/>
          <w:sz w:val="24"/>
          <w:szCs w:val="24"/>
        </w:rPr>
        <w:t>______________________         电子函件________________________</w:t>
      </w:r>
    </w:p>
    <w:p w14:paraId="3249447F">
      <w:pPr>
        <w:pStyle w:val="6"/>
        <w:pageBreakBefore w:val="0"/>
        <w:overflowPunct/>
        <w:topLinePunct w:val="0"/>
        <w:bidi w:val="0"/>
        <w:snapToGrid w:val="0"/>
        <w:spacing w:after="0"/>
      </w:pPr>
    </w:p>
    <w:p w14:paraId="1C6AF304">
      <w:pPr>
        <w:pageBreakBefore w:val="0"/>
        <w:overflowPunct/>
        <w:topLinePunct w:val="0"/>
        <w:bidi w:val="0"/>
        <w:snapToGrid w:val="0"/>
        <w:spacing w:before="78" w:after="0" w:line="360" w:lineRule="auto"/>
        <w:ind w:right="1920"/>
        <w:jc w:val="right"/>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770D782D">
      <w:pPr>
        <w:pageBreakBefore w:val="0"/>
        <w:overflowPunct/>
        <w:topLinePunct w:val="0"/>
        <w:bidi w:val="0"/>
        <w:snapToGrid w:val="0"/>
        <w:spacing w:before="78" w:after="0" w:line="360" w:lineRule="auto"/>
        <w:ind w:right="960"/>
        <w:jc w:val="right"/>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74A49504">
      <w:pPr>
        <w:pageBreakBefore w:val="0"/>
        <w:overflowPunct/>
        <w:topLinePunct w:val="0"/>
        <w:bidi w:val="0"/>
        <w:snapToGrid w:val="0"/>
        <w:spacing w:after="0"/>
        <w:rPr>
          <w:color w:val="auto"/>
        </w:rPr>
      </w:pPr>
    </w:p>
    <w:p w14:paraId="486B12AB">
      <w:pPr>
        <w:pStyle w:val="6"/>
        <w:pageBreakBefore w:val="0"/>
        <w:overflowPunct/>
        <w:topLinePunct w:val="0"/>
        <w:bidi w:val="0"/>
        <w:snapToGrid w:val="0"/>
        <w:spacing w:after="0"/>
      </w:pPr>
      <w:r>
        <w:br w:type="page"/>
      </w:r>
    </w:p>
    <w:p w14:paraId="181C99C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59" w:name="_Toc148096381"/>
      <w:r>
        <w:rPr>
          <w:rFonts w:hint="eastAsia" w:ascii="宋体" w:hAnsi="宋体" w:eastAsia="宋体" w:cs="宋体"/>
          <w:color w:val="auto"/>
          <w:spacing w:val="-1"/>
          <w:sz w:val="24"/>
          <w:szCs w:val="24"/>
        </w:rPr>
        <w:t xml:space="preserve">2 </w:t>
      </w:r>
      <w:r>
        <w:rPr>
          <w:rFonts w:hint="eastAsia" w:ascii="宋体" w:hAnsi="宋体" w:eastAsia="宋体"/>
          <w:color w:val="auto"/>
          <w:sz w:val="24"/>
          <w:szCs w:val="24"/>
        </w:rPr>
        <w:t>授权委托书</w:t>
      </w:r>
      <w:r>
        <w:rPr>
          <w:rFonts w:hint="eastAsia" w:ascii="宋体" w:hAnsi="宋体" w:eastAsia="宋体" w:cs="宋体"/>
          <w:color w:val="auto"/>
          <w:spacing w:val="-1"/>
          <w:sz w:val="24"/>
          <w:szCs w:val="24"/>
        </w:rPr>
        <w:t>(实质性格式)</w:t>
      </w:r>
      <w:bookmarkEnd w:id="59"/>
    </w:p>
    <w:p w14:paraId="10FFB016">
      <w:pPr>
        <w:pageBreakBefore w:val="0"/>
        <w:overflowPunct/>
        <w:topLinePunct w:val="0"/>
        <w:bidi w:val="0"/>
        <w:snapToGrid w:val="0"/>
        <w:spacing w:before="164" w:after="0" w:line="219" w:lineRule="auto"/>
        <w:jc w:val="cente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28"/>
          <w:szCs w:val="28"/>
          <w14:textOutline w14:w="2311" w14:cap="flat" w14:cmpd="sng" w14:algn="ctr">
            <w14:solidFill>
              <w14:srgbClr w14:val="000000"/>
            </w14:solidFill>
            <w14:prstDash w14:val="solid"/>
            <w14:miter w14:val="0"/>
          </w14:textOutline>
        </w:rPr>
        <w:t>授权委托书</w:t>
      </w:r>
    </w:p>
    <w:p w14:paraId="79B3B68E">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本人_______ (姓名)系________________ (投标人名称) 的法定代表人(单位负责人)，现委托_______ (姓名) 为我方代理人。代理人根据授权，以我方名义签署、澄清 确认、提交、撤回、修改________________ (项目名称) 投标文件和处理有关事宜，其法律后果由我方承担。</w:t>
      </w:r>
    </w:p>
    <w:p w14:paraId="6E02CFE7">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委托期限：自本授权委托书签署之日起至投标有效期届满之日止。代理人无转委托权。</w:t>
      </w:r>
    </w:p>
    <w:p w14:paraId="2AA3246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投标人名称(加盖公章)：________________</w:t>
      </w:r>
    </w:p>
    <w:p w14:paraId="1EAB69F4">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法定代表人(单位负责人)(签字或签章)：________________</w:t>
      </w:r>
    </w:p>
    <w:p w14:paraId="4EF6F0D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委托代理人(签字或签章)：________________</w:t>
      </w:r>
    </w:p>
    <w:p w14:paraId="1584F3F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 日</w:t>
      </w:r>
    </w:p>
    <w:p w14:paraId="1AF850DF">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附：法定代表人（单位负责人）有效期内的身份证明文件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4E089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73DE36F1">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41421630">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1591D8AC">
      <w:pPr>
        <w:pageBreakBefore w:val="0"/>
        <w:overflowPunct/>
        <w:topLinePunct w:val="0"/>
        <w:bidi w:val="0"/>
        <w:snapToGrid w:val="0"/>
        <w:spacing w:after="0" w:line="360" w:lineRule="auto"/>
        <w:ind w:firstLine="480"/>
        <w:rPr>
          <w:rFonts w:hint="eastAsia" w:ascii="宋体" w:hAnsi="宋体" w:eastAsia="宋体"/>
          <w:color w:val="auto"/>
          <w:sz w:val="24"/>
          <w:szCs w:val="24"/>
        </w:rPr>
      </w:pPr>
      <w:r>
        <w:rPr>
          <w:rFonts w:hint="eastAsia" w:ascii="宋体" w:hAnsi="宋体" w:eastAsia="宋体"/>
          <w:color w:val="auto"/>
          <w:sz w:val="24"/>
          <w:szCs w:val="24"/>
        </w:rPr>
        <w:t>委托代理人有效期内的身份证明文件</w:t>
      </w:r>
      <w:r>
        <w:rPr>
          <w:rFonts w:hint="eastAsia" w:ascii="宋体" w:hAnsi="宋体" w:eastAsia="宋体"/>
          <w:b/>
          <w:bCs/>
          <w:color w:val="auto"/>
          <w:sz w:val="24"/>
          <w:szCs w:val="24"/>
        </w:rPr>
        <w:t>正反面</w:t>
      </w:r>
      <w:r>
        <w:rPr>
          <w:rFonts w:hint="eastAsia" w:ascii="宋体" w:hAnsi="宋体" w:eastAsia="宋体"/>
          <w:color w:val="auto"/>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1CF7C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670A8811">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00D3DA96">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3B91F61E">
      <w:pPr>
        <w:pageBreakBefore w:val="0"/>
        <w:overflowPunct/>
        <w:topLinePunct w:val="0"/>
        <w:bidi w:val="0"/>
        <w:snapToGrid w:val="0"/>
        <w:spacing w:after="0" w:line="360" w:lineRule="auto"/>
        <w:ind w:firstLine="480"/>
        <w:rPr>
          <w:rFonts w:hint="eastAsia" w:ascii="宋体" w:hAnsi="宋体" w:eastAsia="宋体"/>
          <w:color w:val="auto"/>
          <w:sz w:val="24"/>
          <w:szCs w:val="24"/>
        </w:rPr>
      </w:pPr>
    </w:p>
    <w:p w14:paraId="326E4D3E">
      <w:pPr>
        <w:pageBreakBefore w:val="0"/>
        <w:overflowPunct/>
        <w:topLinePunct w:val="0"/>
        <w:bidi w:val="0"/>
        <w:snapToGrid w:val="0"/>
        <w:spacing w:after="0" w:line="360" w:lineRule="auto"/>
        <w:rPr>
          <w:rFonts w:hint="eastAsia" w:ascii="宋体" w:hAnsi="宋体" w:eastAsia="宋体"/>
          <w:color w:val="auto"/>
          <w:sz w:val="24"/>
          <w:szCs w:val="24"/>
        </w:rPr>
      </w:pPr>
      <w:r>
        <w:rPr>
          <w:rFonts w:hint="eastAsia" w:ascii="宋体" w:hAnsi="宋体" w:eastAsia="宋体"/>
          <w:color w:val="auto"/>
          <w:sz w:val="24"/>
          <w:szCs w:val="24"/>
        </w:rPr>
        <w:t>说明：</w:t>
      </w:r>
    </w:p>
    <w:p w14:paraId="017B38E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1.若供应商为事业单位或其他组织或分支机构，则法定代表人(单位负责人) 处的签署人可为单位负责人。</w:t>
      </w:r>
    </w:p>
    <w:p w14:paraId="364D9199">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2.若投标文件中签字之处均为法定代表人(单位负责人) 本人签署，则可不提供本《授权委托书》，但须提供《法定代表人(单位负责人)身份证明》（实质性格式）；</w:t>
      </w:r>
      <w:r>
        <w:rPr>
          <w:rFonts w:hint="eastAsia" w:ascii="宋体" w:hAnsi="宋体" w:eastAsia="宋体"/>
          <w:b/>
          <w:bCs/>
          <w:color w:val="auto"/>
          <w:sz w:val="24"/>
          <w:szCs w:val="24"/>
        </w:rPr>
        <w:t>否则，不需要提供 《法定代表人(单位负责人)身份证明》。</w:t>
      </w:r>
    </w:p>
    <w:p w14:paraId="55253432">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3.供应商为自然人的情形，可不提供本《授权委托书》。</w:t>
      </w:r>
    </w:p>
    <w:p w14:paraId="6B49831E">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4.供应商应随本《授权委托书》同时提供法定代表人(单位负责人)及委托代理人的有效的身份证、护照等身份证明文件电子件。提供身份证的，应同时提供身份证双面电子件。      </w:t>
      </w:r>
    </w:p>
    <w:p w14:paraId="293CFE7A">
      <w:pPr>
        <w:pageBreakBefore w:val="0"/>
        <w:overflowPunct/>
        <w:topLinePunct w:val="0"/>
        <w:bidi w:val="0"/>
        <w:snapToGrid w:val="0"/>
        <w:spacing w:before="164" w:after="0" w:line="219"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color w:val="auto"/>
        </w:rPr>
        <w:br w:type="page"/>
      </w:r>
      <w:r>
        <w:rPr>
          <w:rFonts w:ascii="宋体" w:hAnsi="宋体" w:eastAsia="宋体" w:cs="宋体"/>
          <w:color w:val="auto"/>
          <w:spacing w:val="-2"/>
          <w:sz w:val="36"/>
          <w:szCs w:val="36"/>
          <w14:textOutline w14:w="2311" w14:cap="flat" w14:cmpd="sng" w14:algn="ctr">
            <w14:solidFill>
              <w14:srgbClr w14:val="000000"/>
            </w14:solidFill>
            <w14:prstDash w14:val="solid"/>
            <w14:miter w14:val="0"/>
          </w14:textOutline>
        </w:rPr>
        <w:t>法定代表人(单位负责人) 身份证明</w:t>
      </w:r>
    </w:p>
    <w:p w14:paraId="5929E1F3">
      <w:pPr>
        <w:pStyle w:val="6"/>
        <w:pageBreakBefore w:val="0"/>
        <w:overflowPunct/>
        <w:topLinePunct w:val="0"/>
        <w:bidi w:val="0"/>
        <w:snapToGrid w:val="0"/>
        <w:spacing w:after="0"/>
      </w:pPr>
    </w:p>
    <w:p w14:paraId="06385981">
      <w:pPr>
        <w:pageBreakBefore w:val="0"/>
        <w:overflowPunct/>
        <w:topLinePunct w:val="0"/>
        <w:bidi w:val="0"/>
        <w:snapToGrid w:val="0"/>
        <w:spacing w:before="190" w:after="0" w:line="219" w:lineRule="auto"/>
        <w:ind w:left="122"/>
        <w:rPr>
          <w:rFonts w:hint="eastAsia" w:ascii="宋体" w:hAnsi="宋体" w:eastAsia="宋体" w:cs="宋体"/>
          <w:color w:val="auto"/>
          <w:sz w:val="24"/>
          <w:szCs w:val="24"/>
        </w:rPr>
      </w:pPr>
      <w:r>
        <w:rPr>
          <w:rFonts w:ascii="宋体" w:hAnsi="宋体" w:eastAsia="宋体" w:cs="宋体"/>
          <w:color w:val="auto"/>
          <w:spacing w:val="-18"/>
          <w:sz w:val="24"/>
          <w:szCs w:val="24"/>
        </w:rPr>
        <w:t>致</w:t>
      </w:r>
      <w:r>
        <w:rPr>
          <w:rFonts w:ascii="宋体" w:hAnsi="宋体" w:eastAsia="宋体" w:cs="宋体"/>
          <w:color w:val="auto"/>
          <w:spacing w:val="-9"/>
          <w:sz w:val="24"/>
          <w:szCs w:val="24"/>
          <w:u w:val="single"/>
        </w:rPr>
        <w:t xml:space="preserve"> </w:t>
      </w:r>
      <w:r>
        <w:rPr>
          <w:rFonts w:hint="eastAsia" w:ascii="宋体" w:hAnsi="宋体" w:eastAsia="宋体" w:cs="宋体"/>
          <w:color w:val="auto"/>
          <w:spacing w:val="-9"/>
          <w:sz w:val="24"/>
          <w:szCs w:val="24"/>
          <w:u w:val="single"/>
        </w:rPr>
        <w:t xml:space="preserve"> </w:t>
      </w:r>
      <w:r>
        <w:rPr>
          <w:rFonts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（采购人或采购代理机构）</w:t>
      </w:r>
      <w:r>
        <w:rPr>
          <w:rFonts w:ascii="宋体" w:hAnsi="宋体" w:eastAsia="宋体" w:cs="宋体"/>
          <w:color w:val="auto"/>
          <w:spacing w:val="-11"/>
          <w:sz w:val="24"/>
          <w:szCs w:val="24"/>
        </w:rPr>
        <w:t>：</w:t>
      </w:r>
    </w:p>
    <w:p w14:paraId="4745946A">
      <w:pPr>
        <w:pageBreakBefore w:val="0"/>
        <w:overflowPunct/>
        <w:topLinePunct w:val="0"/>
        <w:bidi w:val="0"/>
        <w:snapToGrid w:val="0"/>
        <w:spacing w:before="78" w:after="0" w:line="220" w:lineRule="auto"/>
        <w:ind w:left="606"/>
        <w:rPr>
          <w:rFonts w:hint="eastAsia" w:ascii="宋体" w:hAnsi="宋体" w:eastAsia="宋体" w:cs="宋体"/>
          <w:color w:val="auto"/>
          <w:sz w:val="24"/>
          <w:szCs w:val="24"/>
        </w:rPr>
      </w:pPr>
      <w:r>
        <w:rPr>
          <w:rFonts w:ascii="宋体" w:hAnsi="宋体" w:eastAsia="宋体" w:cs="宋体"/>
          <w:color w:val="auto"/>
          <w:spacing w:val="7"/>
          <w:sz w:val="24"/>
          <w:szCs w:val="24"/>
        </w:rPr>
        <w:t>兹证明</w:t>
      </w:r>
      <w:r>
        <w:rPr>
          <w:rFonts w:ascii="宋体" w:hAnsi="宋体" w:eastAsia="宋体" w:cs="宋体"/>
          <w:color w:val="auto"/>
          <w:spacing w:val="-12"/>
          <w:sz w:val="24"/>
          <w:szCs w:val="24"/>
        </w:rPr>
        <w:t>，</w:t>
      </w:r>
    </w:p>
    <w:p w14:paraId="3102E57D">
      <w:pPr>
        <w:pageBreakBefore w:val="0"/>
        <w:overflowPunct/>
        <w:topLinePunct w:val="0"/>
        <w:bidi w:val="0"/>
        <w:snapToGrid w:val="0"/>
        <w:spacing w:before="170" w:after="0" w:line="217" w:lineRule="auto"/>
        <w:ind w:left="122"/>
        <w:rPr>
          <w:color w:val="auto"/>
          <w:sz w:val="24"/>
          <w:szCs w:val="24"/>
        </w:rPr>
      </w:pPr>
      <w:r>
        <w:rPr>
          <w:rFonts w:ascii="宋体" w:hAnsi="宋体" w:eastAsia="宋体" w:cs="宋体"/>
          <w:color w:val="auto"/>
          <w:spacing w:val="7"/>
          <w:sz w:val="24"/>
          <w:szCs w:val="24"/>
        </w:rPr>
        <w:t>姓名</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性别</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年龄</w:t>
      </w:r>
      <w:r>
        <w:rPr>
          <w:rFonts w:ascii="宋体" w:hAnsi="宋体" w:eastAsia="宋体" w:cs="宋体"/>
          <w:color w:val="auto"/>
          <w:spacing w:val="-21"/>
          <w:sz w:val="24"/>
          <w:szCs w:val="24"/>
        </w:rPr>
        <w:t xml:space="preserve">： </w:t>
      </w:r>
      <w:r>
        <w:rPr>
          <w:rFonts w:eastAsia="Arial"/>
          <w:color w:val="auto"/>
          <w:spacing w:val="-21"/>
          <w:sz w:val="24"/>
          <w:szCs w:val="24"/>
        </w:rPr>
        <w:t>____</w:t>
      </w:r>
      <w:r>
        <w:rPr>
          <w:rFonts w:ascii="宋体" w:hAnsi="宋体" w:eastAsia="宋体" w:cs="宋体"/>
          <w:color w:val="auto"/>
          <w:spacing w:val="7"/>
          <w:sz w:val="24"/>
          <w:szCs w:val="24"/>
        </w:rPr>
        <w:t>职务</w:t>
      </w:r>
      <w:r>
        <w:rPr>
          <w:rFonts w:ascii="宋体" w:hAnsi="宋体" w:eastAsia="宋体" w:cs="宋体"/>
          <w:color w:val="auto"/>
          <w:spacing w:val="-21"/>
          <w:sz w:val="24"/>
          <w:szCs w:val="24"/>
        </w:rPr>
        <w:t xml:space="preserve">： </w:t>
      </w:r>
      <w:r>
        <w:rPr>
          <w:rFonts w:eastAsia="Arial"/>
          <w:color w:val="auto"/>
          <w:spacing w:val="-21"/>
          <w:sz w:val="24"/>
          <w:szCs w:val="24"/>
        </w:rPr>
        <w:t>____</w:t>
      </w:r>
    </w:p>
    <w:p w14:paraId="5663CD3C">
      <w:pPr>
        <w:pageBreakBefore w:val="0"/>
        <w:overflowPunct/>
        <w:topLinePunct w:val="0"/>
        <w:bidi w:val="0"/>
        <w:snapToGrid w:val="0"/>
        <w:spacing w:after="0" w:line="273" w:lineRule="auto"/>
        <w:rPr>
          <w:color w:val="auto"/>
        </w:rPr>
      </w:pPr>
    </w:p>
    <w:p w14:paraId="6DB950B7">
      <w:pPr>
        <w:pageBreakBefore w:val="0"/>
        <w:overflowPunct/>
        <w:topLinePunct w:val="0"/>
        <w:bidi w:val="0"/>
        <w:snapToGrid w:val="0"/>
        <w:spacing w:after="0" w:line="273" w:lineRule="auto"/>
        <w:rPr>
          <w:color w:val="auto"/>
        </w:rPr>
      </w:pPr>
    </w:p>
    <w:p w14:paraId="7EFDB9AF">
      <w:pPr>
        <w:pageBreakBefore w:val="0"/>
        <w:overflowPunct/>
        <w:topLinePunct w:val="0"/>
        <w:bidi w:val="0"/>
        <w:snapToGrid w:val="0"/>
        <w:spacing w:before="78" w:after="0" w:line="220" w:lineRule="auto"/>
        <w:ind w:left="127"/>
        <w:rPr>
          <w:rFonts w:hint="eastAsia" w:ascii="宋体" w:hAnsi="宋体" w:eastAsia="宋体" w:cs="宋体"/>
          <w:color w:val="auto"/>
          <w:sz w:val="24"/>
          <w:szCs w:val="24"/>
        </w:rPr>
      </w:pPr>
      <w:r>
        <w:rPr>
          <w:rFonts w:ascii="宋体" w:hAnsi="宋体" w:eastAsia="宋体" w:cs="宋体"/>
          <w:color w:val="auto"/>
          <w:spacing w:val="14"/>
          <w:sz w:val="24"/>
          <w:szCs w:val="24"/>
        </w:rPr>
        <w:t>系</w:t>
      </w:r>
      <w:r>
        <w:rPr>
          <w:rFonts w:ascii="宋体" w:hAnsi="宋体" w:eastAsia="宋体" w:cs="宋体"/>
          <w:color w:val="auto"/>
          <w:spacing w:val="14"/>
          <w:sz w:val="24"/>
          <w:szCs w:val="24"/>
          <w:u w:val="single"/>
        </w:rPr>
        <w:t xml:space="preserve">  </w:t>
      </w:r>
      <w:r>
        <w:rPr>
          <w:rFonts w:ascii="宋体" w:hAnsi="宋体" w:eastAsia="宋体" w:cs="宋体"/>
          <w:color w:val="auto"/>
          <w:spacing w:val="12"/>
          <w:sz w:val="24"/>
          <w:szCs w:val="24"/>
          <w:u w:val="single"/>
        </w:rPr>
        <w:t xml:space="preserve"> </w:t>
      </w:r>
      <w:r>
        <w:rPr>
          <w:rFonts w:ascii="宋体" w:hAnsi="宋体" w:eastAsia="宋体" w:cs="宋体"/>
          <w:color w:val="auto"/>
          <w:spacing w:val="7"/>
          <w:sz w:val="24"/>
          <w:szCs w:val="24"/>
          <w:u w:val="single"/>
        </w:rPr>
        <w:t xml:space="preserve">             </w:t>
      </w:r>
      <w:r>
        <w:rPr>
          <w:rFonts w:ascii="宋体" w:hAnsi="宋体" w:eastAsia="宋体" w:cs="宋体"/>
          <w:color w:val="auto"/>
          <w:spacing w:val="7"/>
          <w:sz w:val="24"/>
          <w:szCs w:val="24"/>
        </w:rPr>
        <w:t xml:space="preserve"> (投标人名称)的法定代表人(单位负责人)。</w:t>
      </w:r>
    </w:p>
    <w:p w14:paraId="6628DA06">
      <w:pPr>
        <w:pageBreakBefore w:val="0"/>
        <w:overflowPunct/>
        <w:topLinePunct w:val="0"/>
        <w:bidi w:val="0"/>
        <w:snapToGrid w:val="0"/>
        <w:spacing w:after="0" w:line="258" w:lineRule="auto"/>
        <w:rPr>
          <w:color w:val="auto"/>
        </w:rPr>
      </w:pPr>
    </w:p>
    <w:p w14:paraId="1212E784">
      <w:pPr>
        <w:pageBreakBefore w:val="0"/>
        <w:overflowPunct/>
        <w:topLinePunct w:val="0"/>
        <w:bidi w:val="0"/>
        <w:snapToGrid w:val="0"/>
        <w:spacing w:after="0" w:line="258" w:lineRule="auto"/>
        <w:rPr>
          <w:color w:val="auto"/>
        </w:rPr>
      </w:pPr>
    </w:p>
    <w:p w14:paraId="41386220">
      <w:pPr>
        <w:pageBreakBefore w:val="0"/>
        <w:overflowPunct/>
        <w:topLinePunct w:val="0"/>
        <w:bidi w:val="0"/>
        <w:snapToGrid w:val="0"/>
        <w:spacing w:before="78" w:after="0" w:line="219" w:lineRule="auto"/>
        <w:ind w:left="141"/>
        <w:rPr>
          <w:rFonts w:hint="eastAsia" w:ascii="宋体" w:hAnsi="宋体" w:eastAsia="宋体" w:cs="宋体"/>
          <w:color w:val="auto"/>
          <w:sz w:val="24"/>
          <w:szCs w:val="24"/>
        </w:rPr>
      </w:pPr>
      <w:r>
        <w:rPr>
          <w:rFonts w:ascii="宋体" w:hAnsi="宋体" w:eastAsia="宋体" w:cs="宋体"/>
          <w:color w:val="auto"/>
          <w:spacing w:val="7"/>
          <w:sz w:val="24"/>
          <w:szCs w:val="24"/>
        </w:rPr>
        <w:t>附</w:t>
      </w:r>
      <w:r>
        <w:rPr>
          <w:rFonts w:ascii="宋体" w:hAnsi="宋体" w:eastAsia="宋体" w:cs="宋体"/>
          <w:color w:val="auto"/>
          <w:spacing w:val="5"/>
          <w:sz w:val="24"/>
          <w:szCs w:val="24"/>
        </w:rPr>
        <w:t>：法定代表人(单位负责人)</w:t>
      </w:r>
      <w:r>
        <w:rPr>
          <w:rFonts w:hint="eastAsia" w:ascii="宋体" w:hAnsi="宋体" w:eastAsia="宋体" w:cs="宋体"/>
          <w:color w:val="auto"/>
          <w:spacing w:val="5"/>
          <w:sz w:val="24"/>
          <w:szCs w:val="24"/>
        </w:rPr>
        <w:t>有效期内的</w:t>
      </w:r>
      <w:r>
        <w:rPr>
          <w:rFonts w:ascii="宋体" w:hAnsi="宋体" w:eastAsia="宋体" w:cs="宋体"/>
          <w:color w:val="auto"/>
          <w:spacing w:val="5"/>
          <w:sz w:val="24"/>
          <w:szCs w:val="24"/>
        </w:rPr>
        <w:t>身份证、护照等身份证明文件</w:t>
      </w:r>
      <w:r>
        <w:rPr>
          <w:rFonts w:hint="eastAsia" w:ascii="宋体" w:hAnsi="宋体" w:eastAsia="宋体" w:cs="宋体"/>
          <w:color w:val="auto"/>
          <w:spacing w:val="5"/>
          <w:sz w:val="24"/>
          <w:szCs w:val="24"/>
        </w:rPr>
        <w:t>正反面</w:t>
      </w:r>
      <w:r>
        <w:rPr>
          <w:rFonts w:ascii="宋体" w:hAnsi="宋体" w:eastAsia="宋体" w:cs="宋体"/>
          <w:color w:val="auto"/>
          <w:spacing w:val="5"/>
          <w:sz w:val="24"/>
          <w:szCs w:val="24"/>
        </w:rPr>
        <w:t>电子件：</w:t>
      </w:r>
    </w:p>
    <w:tbl>
      <w:tblPr>
        <w:tblStyle w:val="17"/>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0"/>
        <w:gridCol w:w="4270"/>
      </w:tblGrid>
      <w:tr w14:paraId="2ADD3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4270" w:type="dxa"/>
          </w:tcPr>
          <w:p w14:paraId="6C032ACE">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c>
          <w:tcPr>
            <w:tcW w:w="4270" w:type="dxa"/>
          </w:tcPr>
          <w:p w14:paraId="1133C349">
            <w:pPr>
              <w:pageBreakBefore w:val="0"/>
              <w:widowControl w:val="0"/>
              <w:overflowPunct/>
              <w:topLinePunct w:val="0"/>
              <w:bidi w:val="0"/>
              <w:snapToGrid w:val="0"/>
              <w:spacing w:before="144" w:after="0" w:line="2162" w:lineRule="exact"/>
              <w:jc w:val="both"/>
              <w:textAlignment w:val="center"/>
              <w:rPr>
                <w:rFonts w:hint="eastAsia" w:ascii="宋体" w:hAnsi="宋体" w:eastAsia="宋体" w:cs="宋体"/>
                <w:color w:val="auto"/>
              </w:rPr>
            </w:pPr>
          </w:p>
        </w:tc>
      </w:tr>
    </w:tbl>
    <w:p w14:paraId="140100D9">
      <w:pPr>
        <w:pageBreakBefore w:val="0"/>
        <w:overflowPunct/>
        <w:topLinePunct w:val="0"/>
        <w:bidi w:val="0"/>
        <w:snapToGrid w:val="0"/>
        <w:spacing w:after="0" w:line="431" w:lineRule="auto"/>
        <w:rPr>
          <w:color w:val="auto"/>
        </w:rPr>
      </w:pPr>
    </w:p>
    <w:p w14:paraId="3080A530">
      <w:pPr>
        <w:pageBreakBefore w:val="0"/>
        <w:overflowPunct/>
        <w:topLinePunct w:val="0"/>
        <w:bidi w:val="0"/>
        <w:snapToGrid w:val="0"/>
        <w:spacing w:after="0" w:line="251" w:lineRule="auto"/>
        <w:rPr>
          <w:color w:val="auto"/>
        </w:rPr>
      </w:pPr>
    </w:p>
    <w:p w14:paraId="4757C0FC">
      <w:pPr>
        <w:pageBreakBefore w:val="0"/>
        <w:overflowPunct/>
        <w:topLinePunct w:val="0"/>
        <w:bidi w:val="0"/>
        <w:snapToGrid w:val="0"/>
        <w:spacing w:before="78" w:after="0" w:line="360" w:lineRule="auto"/>
        <w:ind w:left="125"/>
        <w:rPr>
          <w:color w:val="auto"/>
          <w:sz w:val="24"/>
          <w:szCs w:val="24"/>
        </w:rPr>
      </w:pPr>
      <w:r>
        <w:rPr>
          <w:rFonts w:ascii="宋体" w:hAnsi="宋体" w:eastAsia="宋体" w:cs="宋体"/>
          <w:color w:val="auto"/>
          <w:spacing w:val="-6"/>
          <w:sz w:val="24"/>
          <w:szCs w:val="24"/>
        </w:rPr>
        <w:t>投标人</w:t>
      </w:r>
      <w:r>
        <w:rPr>
          <w:rFonts w:ascii="宋体" w:hAnsi="宋体" w:eastAsia="宋体" w:cs="宋体"/>
          <w:color w:val="auto"/>
          <w:spacing w:val="-5"/>
          <w:sz w:val="24"/>
          <w:szCs w:val="24"/>
        </w:rPr>
        <w:t>名</w:t>
      </w:r>
      <w:r>
        <w:rPr>
          <w:rFonts w:ascii="宋体" w:hAnsi="宋体" w:eastAsia="宋体" w:cs="宋体"/>
          <w:color w:val="auto"/>
          <w:spacing w:val="-3"/>
          <w:sz w:val="24"/>
          <w:szCs w:val="24"/>
        </w:rPr>
        <w:t>称(加盖公章)：</w:t>
      </w:r>
      <w:r>
        <w:rPr>
          <w:rFonts w:eastAsia="Arial"/>
          <w:color w:val="auto"/>
          <w:spacing w:val="-3"/>
          <w:sz w:val="24"/>
          <w:szCs w:val="24"/>
        </w:rPr>
        <w:t>________________</w:t>
      </w:r>
    </w:p>
    <w:p w14:paraId="77F4F989">
      <w:pPr>
        <w:pageBreakBefore w:val="0"/>
        <w:overflowPunct/>
        <w:topLinePunct w:val="0"/>
        <w:bidi w:val="0"/>
        <w:snapToGrid w:val="0"/>
        <w:spacing w:before="303" w:after="0" w:line="360" w:lineRule="auto"/>
        <w:ind w:left="123"/>
        <w:rPr>
          <w:color w:val="auto"/>
          <w:sz w:val="24"/>
          <w:szCs w:val="24"/>
        </w:rPr>
      </w:pPr>
      <w:r>
        <w:rPr>
          <w:rFonts w:ascii="宋体" w:hAnsi="宋体" w:eastAsia="宋体" w:cs="宋体"/>
          <w:color w:val="auto"/>
          <w:spacing w:val="2"/>
          <w:sz w:val="24"/>
          <w:szCs w:val="24"/>
        </w:rPr>
        <w:t>法定代表人(单位负责人)(签字或签章</w:t>
      </w:r>
      <w:r>
        <w:rPr>
          <w:rFonts w:hint="eastAsia" w:ascii="宋体" w:hAnsi="宋体" w:eastAsia="宋体" w:cs="宋体"/>
          <w:color w:val="auto"/>
          <w:spacing w:val="2"/>
          <w:sz w:val="24"/>
          <w:szCs w:val="24"/>
        </w:rPr>
        <w:t>或印鉴</w:t>
      </w:r>
      <w:r>
        <w:rPr>
          <w:rFonts w:ascii="宋体" w:hAnsi="宋体" w:eastAsia="宋体" w:cs="宋体"/>
          <w:color w:val="auto"/>
          <w:spacing w:val="2"/>
          <w:sz w:val="24"/>
          <w:szCs w:val="24"/>
        </w:rPr>
        <w:t>)：</w:t>
      </w:r>
      <w:r>
        <w:rPr>
          <w:rFonts w:eastAsia="Arial"/>
          <w:color w:val="auto"/>
          <w:spacing w:val="2"/>
          <w:sz w:val="24"/>
          <w:szCs w:val="24"/>
        </w:rPr>
        <w:t>_____</w:t>
      </w:r>
      <w:r>
        <w:rPr>
          <w:rFonts w:eastAsia="Arial"/>
          <w:color w:val="auto"/>
          <w:sz w:val="24"/>
          <w:szCs w:val="24"/>
        </w:rPr>
        <w:t>__</w:t>
      </w:r>
    </w:p>
    <w:p w14:paraId="684A5B26">
      <w:pPr>
        <w:pageBreakBefore w:val="0"/>
        <w:overflowPunct/>
        <w:topLinePunct w:val="0"/>
        <w:bidi w:val="0"/>
        <w:snapToGrid w:val="0"/>
        <w:spacing w:before="79" w:after="0" w:line="360" w:lineRule="auto"/>
        <w:ind w:left="164"/>
        <w:rPr>
          <w:rFonts w:hint="eastAsia" w:ascii="宋体" w:hAnsi="宋体" w:eastAsia="宋体" w:cs="宋体"/>
          <w:color w:val="auto"/>
          <w:spacing w:val="-16"/>
          <w:sz w:val="24"/>
          <w:szCs w:val="24"/>
        </w:rPr>
      </w:pPr>
      <w:r>
        <w:rPr>
          <w:rFonts w:ascii="宋体" w:hAnsi="宋体" w:eastAsia="宋体" w:cs="宋体"/>
          <w:color w:val="auto"/>
          <w:spacing w:val="7"/>
          <w:sz w:val="24"/>
          <w:szCs w:val="24"/>
        </w:rPr>
        <w:t>日期</w:t>
      </w:r>
      <w:r>
        <w:rPr>
          <w:rFonts w:ascii="宋体" w:hAnsi="宋体" w:eastAsia="宋体" w:cs="宋体"/>
          <w:color w:val="auto"/>
          <w:spacing w:val="-16"/>
          <w:sz w:val="24"/>
          <w:szCs w:val="24"/>
        </w:rPr>
        <w:t xml:space="preserve">： </w:t>
      </w:r>
      <w:r>
        <w:rPr>
          <w:rFonts w:eastAsia="Arial"/>
          <w:color w:val="auto"/>
          <w:spacing w:val="-16"/>
          <w:sz w:val="24"/>
          <w:szCs w:val="24"/>
        </w:rPr>
        <w:t>_____</w:t>
      </w:r>
      <w:r>
        <w:rPr>
          <w:rFonts w:ascii="宋体" w:hAnsi="宋体" w:eastAsia="宋体" w:cs="宋体"/>
          <w:color w:val="auto"/>
          <w:spacing w:val="-16"/>
          <w:sz w:val="24"/>
          <w:szCs w:val="24"/>
        </w:rPr>
        <w:t>年</w:t>
      </w:r>
      <w:r>
        <w:rPr>
          <w:rFonts w:eastAsia="Arial"/>
          <w:color w:val="auto"/>
          <w:spacing w:val="-16"/>
          <w:sz w:val="24"/>
          <w:szCs w:val="24"/>
        </w:rPr>
        <w:t>______</w:t>
      </w:r>
      <w:r>
        <w:rPr>
          <w:rFonts w:ascii="宋体" w:hAnsi="宋体" w:eastAsia="宋体" w:cs="宋体"/>
          <w:color w:val="auto"/>
          <w:spacing w:val="-16"/>
          <w:sz w:val="24"/>
          <w:szCs w:val="24"/>
        </w:rPr>
        <w:t>月</w:t>
      </w:r>
      <w:r>
        <w:rPr>
          <w:rFonts w:eastAsia="Arial"/>
          <w:color w:val="auto"/>
          <w:spacing w:val="-16"/>
          <w:sz w:val="24"/>
          <w:szCs w:val="24"/>
        </w:rPr>
        <w:t xml:space="preserve">______ </w:t>
      </w:r>
      <w:r>
        <w:rPr>
          <w:rFonts w:ascii="宋体" w:hAnsi="宋体" w:eastAsia="宋体" w:cs="宋体"/>
          <w:color w:val="auto"/>
          <w:spacing w:val="-16"/>
          <w:sz w:val="24"/>
          <w:szCs w:val="24"/>
        </w:rPr>
        <w:t>日</w:t>
      </w:r>
    </w:p>
    <w:p w14:paraId="66AC3BB8">
      <w:pPr>
        <w:pStyle w:val="6"/>
        <w:pageBreakBefore w:val="0"/>
        <w:overflowPunct/>
        <w:topLinePunct w:val="0"/>
        <w:bidi w:val="0"/>
        <w:snapToGrid w:val="0"/>
        <w:spacing w:after="0"/>
      </w:pPr>
      <w:r>
        <w:br w:type="page"/>
      </w:r>
    </w:p>
    <w:p w14:paraId="7B0574F5">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0" w:name="_Toc148096382"/>
      <w:r>
        <w:rPr>
          <w:rFonts w:hint="eastAsia" w:ascii="宋体" w:hAnsi="宋体" w:eastAsia="宋体" w:cs="宋体"/>
          <w:color w:val="auto"/>
          <w:spacing w:val="-1"/>
          <w:sz w:val="24"/>
          <w:szCs w:val="24"/>
        </w:rPr>
        <w:t>3 开标一览表(实质性格式)</w:t>
      </w:r>
      <w:bookmarkEnd w:id="60"/>
    </w:p>
    <w:p w14:paraId="1D204A7C">
      <w:pPr>
        <w:pageBreakBefore w:val="0"/>
        <w:overflowPunct/>
        <w:topLinePunct w:val="0"/>
        <w:bidi w:val="0"/>
        <w:snapToGrid w:val="0"/>
        <w:spacing w:before="124" w:after="0" w:line="221" w:lineRule="auto"/>
        <w:ind w:left="3647"/>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开标一览表</w:t>
      </w:r>
    </w:p>
    <w:p w14:paraId="4BC2BE2C">
      <w:pPr>
        <w:pageBreakBefore w:val="0"/>
        <w:overflowPunct/>
        <w:topLinePunct w:val="0"/>
        <w:bidi w:val="0"/>
        <w:snapToGrid w:val="0"/>
        <w:spacing w:after="0"/>
        <w:rPr>
          <w:rFonts w:hint="eastAsia" w:ascii="宋体" w:hAnsi="宋体" w:eastAsia="宋体" w:cs="宋体"/>
          <w:color w:val="auto"/>
        </w:rPr>
      </w:pPr>
    </w:p>
    <w:p w14:paraId="0B67F280">
      <w:pPr>
        <w:pageBreakBefore w:val="0"/>
        <w:overflowPunct/>
        <w:topLinePunct w:val="0"/>
        <w:bidi w:val="0"/>
        <w:snapToGrid w:val="0"/>
        <w:spacing w:after="0"/>
        <w:ind w:firstLine="480" w:firstLineChars="200"/>
        <w:rPr>
          <w:rFonts w:hint="eastAsia" w:ascii="宋体" w:hAnsi="宋体" w:eastAsia="宋体"/>
          <w:color w:val="auto"/>
          <w:sz w:val="24"/>
          <w:szCs w:val="24"/>
        </w:rPr>
      </w:pPr>
      <w:r>
        <w:rPr>
          <w:rFonts w:hint="eastAsia" w:ascii="宋体" w:hAnsi="宋体" w:eastAsia="宋体"/>
          <w:color w:val="auto"/>
          <w:sz w:val="24"/>
          <w:szCs w:val="24"/>
        </w:rPr>
        <w:t>项目编号： _____________________         项目名称： ____________</w:t>
      </w:r>
    </w:p>
    <w:p w14:paraId="7985785B">
      <w:pPr>
        <w:pageBreakBefore w:val="0"/>
        <w:overflowPunct/>
        <w:topLinePunct w:val="0"/>
        <w:bidi w:val="0"/>
        <w:snapToGrid w:val="0"/>
        <w:spacing w:after="0" w:line="147" w:lineRule="exact"/>
        <w:rPr>
          <w:rFonts w:hint="eastAsia" w:ascii="宋体" w:hAnsi="宋体" w:eastAsia="宋体" w:cs="宋体"/>
          <w:color w:val="auto"/>
        </w:rPr>
      </w:pPr>
    </w:p>
    <w:tbl>
      <w:tblPr>
        <w:tblStyle w:val="27"/>
        <w:tblW w:w="890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8"/>
        <w:gridCol w:w="3239"/>
        <w:gridCol w:w="1736"/>
        <w:gridCol w:w="1738"/>
        <w:gridCol w:w="1579"/>
      </w:tblGrid>
      <w:tr w14:paraId="4A4CC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5" w:hRule="atLeast"/>
          <w:jc w:val="center"/>
        </w:trPr>
        <w:tc>
          <w:tcPr>
            <w:tcW w:w="608" w:type="dxa"/>
            <w:vMerge w:val="restart"/>
            <w:tcBorders>
              <w:bottom w:val="nil"/>
            </w:tcBorders>
          </w:tcPr>
          <w:p w14:paraId="0D530FFB">
            <w:pPr>
              <w:pageBreakBefore w:val="0"/>
              <w:overflowPunct/>
              <w:topLinePunct w:val="0"/>
              <w:bidi w:val="0"/>
              <w:snapToGrid w:val="0"/>
              <w:spacing w:after="0" w:line="409" w:lineRule="auto"/>
              <w:rPr>
                <w:rFonts w:eastAsia="宋体"/>
              </w:rPr>
            </w:pPr>
          </w:p>
          <w:p w14:paraId="16852D3E">
            <w:pPr>
              <w:pStyle w:val="31"/>
              <w:pageBreakBefore w:val="0"/>
              <w:overflowPunct/>
              <w:topLinePunct w:val="0"/>
              <w:bidi w:val="0"/>
              <w:snapToGrid w:val="0"/>
              <w:spacing w:before="78" w:after="0" w:line="221" w:lineRule="auto"/>
              <w:ind w:left="82"/>
              <w:rPr>
                <w:rFonts w:hint="eastAsia"/>
              </w:rPr>
            </w:pPr>
            <w:r>
              <w:rPr>
                <w:b/>
                <w:bCs/>
                <w:spacing w:val="-5"/>
              </w:rPr>
              <w:t>序号</w:t>
            </w:r>
          </w:p>
        </w:tc>
        <w:tc>
          <w:tcPr>
            <w:tcW w:w="3239" w:type="dxa"/>
            <w:vMerge w:val="restart"/>
            <w:tcBorders>
              <w:bottom w:val="nil"/>
            </w:tcBorders>
          </w:tcPr>
          <w:p w14:paraId="10EA70CB">
            <w:pPr>
              <w:pageBreakBefore w:val="0"/>
              <w:overflowPunct/>
              <w:topLinePunct w:val="0"/>
              <w:bidi w:val="0"/>
              <w:snapToGrid w:val="0"/>
              <w:spacing w:after="0" w:line="409" w:lineRule="auto"/>
              <w:rPr>
                <w:rFonts w:eastAsia="宋体"/>
              </w:rPr>
            </w:pPr>
          </w:p>
          <w:p w14:paraId="48EF83D3">
            <w:pPr>
              <w:pStyle w:val="31"/>
              <w:pageBreakBefore w:val="0"/>
              <w:overflowPunct/>
              <w:topLinePunct w:val="0"/>
              <w:bidi w:val="0"/>
              <w:snapToGrid w:val="0"/>
              <w:spacing w:before="78" w:after="0" w:line="220" w:lineRule="auto"/>
              <w:ind w:left="1102"/>
              <w:rPr>
                <w:rFonts w:hint="eastAsia"/>
              </w:rPr>
            </w:pPr>
            <w:r>
              <w:rPr>
                <w:b/>
                <w:bCs/>
                <w:spacing w:val="-5"/>
              </w:rPr>
              <w:t>投标人名称</w:t>
            </w:r>
          </w:p>
        </w:tc>
        <w:tc>
          <w:tcPr>
            <w:tcW w:w="3474" w:type="dxa"/>
            <w:gridSpan w:val="2"/>
          </w:tcPr>
          <w:p w14:paraId="6E1D4D42">
            <w:pPr>
              <w:pStyle w:val="31"/>
              <w:pageBreakBefore w:val="0"/>
              <w:overflowPunct/>
              <w:topLinePunct w:val="0"/>
              <w:bidi w:val="0"/>
              <w:snapToGrid w:val="0"/>
              <w:spacing w:before="148" w:after="0" w:line="218" w:lineRule="auto"/>
              <w:ind w:left="1346"/>
              <w:rPr>
                <w:rFonts w:hint="eastAsia"/>
              </w:rPr>
            </w:pPr>
            <w:r>
              <w:rPr>
                <w:b/>
                <w:bCs/>
                <w:spacing w:val="-5"/>
              </w:rPr>
              <w:t>投标报价</w:t>
            </w:r>
          </w:p>
        </w:tc>
        <w:tc>
          <w:tcPr>
            <w:tcW w:w="1579" w:type="dxa"/>
            <w:vMerge w:val="restart"/>
          </w:tcPr>
          <w:p w14:paraId="339A7049">
            <w:pPr>
              <w:pStyle w:val="31"/>
              <w:pageBreakBefore w:val="0"/>
              <w:overflowPunct/>
              <w:topLinePunct w:val="0"/>
              <w:bidi w:val="0"/>
              <w:snapToGrid w:val="0"/>
              <w:spacing w:before="148" w:after="0" w:line="218" w:lineRule="auto"/>
              <w:ind w:firstLine="442" w:firstLineChars="200"/>
              <w:rPr>
                <w:b/>
                <w:bCs/>
                <w:spacing w:val="-5"/>
              </w:rPr>
            </w:pPr>
            <w:r>
              <w:rPr>
                <w:rFonts w:hint="eastAsia"/>
                <w:b/>
                <w:bCs/>
                <w:spacing w:val="-5"/>
                <w:lang w:eastAsia="zh-CN"/>
              </w:rPr>
              <w:t>备注</w:t>
            </w:r>
          </w:p>
        </w:tc>
      </w:tr>
      <w:tr w14:paraId="065A2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jc w:val="center"/>
        </w:trPr>
        <w:tc>
          <w:tcPr>
            <w:tcW w:w="608" w:type="dxa"/>
            <w:vMerge w:val="continue"/>
            <w:tcBorders>
              <w:top w:val="nil"/>
            </w:tcBorders>
          </w:tcPr>
          <w:p w14:paraId="43E86F5C">
            <w:pPr>
              <w:pageBreakBefore w:val="0"/>
              <w:overflowPunct/>
              <w:topLinePunct w:val="0"/>
              <w:bidi w:val="0"/>
              <w:snapToGrid w:val="0"/>
              <w:spacing w:after="0"/>
              <w:rPr>
                <w:rFonts w:eastAsia="宋体"/>
              </w:rPr>
            </w:pPr>
          </w:p>
        </w:tc>
        <w:tc>
          <w:tcPr>
            <w:tcW w:w="3239" w:type="dxa"/>
            <w:vMerge w:val="continue"/>
            <w:tcBorders>
              <w:top w:val="nil"/>
            </w:tcBorders>
          </w:tcPr>
          <w:p w14:paraId="03A48CF3">
            <w:pPr>
              <w:pageBreakBefore w:val="0"/>
              <w:overflowPunct/>
              <w:topLinePunct w:val="0"/>
              <w:bidi w:val="0"/>
              <w:snapToGrid w:val="0"/>
              <w:spacing w:after="0"/>
              <w:rPr>
                <w:rFonts w:eastAsia="宋体"/>
              </w:rPr>
            </w:pPr>
          </w:p>
        </w:tc>
        <w:tc>
          <w:tcPr>
            <w:tcW w:w="1736" w:type="dxa"/>
          </w:tcPr>
          <w:p w14:paraId="7059C3AF">
            <w:pPr>
              <w:pStyle w:val="31"/>
              <w:pageBreakBefore w:val="0"/>
              <w:overflowPunct/>
              <w:topLinePunct w:val="0"/>
              <w:bidi w:val="0"/>
              <w:snapToGrid w:val="0"/>
              <w:spacing w:before="217" w:after="0" w:line="220" w:lineRule="auto"/>
              <w:ind w:left="679"/>
              <w:rPr>
                <w:rFonts w:hint="eastAsia"/>
              </w:rPr>
            </w:pPr>
            <w:r>
              <w:rPr>
                <w:b/>
                <w:bCs/>
                <w:spacing w:val="-5"/>
              </w:rPr>
              <w:t>大写</w:t>
            </w:r>
          </w:p>
        </w:tc>
        <w:tc>
          <w:tcPr>
            <w:tcW w:w="1738" w:type="dxa"/>
          </w:tcPr>
          <w:p w14:paraId="3CB49BBB">
            <w:pPr>
              <w:pStyle w:val="31"/>
              <w:pageBreakBefore w:val="0"/>
              <w:overflowPunct/>
              <w:topLinePunct w:val="0"/>
              <w:bidi w:val="0"/>
              <w:snapToGrid w:val="0"/>
              <w:spacing w:before="216" w:after="0" w:line="222" w:lineRule="auto"/>
              <w:ind w:left="682"/>
              <w:rPr>
                <w:rFonts w:hint="eastAsia"/>
              </w:rPr>
            </w:pPr>
            <w:r>
              <w:rPr>
                <w:b/>
                <w:bCs/>
                <w:spacing w:val="-6"/>
              </w:rPr>
              <w:t>小写</w:t>
            </w:r>
          </w:p>
        </w:tc>
        <w:tc>
          <w:tcPr>
            <w:tcW w:w="1579" w:type="dxa"/>
            <w:vMerge w:val="continue"/>
          </w:tcPr>
          <w:p w14:paraId="62326968">
            <w:pPr>
              <w:pStyle w:val="31"/>
              <w:pageBreakBefore w:val="0"/>
              <w:overflowPunct/>
              <w:topLinePunct w:val="0"/>
              <w:bidi w:val="0"/>
              <w:snapToGrid w:val="0"/>
              <w:spacing w:before="216" w:after="0" w:line="222" w:lineRule="auto"/>
              <w:ind w:left="682"/>
              <w:rPr>
                <w:b/>
                <w:bCs/>
                <w:spacing w:val="-6"/>
              </w:rPr>
            </w:pPr>
          </w:p>
        </w:tc>
      </w:tr>
      <w:tr w14:paraId="2A088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11" w:hRule="atLeast"/>
          <w:jc w:val="center"/>
        </w:trPr>
        <w:tc>
          <w:tcPr>
            <w:tcW w:w="608" w:type="dxa"/>
          </w:tcPr>
          <w:p w14:paraId="72BBD03F">
            <w:pPr>
              <w:pageBreakBefore w:val="0"/>
              <w:overflowPunct/>
              <w:topLinePunct w:val="0"/>
              <w:bidi w:val="0"/>
              <w:snapToGrid w:val="0"/>
              <w:spacing w:after="0"/>
              <w:rPr>
                <w:rFonts w:eastAsia="宋体"/>
              </w:rPr>
            </w:pPr>
          </w:p>
        </w:tc>
        <w:tc>
          <w:tcPr>
            <w:tcW w:w="3239" w:type="dxa"/>
          </w:tcPr>
          <w:p w14:paraId="73865890">
            <w:pPr>
              <w:pageBreakBefore w:val="0"/>
              <w:overflowPunct/>
              <w:topLinePunct w:val="0"/>
              <w:bidi w:val="0"/>
              <w:snapToGrid w:val="0"/>
              <w:spacing w:after="0"/>
              <w:rPr>
                <w:rFonts w:eastAsia="宋体"/>
              </w:rPr>
            </w:pPr>
          </w:p>
        </w:tc>
        <w:tc>
          <w:tcPr>
            <w:tcW w:w="1736" w:type="dxa"/>
          </w:tcPr>
          <w:p w14:paraId="0173A811">
            <w:pPr>
              <w:pageBreakBefore w:val="0"/>
              <w:overflowPunct/>
              <w:topLinePunct w:val="0"/>
              <w:bidi w:val="0"/>
              <w:snapToGrid w:val="0"/>
              <w:spacing w:after="0"/>
              <w:rPr>
                <w:rFonts w:eastAsia="宋体"/>
              </w:rPr>
            </w:pPr>
          </w:p>
        </w:tc>
        <w:tc>
          <w:tcPr>
            <w:tcW w:w="1738" w:type="dxa"/>
          </w:tcPr>
          <w:p w14:paraId="57D022E9">
            <w:pPr>
              <w:pageBreakBefore w:val="0"/>
              <w:overflowPunct/>
              <w:topLinePunct w:val="0"/>
              <w:bidi w:val="0"/>
              <w:snapToGrid w:val="0"/>
              <w:spacing w:after="0"/>
              <w:rPr>
                <w:rFonts w:eastAsia="宋体"/>
              </w:rPr>
            </w:pPr>
          </w:p>
        </w:tc>
        <w:tc>
          <w:tcPr>
            <w:tcW w:w="1579" w:type="dxa"/>
          </w:tcPr>
          <w:p w14:paraId="76E9CEC8">
            <w:pPr>
              <w:pageBreakBefore w:val="0"/>
              <w:overflowPunct/>
              <w:topLinePunct w:val="0"/>
              <w:bidi w:val="0"/>
              <w:snapToGrid w:val="0"/>
              <w:spacing w:after="0"/>
              <w:rPr>
                <w:rFonts w:eastAsia="宋体"/>
              </w:rPr>
            </w:pPr>
          </w:p>
        </w:tc>
      </w:tr>
    </w:tbl>
    <w:p w14:paraId="38FC05CF">
      <w:pPr>
        <w:pageBreakBefore w:val="0"/>
        <w:overflowPunct/>
        <w:topLinePunct w:val="0"/>
        <w:bidi w:val="0"/>
        <w:snapToGrid w:val="0"/>
        <w:spacing w:after="0" w:line="360" w:lineRule="auto"/>
        <w:rPr>
          <w:rFonts w:hint="eastAsia" w:ascii="宋体" w:hAnsi="宋体" w:eastAsia="宋体"/>
          <w:color w:val="auto"/>
          <w:sz w:val="24"/>
          <w:szCs w:val="24"/>
        </w:rPr>
      </w:pPr>
    </w:p>
    <w:p w14:paraId="6D4F9638">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53C725B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1.此表中，每包的投标报价应和《投标分项报价表》中的总价相一致。</w:t>
      </w:r>
    </w:p>
    <w:p w14:paraId="614B8D63">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2.本表必须按包分别填写。</w:t>
      </w:r>
    </w:p>
    <w:p w14:paraId="37FB750B">
      <w:pPr>
        <w:pageBreakBefore w:val="0"/>
        <w:overflowPunct/>
        <w:topLinePunct w:val="0"/>
        <w:bidi w:val="0"/>
        <w:snapToGrid w:val="0"/>
        <w:spacing w:before="78" w:after="0" w:line="360" w:lineRule="auto"/>
        <w:ind w:right="960"/>
        <w:rPr>
          <w:rFonts w:hint="eastAsia" w:ascii="宋体" w:hAnsi="宋体" w:eastAsia="宋体"/>
          <w:color w:val="auto"/>
          <w:sz w:val="24"/>
          <w:szCs w:val="24"/>
          <w:u w:val="single"/>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33D15A3">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3D084315">
      <w:pPr>
        <w:pageBreakBefore w:val="0"/>
        <w:overflowPunct/>
        <w:topLinePunct w:val="0"/>
        <w:bidi w:val="0"/>
        <w:snapToGrid w:val="0"/>
        <w:spacing w:before="79" w:after="0" w:line="360" w:lineRule="auto"/>
        <w:ind w:left="164"/>
        <w:rPr>
          <w:rFonts w:hint="eastAsia" w:ascii="宋体" w:hAnsi="宋体" w:eastAsia="宋体" w:cs="宋体"/>
          <w:color w:val="auto"/>
          <w:sz w:val="24"/>
          <w:szCs w:val="24"/>
        </w:rPr>
      </w:pPr>
    </w:p>
    <w:p w14:paraId="15FA99A8">
      <w:pPr>
        <w:pStyle w:val="6"/>
        <w:pageBreakBefore w:val="0"/>
        <w:overflowPunct/>
        <w:topLinePunct w:val="0"/>
        <w:bidi w:val="0"/>
        <w:snapToGrid w:val="0"/>
        <w:spacing w:after="0"/>
      </w:pPr>
    </w:p>
    <w:p w14:paraId="389637D0">
      <w:pPr>
        <w:pStyle w:val="6"/>
        <w:pageBreakBefore w:val="0"/>
        <w:overflowPunct/>
        <w:topLinePunct w:val="0"/>
        <w:bidi w:val="0"/>
        <w:snapToGrid w:val="0"/>
        <w:spacing w:after="0"/>
      </w:pPr>
      <w:r>
        <w:br w:type="page"/>
      </w:r>
    </w:p>
    <w:p w14:paraId="4EF019DA">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ascii="宋体" w:hAnsi="宋体" w:eastAsia="宋体" w:cs="宋体"/>
          <w:color w:val="auto"/>
          <w:spacing w:val="-1"/>
          <w:sz w:val="24"/>
          <w:szCs w:val="24"/>
        </w:rPr>
      </w:pPr>
      <w:bookmarkStart w:id="61" w:name="_Toc148096383"/>
      <w:r>
        <w:rPr>
          <w:rFonts w:hint="eastAsia" w:ascii="宋体" w:hAnsi="宋体" w:eastAsia="宋体" w:cs="宋体"/>
          <w:color w:val="auto"/>
          <w:spacing w:val="-1"/>
          <w:sz w:val="24"/>
          <w:szCs w:val="24"/>
        </w:rPr>
        <w:t>4 投标分项报价表</w:t>
      </w:r>
      <w:bookmarkEnd w:id="61"/>
      <w:r>
        <w:rPr>
          <w:rFonts w:hint="eastAsia" w:ascii="宋体" w:hAnsi="宋体" w:eastAsia="宋体" w:cs="宋体"/>
          <w:color w:val="auto"/>
          <w:spacing w:val="-1"/>
          <w:sz w:val="24"/>
          <w:szCs w:val="24"/>
        </w:rPr>
        <w:t>（实质性格式）</w:t>
      </w:r>
    </w:p>
    <w:tbl>
      <w:tblPr>
        <w:tblStyle w:val="16"/>
        <w:tblW w:w="8029" w:type="dxa"/>
        <w:jc w:val="center"/>
        <w:tblLayout w:type="autofit"/>
        <w:tblCellMar>
          <w:top w:w="0" w:type="dxa"/>
          <w:left w:w="108" w:type="dxa"/>
          <w:bottom w:w="0" w:type="dxa"/>
          <w:right w:w="108" w:type="dxa"/>
        </w:tblCellMar>
      </w:tblPr>
      <w:tblGrid>
        <w:gridCol w:w="809"/>
        <w:gridCol w:w="3077"/>
        <w:gridCol w:w="2564"/>
        <w:gridCol w:w="1579"/>
      </w:tblGrid>
      <w:tr w14:paraId="585E4083">
        <w:tblPrEx>
          <w:tblCellMar>
            <w:top w:w="0" w:type="dxa"/>
            <w:left w:w="108" w:type="dxa"/>
            <w:bottom w:w="0" w:type="dxa"/>
            <w:right w:w="108" w:type="dxa"/>
          </w:tblCellMar>
        </w:tblPrEx>
        <w:trPr>
          <w:trHeight w:val="408"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C3601">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序号</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16301">
            <w:pPr>
              <w:pageBreakBefore w:val="0"/>
              <w:overflowPunct/>
              <w:topLinePunct w:val="0"/>
              <w:bidi w:val="0"/>
              <w:adjustRightInd/>
              <w:snapToGrid w:val="0"/>
              <w:spacing w:after="0"/>
              <w:jc w:val="center"/>
              <w:rPr>
                <w:rFonts w:hint="eastAsia" w:ascii="宋体" w:hAnsi="宋体" w:eastAsia="宋体" w:cs="宋体"/>
                <w:color w:val="auto"/>
                <w:lang w:eastAsia="zh-CN"/>
              </w:rPr>
            </w:pPr>
            <w:r>
              <w:rPr>
                <w:rFonts w:hint="eastAsia" w:ascii="宋体" w:hAnsi="宋体" w:eastAsia="宋体" w:cs="宋体"/>
                <w:color w:val="auto"/>
                <w:lang w:val="en-US" w:eastAsia="zh-CN"/>
              </w:rPr>
              <w:t>分部名称</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CC5EF">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lang w:val="en-US" w:eastAsia="zh-CN"/>
              </w:rPr>
              <w:t>报价</w:t>
            </w:r>
            <w:r>
              <w:rPr>
                <w:rFonts w:hint="eastAsia" w:ascii="宋体" w:hAnsi="宋体" w:eastAsia="宋体" w:cs="宋体"/>
                <w:color w:val="auto"/>
              </w:rPr>
              <w:t>（元）</w:t>
            </w:r>
          </w:p>
        </w:tc>
        <w:tc>
          <w:tcPr>
            <w:tcW w:w="15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97085">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备注</w:t>
            </w:r>
          </w:p>
        </w:tc>
      </w:tr>
      <w:tr w14:paraId="5FB68613">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51DF5">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1</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8AFF8">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水库-泵站工程维修养护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BFA28">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0B41892D">
            <w:pPr>
              <w:pageBreakBefore w:val="0"/>
              <w:overflowPunct/>
              <w:topLinePunct w:val="0"/>
              <w:bidi w:val="0"/>
              <w:adjustRightInd/>
              <w:snapToGrid w:val="0"/>
              <w:spacing w:after="0"/>
              <w:jc w:val="right"/>
              <w:rPr>
                <w:rFonts w:ascii="宋体" w:hAnsi="宋体" w:eastAsia="宋体"/>
                <w:color w:val="auto"/>
              </w:rPr>
            </w:pPr>
          </w:p>
        </w:tc>
      </w:tr>
      <w:tr w14:paraId="1CDB944F">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3024">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2</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58999">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水库-节制闸工程维修养护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339E5">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56068780">
            <w:pPr>
              <w:pageBreakBefore w:val="0"/>
              <w:overflowPunct/>
              <w:topLinePunct w:val="0"/>
              <w:bidi w:val="0"/>
              <w:adjustRightInd/>
              <w:snapToGrid w:val="0"/>
              <w:spacing w:after="0"/>
              <w:jc w:val="right"/>
              <w:rPr>
                <w:rFonts w:ascii="宋体" w:hAnsi="宋体" w:eastAsia="宋体"/>
                <w:color w:val="auto"/>
              </w:rPr>
            </w:pPr>
          </w:p>
        </w:tc>
      </w:tr>
      <w:tr w14:paraId="76F26C2A">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2E4E4">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3</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017F2">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水库-橡胶坝工程维修养护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ECE1D">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4A0584D8">
            <w:pPr>
              <w:pageBreakBefore w:val="0"/>
              <w:overflowPunct/>
              <w:topLinePunct w:val="0"/>
              <w:bidi w:val="0"/>
              <w:adjustRightInd/>
              <w:snapToGrid w:val="0"/>
              <w:spacing w:after="0"/>
              <w:jc w:val="right"/>
              <w:rPr>
                <w:rFonts w:ascii="宋体" w:hAnsi="宋体" w:eastAsia="宋体"/>
                <w:color w:val="auto"/>
              </w:rPr>
            </w:pPr>
          </w:p>
        </w:tc>
      </w:tr>
      <w:tr w14:paraId="708C9C80">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AF444">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4</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6A2F1">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水库-护坡维护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E758">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77374BED">
            <w:pPr>
              <w:pageBreakBefore w:val="0"/>
              <w:overflowPunct/>
              <w:topLinePunct w:val="0"/>
              <w:bidi w:val="0"/>
              <w:adjustRightInd/>
              <w:snapToGrid w:val="0"/>
              <w:spacing w:after="0"/>
              <w:jc w:val="right"/>
              <w:rPr>
                <w:rFonts w:ascii="宋体" w:hAnsi="宋体" w:eastAsia="宋体"/>
                <w:color w:val="auto"/>
              </w:rPr>
            </w:pPr>
          </w:p>
        </w:tc>
      </w:tr>
      <w:tr w14:paraId="43DFD212">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0C58">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5</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80D6">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水库-阀井建筑物维护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D4BF2">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4AEBEF54">
            <w:pPr>
              <w:pageBreakBefore w:val="0"/>
              <w:overflowPunct/>
              <w:topLinePunct w:val="0"/>
              <w:bidi w:val="0"/>
              <w:adjustRightInd/>
              <w:snapToGrid w:val="0"/>
              <w:spacing w:after="0"/>
              <w:jc w:val="right"/>
              <w:rPr>
                <w:rFonts w:ascii="宋体" w:hAnsi="宋体" w:eastAsia="宋体"/>
                <w:color w:val="auto"/>
              </w:rPr>
            </w:pPr>
          </w:p>
        </w:tc>
      </w:tr>
      <w:tr w14:paraId="6F0943F0">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36DD8">
            <w:pPr>
              <w:pageBreakBefore w:val="0"/>
              <w:overflowPunct/>
              <w:topLinePunct w:val="0"/>
              <w:bidi w:val="0"/>
              <w:adjustRightInd/>
              <w:snapToGrid w:val="0"/>
              <w:spacing w:after="0"/>
              <w:jc w:val="center"/>
              <w:rPr>
                <w:rFonts w:hint="default" w:ascii="宋体" w:hAnsi="宋体" w:eastAsia="宋体" w:cs="宋体"/>
                <w:color w:val="auto"/>
                <w:lang w:val="en-US" w:eastAsia="zh-CN"/>
              </w:rPr>
            </w:pPr>
            <w:r>
              <w:rPr>
                <w:rFonts w:hint="eastAsia" w:ascii="宋体" w:hAnsi="宋体" w:eastAsia="宋体" w:cs="宋体"/>
                <w:color w:val="auto"/>
                <w:lang w:val="en-US" w:eastAsia="zh-CN"/>
              </w:rPr>
              <w:t>1-5</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F5522">
            <w:pPr>
              <w:pageBreakBefore w:val="0"/>
              <w:overflowPunct/>
              <w:topLinePunct w:val="0"/>
              <w:bidi w:val="0"/>
              <w:adjustRightInd/>
              <w:snapToGrid w:val="0"/>
              <w:spacing w:after="0"/>
              <w:rPr>
                <w:rFonts w:hint="eastAsia" w:ascii="宋体" w:hAnsi="宋体" w:eastAsia="宋体" w:cs="宋体"/>
                <w:color w:val="auto"/>
                <w:lang w:val="en-US" w:eastAsia="zh-CN"/>
              </w:rPr>
            </w:pPr>
            <w:r>
              <w:rPr>
                <w:rFonts w:hint="eastAsia" w:ascii="宋体" w:hAnsi="宋体" w:eastAsia="宋体" w:cs="宋体"/>
                <w:color w:val="auto"/>
                <w:lang w:val="en-US" w:eastAsia="zh-CN"/>
              </w:rPr>
              <w:t>合价（元）</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7C81E">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11A17A09">
            <w:pPr>
              <w:pageBreakBefore w:val="0"/>
              <w:overflowPunct/>
              <w:topLinePunct w:val="0"/>
              <w:bidi w:val="0"/>
              <w:adjustRightInd/>
              <w:snapToGrid w:val="0"/>
              <w:spacing w:after="0"/>
              <w:jc w:val="right"/>
              <w:rPr>
                <w:rFonts w:ascii="宋体" w:hAnsi="宋体" w:eastAsia="宋体"/>
                <w:color w:val="auto"/>
              </w:rPr>
            </w:pPr>
          </w:p>
        </w:tc>
      </w:tr>
      <w:tr w14:paraId="3A2E888A">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09386">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6</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96E47">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水库-大宁调度中心工程设施运行维护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915F">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33B0E858">
            <w:pPr>
              <w:pageBreakBefore w:val="0"/>
              <w:overflowPunct/>
              <w:topLinePunct w:val="0"/>
              <w:bidi w:val="0"/>
              <w:adjustRightInd/>
              <w:snapToGrid w:val="0"/>
              <w:spacing w:after="0"/>
              <w:jc w:val="right"/>
              <w:rPr>
                <w:rFonts w:ascii="宋体" w:hAnsi="宋体" w:eastAsia="宋体"/>
                <w:color w:val="auto"/>
              </w:rPr>
            </w:pPr>
          </w:p>
        </w:tc>
      </w:tr>
      <w:tr w14:paraId="340D9AE0">
        <w:tblPrEx>
          <w:tblCellMar>
            <w:top w:w="0" w:type="dxa"/>
            <w:left w:w="108" w:type="dxa"/>
            <w:bottom w:w="0" w:type="dxa"/>
            <w:right w:w="108" w:type="dxa"/>
          </w:tblCellMar>
        </w:tblPrEx>
        <w:trPr>
          <w:trHeight w:val="739"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18096">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7</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984B">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中堤泵站-场站管理设施维护</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8118B">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nil"/>
              <w:right w:val="single" w:color="000000" w:sz="4" w:space="0"/>
            </w:tcBorders>
            <w:shd w:val="clear" w:color="auto" w:fill="auto"/>
            <w:vAlign w:val="center"/>
          </w:tcPr>
          <w:p w14:paraId="6EB77E9B">
            <w:pPr>
              <w:pageBreakBefore w:val="0"/>
              <w:overflowPunct/>
              <w:topLinePunct w:val="0"/>
              <w:bidi w:val="0"/>
              <w:adjustRightInd/>
              <w:snapToGrid w:val="0"/>
              <w:spacing w:after="0"/>
              <w:jc w:val="right"/>
              <w:rPr>
                <w:rFonts w:ascii="宋体" w:hAnsi="宋体" w:eastAsia="宋体"/>
                <w:color w:val="auto"/>
              </w:rPr>
            </w:pPr>
          </w:p>
        </w:tc>
      </w:tr>
      <w:tr w14:paraId="7334C498">
        <w:tblPrEx>
          <w:tblCellMar>
            <w:top w:w="0" w:type="dxa"/>
            <w:left w:w="108" w:type="dxa"/>
            <w:bottom w:w="0" w:type="dxa"/>
            <w:right w:w="108" w:type="dxa"/>
          </w:tblCellMar>
        </w:tblPrEx>
        <w:trPr>
          <w:trHeight w:val="836" w:hRule="atLeast"/>
          <w:jc w:val="center"/>
        </w:trPr>
        <w:tc>
          <w:tcPr>
            <w:tcW w:w="8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6C56">
            <w:pPr>
              <w:pageBreakBefore w:val="0"/>
              <w:overflowPunct/>
              <w:topLinePunct w:val="0"/>
              <w:bidi w:val="0"/>
              <w:adjustRightInd/>
              <w:snapToGrid w:val="0"/>
              <w:spacing w:after="0"/>
              <w:jc w:val="center"/>
              <w:rPr>
                <w:rFonts w:ascii="宋体" w:hAnsi="宋体" w:eastAsia="宋体" w:cs="宋体"/>
                <w:color w:val="auto"/>
              </w:rPr>
            </w:pPr>
            <w:r>
              <w:rPr>
                <w:rFonts w:hint="eastAsia" w:ascii="宋体" w:hAnsi="宋体" w:eastAsia="宋体" w:cs="宋体"/>
                <w:color w:val="auto"/>
              </w:rPr>
              <w:t>8</w:t>
            </w:r>
          </w:p>
        </w:tc>
        <w:tc>
          <w:tcPr>
            <w:tcW w:w="3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4749A">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rPr>
              <w:t>园博泵站-场站管理设施维护</w:t>
            </w:r>
          </w:p>
        </w:tc>
        <w:tc>
          <w:tcPr>
            <w:tcW w:w="2564" w:type="dxa"/>
            <w:tcBorders>
              <w:top w:val="single" w:color="000000" w:sz="4" w:space="0"/>
              <w:left w:val="single" w:color="000000" w:sz="4" w:space="0"/>
              <w:bottom w:val="single" w:color="auto" w:sz="4" w:space="0"/>
              <w:right w:val="single" w:color="000000" w:sz="4" w:space="0"/>
            </w:tcBorders>
            <w:shd w:val="clear" w:color="auto" w:fill="auto"/>
            <w:vAlign w:val="center"/>
          </w:tcPr>
          <w:p w14:paraId="0351AC13">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000000" w:sz="4" w:space="0"/>
              <w:left w:val="single" w:color="000000" w:sz="4" w:space="0"/>
              <w:bottom w:val="single" w:color="auto" w:sz="4" w:space="0"/>
              <w:right w:val="single" w:color="000000" w:sz="4" w:space="0"/>
            </w:tcBorders>
            <w:shd w:val="clear" w:color="auto" w:fill="auto"/>
            <w:vAlign w:val="center"/>
          </w:tcPr>
          <w:p w14:paraId="66FA53AD">
            <w:pPr>
              <w:pageBreakBefore w:val="0"/>
              <w:overflowPunct/>
              <w:topLinePunct w:val="0"/>
              <w:bidi w:val="0"/>
              <w:adjustRightInd/>
              <w:snapToGrid w:val="0"/>
              <w:spacing w:after="0"/>
              <w:jc w:val="right"/>
              <w:rPr>
                <w:rFonts w:ascii="宋体" w:hAnsi="宋体" w:eastAsia="宋体"/>
                <w:color w:val="auto"/>
              </w:rPr>
            </w:pPr>
          </w:p>
        </w:tc>
      </w:tr>
      <w:tr w14:paraId="6CB055A9">
        <w:tblPrEx>
          <w:tblCellMar>
            <w:top w:w="0" w:type="dxa"/>
            <w:left w:w="108" w:type="dxa"/>
            <w:bottom w:w="0" w:type="dxa"/>
            <w:right w:w="108" w:type="dxa"/>
          </w:tblCellMar>
        </w:tblPrEx>
        <w:trPr>
          <w:trHeight w:val="719" w:hRule="atLeast"/>
          <w:jc w:val="center"/>
        </w:trPr>
        <w:tc>
          <w:tcPr>
            <w:tcW w:w="3886" w:type="dxa"/>
            <w:gridSpan w:val="2"/>
            <w:tcBorders>
              <w:top w:val="single" w:color="000000" w:sz="4" w:space="0"/>
              <w:left w:val="single" w:color="000000" w:sz="4" w:space="0"/>
              <w:bottom w:val="single" w:color="000000" w:sz="4" w:space="0"/>
              <w:right w:val="single" w:color="auto" w:sz="4" w:space="0"/>
            </w:tcBorders>
            <w:shd w:val="clear" w:color="auto" w:fill="auto"/>
            <w:vAlign w:val="center"/>
          </w:tcPr>
          <w:p w14:paraId="1D203F24">
            <w:pPr>
              <w:pageBreakBefore w:val="0"/>
              <w:overflowPunct/>
              <w:topLinePunct w:val="0"/>
              <w:bidi w:val="0"/>
              <w:adjustRightInd/>
              <w:snapToGrid w:val="0"/>
              <w:spacing w:after="0"/>
              <w:rPr>
                <w:rFonts w:ascii="宋体" w:hAnsi="宋体" w:eastAsia="宋体" w:cs="宋体"/>
                <w:color w:val="auto"/>
              </w:rPr>
            </w:pPr>
            <w:r>
              <w:rPr>
                <w:rFonts w:hint="eastAsia" w:ascii="宋体" w:hAnsi="宋体" w:eastAsia="宋体" w:cs="宋体"/>
                <w:color w:val="auto"/>
                <w:lang w:val="en-US" w:eastAsia="zh-CN"/>
              </w:rPr>
              <w:t>合价（元）</w:t>
            </w:r>
          </w:p>
        </w:tc>
        <w:tc>
          <w:tcPr>
            <w:tcW w:w="2564" w:type="dxa"/>
            <w:tcBorders>
              <w:top w:val="single" w:color="auto" w:sz="4" w:space="0"/>
              <w:left w:val="single" w:color="auto" w:sz="4" w:space="0"/>
              <w:bottom w:val="single" w:color="auto" w:sz="4" w:space="0"/>
              <w:right w:val="single" w:color="auto" w:sz="4" w:space="0"/>
            </w:tcBorders>
            <w:shd w:val="clear" w:color="auto" w:fill="auto"/>
            <w:vAlign w:val="center"/>
          </w:tcPr>
          <w:p w14:paraId="4EFBEBCE">
            <w:pPr>
              <w:pageBreakBefore w:val="0"/>
              <w:overflowPunct/>
              <w:topLinePunct w:val="0"/>
              <w:bidi w:val="0"/>
              <w:adjustRightInd/>
              <w:snapToGrid w:val="0"/>
              <w:spacing w:after="0"/>
              <w:jc w:val="center"/>
              <w:rPr>
                <w:rFonts w:ascii="宋体" w:hAnsi="宋体" w:eastAsia="宋体"/>
                <w:color w:val="auto"/>
              </w:rPr>
            </w:pPr>
          </w:p>
        </w:tc>
        <w:tc>
          <w:tcPr>
            <w:tcW w:w="1579" w:type="dxa"/>
            <w:tcBorders>
              <w:top w:val="single" w:color="auto" w:sz="4" w:space="0"/>
              <w:left w:val="single" w:color="auto" w:sz="4" w:space="0"/>
              <w:bottom w:val="single" w:color="auto" w:sz="4" w:space="0"/>
              <w:right w:val="single" w:color="auto" w:sz="4" w:space="0"/>
            </w:tcBorders>
            <w:shd w:val="clear" w:color="auto" w:fill="auto"/>
            <w:vAlign w:val="center"/>
          </w:tcPr>
          <w:p w14:paraId="4F74E1E7">
            <w:pPr>
              <w:pageBreakBefore w:val="0"/>
              <w:overflowPunct/>
              <w:topLinePunct w:val="0"/>
              <w:bidi w:val="0"/>
              <w:adjustRightInd/>
              <w:snapToGrid w:val="0"/>
              <w:spacing w:after="0"/>
              <w:jc w:val="right"/>
              <w:rPr>
                <w:rFonts w:ascii="宋体" w:hAnsi="宋体" w:eastAsia="宋体"/>
                <w:color w:val="auto"/>
              </w:rPr>
            </w:pPr>
          </w:p>
        </w:tc>
      </w:tr>
    </w:tbl>
    <w:p w14:paraId="4B641657">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pacing w:val="-1"/>
          <w:sz w:val="24"/>
          <w:szCs w:val="24"/>
        </w:rPr>
      </w:pPr>
    </w:p>
    <w:p w14:paraId="595F441C">
      <w:pPr>
        <w:pageBreakBefore w:val="0"/>
        <w:overflowPunct/>
        <w:topLinePunct w:val="0"/>
        <w:bidi w:val="0"/>
        <w:snapToGrid w:val="0"/>
        <w:spacing w:before="309" w:after="0" w:line="360" w:lineRule="auto"/>
        <w:ind w:left="107"/>
        <w:rPr>
          <w:rFonts w:hint="eastAsia" w:ascii="宋体" w:hAnsi="宋体" w:eastAsia="宋体" w:cs="宋体"/>
          <w:sz w:val="24"/>
          <w:szCs w:val="24"/>
        </w:rPr>
      </w:pPr>
      <w:r>
        <w:rPr>
          <w:rFonts w:hint="eastAsia" w:ascii="宋体" w:hAnsi="宋体" w:eastAsia="宋体" w:cs="宋体"/>
          <w:spacing w:val="-3"/>
          <w:sz w:val="24"/>
          <w:szCs w:val="24"/>
        </w:rPr>
        <w:t>注：1.本表应按包分别填写。</w:t>
      </w:r>
    </w:p>
    <w:p w14:paraId="3AABC096">
      <w:pPr>
        <w:pageBreakBefore w:val="0"/>
        <w:numPr>
          <w:ilvl w:val="0"/>
          <w:numId w:val="0"/>
        </w:numPr>
        <w:overflowPunct/>
        <w:topLinePunct w:val="0"/>
        <w:bidi w:val="0"/>
        <w:snapToGrid w:val="0"/>
        <w:spacing w:before="24" w:after="0" w:line="360" w:lineRule="auto"/>
        <w:ind w:left="587" w:right="2021" w:hanging="4"/>
        <w:rPr>
          <w:rFonts w:hint="eastAsia" w:ascii="宋体" w:hAnsi="宋体" w:eastAsia="宋体" w:cs="宋体"/>
          <w:spacing w:val="-8"/>
          <w:sz w:val="24"/>
          <w:szCs w:val="24"/>
        </w:rPr>
      </w:pPr>
      <w:r>
        <w:rPr>
          <w:rFonts w:hint="eastAsia" w:ascii="宋体" w:hAnsi="宋体" w:eastAsia="宋体" w:cs="宋体"/>
          <w:snapToGrid w:val="0"/>
          <w:color w:val="000000"/>
          <w:spacing w:val="-8"/>
          <w:sz w:val="24"/>
          <w:szCs w:val="24"/>
          <w:lang w:val="en-US" w:eastAsia="zh-CN" w:bidi="ar-SA"/>
        </w:rPr>
        <w:t>2.</w:t>
      </w:r>
      <w:r>
        <w:rPr>
          <w:rFonts w:hint="eastAsia" w:ascii="宋体" w:hAnsi="宋体" w:eastAsia="宋体" w:cs="宋体"/>
          <w:spacing w:val="-2"/>
          <w:sz w:val="24"/>
          <w:szCs w:val="24"/>
        </w:rPr>
        <w:t>如果不提供分项报价将视为没有实质性响应招标文件。</w:t>
      </w:r>
      <w:r>
        <w:rPr>
          <w:rFonts w:hint="eastAsia" w:ascii="宋体" w:hAnsi="宋体" w:eastAsia="宋体" w:cs="宋体"/>
          <w:spacing w:val="11"/>
          <w:sz w:val="24"/>
          <w:szCs w:val="24"/>
        </w:rPr>
        <w:t xml:space="preserve"> </w:t>
      </w:r>
      <w:r>
        <w:rPr>
          <w:rFonts w:hint="eastAsia" w:ascii="宋体" w:hAnsi="宋体" w:eastAsia="宋体" w:cs="宋体"/>
          <w:spacing w:val="-8"/>
          <w:sz w:val="24"/>
          <w:szCs w:val="24"/>
        </w:rPr>
        <w:t>3.上述各项的详细规格（如有</w:t>
      </w:r>
      <w:r>
        <w:rPr>
          <w:rFonts w:hint="eastAsia" w:ascii="宋体" w:hAnsi="宋体" w:eastAsia="宋体" w:cs="宋体"/>
          <w:spacing w:val="-2"/>
          <w:sz w:val="24"/>
          <w:szCs w:val="24"/>
        </w:rPr>
        <w:t>），</w:t>
      </w:r>
      <w:r>
        <w:rPr>
          <w:rFonts w:hint="eastAsia" w:ascii="宋体" w:hAnsi="宋体" w:eastAsia="宋体" w:cs="宋体"/>
          <w:spacing w:val="-8"/>
          <w:sz w:val="24"/>
          <w:szCs w:val="24"/>
        </w:rPr>
        <w:t>可另页描述。</w:t>
      </w:r>
    </w:p>
    <w:p w14:paraId="4667826B">
      <w:pPr>
        <w:pStyle w:val="7"/>
        <w:numPr>
          <w:ilvl w:val="-1"/>
          <w:numId w:val="0"/>
        </w:numPr>
        <w:ind w:firstLine="672" w:firstLineChars="300"/>
        <w:rPr>
          <w:rFonts w:hint="eastAsia" w:ascii="宋体" w:hAnsi="宋体" w:eastAsia="宋体" w:cs="宋体"/>
          <w:snapToGrid w:val="0"/>
          <w:color w:val="000000"/>
          <w:spacing w:val="-8"/>
          <w:kern w:val="0"/>
          <w:sz w:val="24"/>
          <w:lang w:val="en-US" w:eastAsia="zh-CN"/>
        </w:rPr>
      </w:pPr>
      <w:r>
        <w:rPr>
          <w:rFonts w:hint="eastAsia" w:ascii="宋体" w:hAnsi="宋体" w:cs="宋体"/>
          <w:snapToGrid w:val="0"/>
          <w:color w:val="000000"/>
          <w:spacing w:val="-8"/>
          <w:kern w:val="0"/>
          <w:sz w:val="24"/>
          <w:lang w:val="en-US" w:eastAsia="zh-CN"/>
        </w:rPr>
        <w:t>4.最高控制价459.970878万元，其中分部1、2、3、4、5合计报价不得超过58.978211万元，分部6报价不得超过146.543685万元，分部7报价不得超过88.862201万元 ，分部8报价不得超过165.586781万元。</w:t>
      </w:r>
    </w:p>
    <w:p w14:paraId="0615BE07">
      <w:pPr>
        <w:pageBreakBefore w:val="0"/>
        <w:overflowPunct/>
        <w:topLinePunct w:val="0"/>
        <w:bidi w:val="0"/>
        <w:snapToGrid w:val="0"/>
        <w:spacing w:before="78" w:after="0" w:line="360" w:lineRule="auto"/>
        <w:ind w:left="125"/>
        <w:rPr>
          <w:rFonts w:hint="eastAsia" w:ascii="宋体" w:hAnsi="宋体" w:eastAsia="宋体" w:cs="宋体"/>
          <w:color w:val="auto"/>
          <w:spacing w:val="-2"/>
          <w:position w:val="19"/>
          <w:sz w:val="24"/>
          <w:szCs w:val="24"/>
        </w:rPr>
      </w:pPr>
    </w:p>
    <w:p w14:paraId="787046DD">
      <w:pPr>
        <w:pageBreakBefore w:val="0"/>
        <w:overflowPunct/>
        <w:topLinePunct w:val="0"/>
        <w:bidi w:val="0"/>
        <w:snapToGrid w:val="0"/>
        <w:spacing w:before="78" w:after="0" w:line="360" w:lineRule="auto"/>
        <w:ind w:left="0" w:firstLine="236" w:firstLineChars="100"/>
        <w:rPr>
          <w:rFonts w:hint="eastAsia" w:ascii="宋体" w:hAnsi="宋体" w:eastAsia="宋体" w:cs="宋体"/>
          <w:color w:val="auto"/>
          <w:sz w:val="24"/>
          <w:szCs w:val="24"/>
        </w:rPr>
      </w:pPr>
      <w:r>
        <w:rPr>
          <w:rFonts w:hint="eastAsia" w:ascii="宋体" w:hAnsi="宋体" w:eastAsia="宋体" w:cs="宋体"/>
          <w:color w:val="auto"/>
          <w:spacing w:val="-2"/>
          <w:position w:val="19"/>
          <w:sz w:val="24"/>
          <w:szCs w:val="24"/>
        </w:rPr>
        <w:t>投标人名称(加盖公章)：_____</w:t>
      </w:r>
      <w:r>
        <w:rPr>
          <w:rFonts w:hint="eastAsia" w:ascii="宋体" w:hAnsi="宋体" w:eastAsia="宋体" w:cs="宋体"/>
          <w:color w:val="auto"/>
          <w:spacing w:val="-1"/>
          <w:position w:val="19"/>
          <w:sz w:val="24"/>
          <w:szCs w:val="24"/>
        </w:rPr>
        <w:t>_______</w:t>
      </w:r>
    </w:p>
    <w:p w14:paraId="6E7E3CCD">
      <w:pPr>
        <w:pageBreakBefore w:val="0"/>
        <w:overflowPunct/>
        <w:topLinePunct w:val="0"/>
        <w:bidi w:val="0"/>
        <w:snapToGrid w:val="0"/>
        <w:spacing w:before="2" w:after="0" w:line="218" w:lineRule="auto"/>
        <w:ind w:left="164"/>
        <w:rPr>
          <w:rFonts w:hint="eastAsia" w:ascii="宋体" w:hAnsi="宋体" w:eastAsia="宋体" w:cs="宋体"/>
          <w:color w:val="auto"/>
          <w:sz w:val="24"/>
          <w:szCs w:val="24"/>
        </w:rPr>
      </w:pPr>
      <w:r>
        <w:rPr>
          <w:rFonts w:hint="eastAsia" w:ascii="宋体" w:hAnsi="宋体" w:eastAsia="宋体" w:cs="宋体"/>
          <w:color w:val="auto"/>
          <w:spacing w:val="-32"/>
          <w:sz w:val="24"/>
          <w:szCs w:val="24"/>
        </w:rPr>
        <w:t>日</w:t>
      </w:r>
      <w:r>
        <w:rPr>
          <w:rFonts w:hint="eastAsia" w:ascii="宋体" w:hAnsi="宋体" w:eastAsia="宋体" w:cs="宋体"/>
          <w:color w:val="auto"/>
          <w:spacing w:val="-16"/>
          <w:sz w:val="24"/>
          <w:szCs w:val="24"/>
        </w:rPr>
        <w:t>期： _____年______月______ 日</w:t>
      </w:r>
    </w:p>
    <w:p w14:paraId="71F4B868">
      <w:pPr>
        <w:pStyle w:val="6"/>
        <w:pageBreakBefore w:val="0"/>
        <w:overflowPunct/>
        <w:topLinePunct w:val="0"/>
        <w:bidi w:val="0"/>
        <w:snapToGrid w:val="0"/>
        <w:spacing w:after="0"/>
        <w:rPr>
          <w:rFonts w:hint="eastAsia" w:hAnsi="宋体"/>
        </w:rPr>
      </w:pPr>
    </w:p>
    <w:p w14:paraId="37694416">
      <w:pPr>
        <w:pStyle w:val="6"/>
        <w:pageBreakBefore w:val="0"/>
        <w:overflowPunct/>
        <w:topLinePunct w:val="0"/>
        <w:bidi w:val="0"/>
        <w:snapToGrid w:val="0"/>
        <w:spacing w:after="0"/>
      </w:pPr>
      <w:r>
        <w:br w:type="page"/>
      </w:r>
    </w:p>
    <w:p w14:paraId="0006BBB4">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2" w:name="_Toc148096384"/>
      <w:r>
        <w:rPr>
          <w:rFonts w:hint="eastAsia" w:ascii="宋体" w:hAnsi="宋体" w:eastAsia="宋体" w:cs="宋体"/>
          <w:color w:val="auto"/>
          <w:spacing w:val="-1"/>
          <w:sz w:val="24"/>
          <w:szCs w:val="24"/>
        </w:rPr>
        <w:t>5 合同条款偏离表(实质性格式)</w:t>
      </w:r>
      <w:bookmarkEnd w:id="62"/>
    </w:p>
    <w:p w14:paraId="06313B4B">
      <w:pPr>
        <w:pageBreakBefore w:val="0"/>
        <w:overflowPunct/>
        <w:topLinePunct w:val="0"/>
        <w:bidi w:val="0"/>
        <w:snapToGrid w:val="0"/>
        <w:spacing w:before="124" w:after="0" w:line="221" w:lineRule="auto"/>
        <w:jc w:val="cente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pPr>
      <w:r>
        <w:rPr>
          <w:rFonts w:hint="eastAsia" w:ascii="宋体" w:hAnsi="宋体" w:eastAsia="宋体" w:cs="宋体"/>
          <w:color w:val="auto"/>
          <w:spacing w:val="-2"/>
          <w:sz w:val="36"/>
          <w:szCs w:val="36"/>
          <w14:textOutline w14:w="2311" w14:cap="flat" w14:cmpd="sng" w14:algn="ctr">
            <w14:solidFill>
              <w14:srgbClr w14:val="000000"/>
            </w14:solidFill>
            <w14:prstDash w14:val="solid"/>
            <w14:miter w14:val="0"/>
          </w14:textOutline>
        </w:rPr>
        <w:t>合同条款偏离表</w:t>
      </w:r>
    </w:p>
    <w:p w14:paraId="15D3EC35">
      <w:pPr>
        <w:pageBreakBefore w:val="0"/>
        <w:overflowPunct/>
        <w:topLinePunct w:val="0"/>
        <w:bidi w:val="0"/>
        <w:snapToGrid w:val="0"/>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1"/>
        <w:gridCol w:w="1798"/>
        <w:gridCol w:w="1675"/>
        <w:gridCol w:w="1675"/>
        <w:gridCol w:w="1876"/>
        <w:gridCol w:w="1138"/>
      </w:tblGrid>
      <w:tr w14:paraId="76DCB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04B3D8B1">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798" w:type="dxa"/>
            <w:vAlign w:val="center"/>
          </w:tcPr>
          <w:p w14:paraId="6D8E1DA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招标文件条目号(页码)</w:t>
            </w:r>
          </w:p>
        </w:tc>
        <w:tc>
          <w:tcPr>
            <w:tcW w:w="1675" w:type="dxa"/>
            <w:vAlign w:val="center"/>
          </w:tcPr>
          <w:p w14:paraId="0340CE66">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1675" w:type="dxa"/>
            <w:vAlign w:val="center"/>
          </w:tcPr>
          <w:p w14:paraId="10C1B21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投标文件内容</w:t>
            </w:r>
          </w:p>
        </w:tc>
        <w:tc>
          <w:tcPr>
            <w:tcW w:w="1876" w:type="dxa"/>
            <w:vAlign w:val="center"/>
          </w:tcPr>
          <w:p w14:paraId="35007F6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138" w:type="dxa"/>
            <w:vAlign w:val="center"/>
          </w:tcPr>
          <w:p w14:paraId="20820C15">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1C408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center"/>
          </w:tcPr>
          <w:p w14:paraId="0532CB84">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对本项目合同条款的偏离情况</w:t>
            </w:r>
            <w:r>
              <w:rPr>
                <w:rFonts w:hint="eastAsia" w:ascii="宋体" w:hAnsi="宋体" w:eastAsia="宋体"/>
                <w:color w:val="auto"/>
                <w:sz w:val="24"/>
                <w:szCs w:val="24"/>
              </w:rPr>
              <w:t>(应进行选择，未选择</w:t>
            </w:r>
            <w:r>
              <w:rPr>
                <w:rFonts w:hint="eastAsia" w:ascii="宋体" w:hAnsi="宋体" w:eastAsia="宋体"/>
                <w:b/>
                <w:bCs/>
                <w:color w:val="auto"/>
                <w:sz w:val="24"/>
                <w:szCs w:val="24"/>
              </w:rPr>
              <w:t>投标无效</w:t>
            </w:r>
            <w:r>
              <w:rPr>
                <w:rFonts w:hint="eastAsia" w:ascii="宋体" w:hAnsi="宋体" w:eastAsia="宋体"/>
                <w:color w:val="auto"/>
                <w:sz w:val="24"/>
                <w:szCs w:val="24"/>
              </w:rPr>
              <w:t>)：</w:t>
            </w:r>
          </w:p>
          <w:p w14:paraId="3BB10617">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□无偏离</w:t>
            </w:r>
            <w:r>
              <w:rPr>
                <w:rFonts w:hint="eastAsia" w:ascii="宋体" w:hAnsi="宋体" w:eastAsia="宋体"/>
                <w:color w:val="auto"/>
                <w:sz w:val="24"/>
                <w:szCs w:val="24"/>
              </w:rPr>
              <w:t>(如无偏离，仅选择无偏离即可；无偏离即为对合同条款中的所有要求，均视作供应商已对之理解和响应。)</w:t>
            </w:r>
          </w:p>
          <w:p w14:paraId="508F218A">
            <w:pPr>
              <w:pageBreakBefore w:val="0"/>
              <w:overflowPunct/>
              <w:topLinePunct w:val="0"/>
              <w:bidi w:val="0"/>
              <w:snapToGrid w:val="0"/>
              <w:spacing w:after="0" w:line="276" w:lineRule="auto"/>
              <w:rPr>
                <w:rFonts w:hint="eastAsia" w:ascii="宋体" w:hAnsi="宋体" w:eastAsia="宋体"/>
                <w:color w:val="auto"/>
                <w:sz w:val="24"/>
                <w:szCs w:val="24"/>
              </w:rPr>
            </w:pPr>
            <w:r>
              <w:rPr>
                <w:rFonts w:hint="eastAsia" w:ascii="宋体" w:hAnsi="宋体" w:eastAsia="宋体"/>
                <w:b/>
                <w:bCs/>
                <w:color w:val="auto"/>
                <w:sz w:val="24"/>
                <w:szCs w:val="24"/>
              </w:rPr>
              <w:t>□有偏离</w:t>
            </w:r>
            <w:r>
              <w:rPr>
                <w:rFonts w:hint="eastAsia" w:ascii="宋体" w:hAnsi="宋体" w:eastAsia="宋体"/>
                <w:color w:val="auto"/>
                <w:sz w:val="24"/>
                <w:szCs w:val="24"/>
              </w:rPr>
              <w:t>(如有偏离，则应在本表中对偏离项逐一列明，否则</w:t>
            </w:r>
            <w:r>
              <w:rPr>
                <w:rFonts w:hint="eastAsia" w:ascii="宋体" w:hAnsi="宋体" w:eastAsia="宋体"/>
                <w:b/>
                <w:bCs/>
                <w:color w:val="auto"/>
                <w:sz w:val="24"/>
                <w:szCs w:val="24"/>
              </w:rPr>
              <w:t>投标无效</w:t>
            </w:r>
            <w:r>
              <w:rPr>
                <w:rFonts w:hint="eastAsia" w:ascii="宋体" w:hAnsi="宋体" w:eastAsia="宋体"/>
                <w:color w:val="auto"/>
                <w:sz w:val="24"/>
                <w:szCs w:val="24"/>
              </w:rPr>
              <w:t>；对合同条款中的所有要求，除本表列明的偏离外，均视作供应商已对之理解和响应。)</w:t>
            </w:r>
          </w:p>
        </w:tc>
      </w:tr>
      <w:tr w14:paraId="5C378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76C943D4">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108D3C7D">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8804E3E">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2C9466B9">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2CDB9F12">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36E9981E">
            <w:pPr>
              <w:pageBreakBefore w:val="0"/>
              <w:overflowPunct/>
              <w:topLinePunct w:val="0"/>
              <w:bidi w:val="0"/>
              <w:snapToGrid w:val="0"/>
              <w:spacing w:after="0" w:line="276" w:lineRule="auto"/>
              <w:rPr>
                <w:rFonts w:hint="eastAsia" w:ascii="宋体" w:hAnsi="宋体" w:eastAsia="宋体"/>
                <w:color w:val="auto"/>
                <w:sz w:val="24"/>
                <w:szCs w:val="24"/>
              </w:rPr>
            </w:pPr>
          </w:p>
        </w:tc>
      </w:tr>
      <w:tr w14:paraId="055EEE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646BCCF3">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2EE003E5">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7B5216A3">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86FAD6F">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7DEC99F2">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07CF2E51">
            <w:pPr>
              <w:pageBreakBefore w:val="0"/>
              <w:overflowPunct/>
              <w:topLinePunct w:val="0"/>
              <w:bidi w:val="0"/>
              <w:snapToGrid w:val="0"/>
              <w:spacing w:after="0" w:line="276" w:lineRule="auto"/>
              <w:rPr>
                <w:rFonts w:hint="eastAsia" w:ascii="宋体" w:hAnsi="宋体" w:eastAsia="宋体"/>
                <w:color w:val="auto"/>
                <w:sz w:val="24"/>
                <w:szCs w:val="24"/>
              </w:rPr>
            </w:pPr>
          </w:p>
        </w:tc>
      </w:tr>
      <w:tr w14:paraId="12B58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31" w:type="dxa"/>
            <w:vAlign w:val="center"/>
          </w:tcPr>
          <w:p w14:paraId="49F18461">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325075C7">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9D6FA1A">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0178ED3">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1081021E">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0FA57326">
            <w:pPr>
              <w:pageBreakBefore w:val="0"/>
              <w:overflowPunct/>
              <w:topLinePunct w:val="0"/>
              <w:bidi w:val="0"/>
              <w:snapToGrid w:val="0"/>
              <w:spacing w:after="0" w:line="276" w:lineRule="auto"/>
              <w:rPr>
                <w:rFonts w:hint="eastAsia" w:ascii="宋体" w:hAnsi="宋体" w:eastAsia="宋体"/>
                <w:color w:val="auto"/>
                <w:sz w:val="24"/>
                <w:szCs w:val="24"/>
              </w:rPr>
            </w:pPr>
          </w:p>
        </w:tc>
      </w:tr>
      <w:tr w14:paraId="367CF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31" w:type="dxa"/>
            <w:vAlign w:val="center"/>
          </w:tcPr>
          <w:p w14:paraId="130E7901">
            <w:pPr>
              <w:pageBreakBefore w:val="0"/>
              <w:overflowPunct/>
              <w:topLinePunct w:val="0"/>
              <w:bidi w:val="0"/>
              <w:snapToGrid w:val="0"/>
              <w:spacing w:after="0" w:line="276" w:lineRule="auto"/>
              <w:rPr>
                <w:rFonts w:hint="eastAsia" w:ascii="宋体" w:hAnsi="宋体" w:eastAsia="宋体"/>
                <w:color w:val="auto"/>
                <w:sz w:val="24"/>
                <w:szCs w:val="24"/>
              </w:rPr>
            </w:pPr>
          </w:p>
        </w:tc>
        <w:tc>
          <w:tcPr>
            <w:tcW w:w="1798" w:type="dxa"/>
            <w:vAlign w:val="center"/>
          </w:tcPr>
          <w:p w14:paraId="56D0F079">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7D146639">
            <w:pPr>
              <w:pageBreakBefore w:val="0"/>
              <w:overflowPunct/>
              <w:topLinePunct w:val="0"/>
              <w:bidi w:val="0"/>
              <w:snapToGrid w:val="0"/>
              <w:spacing w:after="0" w:line="276" w:lineRule="auto"/>
              <w:rPr>
                <w:rFonts w:hint="eastAsia" w:ascii="宋体" w:hAnsi="宋体" w:eastAsia="宋体"/>
                <w:color w:val="auto"/>
                <w:sz w:val="24"/>
                <w:szCs w:val="24"/>
              </w:rPr>
            </w:pPr>
          </w:p>
        </w:tc>
        <w:tc>
          <w:tcPr>
            <w:tcW w:w="1675" w:type="dxa"/>
            <w:vAlign w:val="center"/>
          </w:tcPr>
          <w:p w14:paraId="6E482026">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6" w:type="dxa"/>
            <w:vAlign w:val="center"/>
          </w:tcPr>
          <w:p w14:paraId="25EF90C5">
            <w:pPr>
              <w:pageBreakBefore w:val="0"/>
              <w:overflowPunct/>
              <w:topLinePunct w:val="0"/>
              <w:bidi w:val="0"/>
              <w:snapToGrid w:val="0"/>
              <w:spacing w:after="0" w:line="276" w:lineRule="auto"/>
              <w:rPr>
                <w:rFonts w:hint="eastAsia" w:ascii="宋体" w:hAnsi="宋体" w:eastAsia="宋体"/>
                <w:color w:val="auto"/>
                <w:sz w:val="24"/>
                <w:szCs w:val="24"/>
              </w:rPr>
            </w:pPr>
          </w:p>
        </w:tc>
        <w:tc>
          <w:tcPr>
            <w:tcW w:w="1138" w:type="dxa"/>
            <w:vAlign w:val="center"/>
          </w:tcPr>
          <w:p w14:paraId="4C160F39">
            <w:pPr>
              <w:pageBreakBefore w:val="0"/>
              <w:overflowPunct/>
              <w:topLinePunct w:val="0"/>
              <w:bidi w:val="0"/>
              <w:snapToGrid w:val="0"/>
              <w:spacing w:after="0" w:line="276" w:lineRule="auto"/>
              <w:rPr>
                <w:rFonts w:hint="eastAsia" w:ascii="宋体" w:hAnsi="宋体" w:eastAsia="宋体"/>
                <w:color w:val="auto"/>
                <w:sz w:val="24"/>
                <w:szCs w:val="24"/>
              </w:rPr>
            </w:pPr>
          </w:p>
        </w:tc>
      </w:tr>
    </w:tbl>
    <w:p w14:paraId="04ECFB77">
      <w:pPr>
        <w:pageBreakBefore w:val="0"/>
        <w:overflowPunct/>
        <w:topLinePunct w:val="0"/>
        <w:bidi w:val="0"/>
        <w:snapToGrid w:val="0"/>
        <w:spacing w:before="314" w:after="0" w:line="220" w:lineRule="auto"/>
        <w:rPr>
          <w:rFonts w:hint="eastAsia" w:ascii="宋体" w:hAnsi="宋体" w:eastAsia="宋体" w:cs="宋体"/>
          <w:color w:val="auto"/>
          <w:sz w:val="24"/>
          <w:szCs w:val="24"/>
        </w:rPr>
      </w:pPr>
      <w:r>
        <w:rPr>
          <w:rFonts w:hint="eastAsia" w:ascii="宋体" w:hAnsi="宋体" w:eastAsia="宋体"/>
          <w:color w:val="auto"/>
          <w:sz w:val="24"/>
          <w:szCs w:val="24"/>
        </w:rPr>
        <w:t>注：“偏离情况”列应据实填写“正偏离”或“负偏离”。</w:t>
      </w:r>
    </w:p>
    <w:p w14:paraId="6D76D789">
      <w:pPr>
        <w:pageBreakBefore w:val="0"/>
        <w:overflowPunct/>
        <w:topLinePunct w:val="0"/>
        <w:bidi w:val="0"/>
        <w:snapToGrid w:val="0"/>
        <w:spacing w:after="0" w:line="277" w:lineRule="auto"/>
        <w:rPr>
          <w:rFonts w:hint="eastAsia" w:ascii="宋体" w:hAnsi="宋体" w:eastAsia="宋体" w:cs="宋体"/>
          <w:color w:val="auto"/>
        </w:rPr>
      </w:pPr>
    </w:p>
    <w:p w14:paraId="6AFD58F5">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4CCE7893">
      <w:pPr>
        <w:pageBreakBefore w:val="0"/>
        <w:overflowPunct/>
        <w:topLinePunct w:val="0"/>
        <w:bidi w:val="0"/>
        <w:snapToGrid w:val="0"/>
        <w:spacing w:before="78" w:after="0" w:line="360" w:lineRule="auto"/>
        <w:ind w:right="96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202C5B9A">
      <w:pPr>
        <w:pStyle w:val="6"/>
        <w:pageBreakBefore w:val="0"/>
        <w:overflowPunct/>
        <w:topLinePunct w:val="0"/>
        <w:bidi w:val="0"/>
        <w:snapToGrid w:val="0"/>
        <w:spacing w:after="0"/>
        <w:rPr>
          <w:rFonts w:hint="eastAsia" w:hAnsi="宋体"/>
        </w:rPr>
      </w:pPr>
    </w:p>
    <w:p w14:paraId="22145C40">
      <w:pPr>
        <w:pStyle w:val="6"/>
        <w:pageBreakBefore w:val="0"/>
        <w:overflowPunct/>
        <w:topLinePunct w:val="0"/>
        <w:bidi w:val="0"/>
        <w:snapToGrid w:val="0"/>
        <w:spacing w:after="0"/>
      </w:pPr>
      <w:r>
        <w:br w:type="page"/>
      </w:r>
    </w:p>
    <w:p w14:paraId="5E8BC8C3">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pacing w:val="-1"/>
          <w:sz w:val="24"/>
          <w:szCs w:val="24"/>
        </w:rPr>
      </w:pPr>
      <w:bookmarkStart w:id="63" w:name="_Toc148096385"/>
      <w:r>
        <w:rPr>
          <w:rFonts w:hint="eastAsia" w:ascii="宋体" w:hAnsi="宋体" w:eastAsia="宋体" w:cs="宋体"/>
          <w:color w:val="auto"/>
          <w:spacing w:val="-1"/>
          <w:sz w:val="24"/>
          <w:szCs w:val="24"/>
        </w:rPr>
        <w:t>6 采购需求偏离表(实质性格式)</w:t>
      </w:r>
      <w:bookmarkEnd w:id="63"/>
    </w:p>
    <w:p w14:paraId="11151BFC">
      <w:pPr>
        <w:pageBreakBefore w:val="0"/>
        <w:overflowPunct/>
        <w:topLinePunct w:val="0"/>
        <w:bidi w:val="0"/>
        <w:snapToGrid w:val="0"/>
        <w:spacing w:before="198" w:after="0" w:line="219" w:lineRule="auto"/>
        <w:ind w:left="3579"/>
        <w:rPr>
          <w:rFonts w:hint="eastAsia" w:ascii="宋体" w:hAnsi="宋体" w:eastAsia="宋体" w:cs="宋体"/>
          <w:color w:val="auto"/>
          <w:sz w:val="36"/>
          <w:szCs w:val="36"/>
        </w:rPr>
      </w:pPr>
      <w:r>
        <w:rPr>
          <w:rFonts w:hint="eastAsia" w:ascii="宋体" w:hAnsi="宋体" w:eastAsia="宋体" w:cs="宋体"/>
          <w:color w:val="auto"/>
          <w:spacing w:val="-1"/>
          <w:sz w:val="36"/>
          <w:szCs w:val="36"/>
          <w14:textOutline w14:w="2311" w14:cap="flat" w14:cmpd="sng" w14:algn="ctr">
            <w14:solidFill>
              <w14:srgbClr w14:val="000000"/>
            </w14:solidFill>
            <w14:prstDash w14:val="solid"/>
            <w14:miter w14:val="0"/>
          </w14:textOutline>
        </w:rPr>
        <w:t>采购需</w:t>
      </w:r>
      <w:r>
        <w:rPr>
          <w:rFonts w:hint="eastAsia" w:ascii="宋体" w:hAnsi="宋体" w:eastAsia="宋体" w:cs="宋体"/>
          <w:color w:val="auto"/>
          <w:sz w:val="36"/>
          <w:szCs w:val="36"/>
          <w14:textOutline w14:w="2311" w14:cap="flat" w14:cmpd="sng" w14:algn="ctr">
            <w14:solidFill>
              <w14:srgbClr w14:val="000000"/>
            </w14:solidFill>
            <w14:prstDash w14:val="solid"/>
            <w14:miter w14:val="0"/>
          </w14:textOutline>
        </w:rPr>
        <w:t>求偏离表</w:t>
      </w:r>
    </w:p>
    <w:p w14:paraId="39C25BC0">
      <w:pPr>
        <w:pageBreakBefore w:val="0"/>
        <w:overflowPunct/>
        <w:topLinePunct w:val="0"/>
        <w:bidi w:val="0"/>
        <w:snapToGrid w:val="0"/>
        <w:spacing w:before="78" w:after="0" w:line="360" w:lineRule="auto"/>
        <w:rPr>
          <w:rFonts w:hint="eastAsia" w:ascii="宋体" w:hAnsi="宋体" w:eastAsia="宋体"/>
          <w:color w:val="auto"/>
          <w:sz w:val="24"/>
          <w:szCs w:val="24"/>
          <w:u w:val="single"/>
        </w:rPr>
      </w:pPr>
      <w:r>
        <w:rPr>
          <w:rFonts w:hint="eastAsia" w:ascii="宋体" w:hAnsi="宋体" w:eastAsia="宋体"/>
          <w:color w:val="auto"/>
          <w:sz w:val="24"/>
          <w:szCs w:val="24"/>
        </w:rPr>
        <w:t>项目编号/包号：</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项目名称：</w:t>
      </w:r>
      <w:r>
        <w:rPr>
          <w:rFonts w:hint="eastAsia" w:ascii="宋体" w:hAnsi="宋体" w:eastAsia="宋体"/>
          <w:color w:val="auto"/>
          <w:sz w:val="24"/>
          <w:szCs w:val="24"/>
          <w:u w:val="single"/>
        </w:rPr>
        <w:t xml:space="preserve">            </w:t>
      </w:r>
    </w:p>
    <w:tbl>
      <w:tblPr>
        <w:tblStyle w:val="27"/>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21C88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jc w:val="center"/>
        </w:trPr>
        <w:tc>
          <w:tcPr>
            <w:tcW w:w="779" w:type="dxa"/>
            <w:vAlign w:val="center"/>
          </w:tcPr>
          <w:p w14:paraId="166F7133">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序号</w:t>
            </w:r>
          </w:p>
        </w:tc>
        <w:tc>
          <w:tcPr>
            <w:tcW w:w="1481" w:type="dxa"/>
            <w:vAlign w:val="center"/>
          </w:tcPr>
          <w:p w14:paraId="2EB2A4B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招标文件目号(页码)</w:t>
            </w:r>
          </w:p>
        </w:tc>
        <w:tc>
          <w:tcPr>
            <w:tcW w:w="2383" w:type="dxa"/>
            <w:vAlign w:val="center"/>
          </w:tcPr>
          <w:p w14:paraId="4DE2FA6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招标文件要求</w:t>
            </w:r>
          </w:p>
        </w:tc>
        <w:tc>
          <w:tcPr>
            <w:tcW w:w="2125" w:type="dxa"/>
            <w:vAlign w:val="center"/>
          </w:tcPr>
          <w:p w14:paraId="55FD581B">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投标响应内容</w:t>
            </w:r>
          </w:p>
        </w:tc>
        <w:tc>
          <w:tcPr>
            <w:tcW w:w="1874" w:type="dxa"/>
            <w:vAlign w:val="center"/>
          </w:tcPr>
          <w:p w14:paraId="3442BE1F">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偏离情况</w:t>
            </w:r>
          </w:p>
        </w:tc>
        <w:tc>
          <w:tcPr>
            <w:tcW w:w="1014" w:type="dxa"/>
            <w:vAlign w:val="center"/>
          </w:tcPr>
          <w:p w14:paraId="4795AE20">
            <w:pPr>
              <w:pageBreakBefore w:val="0"/>
              <w:overflowPunct/>
              <w:topLinePunct w:val="0"/>
              <w:bidi w:val="0"/>
              <w:snapToGrid w:val="0"/>
              <w:spacing w:after="0" w:line="276" w:lineRule="auto"/>
              <w:jc w:val="center"/>
              <w:rPr>
                <w:rFonts w:hint="eastAsia" w:ascii="宋体" w:hAnsi="宋体" w:eastAsia="宋体"/>
                <w:b/>
                <w:bCs/>
                <w:color w:val="auto"/>
                <w:sz w:val="24"/>
                <w:szCs w:val="24"/>
              </w:rPr>
            </w:pPr>
            <w:r>
              <w:rPr>
                <w:rFonts w:hint="eastAsia" w:ascii="宋体" w:hAnsi="宋体" w:eastAsia="宋体"/>
                <w:b/>
                <w:bCs/>
                <w:color w:val="auto"/>
                <w:sz w:val="24"/>
                <w:szCs w:val="24"/>
              </w:rPr>
              <w:t>说明</w:t>
            </w:r>
          </w:p>
        </w:tc>
      </w:tr>
      <w:tr w14:paraId="5CE57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FAD059B">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088A5EE2">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522DE597">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4195ABBB">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33E01D4C">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3186C2CD">
            <w:pPr>
              <w:pageBreakBefore w:val="0"/>
              <w:overflowPunct/>
              <w:topLinePunct w:val="0"/>
              <w:bidi w:val="0"/>
              <w:snapToGrid w:val="0"/>
              <w:spacing w:after="0" w:line="276" w:lineRule="auto"/>
              <w:rPr>
                <w:rFonts w:hint="eastAsia" w:ascii="宋体" w:hAnsi="宋体" w:eastAsia="宋体"/>
                <w:color w:val="auto"/>
                <w:sz w:val="24"/>
                <w:szCs w:val="24"/>
              </w:rPr>
            </w:pPr>
          </w:p>
        </w:tc>
      </w:tr>
      <w:tr w14:paraId="14DAC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4DCB948C">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5AFD0199">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65116124">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275C6F69">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11CF2D29">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61183741">
            <w:pPr>
              <w:pageBreakBefore w:val="0"/>
              <w:overflowPunct/>
              <w:topLinePunct w:val="0"/>
              <w:bidi w:val="0"/>
              <w:snapToGrid w:val="0"/>
              <w:spacing w:after="0" w:line="276" w:lineRule="auto"/>
              <w:rPr>
                <w:rFonts w:hint="eastAsia" w:ascii="宋体" w:hAnsi="宋体" w:eastAsia="宋体"/>
                <w:color w:val="auto"/>
                <w:sz w:val="24"/>
                <w:szCs w:val="24"/>
              </w:rPr>
            </w:pPr>
          </w:p>
        </w:tc>
      </w:tr>
      <w:tr w14:paraId="20FDF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63E5CAE4">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787C492C">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74B66684">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66205D9F">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084CC4B5">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67E03BF5">
            <w:pPr>
              <w:pageBreakBefore w:val="0"/>
              <w:overflowPunct/>
              <w:topLinePunct w:val="0"/>
              <w:bidi w:val="0"/>
              <w:snapToGrid w:val="0"/>
              <w:spacing w:after="0" w:line="276" w:lineRule="auto"/>
              <w:rPr>
                <w:rFonts w:hint="eastAsia" w:ascii="宋体" w:hAnsi="宋体" w:eastAsia="宋体"/>
                <w:color w:val="auto"/>
                <w:sz w:val="24"/>
                <w:szCs w:val="24"/>
              </w:rPr>
            </w:pPr>
          </w:p>
        </w:tc>
      </w:tr>
      <w:tr w14:paraId="4CC11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36DF2DB0">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12F149C3">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7DE96CCE">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713A83C5">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48481125">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50581737">
            <w:pPr>
              <w:pageBreakBefore w:val="0"/>
              <w:overflowPunct/>
              <w:topLinePunct w:val="0"/>
              <w:bidi w:val="0"/>
              <w:snapToGrid w:val="0"/>
              <w:spacing w:after="0" w:line="276" w:lineRule="auto"/>
              <w:rPr>
                <w:rFonts w:hint="eastAsia" w:ascii="宋体" w:hAnsi="宋体" w:eastAsia="宋体"/>
                <w:color w:val="auto"/>
                <w:sz w:val="24"/>
                <w:szCs w:val="24"/>
              </w:rPr>
            </w:pPr>
          </w:p>
        </w:tc>
      </w:tr>
      <w:tr w14:paraId="066DB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center"/>
          </w:tcPr>
          <w:p w14:paraId="0B527266">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2D40F9F7">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18242FD4">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48829349">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7D831B65">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32F429A7">
            <w:pPr>
              <w:pageBreakBefore w:val="0"/>
              <w:overflowPunct/>
              <w:topLinePunct w:val="0"/>
              <w:bidi w:val="0"/>
              <w:snapToGrid w:val="0"/>
              <w:spacing w:after="0" w:line="276" w:lineRule="auto"/>
              <w:rPr>
                <w:rFonts w:hint="eastAsia" w:ascii="宋体" w:hAnsi="宋体" w:eastAsia="宋体"/>
                <w:color w:val="auto"/>
                <w:sz w:val="24"/>
                <w:szCs w:val="24"/>
              </w:rPr>
            </w:pPr>
          </w:p>
        </w:tc>
      </w:tr>
      <w:tr w14:paraId="5D636D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center"/>
          </w:tcPr>
          <w:p w14:paraId="29E146FF">
            <w:pPr>
              <w:pageBreakBefore w:val="0"/>
              <w:overflowPunct/>
              <w:topLinePunct w:val="0"/>
              <w:bidi w:val="0"/>
              <w:snapToGrid w:val="0"/>
              <w:spacing w:after="0" w:line="276" w:lineRule="auto"/>
              <w:rPr>
                <w:rFonts w:hint="eastAsia" w:ascii="宋体" w:hAnsi="宋体" w:eastAsia="宋体"/>
                <w:color w:val="auto"/>
                <w:sz w:val="24"/>
                <w:szCs w:val="24"/>
              </w:rPr>
            </w:pPr>
          </w:p>
        </w:tc>
        <w:tc>
          <w:tcPr>
            <w:tcW w:w="1481" w:type="dxa"/>
            <w:vAlign w:val="center"/>
          </w:tcPr>
          <w:p w14:paraId="43D12F14">
            <w:pPr>
              <w:pageBreakBefore w:val="0"/>
              <w:overflowPunct/>
              <w:topLinePunct w:val="0"/>
              <w:bidi w:val="0"/>
              <w:snapToGrid w:val="0"/>
              <w:spacing w:after="0" w:line="276" w:lineRule="auto"/>
              <w:rPr>
                <w:rFonts w:hint="eastAsia" w:ascii="宋体" w:hAnsi="宋体" w:eastAsia="宋体"/>
                <w:color w:val="auto"/>
                <w:sz w:val="24"/>
                <w:szCs w:val="24"/>
              </w:rPr>
            </w:pPr>
          </w:p>
        </w:tc>
        <w:tc>
          <w:tcPr>
            <w:tcW w:w="2383" w:type="dxa"/>
            <w:vAlign w:val="center"/>
          </w:tcPr>
          <w:p w14:paraId="16F9E499">
            <w:pPr>
              <w:pageBreakBefore w:val="0"/>
              <w:overflowPunct/>
              <w:topLinePunct w:val="0"/>
              <w:bidi w:val="0"/>
              <w:snapToGrid w:val="0"/>
              <w:spacing w:after="0" w:line="276" w:lineRule="auto"/>
              <w:rPr>
                <w:rFonts w:hint="eastAsia" w:ascii="宋体" w:hAnsi="宋体" w:eastAsia="宋体"/>
                <w:color w:val="auto"/>
                <w:sz w:val="24"/>
                <w:szCs w:val="24"/>
              </w:rPr>
            </w:pPr>
          </w:p>
        </w:tc>
        <w:tc>
          <w:tcPr>
            <w:tcW w:w="2125" w:type="dxa"/>
            <w:vAlign w:val="center"/>
          </w:tcPr>
          <w:p w14:paraId="5C6804A1">
            <w:pPr>
              <w:pageBreakBefore w:val="0"/>
              <w:overflowPunct/>
              <w:topLinePunct w:val="0"/>
              <w:bidi w:val="0"/>
              <w:snapToGrid w:val="0"/>
              <w:spacing w:after="0" w:line="276" w:lineRule="auto"/>
              <w:rPr>
                <w:rFonts w:hint="eastAsia" w:ascii="宋体" w:hAnsi="宋体" w:eastAsia="宋体"/>
                <w:color w:val="auto"/>
                <w:sz w:val="24"/>
                <w:szCs w:val="24"/>
              </w:rPr>
            </w:pPr>
          </w:p>
        </w:tc>
        <w:tc>
          <w:tcPr>
            <w:tcW w:w="1874" w:type="dxa"/>
            <w:vAlign w:val="center"/>
          </w:tcPr>
          <w:p w14:paraId="33C07071">
            <w:pPr>
              <w:pageBreakBefore w:val="0"/>
              <w:overflowPunct/>
              <w:topLinePunct w:val="0"/>
              <w:bidi w:val="0"/>
              <w:snapToGrid w:val="0"/>
              <w:spacing w:after="0" w:line="276" w:lineRule="auto"/>
              <w:rPr>
                <w:rFonts w:hint="eastAsia" w:ascii="宋体" w:hAnsi="宋体" w:eastAsia="宋体"/>
                <w:color w:val="auto"/>
                <w:sz w:val="24"/>
                <w:szCs w:val="24"/>
              </w:rPr>
            </w:pPr>
          </w:p>
        </w:tc>
        <w:tc>
          <w:tcPr>
            <w:tcW w:w="1014" w:type="dxa"/>
            <w:vAlign w:val="center"/>
          </w:tcPr>
          <w:p w14:paraId="7B5E406B">
            <w:pPr>
              <w:pageBreakBefore w:val="0"/>
              <w:overflowPunct/>
              <w:topLinePunct w:val="0"/>
              <w:bidi w:val="0"/>
              <w:snapToGrid w:val="0"/>
              <w:spacing w:after="0" w:line="276" w:lineRule="auto"/>
              <w:rPr>
                <w:rFonts w:hint="eastAsia" w:ascii="宋体" w:hAnsi="宋体" w:eastAsia="宋体"/>
                <w:color w:val="auto"/>
                <w:sz w:val="24"/>
                <w:szCs w:val="24"/>
              </w:rPr>
            </w:pPr>
          </w:p>
        </w:tc>
      </w:tr>
    </w:tbl>
    <w:p w14:paraId="4BE6281C">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注：</w:t>
      </w:r>
    </w:p>
    <w:p w14:paraId="760E1D05">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 xml:space="preserve">1.对招标文件中的所有商务、技术要求，除本表所列明的所有偏离外，均视作供应商已对之理解和响应。此表中若无任何文字说明，内容为空白的，投标无效。 </w:t>
      </w:r>
    </w:p>
    <w:p w14:paraId="010A617D">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2.“偏离情况”列应据实填写“无偏离”“正偏离”或“负偏离”。</w:t>
      </w:r>
    </w:p>
    <w:p w14:paraId="61805790">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投标人名称 (加盖公章)：</w:t>
      </w:r>
      <w:r>
        <w:rPr>
          <w:rFonts w:hint="eastAsia" w:ascii="宋体" w:hAnsi="宋体" w:eastAsia="宋体"/>
          <w:color w:val="auto"/>
          <w:sz w:val="24"/>
          <w:szCs w:val="24"/>
          <w:u w:val="single"/>
        </w:rPr>
        <w:t xml:space="preserve">           </w:t>
      </w:r>
    </w:p>
    <w:p w14:paraId="0D929FB6">
      <w:pPr>
        <w:pageBreakBefore w:val="0"/>
        <w:overflowPunct/>
        <w:topLinePunct w:val="0"/>
        <w:bidi w:val="0"/>
        <w:snapToGrid w:val="0"/>
        <w:spacing w:after="0" w:line="360" w:lineRule="auto"/>
        <w:ind w:firstLine="480" w:firstLineChars="200"/>
        <w:rPr>
          <w:rFonts w:hint="eastAsia" w:ascii="宋体" w:hAnsi="宋体" w:eastAsia="宋体"/>
          <w:color w:val="auto"/>
          <w:sz w:val="24"/>
          <w:szCs w:val="24"/>
        </w:rPr>
      </w:pPr>
      <w:r>
        <w:rPr>
          <w:rFonts w:hint="eastAsia" w:ascii="宋体" w:hAnsi="宋体" w:eastAsia="宋体"/>
          <w:color w:val="auto"/>
          <w:sz w:val="24"/>
          <w:szCs w:val="24"/>
        </w:rPr>
        <w:t>日期：_____年______月______日</w:t>
      </w:r>
    </w:p>
    <w:p w14:paraId="6B396481">
      <w:pPr>
        <w:pStyle w:val="6"/>
        <w:pageBreakBefore w:val="0"/>
        <w:overflowPunct/>
        <w:topLinePunct w:val="0"/>
        <w:bidi w:val="0"/>
        <w:snapToGrid w:val="0"/>
        <w:spacing w:after="0"/>
        <w:rPr>
          <w:rFonts w:hint="eastAsia" w:hAnsi="宋体"/>
        </w:rPr>
      </w:pPr>
    </w:p>
    <w:p w14:paraId="2628B672">
      <w:pPr>
        <w:pStyle w:val="6"/>
        <w:pageBreakBefore w:val="0"/>
        <w:overflowPunct/>
        <w:topLinePunct w:val="0"/>
        <w:bidi w:val="0"/>
        <w:snapToGrid w:val="0"/>
        <w:spacing w:after="0"/>
      </w:pPr>
      <w:r>
        <w:br w:type="page"/>
      </w:r>
    </w:p>
    <w:p w14:paraId="2917B0B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z w:val="24"/>
          <w:szCs w:val="24"/>
        </w:rPr>
        <w:sectPr>
          <w:headerReference r:id="rId16" w:type="default"/>
          <w:footerReference r:id="rId17" w:type="default"/>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olor w:val="auto"/>
          <w:spacing w:val="1"/>
          <w:sz w:val="24"/>
          <w:szCs w:val="24"/>
        </w:rPr>
        <w:t>7</w:t>
      </w:r>
      <w:r>
        <w:rPr>
          <w:rFonts w:ascii="宋体" w:hAnsi="宋体" w:eastAsia="宋体"/>
          <w:color w:val="auto"/>
          <w:spacing w:val="1"/>
          <w:sz w:val="24"/>
          <w:szCs w:val="24"/>
        </w:rPr>
        <w:t xml:space="preserve"> </w:t>
      </w:r>
      <w:r>
        <w:rPr>
          <w:rFonts w:ascii="宋体" w:hAnsi="宋体" w:eastAsia="宋体" w:cs="宋体"/>
          <w:color w:val="auto"/>
          <w:spacing w:val="1"/>
          <w:sz w:val="24"/>
          <w:szCs w:val="24"/>
        </w:rPr>
        <w:t>招标文件要求提供</w:t>
      </w:r>
      <w:r>
        <w:rPr>
          <w:rFonts w:ascii="宋体" w:hAnsi="宋体" w:eastAsia="宋体" w:cs="宋体"/>
          <w:color w:val="auto"/>
          <w:sz w:val="24"/>
          <w:szCs w:val="24"/>
        </w:rPr>
        <w:t>或投标人认为应附的其他材料</w:t>
      </w:r>
    </w:p>
    <w:p w14:paraId="233B751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outlineLvl w:val="2"/>
        <w:rPr>
          <w:rFonts w:hint="eastAsia" w:ascii="宋体" w:hAnsi="宋体" w:eastAsia="宋体" w:cs="宋体"/>
          <w:color w:val="auto"/>
          <w:sz w:val="24"/>
          <w:szCs w:val="24"/>
        </w:rPr>
      </w:pPr>
      <w:r>
        <w:rPr>
          <w:rFonts w:hint="eastAsia" w:ascii="宋体" w:hAnsi="宋体" w:eastAsia="宋体" w:cs="宋体"/>
          <w:color w:val="auto"/>
          <w:sz w:val="24"/>
          <w:szCs w:val="24"/>
        </w:rPr>
        <w:t>8 技术部分</w:t>
      </w:r>
    </w:p>
    <w:p w14:paraId="3949002D">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p>
    <w:p w14:paraId="5BF124D9">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说明：请根据本项目的需求，参照评审打分要求，自行编写实施（服务）方案。</w:t>
      </w:r>
    </w:p>
    <w:p w14:paraId="7DDED576">
      <w:pPr>
        <w:pageBreakBefore w:val="0"/>
        <w:widowControl w:val="0"/>
        <w:tabs>
          <w:tab w:val="left" w:pos="360"/>
        </w:tabs>
        <w:kinsoku/>
        <w:overflowPunct/>
        <w:topLinePunct w:val="0"/>
        <w:autoSpaceDE/>
        <w:autoSpaceDN/>
        <w:bidi w:val="0"/>
        <w:adjustRightInd/>
        <w:snapToGrid w:val="0"/>
        <w:spacing w:after="0" w:line="360" w:lineRule="auto"/>
        <w:ind w:left="357" w:hanging="357"/>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（格式自拟）</w:t>
      </w:r>
    </w:p>
    <w:p w14:paraId="6B93DAFA">
      <w:pPr>
        <w:pStyle w:val="6"/>
        <w:pageBreakBefore w:val="0"/>
        <w:overflowPunct/>
        <w:topLinePunct w:val="0"/>
        <w:bidi w:val="0"/>
        <w:snapToGrid w:val="0"/>
        <w:spacing w:after="0"/>
        <w:rPr>
          <w:rFonts w:hint="eastAsia" w:hAnsi="宋体"/>
        </w:rPr>
      </w:pPr>
    </w:p>
    <w:p w14:paraId="1F371D90">
      <w:pPr>
        <w:pageBreakBefore w:val="0"/>
        <w:overflowPunct/>
        <w:topLinePunct w:val="0"/>
        <w:bidi w:val="0"/>
        <w:snapToGrid w:val="0"/>
        <w:spacing w:after="0" w:line="360" w:lineRule="auto"/>
        <w:ind w:firstLine="480" w:firstLineChars="200"/>
        <w:rPr>
          <w:color w:val="auto"/>
        </w:rPr>
      </w:pPr>
      <w:r>
        <w:rPr>
          <w:rFonts w:hint="eastAsia" w:ascii="宋体" w:hAnsi="宋体" w:eastAsia="宋体"/>
          <w:color w:val="auto"/>
          <w:sz w:val="24"/>
          <w:szCs w:val="24"/>
        </w:rPr>
        <w:t xml:space="preserve">                                               </w:t>
      </w:r>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9CA5A5C-257F-4E21-993A-B4C859D5C96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822F5E2D-8DD9-4604-AB95-5AFFA8A3C78D}"/>
  </w:font>
  <w:font w:name="等线">
    <w:panose1 w:val="02010600030101010101"/>
    <w:charset w:val="86"/>
    <w:family w:val="auto"/>
    <w:pitch w:val="default"/>
    <w:sig w:usb0="A00002BF" w:usb1="38CF7CFA" w:usb2="00000016" w:usb3="00000000" w:csb0="0004000F" w:csb1="00000000"/>
    <w:embedRegular r:id="rId3" w:fontKey="{CEE8E0D5-D371-452A-99A2-34227C5E101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embedRegular r:id="rId4" w:fontKey="{985884CD-BBC1-45B6-98DA-2C1C887EBE8D}"/>
  </w:font>
  <w:font w:name="Segoe UI Symbol">
    <w:panose1 w:val="020B0502040204020203"/>
    <w:charset w:val="00"/>
    <w:family w:val="swiss"/>
    <w:pitch w:val="default"/>
    <w:sig w:usb0="800001E3" w:usb1="1200FFEF" w:usb2="00040000" w:usb3="04000000" w:csb0="00000001" w:csb1="40000000"/>
    <w:embedRegular r:id="rId5" w:fontKey="{2D4ECD55-F996-4E0A-BA2B-3B1A5BB93252}"/>
  </w:font>
  <w:font w:name="仿宋">
    <w:panose1 w:val="02010609060101010101"/>
    <w:charset w:val="86"/>
    <w:family w:val="modern"/>
    <w:pitch w:val="default"/>
    <w:sig w:usb0="800002BF" w:usb1="38CF7CFA" w:usb2="00000016" w:usb3="00000000" w:csb0="00040001" w:csb1="00000000"/>
    <w:embedRegular r:id="rId6" w:fontKey="{94031503-1F7E-4C4F-BBC7-FB994CFAF91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embedRegular r:id="rId7" w:fontKey="{8C620A4C-A896-47CC-9056-6DB0432441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CBF6A">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0B72B">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8498A">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4D9AB">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AAA5A6">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9AAA5A6">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73724">
    <w:pPr>
      <w:pStyle w:val="11"/>
      <w:jc w:val="center"/>
      <w:rPr>
        <w:rFonts w:hint="eastAsia" w:ascii="宋体" w:hAnsi="宋体" w:eastAsia="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65CE4">
                          <w:pPr>
                            <w:pStyle w:val="11"/>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F565CE4">
                    <w:pPr>
                      <w:pStyle w:val="11"/>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4B117">
    <w:pPr>
      <w:pStyle w:val="11"/>
      <w:jc w:val="center"/>
      <w:rPr>
        <w:rFonts w:hint="eastAsia" w:ascii="宋体" w:hAnsi="宋体" w:eastAsia="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32329E">
                          <w:pPr>
                            <w:pStyle w:val="11"/>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C32329E">
                    <w:pPr>
                      <w:pStyle w:val="11"/>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8E558C">
    <w:pPr>
      <w:pStyle w:val="11"/>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BC25F9">
                          <w:pPr>
                            <w:pStyle w:val="11"/>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BC25F9">
                    <w:pPr>
                      <w:pStyle w:val="11"/>
                    </w:pPr>
                    <w:r>
                      <w:fldChar w:fldCharType="begin"/>
                    </w:r>
                    <w:r>
                      <w:instrText xml:space="preserve"> PAGE  \* MERGEFORMAT </w:instrText>
                    </w:r>
                    <w:r>
                      <w:fldChar w:fldCharType="separate"/>
                    </w:r>
                    <w:r>
                      <w:t>44</w:t>
                    </w:r>
                    <w:r>
                      <w:fldChar w:fldCharType="end"/>
                    </w:r>
                  </w:p>
                </w:txbxContent>
              </v:textbox>
            </v:shape>
          </w:pict>
        </mc:Fallback>
      </mc:AlternateContent>
    </w:r>
  </w:p>
  <w:p w14:paraId="4D2D2B5C">
    <w:pPr>
      <w:spacing w:line="198" w:lineRule="auto"/>
      <w:ind w:left="4430"/>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31DA8">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8DD770">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8DD770">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7FB09">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27FE3">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19F19">
    <w:pPr>
      <w:pStyle w:val="12"/>
      <w:widowControl w:val="0"/>
      <w:pBdr>
        <w:top w:val="none" w:color="auto" w:sz="0" w:space="1"/>
        <w:left w:val="none" w:color="auto" w:sz="0" w:space="4"/>
        <w:bottom w:val="none" w:color="auto" w:sz="0" w:space="1"/>
        <w:right w:val="none" w:color="auto" w:sz="0" w:space="4"/>
        <w:between w:val="none" w:color="auto" w:sz="0" w:space="0"/>
      </w:pBdr>
      <w:snapToGrid w:val="0"/>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1C3C9">
    <w:pPr>
      <w:pStyle w:val="12"/>
      <w:widowControl w:val="0"/>
      <w:pBdr>
        <w:top w:val="none" w:color="auto" w:sz="0" w:space="1"/>
        <w:left w:val="none" w:color="auto" w:sz="0" w:space="4"/>
        <w:bottom w:val="none" w:color="auto" w:sz="0" w:space="1"/>
        <w:right w:val="none" w:color="auto" w:sz="0" w:space="4"/>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B028D2">
    <w:pPr>
      <w:pStyle w:val="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FAB84C"/>
    <w:multiLevelType w:val="singleLevel"/>
    <w:tmpl w:val="BDFAB84C"/>
    <w:lvl w:ilvl="0" w:tentative="0">
      <w:start w:val="1"/>
      <w:numFmt w:val="chineseCounting"/>
      <w:suff w:val="nothing"/>
      <w:lvlText w:val="（%1）"/>
      <w:lvlJc w:val="left"/>
      <w:rPr>
        <w:rFonts w:hint="eastAsia"/>
      </w:rPr>
    </w:lvl>
  </w:abstractNum>
  <w:abstractNum w:abstractNumId="1">
    <w:nsid w:val="D77E59E9"/>
    <w:multiLevelType w:val="singleLevel"/>
    <w:tmpl w:val="D77E59E9"/>
    <w:lvl w:ilvl="0" w:tentative="0">
      <w:start w:val="1"/>
      <w:numFmt w:val="decimal"/>
      <w:suff w:val="nothing"/>
      <w:lvlText w:val="%1、"/>
      <w:lvlJc w:val="left"/>
    </w:lvl>
  </w:abstractNum>
  <w:abstractNum w:abstractNumId="2">
    <w:nsid w:val="DF7FEC5B"/>
    <w:multiLevelType w:val="singleLevel"/>
    <w:tmpl w:val="DF7FEC5B"/>
    <w:lvl w:ilvl="0" w:tentative="0">
      <w:start w:val="2"/>
      <w:numFmt w:val="chineseCounting"/>
      <w:suff w:val="nothing"/>
      <w:lvlText w:val="（%1）"/>
      <w:lvlJc w:val="left"/>
      <w:rPr>
        <w:rFonts w:hint="eastAsia"/>
      </w:rPr>
    </w:lvl>
  </w:abstractNum>
  <w:abstractNum w:abstractNumId="3">
    <w:nsid w:val="E77E20AC"/>
    <w:multiLevelType w:val="singleLevel"/>
    <w:tmpl w:val="E77E20AC"/>
    <w:lvl w:ilvl="0" w:tentative="0">
      <w:start w:val="2"/>
      <w:numFmt w:val="chineseCounting"/>
      <w:suff w:val="nothing"/>
      <w:lvlText w:val="（%1）"/>
      <w:lvlJc w:val="left"/>
      <w:rPr>
        <w:rFonts w:hint="eastAsia"/>
      </w:rPr>
    </w:lvl>
  </w:abstractNum>
  <w:abstractNum w:abstractNumId="4">
    <w:nsid w:val="F07777FA"/>
    <w:multiLevelType w:val="singleLevel"/>
    <w:tmpl w:val="F07777FA"/>
    <w:lvl w:ilvl="0" w:tentative="0">
      <w:start w:val="2"/>
      <w:numFmt w:val="decimal"/>
      <w:suff w:val="nothing"/>
      <w:lvlText w:val="（%1）"/>
      <w:lvlJc w:val="left"/>
    </w:lvl>
  </w:abstractNum>
  <w:abstractNum w:abstractNumId="5">
    <w:nsid w:val="FE7D2AA4"/>
    <w:multiLevelType w:val="singleLevel"/>
    <w:tmpl w:val="FE7D2AA4"/>
    <w:lvl w:ilvl="0" w:tentative="0">
      <w:start w:val="1"/>
      <w:numFmt w:val="decimal"/>
      <w:suff w:val="nothing"/>
      <w:lvlText w:val="%1、"/>
      <w:lvlJc w:val="left"/>
    </w:lvl>
  </w:abstractNum>
  <w:abstractNum w:abstractNumId="6">
    <w:nsid w:val="FFEF1C4D"/>
    <w:multiLevelType w:val="singleLevel"/>
    <w:tmpl w:val="FFEF1C4D"/>
    <w:lvl w:ilvl="0" w:tentative="0">
      <w:start w:val="2"/>
      <w:numFmt w:val="decimal"/>
      <w:suff w:val="nothing"/>
      <w:lvlText w:val="（%1）"/>
      <w:lvlJc w:val="left"/>
    </w:lvl>
  </w:abstractNum>
  <w:abstractNum w:abstractNumId="7">
    <w:nsid w:val="3E6EC7C9"/>
    <w:multiLevelType w:val="singleLevel"/>
    <w:tmpl w:val="3E6EC7C9"/>
    <w:lvl w:ilvl="0" w:tentative="0">
      <w:start w:val="3"/>
      <w:numFmt w:val="chineseCounting"/>
      <w:suff w:val="nothing"/>
      <w:lvlText w:val="（%1）"/>
      <w:lvlJc w:val="left"/>
      <w:rPr>
        <w:rFonts w:hint="eastAsia"/>
      </w:rPr>
    </w:lvl>
  </w:abstractNum>
  <w:abstractNum w:abstractNumId="8">
    <w:nsid w:val="7FB73837"/>
    <w:multiLevelType w:val="singleLevel"/>
    <w:tmpl w:val="7FB73837"/>
    <w:lvl w:ilvl="0" w:tentative="0">
      <w:start w:val="2"/>
      <w:numFmt w:val="decimal"/>
      <w:suff w:val="nothing"/>
      <w:lvlText w:val="%1、"/>
      <w:lvlJc w:val="left"/>
    </w:lvl>
  </w:abstractNum>
  <w:num w:numId="1">
    <w:abstractNumId w:val="4"/>
  </w:num>
  <w:num w:numId="2">
    <w:abstractNumId w:val="6"/>
  </w:num>
  <w:num w:numId="3">
    <w:abstractNumId w:val="2"/>
  </w:num>
  <w:num w:numId="4">
    <w:abstractNumId w:val="7"/>
  </w:num>
  <w:num w:numId="5">
    <w:abstractNumId w:val="5"/>
  </w:num>
  <w:num w:numId="6">
    <w:abstractNumId w:val="0"/>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trackRevisions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FlZmM2ZDFiN2MyODI0MWE3ZDZkZmIxMzExOWYzYjAifQ=="/>
  </w:docVars>
  <w:rsids>
    <w:rsidRoot w:val="001F27B0"/>
    <w:rsid w:val="000155BD"/>
    <w:rsid w:val="00016D48"/>
    <w:rsid w:val="000C222B"/>
    <w:rsid w:val="001D1DF3"/>
    <w:rsid w:val="001F27B0"/>
    <w:rsid w:val="00207848"/>
    <w:rsid w:val="002A1A92"/>
    <w:rsid w:val="003664D5"/>
    <w:rsid w:val="003833FD"/>
    <w:rsid w:val="003B594A"/>
    <w:rsid w:val="003C216F"/>
    <w:rsid w:val="00400004"/>
    <w:rsid w:val="00430AE0"/>
    <w:rsid w:val="00453795"/>
    <w:rsid w:val="004F680F"/>
    <w:rsid w:val="00521D5F"/>
    <w:rsid w:val="00524291"/>
    <w:rsid w:val="0056349A"/>
    <w:rsid w:val="005C3F17"/>
    <w:rsid w:val="005D7C0C"/>
    <w:rsid w:val="005F2BF6"/>
    <w:rsid w:val="00631128"/>
    <w:rsid w:val="0067672D"/>
    <w:rsid w:val="006C2E26"/>
    <w:rsid w:val="006D3E81"/>
    <w:rsid w:val="00767F9F"/>
    <w:rsid w:val="007F77CC"/>
    <w:rsid w:val="008453BA"/>
    <w:rsid w:val="0086188A"/>
    <w:rsid w:val="008727FA"/>
    <w:rsid w:val="008E745A"/>
    <w:rsid w:val="00924C5E"/>
    <w:rsid w:val="00936C21"/>
    <w:rsid w:val="009F6EC1"/>
    <w:rsid w:val="00A06E09"/>
    <w:rsid w:val="00A108E5"/>
    <w:rsid w:val="00AE5DBF"/>
    <w:rsid w:val="00B25DEC"/>
    <w:rsid w:val="00B310CE"/>
    <w:rsid w:val="00B3174B"/>
    <w:rsid w:val="00B638ED"/>
    <w:rsid w:val="00B75109"/>
    <w:rsid w:val="00BE63F8"/>
    <w:rsid w:val="00C235A6"/>
    <w:rsid w:val="00D24846"/>
    <w:rsid w:val="00D33B55"/>
    <w:rsid w:val="00D76130"/>
    <w:rsid w:val="00DC7DFE"/>
    <w:rsid w:val="00E40459"/>
    <w:rsid w:val="00E72D64"/>
    <w:rsid w:val="00EC326C"/>
    <w:rsid w:val="00ED1B1E"/>
    <w:rsid w:val="00F22092"/>
    <w:rsid w:val="00F55072"/>
    <w:rsid w:val="00FA5DA9"/>
    <w:rsid w:val="00FF6469"/>
    <w:rsid w:val="028C11CF"/>
    <w:rsid w:val="047D5273"/>
    <w:rsid w:val="04D56E5D"/>
    <w:rsid w:val="098A577A"/>
    <w:rsid w:val="12843C71"/>
    <w:rsid w:val="13874268"/>
    <w:rsid w:val="14E53D99"/>
    <w:rsid w:val="1878225E"/>
    <w:rsid w:val="18D6296F"/>
    <w:rsid w:val="19C07269"/>
    <w:rsid w:val="19F7AA8F"/>
    <w:rsid w:val="1C092E89"/>
    <w:rsid w:val="1CF061F6"/>
    <w:rsid w:val="21B06830"/>
    <w:rsid w:val="22F84302"/>
    <w:rsid w:val="238735C1"/>
    <w:rsid w:val="25AB17E9"/>
    <w:rsid w:val="29183D21"/>
    <w:rsid w:val="2D67724B"/>
    <w:rsid w:val="2F306845"/>
    <w:rsid w:val="37321D6A"/>
    <w:rsid w:val="3AA12CFA"/>
    <w:rsid w:val="3B293484"/>
    <w:rsid w:val="3B767654"/>
    <w:rsid w:val="3C631823"/>
    <w:rsid w:val="3E5F1D58"/>
    <w:rsid w:val="40EF5B97"/>
    <w:rsid w:val="42393318"/>
    <w:rsid w:val="48325BB0"/>
    <w:rsid w:val="49857CBC"/>
    <w:rsid w:val="49900B72"/>
    <w:rsid w:val="4E7B3B9E"/>
    <w:rsid w:val="50355FCF"/>
    <w:rsid w:val="564D7E16"/>
    <w:rsid w:val="570F0CE3"/>
    <w:rsid w:val="58245814"/>
    <w:rsid w:val="5D027239"/>
    <w:rsid w:val="649C269E"/>
    <w:rsid w:val="66286BD6"/>
    <w:rsid w:val="669A51EB"/>
    <w:rsid w:val="67BA0BD0"/>
    <w:rsid w:val="68A721B1"/>
    <w:rsid w:val="69937495"/>
    <w:rsid w:val="6AA22B9D"/>
    <w:rsid w:val="6CB26A0A"/>
    <w:rsid w:val="6E6B7E36"/>
    <w:rsid w:val="705A17F8"/>
    <w:rsid w:val="734F50C5"/>
    <w:rsid w:val="744C0156"/>
    <w:rsid w:val="76B550F6"/>
    <w:rsid w:val="76C398A2"/>
    <w:rsid w:val="770B33AC"/>
    <w:rsid w:val="79627585"/>
    <w:rsid w:val="7A5501B5"/>
    <w:rsid w:val="7BF3536A"/>
    <w:rsid w:val="7C2EAA8D"/>
    <w:rsid w:val="7CDB11E0"/>
    <w:rsid w:val="7DA37522"/>
    <w:rsid w:val="7DB59773"/>
    <w:rsid w:val="7EE333D2"/>
    <w:rsid w:val="BED6E6A9"/>
    <w:rsid w:val="BFB72F13"/>
    <w:rsid w:val="DDEED149"/>
    <w:rsid w:val="EF3E1194"/>
    <w:rsid w:val="F2BB5A1B"/>
    <w:rsid w:val="FFB5D28F"/>
    <w:rsid w:val="FFDB4AF1"/>
    <w:rsid w:val="FFF3550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after="160" w:line="278" w:lineRule="auto"/>
      <w:textAlignment w:val="baseline"/>
    </w:pPr>
    <w:rPr>
      <w:rFonts w:ascii="Arial" w:hAnsi="Arial" w:cs="Arial" w:eastAsiaTheme="minorEastAsia"/>
      <w:snapToGrid w:val="0"/>
      <w:color w:val="000000"/>
      <w:sz w:val="21"/>
      <w:szCs w:val="21"/>
      <w:lang w:val="en-US" w:eastAsia="zh-CN" w:bidi="ar-SA"/>
    </w:rPr>
  </w:style>
  <w:style w:type="paragraph" w:styleId="3">
    <w:name w:val="heading 1"/>
    <w:basedOn w:val="1"/>
    <w:next w:val="1"/>
    <w:qFormat/>
    <w:uiPriority w:val="9"/>
    <w:pPr>
      <w:keepNext/>
      <w:keepLines/>
      <w:spacing w:before="340" w:after="330" w:line="576" w:lineRule="auto"/>
      <w:outlineLvl w:val="0"/>
    </w:pPr>
    <w:rPr>
      <w:b/>
      <w:kern w:val="44"/>
      <w:sz w:val="44"/>
    </w:rPr>
  </w:style>
  <w:style w:type="paragraph" w:styleId="4">
    <w:name w:val="heading 2"/>
    <w:basedOn w:val="1"/>
    <w:next w:val="1"/>
    <w:link w:val="24"/>
    <w:unhideWhenUsed/>
    <w:qFormat/>
    <w:uiPriority w:val="9"/>
    <w:pPr>
      <w:keepNext/>
      <w:keepLines/>
      <w:spacing w:before="360" w:after="360" w:line="416" w:lineRule="auto"/>
      <w:outlineLvl w:val="1"/>
    </w:pPr>
    <w:rPr>
      <w:rFonts w:asciiTheme="majorHAnsi" w:hAnsiTheme="majorHAnsi" w:eastAsiaTheme="majorEastAsia" w:cstheme="majorBidi"/>
      <w:b/>
      <w:bCs/>
      <w:sz w:val="32"/>
      <w:szCs w:val="32"/>
    </w:rPr>
  </w:style>
  <w:style w:type="paragraph" w:styleId="5">
    <w:name w:val="heading 3"/>
    <w:basedOn w:val="1"/>
    <w:next w:val="6"/>
    <w:link w:val="25"/>
    <w:unhideWhenUsed/>
    <w:qFormat/>
    <w:uiPriority w:val="9"/>
    <w:pPr>
      <w:keepNext/>
      <w:keepLines/>
      <w:spacing w:before="120" w:after="120" w:line="416" w:lineRule="auto"/>
      <w:outlineLvl w:val="2"/>
    </w:pPr>
    <w:rPr>
      <w:rFonts w:eastAsia="宋体"/>
      <w:b/>
      <w:bCs/>
      <w:sz w:val="24"/>
      <w:szCs w:val="32"/>
    </w:rPr>
  </w:style>
  <w:style w:type="character" w:default="1" w:styleId="18">
    <w:name w:val="Default Paragraph Font"/>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style>
  <w:style w:type="paragraph" w:styleId="6">
    <w:name w:val="Normal Indent"/>
    <w:basedOn w:val="1"/>
    <w:link w:val="21"/>
    <w:qFormat/>
    <w:uiPriority w:val="0"/>
    <w:pPr>
      <w:widowControl w:val="0"/>
      <w:kinsoku/>
      <w:snapToGrid/>
      <w:ind w:firstLine="420"/>
      <w:textAlignment w:val="auto"/>
    </w:pPr>
    <w:rPr>
      <w:rFonts w:ascii="宋体" w:hAnsi="Times New Roman" w:eastAsia="宋体" w:cs="Times New Roman"/>
      <w:snapToGrid/>
      <w:color w:val="auto"/>
      <w:sz w:val="24"/>
      <w:szCs w:val="20"/>
    </w:rPr>
  </w:style>
  <w:style w:type="paragraph" w:styleId="7">
    <w:name w:val="annotation text"/>
    <w:basedOn w:val="1"/>
    <w:link w:val="26"/>
    <w:qFormat/>
    <w:uiPriority w:val="0"/>
    <w:pPr>
      <w:widowControl w:val="0"/>
      <w:kinsoku/>
      <w:autoSpaceDE/>
      <w:autoSpaceDN/>
      <w:adjustRightInd/>
      <w:snapToGrid/>
      <w:textAlignment w:val="auto"/>
    </w:pPr>
    <w:rPr>
      <w:rFonts w:ascii="Times New Roman" w:hAnsi="Times New Roman" w:eastAsia="宋体" w:cs="Times New Roman"/>
      <w:snapToGrid/>
      <w:color w:val="auto"/>
      <w:kern w:val="2"/>
      <w:szCs w:val="24"/>
    </w:rPr>
  </w:style>
  <w:style w:type="paragraph" w:styleId="8">
    <w:name w:val="Body Text"/>
    <w:basedOn w:val="1"/>
    <w:qFormat/>
    <w:uiPriority w:val="0"/>
    <w:rPr>
      <w:rFonts w:ascii="宋体" w:hAnsi="宋体" w:eastAsia="宋体" w:cs="宋体"/>
      <w:sz w:val="30"/>
      <w:szCs w:val="30"/>
      <w:lang w:eastAsia="en-US"/>
    </w:rPr>
  </w:style>
  <w:style w:type="paragraph" w:styleId="9">
    <w:name w:val="Body Text Indent"/>
    <w:basedOn w:val="1"/>
    <w:link w:val="37"/>
    <w:semiHidden/>
    <w:unhideWhenUsed/>
    <w:qFormat/>
    <w:uiPriority w:val="99"/>
    <w:pPr>
      <w:spacing w:after="120"/>
      <w:ind w:left="420" w:leftChars="200"/>
    </w:pPr>
  </w:style>
  <w:style w:type="paragraph" w:styleId="10">
    <w:name w:val="Balloon Text"/>
    <w:basedOn w:val="1"/>
    <w:link w:val="35"/>
    <w:semiHidden/>
    <w:unhideWhenUsed/>
    <w:qFormat/>
    <w:uiPriority w:val="99"/>
    <w:pPr>
      <w:spacing w:after="0" w:line="240" w:lineRule="auto"/>
    </w:pPr>
    <w:rPr>
      <w:sz w:val="18"/>
      <w:szCs w:val="18"/>
    </w:rPr>
  </w:style>
  <w:style w:type="paragraph" w:styleId="11">
    <w:name w:val="footer"/>
    <w:basedOn w:val="1"/>
    <w:link w:val="23"/>
    <w:unhideWhenUsed/>
    <w:qFormat/>
    <w:uiPriority w:val="99"/>
    <w:pPr>
      <w:tabs>
        <w:tab w:val="center" w:pos="4153"/>
        <w:tab w:val="right" w:pos="8306"/>
      </w:tabs>
      <w:spacing w:line="240" w:lineRule="auto"/>
    </w:pPr>
    <w:rPr>
      <w:sz w:val="18"/>
      <w:szCs w:val="18"/>
    </w:rPr>
  </w:style>
  <w:style w:type="paragraph" w:styleId="12">
    <w:name w:val="header"/>
    <w:basedOn w:val="1"/>
    <w:link w:val="22"/>
    <w:unhideWhenUsed/>
    <w:qFormat/>
    <w:uiPriority w:val="0"/>
    <w:pPr>
      <w:tabs>
        <w:tab w:val="center" w:pos="4153"/>
        <w:tab w:val="right" w:pos="8306"/>
      </w:tabs>
      <w:spacing w:line="240" w:lineRule="auto"/>
      <w:jc w:val="center"/>
    </w:pPr>
    <w:rPr>
      <w:sz w:val="18"/>
      <w:szCs w:val="18"/>
    </w:rPr>
  </w:style>
  <w:style w:type="paragraph" w:styleId="13">
    <w:name w:val="Title"/>
    <w:basedOn w:val="1"/>
    <w:next w:val="1"/>
    <w:qFormat/>
    <w:uiPriority w:val="0"/>
    <w:pPr>
      <w:widowControl w:val="0"/>
      <w:kinsoku/>
      <w:autoSpaceDE/>
      <w:autoSpaceDN/>
      <w:adjustRightInd/>
      <w:snapToGrid/>
      <w:spacing w:after="0"/>
      <w:jc w:val="center"/>
      <w:textAlignment w:val="auto"/>
      <w:outlineLvl w:val="0"/>
    </w:pPr>
    <w:rPr>
      <w:rFonts w:ascii="Times New Roman" w:hAnsi="Times New Roman" w:eastAsia="宋体" w:cs="Times New Roman"/>
      <w:b/>
      <w:snapToGrid/>
      <w:color w:val="auto"/>
      <w:kern w:val="2"/>
      <w:sz w:val="32"/>
      <w:szCs w:val="20"/>
    </w:rPr>
  </w:style>
  <w:style w:type="paragraph" w:styleId="14">
    <w:name w:val="annotation subject"/>
    <w:basedOn w:val="7"/>
    <w:next w:val="7"/>
    <w:link w:val="36"/>
    <w:semiHidden/>
    <w:unhideWhenUsed/>
    <w:qFormat/>
    <w:uiPriority w:val="99"/>
    <w:pPr>
      <w:widowControl/>
      <w:kinsoku w:val="0"/>
      <w:autoSpaceDE w:val="0"/>
      <w:autoSpaceDN w:val="0"/>
      <w:adjustRightInd w:val="0"/>
      <w:snapToGrid w:val="0"/>
      <w:textAlignment w:val="baseline"/>
    </w:pPr>
    <w:rPr>
      <w:rFonts w:ascii="Arial" w:hAnsi="Arial" w:cs="Arial" w:eastAsiaTheme="minorEastAsia"/>
      <w:b/>
      <w:bCs/>
      <w:snapToGrid w:val="0"/>
      <w:color w:val="000000"/>
      <w:kern w:val="0"/>
      <w:szCs w:val="21"/>
    </w:rPr>
  </w:style>
  <w:style w:type="paragraph" w:styleId="15">
    <w:name w:val="Body Text First Indent 2"/>
    <w:basedOn w:val="9"/>
    <w:link w:val="38"/>
    <w:semiHidden/>
    <w:unhideWhenUsed/>
    <w:qFormat/>
    <w:uiPriority w:val="99"/>
    <w:pPr>
      <w:ind w:firstLine="420" w:firstLineChars="200"/>
    </w:pPr>
  </w:style>
  <w:style w:type="table" w:styleId="17">
    <w:name w:val="Table Grid"/>
    <w:basedOn w:val="16"/>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Hyperlink"/>
    <w:basedOn w:val="18"/>
    <w:unhideWhenUsed/>
    <w:qFormat/>
    <w:uiPriority w:val="99"/>
    <w:rPr>
      <w:color w:val="467886" w:themeColor="hyperlink"/>
      <w:u w:val="single"/>
      <w14:textFill>
        <w14:solidFill>
          <w14:schemeClr w14:val="hlink"/>
        </w14:solidFill>
      </w14:textFill>
    </w:rPr>
  </w:style>
  <w:style w:type="character" w:styleId="20">
    <w:name w:val="annotation reference"/>
    <w:basedOn w:val="18"/>
    <w:unhideWhenUsed/>
    <w:qFormat/>
    <w:uiPriority w:val="0"/>
    <w:rPr>
      <w:sz w:val="21"/>
      <w:szCs w:val="21"/>
    </w:rPr>
  </w:style>
  <w:style w:type="character" w:customStyle="1" w:styleId="21">
    <w:name w:val="正文缩进 字符"/>
    <w:link w:val="6"/>
    <w:qFormat/>
    <w:uiPriority w:val="0"/>
    <w:rPr>
      <w:rFonts w:ascii="宋体" w:hAnsi="Times New Roman" w:eastAsia="宋体" w:cs="Times New Roman"/>
      <w:kern w:val="0"/>
      <w:sz w:val="24"/>
      <w:szCs w:val="20"/>
      <w14:ligatures w14:val="none"/>
    </w:rPr>
  </w:style>
  <w:style w:type="character" w:customStyle="1" w:styleId="22">
    <w:name w:val="页眉 字符"/>
    <w:basedOn w:val="18"/>
    <w:link w:val="12"/>
    <w:qFormat/>
    <w:uiPriority w:val="0"/>
    <w:rPr>
      <w:rFonts w:ascii="Arial" w:hAnsi="Arial" w:cs="Arial"/>
      <w:snapToGrid w:val="0"/>
      <w:color w:val="000000"/>
      <w:kern w:val="0"/>
      <w:sz w:val="18"/>
      <w:szCs w:val="18"/>
      <w14:ligatures w14:val="none"/>
    </w:rPr>
  </w:style>
  <w:style w:type="character" w:customStyle="1" w:styleId="23">
    <w:name w:val="页脚 字符"/>
    <w:basedOn w:val="18"/>
    <w:link w:val="11"/>
    <w:qFormat/>
    <w:uiPriority w:val="99"/>
    <w:rPr>
      <w:rFonts w:ascii="Arial" w:hAnsi="Arial" w:cs="Arial"/>
      <w:snapToGrid w:val="0"/>
      <w:color w:val="000000"/>
      <w:kern w:val="0"/>
      <w:sz w:val="18"/>
      <w:szCs w:val="18"/>
      <w14:ligatures w14:val="none"/>
    </w:rPr>
  </w:style>
  <w:style w:type="character" w:customStyle="1" w:styleId="24">
    <w:name w:val="标题 2 字符"/>
    <w:basedOn w:val="18"/>
    <w:link w:val="4"/>
    <w:qFormat/>
    <w:uiPriority w:val="0"/>
    <w:rPr>
      <w:rFonts w:asciiTheme="majorHAnsi" w:hAnsiTheme="majorHAnsi" w:eastAsiaTheme="majorEastAsia" w:cstheme="majorBidi"/>
      <w:b/>
      <w:bCs/>
      <w:snapToGrid w:val="0"/>
      <w:color w:val="000000"/>
      <w:kern w:val="0"/>
      <w:sz w:val="32"/>
      <w:szCs w:val="32"/>
      <w14:ligatures w14:val="none"/>
    </w:rPr>
  </w:style>
  <w:style w:type="character" w:customStyle="1" w:styleId="25">
    <w:name w:val="标题 3 字符"/>
    <w:basedOn w:val="18"/>
    <w:link w:val="5"/>
    <w:qFormat/>
    <w:uiPriority w:val="0"/>
    <w:rPr>
      <w:rFonts w:ascii="Arial" w:hAnsi="Arial" w:eastAsia="宋体" w:cs="Arial"/>
      <w:b/>
      <w:bCs/>
      <w:snapToGrid w:val="0"/>
      <w:color w:val="000000"/>
      <w:kern w:val="0"/>
      <w:sz w:val="24"/>
      <w:szCs w:val="32"/>
      <w14:ligatures w14:val="none"/>
    </w:rPr>
  </w:style>
  <w:style w:type="character" w:customStyle="1" w:styleId="26">
    <w:name w:val="批注文字 字符"/>
    <w:basedOn w:val="18"/>
    <w:link w:val="7"/>
    <w:qFormat/>
    <w:uiPriority w:val="0"/>
    <w:rPr>
      <w:rFonts w:ascii="Times New Roman" w:hAnsi="Times New Roman" w:eastAsia="宋体" w:cs="Times New Roman"/>
      <w:szCs w:val="24"/>
      <w14:ligatures w14:val="none"/>
    </w:rPr>
  </w:style>
  <w:style w:type="table" w:customStyle="1" w:styleId="27">
    <w:name w:val="Table Normal"/>
    <w:semiHidden/>
    <w:unhideWhenUsed/>
    <w:qFormat/>
    <w:uiPriority w:val="2"/>
    <w:pPr>
      <w:spacing w:after="160" w:line="278" w:lineRule="auto"/>
    </w:pPr>
    <w:tblPr>
      <w:tblCellMar>
        <w:top w:w="0" w:type="dxa"/>
        <w:left w:w="0" w:type="dxa"/>
        <w:bottom w:w="0" w:type="dxa"/>
        <w:right w:w="0" w:type="dxa"/>
      </w:tblCellMar>
    </w:tblPr>
  </w:style>
  <w:style w:type="paragraph" w:styleId="28">
    <w:name w:val="List Paragraph"/>
    <w:basedOn w:val="1"/>
    <w:link w:val="30"/>
    <w:unhideWhenUsed/>
    <w:qFormat/>
    <w:uiPriority w:val="34"/>
    <w:pPr>
      <w:ind w:firstLine="420" w:firstLineChars="200"/>
    </w:pPr>
  </w:style>
  <w:style w:type="table" w:customStyle="1" w:styleId="29">
    <w:name w:val="网格型1"/>
    <w:basedOn w:val="16"/>
    <w:qFormat/>
    <w:uiPriority w:val="99"/>
    <w:pPr>
      <w:widowControl w:val="0"/>
      <w:spacing w:after="160" w:line="278" w:lineRule="auto"/>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0">
    <w:name w:val="列表段落 字符"/>
    <w:link w:val="28"/>
    <w:qFormat/>
    <w:uiPriority w:val="34"/>
    <w:rPr>
      <w:rFonts w:ascii="Arial" w:hAnsi="Arial" w:cs="Arial"/>
      <w:snapToGrid w:val="0"/>
      <w:color w:val="000000"/>
      <w:kern w:val="0"/>
      <w:szCs w:val="21"/>
      <w14:ligatures w14:val="none"/>
    </w:rPr>
  </w:style>
  <w:style w:type="paragraph" w:customStyle="1" w:styleId="31">
    <w:name w:val="Table Text"/>
    <w:basedOn w:val="1"/>
    <w:semiHidden/>
    <w:qFormat/>
    <w:uiPriority w:val="0"/>
    <w:rPr>
      <w:rFonts w:ascii="宋体" w:hAnsi="宋体" w:eastAsia="宋体" w:cs="宋体"/>
      <w:sz w:val="23"/>
      <w:szCs w:val="23"/>
      <w:lang w:eastAsia="en-US"/>
    </w:rPr>
  </w:style>
  <w:style w:type="paragraph" w:customStyle="1" w:styleId="32">
    <w:name w:val="图例"/>
    <w:basedOn w:val="1"/>
    <w:qFormat/>
    <w:uiPriority w:val="0"/>
    <w:pPr>
      <w:spacing w:before="120" w:after="120" w:line="360" w:lineRule="auto"/>
      <w:jc w:val="center"/>
    </w:pPr>
    <w:rPr>
      <w:rFonts w:eastAsia="仿宋_GB2312"/>
      <w:b/>
      <w:sz w:val="24"/>
      <w:szCs w:val="20"/>
    </w:rPr>
  </w:style>
  <w:style w:type="table" w:customStyle="1" w:styleId="33">
    <w:name w:val="Table Normal1"/>
    <w:semiHidden/>
    <w:qFormat/>
    <w:uiPriority w:val="2"/>
    <w:pPr>
      <w:spacing w:after="160" w:line="276" w:lineRule="auto"/>
    </w:pPr>
    <w:tblPr>
      <w:tblCellMar>
        <w:top w:w="0" w:type="dxa"/>
        <w:left w:w="0" w:type="dxa"/>
        <w:bottom w:w="0" w:type="dxa"/>
        <w:right w:w="0" w:type="dxa"/>
      </w:tblCellMar>
    </w:tblPr>
  </w:style>
  <w:style w:type="character" w:customStyle="1" w:styleId="34">
    <w:name w:val="未处理的提及1"/>
    <w:basedOn w:val="18"/>
    <w:semiHidden/>
    <w:unhideWhenUsed/>
    <w:qFormat/>
    <w:uiPriority w:val="99"/>
    <w:rPr>
      <w:color w:val="605E5C"/>
      <w:shd w:val="clear" w:color="auto" w:fill="E1DFDD"/>
    </w:rPr>
  </w:style>
  <w:style w:type="character" w:customStyle="1" w:styleId="35">
    <w:name w:val="批注框文本 字符"/>
    <w:basedOn w:val="18"/>
    <w:link w:val="10"/>
    <w:semiHidden/>
    <w:qFormat/>
    <w:uiPriority w:val="99"/>
    <w:rPr>
      <w:rFonts w:ascii="Arial" w:hAnsi="Arial" w:cs="Arial"/>
      <w:snapToGrid w:val="0"/>
      <w:color w:val="000000"/>
      <w:sz w:val="18"/>
      <w:szCs w:val="18"/>
    </w:rPr>
  </w:style>
  <w:style w:type="character" w:customStyle="1" w:styleId="36">
    <w:name w:val="批注主题 字符"/>
    <w:basedOn w:val="26"/>
    <w:link w:val="14"/>
    <w:semiHidden/>
    <w:qFormat/>
    <w:uiPriority w:val="99"/>
    <w:rPr>
      <w:rFonts w:ascii="Arial" w:hAnsi="Arial" w:cs="Arial" w:eastAsiaTheme="minorEastAsia"/>
      <w:b/>
      <w:bCs/>
      <w:snapToGrid w:val="0"/>
      <w:color w:val="000000"/>
      <w:sz w:val="21"/>
      <w:szCs w:val="21"/>
      <w14:ligatures w14:val="none"/>
    </w:rPr>
  </w:style>
  <w:style w:type="character" w:customStyle="1" w:styleId="37">
    <w:name w:val="正文文本缩进 字符"/>
    <w:basedOn w:val="18"/>
    <w:link w:val="9"/>
    <w:semiHidden/>
    <w:qFormat/>
    <w:uiPriority w:val="99"/>
    <w:rPr>
      <w:rFonts w:ascii="Arial" w:hAnsi="Arial" w:cs="Arial" w:eastAsiaTheme="minorEastAsia"/>
      <w:snapToGrid w:val="0"/>
      <w:color w:val="000000"/>
      <w:sz w:val="21"/>
      <w:szCs w:val="21"/>
    </w:rPr>
  </w:style>
  <w:style w:type="character" w:customStyle="1" w:styleId="38">
    <w:name w:val="正文文本首行缩进 2 字符"/>
    <w:basedOn w:val="37"/>
    <w:link w:val="15"/>
    <w:semiHidden/>
    <w:qFormat/>
    <w:uiPriority w:val="99"/>
    <w:rPr>
      <w:rFonts w:ascii="Arial" w:hAnsi="Arial" w:cs="Arial" w:eastAsiaTheme="minorEastAsia"/>
      <w:snapToGrid w:val="0"/>
      <w:color w:val="000000"/>
      <w:sz w:val="21"/>
      <w:szCs w:val="21"/>
    </w:rPr>
  </w:style>
  <w:style w:type="paragraph" w:customStyle="1" w:styleId="39">
    <w:name w:val="Table Paragraph"/>
    <w:basedOn w:val="1"/>
    <w:qFormat/>
    <w:uiPriority w:val="1"/>
    <w:pPr>
      <w:widowControl w:val="0"/>
      <w:kinsoku/>
      <w:adjustRightInd/>
      <w:snapToGrid/>
      <w:spacing w:after="0" w:line="240" w:lineRule="auto"/>
      <w:textAlignment w:val="auto"/>
    </w:pPr>
    <w:rPr>
      <w:rFonts w:ascii="宋体" w:hAnsi="宋体" w:eastAsia="宋体" w:cs="宋体"/>
      <w:snapToGrid/>
      <w:color w:val="auto"/>
      <w:sz w:val="22"/>
      <w:szCs w:val="22"/>
      <w:lang w:eastAsia="en-US"/>
    </w:rPr>
  </w:style>
  <w:style w:type="paragraph" w:customStyle="1" w:styleId="40">
    <w:name w:val="正文 缩进2字符"/>
    <w:basedOn w:val="1"/>
    <w:qFormat/>
    <w:uiPriority w:val="0"/>
    <w:pPr>
      <w:spacing w:after="0" w:line="288" w:lineRule="auto"/>
    </w:pPr>
    <w:rPr>
      <w:rFonts w:ascii="宋体" w:hAnsi="宋体"/>
      <w:sz w:val="28"/>
      <w:szCs w:val="28"/>
    </w:rPr>
  </w:style>
  <w:style w:type="paragraph" w:customStyle="1" w:styleId="41">
    <w:name w:val="Default"/>
    <w:qFormat/>
    <w:uiPriority w:val="0"/>
    <w:pPr>
      <w:widowControl w:val="0"/>
      <w:autoSpaceDE w:val="0"/>
      <w:autoSpaceDN w:val="0"/>
      <w:adjustRightInd w:val="0"/>
    </w:pPr>
    <w:rPr>
      <w:rFonts w:ascii="宋体" w:eastAsia="宋体" w:cs="宋体" w:hAnsiTheme="minorHAnsi"/>
      <w:color w:val="000000"/>
      <w:sz w:val="24"/>
      <w:szCs w:val="24"/>
      <w:lang w:val="en-US" w:eastAsia="en-US" w:bidi="ar-SA"/>
    </w:rPr>
  </w:style>
  <w:style w:type="paragraph" w:customStyle="1" w:styleId="42">
    <w:name w:val="样式 四号 首行缩进:  0.99 厘米 行距: 最小值 25 磅"/>
    <w:basedOn w:val="1"/>
    <w:link w:val="43"/>
    <w:qFormat/>
    <w:uiPriority w:val="0"/>
    <w:pPr>
      <w:spacing w:after="0" w:line="500" w:lineRule="atLeast"/>
      <w:ind w:firstLine="561"/>
    </w:pPr>
    <w:rPr>
      <w:sz w:val="28"/>
      <w:szCs w:val="28"/>
    </w:rPr>
  </w:style>
  <w:style w:type="character" w:customStyle="1" w:styleId="43">
    <w:name w:val="样式 四号 首行缩进:  0.99 厘米 行距: 最小值 25 磅 Char"/>
    <w:link w:val="42"/>
    <w:qFormat/>
    <w:uiPriority w:val="0"/>
    <w:rPr>
      <w:rFonts w:ascii="Arial" w:hAnsi="Arial" w:cs="Arial" w:eastAsiaTheme="minorEastAsia"/>
      <w:snapToGrid w:val="0"/>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5.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13470</Words>
  <Characters>14612</Characters>
  <Lines>291</Lines>
  <Paragraphs>82</Paragraphs>
  <TotalTime>19</TotalTime>
  <ScaleCrop>false</ScaleCrop>
  <LinksUpToDate>false</LinksUpToDate>
  <CharactersWithSpaces>15052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2025-02-15T09:42:00Z</dcterms:created>
  <dc:creator>静静 张</dc:creator>
  <cp:lastModifiedBy>W</cp:lastModifiedBy>
  <dcterms:modified xsi:type="dcterms:W3CDTF">2025-03-17T02:26:45Z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7DC13119372746C7A27F1461E8441465_13</vt:lpwstr>
  </property>
  <property fmtid="{D5CDD505-2E9C-101B-9397-08002B2CF9AE}" pid="4" name="KSOTemplateDocerSaveRecord">
    <vt:lpwstr>eyJoZGlkIjoiOTI5ZjgxYTU5ZjZiOTE1ZWZhYzlhYzdlMjYxM2MzZjQiLCJ1c2VySWQiOiI0MTA2ODQ1NDEifQ==</vt:lpwstr>
  </property>
</Properties>
</file>