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60" w:firstLineChars="50"/>
        <w:rPr>
          <w:rFonts w:ascii="宋体" w:cs="CESI黑体-GB2312"/>
          <w:sz w:val="32"/>
          <w:szCs w:val="32"/>
        </w:rPr>
      </w:pPr>
    </w:p>
    <w:p>
      <w:pPr>
        <w:spacing w:line="360" w:lineRule="auto"/>
        <w:ind w:firstLine="160" w:firstLineChars="50"/>
        <w:rPr>
          <w:rFonts w:ascii="宋体" w:cs="CESI黑体-GB2312"/>
          <w:sz w:val="32"/>
          <w:szCs w:val="32"/>
        </w:rPr>
      </w:pPr>
    </w:p>
    <w:p>
      <w:pPr>
        <w:jc w:val="center"/>
        <w:rPr>
          <w:rFonts w:ascii="宋体"/>
          <w:b/>
          <w:bCs/>
          <w:sz w:val="60"/>
          <w:szCs w:val="60"/>
        </w:rPr>
      </w:pPr>
      <w:r>
        <w:rPr>
          <w:rFonts w:hint="eastAsia" w:ascii="宋体" w:hAnsi="宋体"/>
          <w:b/>
          <w:bCs/>
          <w:sz w:val="60"/>
          <w:szCs w:val="60"/>
        </w:rPr>
        <w:t>北京市政府采购项目</w:t>
      </w:r>
    </w:p>
    <w:p>
      <w:pPr>
        <w:jc w:val="center"/>
        <w:rPr>
          <w:rFonts w:ascii="宋体"/>
          <w:b/>
          <w:bCs/>
          <w:sz w:val="60"/>
          <w:szCs w:val="60"/>
        </w:rPr>
      </w:pPr>
      <w:r>
        <w:rPr>
          <w:rFonts w:hint="eastAsia" w:ascii="宋体" w:hAnsi="宋体"/>
          <w:b/>
          <w:bCs/>
          <w:sz w:val="60"/>
          <w:szCs w:val="60"/>
        </w:rPr>
        <w:t>公开招标文件</w:t>
      </w:r>
    </w:p>
    <w:p>
      <w:pPr>
        <w:jc w:val="center"/>
        <w:rPr>
          <w:rFonts w:ascii="宋体"/>
          <w:b/>
          <w:bCs/>
          <w:sz w:val="60"/>
          <w:szCs w:val="60"/>
        </w:rPr>
      </w:pPr>
    </w:p>
    <w:p>
      <w:pPr>
        <w:jc w:val="center"/>
        <w:rPr>
          <w:rFonts w:ascii="宋体"/>
          <w:b/>
          <w:bCs/>
          <w:sz w:val="60"/>
          <w:szCs w:val="60"/>
        </w:rPr>
      </w:pPr>
    </w:p>
    <w:p>
      <w:pPr>
        <w:jc w:val="center"/>
        <w:rPr>
          <w:rFonts w:ascii="宋体"/>
          <w:b/>
          <w:bCs/>
          <w:sz w:val="60"/>
          <w:szCs w:val="60"/>
        </w:rPr>
      </w:pPr>
    </w:p>
    <w:p>
      <w:pPr>
        <w:ind w:left="283" w:leftChars="135"/>
        <w:jc w:val="center"/>
        <w:rPr>
          <w:rFonts w:ascii="宋体"/>
          <w:b/>
          <w:bCs/>
          <w:sz w:val="60"/>
          <w:szCs w:val="60"/>
        </w:rPr>
      </w:pPr>
    </w:p>
    <w:p>
      <w:pPr>
        <w:tabs>
          <w:tab w:val="left" w:pos="426"/>
        </w:tabs>
        <w:jc w:val="center"/>
        <w:rPr>
          <w:rFonts w:ascii="宋体"/>
          <w:b/>
          <w:bCs/>
          <w:sz w:val="60"/>
          <w:szCs w:val="60"/>
        </w:rPr>
      </w:pPr>
      <w:r>
        <w:rPr>
          <w:rFonts w:hint="eastAsia" w:ascii="宋体"/>
          <w:b/>
          <w:bCs/>
          <w:sz w:val="60"/>
          <w:szCs w:val="60"/>
        </w:rPr>
        <w:t xml:space="preserve"> </w:t>
      </w:r>
    </w:p>
    <w:p>
      <w:pPr>
        <w:spacing w:line="360" w:lineRule="auto"/>
        <w:ind w:left="424" w:leftChars="202"/>
        <w:jc w:val="center"/>
        <w:rPr>
          <w:rFonts w:ascii="宋体"/>
          <w:sz w:val="60"/>
          <w:szCs w:val="60"/>
        </w:rPr>
      </w:pPr>
    </w:p>
    <w:p>
      <w:pPr>
        <w:tabs>
          <w:tab w:val="left" w:pos="3240"/>
          <w:tab w:val="left" w:pos="3420"/>
        </w:tabs>
        <w:spacing w:line="360" w:lineRule="auto"/>
        <w:ind w:left="2158" w:leftChars="342" w:hanging="1440" w:hangingChars="400"/>
        <w:jc w:val="left"/>
        <w:rPr>
          <w:rFonts w:ascii="宋体" w:hAnsi="宋体"/>
          <w:bCs/>
          <w:sz w:val="36"/>
          <w:szCs w:val="36"/>
        </w:rPr>
      </w:pPr>
      <w:r>
        <w:rPr>
          <w:rFonts w:hint="eastAsia" w:ascii="宋体" w:hAnsi="宋体"/>
          <w:bCs/>
          <w:sz w:val="36"/>
          <w:szCs w:val="36"/>
        </w:rPr>
        <w:t>项目名称：人大附中亦庄新城学校校园补充建设项目（2024年非集采）</w:t>
      </w:r>
    </w:p>
    <w:p>
      <w:pPr>
        <w:tabs>
          <w:tab w:val="left" w:pos="3240"/>
          <w:tab w:val="left" w:pos="3420"/>
        </w:tabs>
        <w:spacing w:line="360" w:lineRule="auto"/>
        <w:ind w:left="2158" w:leftChars="342" w:hanging="1440" w:hangingChars="400"/>
        <w:jc w:val="left"/>
        <w:rPr>
          <w:rFonts w:ascii="宋体" w:hAnsi="宋体"/>
          <w:bCs/>
          <w:sz w:val="36"/>
          <w:szCs w:val="36"/>
        </w:rPr>
      </w:pPr>
      <w:r>
        <w:rPr>
          <w:rFonts w:hint="eastAsia" w:ascii="宋体" w:hAnsi="宋体"/>
          <w:bCs/>
          <w:sz w:val="36"/>
          <w:szCs w:val="36"/>
        </w:rPr>
        <w:t>第一包名称：人大附中亦庄新城学校校园补充建设项目（2024年非集采）-专业设备</w:t>
      </w:r>
    </w:p>
    <w:p>
      <w:pPr>
        <w:tabs>
          <w:tab w:val="left" w:pos="3240"/>
        </w:tabs>
        <w:spacing w:line="360" w:lineRule="auto"/>
        <w:ind w:firstLine="720" w:firstLineChars="200"/>
        <w:jc w:val="left"/>
        <w:rPr>
          <w:rFonts w:ascii="宋体" w:hAnsi="宋体"/>
          <w:bCs/>
          <w:sz w:val="36"/>
          <w:szCs w:val="36"/>
        </w:rPr>
      </w:pPr>
      <w:r>
        <w:rPr>
          <w:rFonts w:ascii="宋体" w:hAnsi="宋体"/>
          <w:bCs/>
          <w:sz w:val="36"/>
          <w:szCs w:val="36"/>
        </w:rPr>
        <w:t>项目编号</w:t>
      </w:r>
      <w:r>
        <w:rPr>
          <w:rFonts w:hint="eastAsia" w:ascii="宋体" w:hAnsi="宋体"/>
          <w:bCs/>
          <w:sz w:val="36"/>
          <w:szCs w:val="36"/>
        </w:rPr>
        <w:t>：</w:t>
      </w:r>
      <w:r>
        <w:fldChar w:fldCharType="begin"/>
      </w:r>
      <w:r>
        <w:instrText xml:space="preserve"> HYPERLINK "http://219.232.204.193:8080/frontend/plan/project_detail.html?projectUuid=ee8a3515-5213-4159-9dfb-1f116b3abd39&amp;viewMode=accept" </w:instrText>
      </w:r>
      <w:r>
        <w:fldChar w:fldCharType="separate"/>
      </w:r>
      <w:r>
        <w:rPr>
          <w:rFonts w:hint="eastAsia" w:ascii="宋体" w:hAnsi="宋体"/>
          <w:bCs/>
          <w:sz w:val="36"/>
          <w:szCs w:val="36"/>
        </w:rPr>
        <w:t>ZFCG2024-015100-T000033-JH002-XM001</w:t>
      </w:r>
      <w:r>
        <w:rPr>
          <w:rFonts w:hint="eastAsia" w:ascii="宋体" w:hAnsi="宋体"/>
          <w:bCs/>
          <w:sz w:val="36"/>
          <w:szCs w:val="36"/>
        </w:rPr>
        <w:fldChar w:fldCharType="end"/>
      </w:r>
      <w:r>
        <w:rPr>
          <w:rFonts w:hint="eastAsia" w:ascii="宋体" w:hAnsi="宋体"/>
          <w:bCs/>
          <w:sz w:val="36"/>
          <w:szCs w:val="36"/>
        </w:rPr>
        <w:t>-1</w:t>
      </w:r>
    </w:p>
    <w:p>
      <w:pPr>
        <w:tabs>
          <w:tab w:val="left" w:pos="3240"/>
          <w:tab w:val="left" w:pos="3420"/>
        </w:tabs>
        <w:spacing w:line="360" w:lineRule="auto"/>
        <w:ind w:firstLine="720" w:firstLineChars="200"/>
        <w:jc w:val="left"/>
        <w:rPr>
          <w:rFonts w:ascii="宋体"/>
          <w:bCs/>
          <w:sz w:val="36"/>
          <w:szCs w:val="36"/>
        </w:rPr>
      </w:pPr>
      <w:r>
        <w:rPr>
          <w:rFonts w:hint="eastAsia" w:ascii="宋体" w:hAnsi="宋体"/>
          <w:bCs/>
          <w:sz w:val="36"/>
          <w:szCs w:val="36"/>
        </w:rPr>
        <w:t>项目代理编号：</w:t>
      </w:r>
      <w:r>
        <w:rPr>
          <w:rFonts w:ascii="宋体" w:hAnsi="宋体"/>
          <w:bCs/>
          <w:sz w:val="36"/>
          <w:szCs w:val="36"/>
        </w:rPr>
        <w:t>TJZB-2024-</w:t>
      </w:r>
      <w:r>
        <w:rPr>
          <w:rFonts w:hint="eastAsia" w:ascii="宋体" w:hAnsi="宋体"/>
          <w:bCs/>
          <w:sz w:val="36"/>
          <w:szCs w:val="36"/>
        </w:rPr>
        <w:t>204</w:t>
      </w:r>
    </w:p>
    <w:p>
      <w:pPr>
        <w:tabs>
          <w:tab w:val="left" w:pos="3240"/>
          <w:tab w:val="left" w:pos="3420"/>
        </w:tabs>
        <w:spacing w:line="360" w:lineRule="auto"/>
        <w:ind w:firstLine="720" w:firstLineChars="200"/>
        <w:jc w:val="left"/>
        <w:rPr>
          <w:rFonts w:ascii="宋体"/>
          <w:bCs/>
          <w:sz w:val="36"/>
          <w:szCs w:val="36"/>
        </w:rPr>
      </w:pPr>
      <w:r>
        <w:rPr>
          <w:rFonts w:hint="eastAsia" w:ascii="宋体" w:hAnsi="宋体"/>
          <w:bCs/>
          <w:sz w:val="36"/>
          <w:szCs w:val="36"/>
        </w:rPr>
        <w:t>采</w:t>
      </w:r>
      <w:r>
        <w:rPr>
          <w:rFonts w:ascii="宋体" w:hAnsi="宋体"/>
          <w:bCs/>
          <w:sz w:val="36"/>
          <w:szCs w:val="36"/>
        </w:rPr>
        <w:t xml:space="preserve">   </w:t>
      </w:r>
      <w:r>
        <w:rPr>
          <w:rFonts w:hint="eastAsia" w:ascii="宋体" w:hAnsi="宋体"/>
          <w:bCs/>
          <w:sz w:val="36"/>
          <w:szCs w:val="36"/>
        </w:rPr>
        <w:t>购</w:t>
      </w:r>
      <w:r>
        <w:rPr>
          <w:rFonts w:ascii="宋体" w:hAnsi="宋体"/>
          <w:bCs/>
          <w:sz w:val="36"/>
          <w:szCs w:val="36"/>
        </w:rPr>
        <w:t xml:space="preserve">   </w:t>
      </w:r>
      <w:r>
        <w:rPr>
          <w:rFonts w:hint="eastAsia" w:ascii="宋体" w:hAnsi="宋体"/>
          <w:bCs/>
          <w:sz w:val="36"/>
          <w:szCs w:val="36"/>
        </w:rPr>
        <w:t>人：人大附中亦庄新城学校</w:t>
      </w:r>
    </w:p>
    <w:p>
      <w:pPr>
        <w:tabs>
          <w:tab w:val="left" w:pos="3240"/>
          <w:tab w:val="left" w:pos="3420"/>
        </w:tabs>
        <w:spacing w:line="360" w:lineRule="auto"/>
        <w:ind w:firstLine="720" w:firstLineChars="200"/>
        <w:jc w:val="left"/>
        <w:rPr>
          <w:rFonts w:ascii="宋体" w:hAnsi="宋体"/>
          <w:bCs/>
          <w:sz w:val="36"/>
          <w:szCs w:val="36"/>
        </w:rPr>
      </w:pPr>
      <w:r>
        <w:rPr>
          <w:rFonts w:hint="eastAsia" w:ascii="宋体" w:hAnsi="宋体"/>
          <w:bCs/>
          <w:sz w:val="36"/>
          <w:szCs w:val="36"/>
        </w:rPr>
        <w:t>采购代理机构：北京天极招投标咨询有限公司</w:t>
      </w:r>
    </w:p>
    <w:p>
      <w:pPr>
        <w:rPr>
          <w:rFonts w:ascii="宋体"/>
          <w:b/>
          <w:bCs/>
          <w:sz w:val="44"/>
        </w:rPr>
      </w:pPr>
      <w:r>
        <w:rPr>
          <w:rFonts w:hint="eastAsia" w:ascii="宋体" w:hAnsi="宋体"/>
          <w:bCs/>
          <w:sz w:val="36"/>
          <w:szCs w:val="36"/>
        </w:rPr>
        <w:br w:type="page"/>
      </w:r>
    </w:p>
    <w:p>
      <w:pPr>
        <w:widowControl/>
        <w:jc w:val="center"/>
        <w:rPr>
          <w:rFonts w:ascii="宋体"/>
          <w:b/>
          <w:bCs/>
          <w:sz w:val="44"/>
        </w:rPr>
      </w:pPr>
      <w:bookmarkStart w:id="0" w:name="_Toc99301418"/>
    </w:p>
    <w:p>
      <w:pPr>
        <w:widowControl/>
        <w:jc w:val="center"/>
        <w:rPr>
          <w:rFonts w:ascii="宋体" w:hAnsi="宋体"/>
          <w:b/>
          <w:sz w:val="44"/>
          <w:szCs w:val="44"/>
        </w:rPr>
      </w:pPr>
      <w:r>
        <w:rPr>
          <w:rFonts w:hint="eastAsia" w:ascii="宋体" w:hAnsi="宋体"/>
          <w:b/>
          <w:sz w:val="44"/>
          <w:szCs w:val="44"/>
        </w:rPr>
        <w:t>目</w:t>
      </w:r>
      <w:r>
        <w:rPr>
          <w:rFonts w:ascii="宋体" w:hAnsi="宋体"/>
          <w:b/>
          <w:sz w:val="44"/>
          <w:szCs w:val="44"/>
        </w:rPr>
        <w:t xml:space="preserve">      </w:t>
      </w:r>
      <w:r>
        <w:rPr>
          <w:rFonts w:hint="eastAsia" w:ascii="宋体" w:hAnsi="宋体"/>
          <w:b/>
          <w:sz w:val="44"/>
          <w:szCs w:val="44"/>
        </w:rPr>
        <w:t>录</w:t>
      </w:r>
      <w:bookmarkEnd w:id="0"/>
    </w:p>
    <w:p>
      <w:pPr>
        <w:pStyle w:val="37"/>
      </w:pPr>
    </w:p>
    <w:p>
      <w:pPr>
        <w:rPr>
          <w:rFonts w:ascii="宋体"/>
        </w:rPr>
      </w:pPr>
    </w:p>
    <w:p>
      <w:pPr>
        <w:pStyle w:val="37"/>
      </w:pPr>
    </w:p>
    <w:p>
      <w:pPr>
        <w:pStyle w:val="37"/>
        <w:rPr>
          <w:sz w:val="32"/>
          <w:szCs w:val="32"/>
        </w:rPr>
      </w:pP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b w:val="0"/>
          <w:sz w:val="32"/>
          <w:szCs w:val="32"/>
        </w:rPr>
        <w:fldChar w:fldCharType="begin"/>
      </w:r>
      <w:r>
        <w:rPr>
          <w:b w:val="0"/>
          <w:sz w:val="32"/>
          <w:szCs w:val="32"/>
        </w:rPr>
        <w:instrText xml:space="preserve"> TOC \o "1-1" \h \z \u </w:instrText>
      </w:r>
      <w:r>
        <w:rPr>
          <w:b w:val="0"/>
          <w:sz w:val="32"/>
          <w:szCs w:val="32"/>
        </w:rPr>
        <w:fldChar w:fldCharType="separate"/>
      </w:r>
      <w:r>
        <w:rPr>
          <w:szCs w:val="32"/>
        </w:rPr>
        <w:fldChar w:fldCharType="begin"/>
      </w:r>
      <w:r>
        <w:rPr>
          <w:szCs w:val="32"/>
        </w:rPr>
        <w:instrText xml:space="preserve"> HYPERLINK \l _Toc3809 </w:instrText>
      </w:r>
      <w:r>
        <w:rPr>
          <w:szCs w:val="32"/>
        </w:rPr>
        <w:fldChar w:fldCharType="separate"/>
      </w:r>
      <w:r>
        <w:rPr>
          <w:rFonts w:hint="eastAsia" w:ascii="宋体" w:hAnsi="宋体"/>
          <w:szCs w:val="36"/>
        </w:rPr>
        <w:t>第一章</w:t>
      </w:r>
      <w:r>
        <w:rPr>
          <w:rFonts w:ascii="宋体" w:hAnsi="宋体"/>
          <w:szCs w:val="36"/>
        </w:rPr>
        <w:t xml:space="preserve">   </w:t>
      </w:r>
      <w:r>
        <w:rPr>
          <w:rFonts w:hint="eastAsia" w:ascii="宋体" w:hAnsi="宋体"/>
          <w:szCs w:val="36"/>
        </w:rPr>
        <w:t>投标邀请</w:t>
      </w:r>
      <w:r>
        <w:tab/>
      </w:r>
      <w:r>
        <w:fldChar w:fldCharType="begin"/>
      </w:r>
      <w:r>
        <w:instrText xml:space="preserve"> PAGEREF _Toc3809 \h </w:instrText>
      </w:r>
      <w:r>
        <w:fldChar w:fldCharType="separate"/>
      </w:r>
      <w:r>
        <w:t>1</w:t>
      </w:r>
      <w:r>
        <w:fldChar w:fldCharType="end"/>
      </w:r>
      <w:r>
        <w:rPr>
          <w:szCs w:val="32"/>
        </w:rPr>
        <w:fldChar w:fldCharType="end"/>
      </w: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szCs w:val="32"/>
        </w:rPr>
        <w:fldChar w:fldCharType="begin"/>
      </w:r>
      <w:r>
        <w:rPr>
          <w:szCs w:val="32"/>
        </w:rPr>
        <w:instrText xml:space="preserve"> HYPERLINK \l _Toc12057 </w:instrText>
      </w:r>
      <w:r>
        <w:rPr>
          <w:szCs w:val="32"/>
        </w:rPr>
        <w:fldChar w:fldCharType="separate"/>
      </w:r>
      <w:r>
        <w:rPr>
          <w:rFonts w:hint="eastAsia" w:ascii="宋体" w:hAnsi="宋体"/>
          <w:szCs w:val="36"/>
        </w:rPr>
        <w:t>第二章</w:t>
      </w:r>
      <w:r>
        <w:rPr>
          <w:rFonts w:ascii="宋体" w:hAnsi="宋体"/>
          <w:szCs w:val="36"/>
        </w:rPr>
        <w:t xml:space="preserve">   </w:t>
      </w:r>
      <w:r>
        <w:rPr>
          <w:rFonts w:hint="eastAsia" w:ascii="宋体" w:hAnsi="宋体"/>
          <w:szCs w:val="36"/>
        </w:rPr>
        <w:t>投标人须知</w:t>
      </w:r>
      <w:r>
        <w:tab/>
      </w:r>
      <w:r>
        <w:fldChar w:fldCharType="begin"/>
      </w:r>
      <w:r>
        <w:instrText xml:space="preserve"> PAGEREF _Toc12057 \h </w:instrText>
      </w:r>
      <w:r>
        <w:fldChar w:fldCharType="separate"/>
      </w:r>
      <w:r>
        <w:t>5</w:t>
      </w:r>
      <w:r>
        <w:fldChar w:fldCharType="end"/>
      </w:r>
      <w:r>
        <w:rPr>
          <w:szCs w:val="32"/>
        </w:rPr>
        <w:fldChar w:fldCharType="end"/>
      </w: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szCs w:val="32"/>
        </w:rPr>
        <w:fldChar w:fldCharType="begin"/>
      </w:r>
      <w:r>
        <w:rPr>
          <w:szCs w:val="32"/>
        </w:rPr>
        <w:instrText xml:space="preserve"> HYPERLINK \l _Toc2806 </w:instrText>
      </w:r>
      <w:r>
        <w:rPr>
          <w:szCs w:val="32"/>
        </w:rPr>
        <w:fldChar w:fldCharType="separate"/>
      </w:r>
      <w:r>
        <w:rPr>
          <w:rFonts w:hint="eastAsia" w:ascii="宋体" w:hAnsi="宋体"/>
          <w:szCs w:val="36"/>
        </w:rPr>
        <w:t>第三章</w:t>
      </w:r>
      <w:r>
        <w:rPr>
          <w:rFonts w:ascii="宋体" w:hAnsi="宋体"/>
          <w:szCs w:val="36"/>
        </w:rPr>
        <w:t xml:space="preserve">   </w:t>
      </w:r>
      <w:r>
        <w:rPr>
          <w:rFonts w:hint="eastAsia" w:ascii="宋体" w:hAnsi="宋体"/>
          <w:szCs w:val="36"/>
        </w:rPr>
        <w:t>资格审查</w:t>
      </w:r>
      <w:r>
        <w:tab/>
      </w:r>
      <w:r>
        <w:fldChar w:fldCharType="begin"/>
      </w:r>
      <w:r>
        <w:instrText xml:space="preserve"> PAGEREF _Toc2806 \h </w:instrText>
      </w:r>
      <w:r>
        <w:fldChar w:fldCharType="separate"/>
      </w:r>
      <w:r>
        <w:t>27</w:t>
      </w:r>
      <w:r>
        <w:fldChar w:fldCharType="end"/>
      </w:r>
      <w:r>
        <w:rPr>
          <w:szCs w:val="32"/>
        </w:rPr>
        <w:fldChar w:fldCharType="end"/>
      </w: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szCs w:val="32"/>
        </w:rPr>
        <w:fldChar w:fldCharType="begin"/>
      </w:r>
      <w:r>
        <w:rPr>
          <w:szCs w:val="32"/>
        </w:rPr>
        <w:instrText xml:space="preserve"> HYPERLINK \l _Toc14915 </w:instrText>
      </w:r>
      <w:r>
        <w:rPr>
          <w:szCs w:val="32"/>
        </w:rPr>
        <w:fldChar w:fldCharType="separate"/>
      </w:r>
      <w:r>
        <w:rPr>
          <w:rFonts w:hint="eastAsia" w:hAnsi="宋体"/>
          <w:szCs w:val="36"/>
        </w:rPr>
        <w:t>第四章</w:t>
      </w:r>
      <w:r>
        <w:rPr>
          <w:rFonts w:hAnsi="宋体"/>
          <w:szCs w:val="36"/>
        </w:rPr>
        <w:t xml:space="preserve">   </w:t>
      </w:r>
      <w:r>
        <w:rPr>
          <w:rFonts w:hint="eastAsia" w:hAnsi="宋体"/>
          <w:szCs w:val="36"/>
        </w:rPr>
        <w:t>评标程序、评标方法和评标标准</w:t>
      </w:r>
      <w:r>
        <w:tab/>
      </w:r>
      <w:r>
        <w:fldChar w:fldCharType="begin"/>
      </w:r>
      <w:r>
        <w:instrText xml:space="preserve"> PAGEREF _Toc14915 \h </w:instrText>
      </w:r>
      <w:r>
        <w:fldChar w:fldCharType="separate"/>
      </w:r>
      <w:r>
        <w:t>30</w:t>
      </w:r>
      <w:r>
        <w:fldChar w:fldCharType="end"/>
      </w:r>
      <w:r>
        <w:rPr>
          <w:szCs w:val="32"/>
        </w:rPr>
        <w:fldChar w:fldCharType="end"/>
      </w: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szCs w:val="32"/>
        </w:rPr>
        <w:fldChar w:fldCharType="begin"/>
      </w:r>
      <w:r>
        <w:rPr>
          <w:szCs w:val="32"/>
        </w:rPr>
        <w:instrText xml:space="preserve"> HYPERLINK \l _Toc14940 </w:instrText>
      </w:r>
      <w:r>
        <w:rPr>
          <w:szCs w:val="32"/>
        </w:rPr>
        <w:fldChar w:fldCharType="separate"/>
      </w:r>
      <w:r>
        <w:rPr>
          <w:rFonts w:ascii="宋体"/>
          <w:szCs w:val="36"/>
        </w:rPr>
        <w:t>第五章</w:t>
      </w:r>
      <w:r>
        <w:rPr>
          <w:rFonts w:ascii="宋体" w:hAnsi="宋体"/>
          <w:szCs w:val="36"/>
        </w:rPr>
        <w:t xml:space="preserve"> </w:t>
      </w:r>
      <w:r>
        <w:rPr>
          <w:rFonts w:hint="eastAsia"/>
          <w:szCs w:val="36"/>
          <w:lang w:val="en-US" w:eastAsia="zh-CN"/>
        </w:rPr>
        <w:t xml:space="preserve">  </w:t>
      </w:r>
      <w:r>
        <w:rPr>
          <w:rFonts w:hint="eastAsia" w:ascii="宋体" w:hAnsi="宋体"/>
          <w:szCs w:val="36"/>
        </w:rPr>
        <w:t>采购需求</w:t>
      </w:r>
      <w:r>
        <w:tab/>
      </w:r>
      <w:r>
        <w:fldChar w:fldCharType="begin"/>
      </w:r>
      <w:r>
        <w:instrText xml:space="preserve"> PAGEREF _Toc14940 \h </w:instrText>
      </w:r>
      <w:r>
        <w:fldChar w:fldCharType="separate"/>
      </w:r>
      <w:r>
        <w:t>39</w:t>
      </w:r>
      <w:r>
        <w:fldChar w:fldCharType="end"/>
      </w:r>
      <w:r>
        <w:rPr>
          <w:szCs w:val="32"/>
        </w:rPr>
        <w:fldChar w:fldCharType="end"/>
      </w: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szCs w:val="32"/>
        </w:rPr>
        <w:fldChar w:fldCharType="begin"/>
      </w:r>
      <w:r>
        <w:rPr>
          <w:szCs w:val="32"/>
        </w:rPr>
        <w:instrText xml:space="preserve"> HYPERLINK \l _Toc19463 </w:instrText>
      </w:r>
      <w:r>
        <w:rPr>
          <w:szCs w:val="32"/>
        </w:rPr>
        <w:fldChar w:fldCharType="separate"/>
      </w:r>
      <w:r>
        <w:rPr>
          <w:rFonts w:hint="eastAsia" w:ascii="宋体" w:hAnsi="宋体"/>
          <w:szCs w:val="36"/>
        </w:rPr>
        <w:t>第六章</w:t>
      </w:r>
      <w:r>
        <w:rPr>
          <w:rFonts w:ascii="宋体" w:hAnsi="宋体"/>
          <w:szCs w:val="36"/>
        </w:rPr>
        <w:t xml:space="preserve">   </w:t>
      </w:r>
      <w:r>
        <w:rPr>
          <w:rFonts w:hint="eastAsia" w:ascii="宋体" w:hAnsi="宋体"/>
          <w:szCs w:val="36"/>
        </w:rPr>
        <w:t>拟签订的合同文本</w:t>
      </w:r>
      <w:r>
        <w:tab/>
      </w:r>
      <w:r>
        <w:fldChar w:fldCharType="begin"/>
      </w:r>
      <w:r>
        <w:instrText xml:space="preserve"> PAGEREF _Toc19463 \h </w:instrText>
      </w:r>
      <w:r>
        <w:fldChar w:fldCharType="separate"/>
      </w:r>
      <w:r>
        <w:t>114</w:t>
      </w:r>
      <w:r>
        <w:fldChar w:fldCharType="end"/>
      </w:r>
      <w:r>
        <w:rPr>
          <w:szCs w:val="32"/>
        </w:rPr>
        <w:fldChar w:fldCharType="end"/>
      </w:r>
    </w:p>
    <w:p>
      <w:pPr>
        <w:pStyle w:val="31"/>
        <w:keepNext w:val="0"/>
        <w:keepLines w:val="0"/>
        <w:pageBreakBefore w:val="0"/>
        <w:widowControl w:val="0"/>
        <w:tabs>
          <w:tab w:val="right" w:leader="dot" w:pos="9355"/>
          <w:tab w:val="clear" w:pos="1050"/>
          <w:tab w:val="clear" w:pos="8937"/>
        </w:tabs>
        <w:kinsoku/>
        <w:wordWrap/>
        <w:overflowPunct/>
        <w:topLinePunct w:val="0"/>
        <w:autoSpaceDE/>
        <w:autoSpaceDN/>
        <w:bidi w:val="0"/>
        <w:adjustRightInd/>
        <w:snapToGrid/>
        <w:spacing w:line="480" w:lineRule="auto"/>
        <w:textAlignment w:val="auto"/>
      </w:pPr>
      <w:r>
        <w:rPr>
          <w:szCs w:val="32"/>
        </w:rPr>
        <w:fldChar w:fldCharType="begin"/>
      </w:r>
      <w:r>
        <w:rPr>
          <w:szCs w:val="32"/>
        </w:rPr>
        <w:instrText xml:space="preserve"> HYPERLINK \l _Toc27988 </w:instrText>
      </w:r>
      <w:r>
        <w:rPr>
          <w:szCs w:val="32"/>
        </w:rPr>
        <w:fldChar w:fldCharType="separate"/>
      </w:r>
      <w:r>
        <w:rPr>
          <w:rFonts w:hint="eastAsia" w:hAnsi="宋体"/>
          <w:szCs w:val="36"/>
        </w:rPr>
        <w:t>第七章</w:t>
      </w:r>
      <w:r>
        <w:rPr>
          <w:rFonts w:hAnsi="宋体"/>
          <w:szCs w:val="36"/>
        </w:rPr>
        <w:t xml:space="preserve">   </w:t>
      </w:r>
      <w:r>
        <w:rPr>
          <w:rFonts w:hint="eastAsia" w:hAnsi="宋体"/>
          <w:szCs w:val="36"/>
        </w:rPr>
        <w:t>投标文件格式</w:t>
      </w:r>
      <w:r>
        <w:tab/>
      </w:r>
      <w:r>
        <w:fldChar w:fldCharType="begin"/>
      </w:r>
      <w:r>
        <w:instrText xml:space="preserve"> PAGEREF _Toc27988 \h </w:instrText>
      </w:r>
      <w:r>
        <w:fldChar w:fldCharType="separate"/>
      </w:r>
      <w:r>
        <w:t>120</w:t>
      </w:r>
      <w:r>
        <w:fldChar w:fldCharType="end"/>
      </w:r>
      <w:r>
        <w:rPr>
          <w:szCs w:val="32"/>
        </w:rPr>
        <w:fldChar w:fldCharType="end"/>
      </w:r>
    </w:p>
    <w:p>
      <w:pPr>
        <w:pStyle w:val="31"/>
        <w:keepNext w:val="0"/>
        <w:keepLines w:val="0"/>
        <w:pageBreakBefore w:val="0"/>
        <w:widowControl w:val="0"/>
        <w:kinsoku/>
        <w:wordWrap/>
        <w:overflowPunct/>
        <w:topLinePunct w:val="0"/>
        <w:autoSpaceDE/>
        <w:autoSpaceDN/>
        <w:bidi w:val="0"/>
        <w:adjustRightInd/>
        <w:snapToGrid/>
        <w:spacing w:line="480" w:lineRule="auto"/>
        <w:textAlignment w:val="auto"/>
        <w:rPr>
          <w:b w:val="0"/>
          <w:sz w:val="30"/>
          <w:szCs w:val="30"/>
        </w:rPr>
      </w:pPr>
      <w:r>
        <w:rPr>
          <w:szCs w:val="32"/>
        </w:rPr>
        <w:fldChar w:fldCharType="end"/>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0"/>
        <w:rPr>
          <w:rFonts w:ascii="宋体"/>
          <w:b/>
          <w:sz w:val="36"/>
          <w:szCs w:val="36"/>
        </w:rPr>
        <w:sectPr>
          <w:headerReference r:id="rId3" w:type="first"/>
          <w:type w:val="nextColumn"/>
          <w:pgSz w:w="11907" w:h="16840"/>
          <w:pgMar w:top="1418" w:right="992" w:bottom="1418" w:left="1560" w:header="851" w:footer="851" w:gutter="0"/>
          <w:pgNumType w:start="0"/>
          <w:cols w:space="720" w:num="1"/>
          <w:titlePg/>
          <w:docGrid w:linePitch="462" w:charSpace="0"/>
        </w:sectPr>
      </w:pPr>
    </w:p>
    <w:p>
      <w:pPr>
        <w:spacing w:line="360" w:lineRule="auto"/>
        <w:jc w:val="center"/>
        <w:outlineLvl w:val="0"/>
        <w:rPr>
          <w:rFonts w:ascii="宋体"/>
          <w:b/>
          <w:sz w:val="36"/>
          <w:szCs w:val="36"/>
        </w:rPr>
      </w:pPr>
      <w:bookmarkStart w:id="1" w:name="_Toc3809"/>
      <w:r>
        <w:rPr>
          <w:rFonts w:hint="eastAsia" w:ascii="宋体" w:hAnsi="宋体"/>
          <w:b/>
          <w:sz w:val="36"/>
          <w:szCs w:val="36"/>
        </w:rPr>
        <w:t>第一章</w:t>
      </w:r>
      <w:r>
        <w:rPr>
          <w:rFonts w:ascii="宋体" w:hAnsi="宋体"/>
          <w:b/>
          <w:sz w:val="36"/>
          <w:szCs w:val="36"/>
        </w:rPr>
        <w:t xml:space="preserve">   </w:t>
      </w:r>
      <w:r>
        <w:rPr>
          <w:rFonts w:hint="eastAsia" w:ascii="宋体" w:hAnsi="宋体"/>
          <w:b/>
          <w:sz w:val="36"/>
          <w:szCs w:val="36"/>
        </w:rPr>
        <w:t>投标邀请</w:t>
      </w:r>
      <w:bookmarkEnd w:id="1"/>
    </w:p>
    <w:p>
      <w:pPr>
        <w:pStyle w:val="3"/>
        <w:spacing w:before="0" w:line="360" w:lineRule="auto"/>
        <w:jc w:val="left"/>
        <w:rPr>
          <w:rFonts w:ascii="宋体" w:hAnsi="宋体" w:eastAsia="宋体"/>
          <w:sz w:val="24"/>
          <w:szCs w:val="24"/>
        </w:rPr>
      </w:pPr>
      <w:bookmarkStart w:id="2" w:name="_Toc35393790"/>
      <w:bookmarkStart w:id="3" w:name="_Toc28359079"/>
      <w:bookmarkStart w:id="4" w:name="_Toc28359002"/>
      <w:bookmarkStart w:id="5" w:name="_Toc35393621"/>
      <w:bookmarkStart w:id="6" w:name="_Hlk24379207"/>
      <w:r>
        <w:rPr>
          <w:rFonts w:hint="eastAsia" w:ascii="宋体" w:hAnsi="宋体" w:eastAsia="宋体"/>
          <w:sz w:val="24"/>
          <w:szCs w:val="24"/>
        </w:rPr>
        <w:t>一、项目基本情况</w:t>
      </w:r>
      <w:bookmarkEnd w:id="2"/>
      <w:bookmarkEnd w:id="3"/>
      <w:bookmarkEnd w:id="4"/>
      <w:bookmarkEnd w:id="5"/>
    </w:p>
    <w:p>
      <w:pPr>
        <w:spacing w:line="360" w:lineRule="auto"/>
        <w:ind w:firstLine="480" w:firstLineChars="200"/>
        <w:rPr>
          <w:rFonts w:ascii="宋体" w:hAnsi="宋体"/>
          <w:sz w:val="24"/>
        </w:rPr>
      </w:pPr>
      <w:r>
        <w:rPr>
          <w:rFonts w:ascii="宋体" w:hAnsi="宋体"/>
          <w:sz w:val="24"/>
        </w:rPr>
        <w:t>1.项目编号</w:t>
      </w:r>
      <w:r>
        <w:rPr>
          <w:rFonts w:hint="eastAsia" w:ascii="宋体" w:hAnsi="宋体"/>
          <w:sz w:val="24"/>
        </w:rPr>
        <w:t>：</w:t>
      </w:r>
      <w:r>
        <w:fldChar w:fldCharType="begin"/>
      </w:r>
      <w:r>
        <w:instrText xml:space="preserve"> HYPERLINK "http://219.232.204.193:8080/frontend/plan/project_detail.html?projectUuid=ee8a3515-5213-4159-9dfb-1f116b3abd39&amp;viewMode=accept" </w:instrText>
      </w:r>
      <w:r>
        <w:fldChar w:fldCharType="separate"/>
      </w:r>
      <w:r>
        <w:rPr>
          <w:rFonts w:hint="eastAsia" w:ascii="宋体" w:hAnsi="宋体"/>
          <w:sz w:val="24"/>
        </w:rPr>
        <w:t>ZFCG2024-015100-T000033-JH002-XM001</w:t>
      </w:r>
      <w:r>
        <w:rPr>
          <w:rFonts w:hint="eastAsia" w:ascii="宋体" w:hAnsi="宋体"/>
          <w:sz w:val="24"/>
        </w:rPr>
        <w:fldChar w:fldCharType="end"/>
      </w:r>
      <w:r>
        <w:rPr>
          <w:rFonts w:hint="eastAsia" w:ascii="宋体" w:hAnsi="宋体"/>
          <w:sz w:val="24"/>
        </w:rPr>
        <w:t>-1</w:t>
      </w:r>
    </w:p>
    <w:p>
      <w:pPr>
        <w:spacing w:line="360" w:lineRule="auto"/>
        <w:ind w:firstLine="720" w:firstLineChars="300"/>
        <w:rPr>
          <w:rFonts w:ascii="宋体"/>
          <w:sz w:val="24"/>
        </w:rPr>
      </w:pPr>
      <w:r>
        <w:rPr>
          <w:rFonts w:hint="eastAsia" w:ascii="宋体" w:hAnsi="宋体"/>
          <w:sz w:val="24"/>
        </w:rPr>
        <w:t>项目代理编号：TJZB-202</w:t>
      </w:r>
      <w:r>
        <w:rPr>
          <w:rFonts w:ascii="宋体" w:hAnsi="宋体"/>
          <w:sz w:val="24"/>
        </w:rPr>
        <w:t>4</w:t>
      </w:r>
      <w:r>
        <w:rPr>
          <w:rFonts w:hint="eastAsia" w:ascii="宋体" w:hAnsi="宋体"/>
          <w:sz w:val="24"/>
        </w:rPr>
        <w:t>-204</w:t>
      </w:r>
    </w:p>
    <w:p>
      <w:pPr>
        <w:numPr>
          <w:ilvl w:val="0"/>
          <w:numId w:val="8"/>
        </w:numPr>
        <w:spacing w:line="360" w:lineRule="auto"/>
        <w:ind w:firstLine="480" w:firstLineChars="200"/>
        <w:rPr>
          <w:rFonts w:ascii="宋体" w:hAnsi="宋体"/>
          <w:sz w:val="24"/>
        </w:rPr>
      </w:pPr>
      <w:r>
        <w:rPr>
          <w:rFonts w:hint="eastAsia" w:ascii="宋体" w:hAnsi="宋体"/>
          <w:sz w:val="24"/>
        </w:rPr>
        <w:t>项目名称：人大附中亦庄新城学校校园补充建设项目（2024年非集采）</w:t>
      </w:r>
    </w:p>
    <w:p>
      <w:pPr>
        <w:spacing w:line="360" w:lineRule="auto"/>
        <w:ind w:firstLine="960" w:firstLineChars="400"/>
        <w:rPr>
          <w:rFonts w:ascii="宋体" w:hAnsi="宋体"/>
          <w:sz w:val="24"/>
        </w:rPr>
      </w:pPr>
      <w:r>
        <w:rPr>
          <w:rFonts w:hint="eastAsia" w:ascii="宋体" w:hAnsi="宋体"/>
          <w:sz w:val="24"/>
        </w:rPr>
        <w:t>第一包名称：人大附中亦庄新城学校校园补充建设项目（2024年非集采）-专业设备</w:t>
      </w:r>
    </w:p>
    <w:bookmarkEnd w:id="6"/>
    <w:p>
      <w:pPr>
        <w:spacing w:line="360" w:lineRule="auto"/>
        <w:ind w:firstLine="480" w:firstLineChars="200"/>
        <w:rPr>
          <w:rFonts w:ascii="宋体" w:hAnsi="宋体"/>
          <w:sz w:val="24"/>
        </w:rPr>
      </w:pPr>
      <w:r>
        <w:rPr>
          <w:rFonts w:ascii="宋体" w:hAnsi="宋体"/>
          <w:sz w:val="24"/>
        </w:rPr>
        <w:t>3.</w:t>
      </w:r>
      <w:r>
        <w:rPr>
          <w:rFonts w:hint="eastAsia" w:ascii="宋体" w:hAnsi="宋体"/>
          <w:sz w:val="24"/>
        </w:rPr>
        <w:t>项目总预算金额：610.679358 万元</w:t>
      </w:r>
    </w:p>
    <w:p>
      <w:pPr>
        <w:spacing w:line="360" w:lineRule="auto"/>
        <w:ind w:firstLine="720" w:firstLineChars="300"/>
        <w:rPr>
          <w:rFonts w:ascii="宋体" w:hAnsi="宋体"/>
          <w:sz w:val="24"/>
        </w:rPr>
      </w:pPr>
      <w:r>
        <w:rPr>
          <w:rFonts w:hint="eastAsia" w:ascii="宋体" w:hAnsi="宋体"/>
          <w:sz w:val="24"/>
        </w:rPr>
        <w:t>第一包预算金额：593.138658 万元</w:t>
      </w:r>
    </w:p>
    <w:p>
      <w:pPr>
        <w:widowControl/>
        <w:spacing w:line="360" w:lineRule="auto"/>
        <w:ind w:firstLine="480" w:firstLineChars="200"/>
        <w:jc w:val="left"/>
        <w:rPr>
          <w:rFonts w:ascii="宋体" w:hAnsi="宋体"/>
          <w:sz w:val="24"/>
        </w:rPr>
      </w:pPr>
      <w:r>
        <w:rPr>
          <w:rFonts w:ascii="宋体" w:hAnsi="宋体"/>
          <w:sz w:val="24"/>
        </w:rPr>
        <w:t>4.</w:t>
      </w:r>
      <w:r>
        <w:rPr>
          <w:rFonts w:hint="eastAsia" w:ascii="宋体" w:hAnsi="宋体"/>
          <w:sz w:val="24"/>
        </w:rPr>
        <w:t>采购需求：详见第五章采购需求</w:t>
      </w:r>
    </w:p>
    <w:p>
      <w:pPr>
        <w:spacing w:line="360" w:lineRule="auto"/>
        <w:ind w:left="479" w:leftChars="228"/>
        <w:rPr>
          <w:rFonts w:ascii="宋体" w:hAnsi="宋体" w:cs="宋体"/>
          <w:sz w:val="24"/>
          <w:highlight w:val="yellow"/>
        </w:rPr>
      </w:pPr>
      <w:r>
        <w:rPr>
          <w:rFonts w:hint="eastAsia" w:ascii="宋体" w:hAnsi="宋体" w:cs="宋体"/>
          <w:sz w:val="24"/>
        </w:rPr>
        <w:t>5.合同履行期限：合同签订后30日内完成系统安装调试、试运行。</w:t>
      </w:r>
    </w:p>
    <w:p>
      <w:pPr>
        <w:spacing w:line="360" w:lineRule="auto"/>
        <w:ind w:left="479" w:leftChars="228"/>
        <w:rPr>
          <w:rFonts w:ascii="宋体"/>
          <w:sz w:val="24"/>
        </w:rPr>
      </w:pPr>
      <w:r>
        <w:rPr>
          <w:rFonts w:ascii="宋体" w:hAnsi="宋体"/>
          <w:sz w:val="24"/>
        </w:rPr>
        <w:t>6.</w:t>
      </w:r>
      <w:r>
        <w:rPr>
          <w:rFonts w:hint="eastAsia" w:ascii="宋体" w:hAnsi="宋体"/>
          <w:sz w:val="24"/>
        </w:rPr>
        <w:t>本项目是否接受联合体投标：</w:t>
      </w:r>
      <w:r>
        <w:rPr>
          <w:rFonts w:hint="eastAsia" w:ascii="宋体"/>
          <w:sz w:val="24"/>
        </w:rPr>
        <w:t>□</w:t>
      </w:r>
      <w:r>
        <w:rPr>
          <w:rFonts w:hint="eastAsia" w:ascii="宋体" w:hAnsi="宋体"/>
          <w:sz w:val="24"/>
        </w:rPr>
        <w:t>是</w:t>
      </w:r>
      <w:r>
        <w:rPr>
          <w:rFonts w:ascii="宋体" w:hAnsi="宋体"/>
          <w:sz w:val="24"/>
        </w:rPr>
        <w:t xml:space="preserve">  </w:t>
      </w:r>
      <w:r>
        <w:rPr>
          <w:rFonts w:hint="eastAsia" w:ascii="宋体"/>
          <w:b/>
          <w:sz w:val="24"/>
        </w:rPr>
        <w:t>■</w:t>
      </w:r>
      <w:r>
        <w:rPr>
          <w:rFonts w:hint="eastAsia" w:ascii="宋体" w:hAnsi="宋体"/>
          <w:sz w:val="24"/>
        </w:rPr>
        <w:t>否。</w:t>
      </w:r>
    </w:p>
    <w:p>
      <w:pPr>
        <w:pStyle w:val="3"/>
        <w:spacing w:before="0" w:line="360" w:lineRule="auto"/>
        <w:jc w:val="left"/>
        <w:rPr>
          <w:rFonts w:ascii="宋体" w:hAnsi="宋体" w:eastAsia="宋体"/>
          <w:sz w:val="24"/>
          <w:szCs w:val="24"/>
        </w:rPr>
      </w:pPr>
      <w:bookmarkStart w:id="7" w:name="_Toc35393622"/>
      <w:bookmarkStart w:id="8" w:name="_Toc28359080"/>
      <w:bookmarkStart w:id="9" w:name="_Toc35393791"/>
      <w:bookmarkStart w:id="10" w:name="_Toc28359003"/>
      <w:r>
        <w:rPr>
          <w:rFonts w:hint="eastAsia" w:ascii="宋体" w:hAnsi="宋体" w:eastAsia="宋体"/>
          <w:sz w:val="24"/>
          <w:szCs w:val="24"/>
        </w:rPr>
        <w:t>二、申请人的资格要求（须同时满足）</w:t>
      </w:r>
      <w:bookmarkEnd w:id="7"/>
      <w:bookmarkEnd w:id="8"/>
      <w:bookmarkEnd w:id="9"/>
      <w:bookmarkEnd w:id="10"/>
    </w:p>
    <w:p>
      <w:pPr>
        <w:spacing w:line="360" w:lineRule="auto"/>
        <w:ind w:firstLine="480" w:firstLineChars="200"/>
        <w:rPr>
          <w:rFonts w:ascii="宋体"/>
          <w:sz w:val="24"/>
        </w:rPr>
      </w:pPr>
      <w:r>
        <w:rPr>
          <w:rFonts w:ascii="宋体" w:hAnsi="宋体"/>
          <w:sz w:val="24"/>
        </w:rPr>
        <w:t>1.</w:t>
      </w:r>
      <w:r>
        <w:rPr>
          <w:rFonts w:hint="eastAsia" w:ascii="宋体" w:hAnsi="宋体"/>
          <w:sz w:val="24"/>
        </w:rPr>
        <w:t>满足《中华人民共和国政府采购法》第二十二条规定；</w:t>
      </w:r>
    </w:p>
    <w:p>
      <w:pPr>
        <w:spacing w:line="360" w:lineRule="auto"/>
        <w:ind w:firstLine="480" w:firstLineChars="200"/>
        <w:rPr>
          <w:rFonts w:ascii="宋体"/>
          <w:sz w:val="24"/>
        </w:rPr>
      </w:pPr>
      <w:bookmarkStart w:id="11" w:name="_Toc28359004"/>
      <w:bookmarkStart w:id="12" w:name="_Toc28359081"/>
      <w:r>
        <w:rPr>
          <w:rFonts w:ascii="宋体" w:hAnsi="宋体"/>
          <w:sz w:val="24"/>
        </w:rPr>
        <w:t>2.</w:t>
      </w:r>
      <w:r>
        <w:rPr>
          <w:rFonts w:hint="eastAsia" w:ascii="宋体" w:hAnsi="宋体"/>
          <w:sz w:val="24"/>
        </w:rPr>
        <w:t>落实政府采购政策需满足的资格要求：</w:t>
      </w:r>
    </w:p>
    <w:p>
      <w:pPr>
        <w:spacing w:line="360" w:lineRule="auto"/>
        <w:ind w:firstLine="480" w:firstLineChars="200"/>
        <w:rPr>
          <w:rFonts w:ascii="宋体"/>
          <w:sz w:val="24"/>
        </w:rPr>
      </w:pPr>
      <w:r>
        <w:rPr>
          <w:rFonts w:ascii="宋体" w:hAnsi="宋体"/>
          <w:sz w:val="24"/>
        </w:rPr>
        <w:t xml:space="preserve">2.1 </w:t>
      </w:r>
      <w:r>
        <w:rPr>
          <w:rFonts w:hint="eastAsia" w:ascii="宋体" w:hAnsi="宋体"/>
          <w:sz w:val="24"/>
        </w:rPr>
        <w:t>中小企业政策</w:t>
      </w:r>
    </w:p>
    <w:p>
      <w:pPr>
        <w:spacing w:line="360" w:lineRule="auto"/>
        <w:ind w:firstLine="480" w:firstLineChars="200"/>
        <w:rPr>
          <w:rFonts w:ascii="宋体"/>
          <w:sz w:val="24"/>
        </w:rPr>
      </w:pPr>
      <w:r>
        <w:rPr>
          <w:rFonts w:hint="eastAsia" w:ascii="宋体" w:hAnsi="宋体"/>
          <w:sz w:val="24"/>
        </w:rPr>
        <w:t>□本项目不专门面向中小企业预留采购份额。</w:t>
      </w:r>
    </w:p>
    <w:p>
      <w:pPr>
        <w:spacing w:line="360" w:lineRule="auto"/>
        <w:ind w:firstLine="480" w:firstLineChars="200"/>
        <w:rPr>
          <w:rFonts w:ascii="宋体"/>
          <w:sz w:val="24"/>
        </w:rPr>
      </w:pPr>
      <w:r>
        <w:rPr>
          <w:rFonts w:hint="eastAsia" w:ascii="宋体" w:hAnsi="宋体"/>
          <w:sz w:val="24"/>
        </w:rPr>
        <w:t>□本项目专门面向</w:t>
      </w:r>
      <w:r>
        <w:rPr>
          <w:rFonts w:ascii="宋体" w:hAnsi="宋体"/>
          <w:sz w:val="24"/>
        </w:rPr>
        <w:t xml:space="preserve"> </w:t>
      </w:r>
      <w:r>
        <w:rPr>
          <w:rFonts w:hint="eastAsia" w:ascii="宋体" w:hAnsi="宋体"/>
          <w:sz w:val="24"/>
        </w:rPr>
        <w:t>□中小</w:t>
      </w:r>
      <w:r>
        <w:rPr>
          <w:rFonts w:ascii="宋体" w:hAnsi="宋体"/>
          <w:sz w:val="24"/>
        </w:rPr>
        <w:t xml:space="preserve"> </w:t>
      </w:r>
      <w:r>
        <w:rPr>
          <w:rFonts w:hint="eastAsia" w:ascii="宋体" w:hAnsi="宋体"/>
          <w:sz w:val="24"/>
        </w:rPr>
        <w:t>□小微企业采购。即：提供的货物由符合政策要求的中小企业制造。</w:t>
      </w:r>
    </w:p>
    <w:p>
      <w:pPr>
        <w:spacing w:line="360" w:lineRule="auto"/>
        <w:ind w:firstLine="480" w:firstLineChars="200"/>
        <w:rPr>
          <w:rFonts w:ascii="宋体" w:hAnsi="宋体"/>
          <w:sz w:val="24"/>
          <w:u w:val="single"/>
        </w:rPr>
      </w:pPr>
      <w:r>
        <w:rPr>
          <w:rFonts w:hint="eastAsia"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u w:val="single"/>
        </w:rPr>
        <w:t xml:space="preserve"> </w:t>
      </w:r>
      <w:r>
        <w:rPr>
          <w:rFonts w:hint="eastAsia" w:ascii="宋体" w:hAnsi="宋体"/>
          <w:sz w:val="24"/>
          <w:u w:val="single"/>
        </w:rPr>
        <w:t>预留中小企业份额形式：合同分包，即供应商分包给一家或者多家中小微企业的方式，接受分包的中小微企业与分包企业之间不得存在直接控股、管理关系。</w:t>
      </w:r>
    </w:p>
    <w:p>
      <w:pPr>
        <w:spacing w:line="360" w:lineRule="auto"/>
        <w:ind w:firstLine="480" w:firstLineChars="200"/>
        <w:rPr>
          <w:rFonts w:ascii="宋体" w:hAnsi="宋体"/>
          <w:sz w:val="24"/>
          <w:highlight w:val="none"/>
          <w:u w:val="single"/>
        </w:rPr>
      </w:pPr>
      <w:r>
        <w:rPr>
          <w:rFonts w:hint="eastAsia" w:ascii="宋体" w:hAnsi="宋体"/>
          <w:sz w:val="24"/>
          <w:highlight w:val="none"/>
          <w:u w:val="single"/>
        </w:rPr>
        <w:t>（1）项目总体预算</w:t>
      </w:r>
      <w:r>
        <w:rPr>
          <w:rFonts w:ascii="宋体" w:hAnsi="宋体"/>
          <w:sz w:val="24"/>
          <w:highlight w:val="none"/>
          <w:u w:val="single"/>
        </w:rPr>
        <w:t>610.679358</w:t>
      </w:r>
      <w:r>
        <w:rPr>
          <w:rFonts w:hint="eastAsia" w:ascii="宋体" w:hAnsi="宋体"/>
          <w:sz w:val="24"/>
          <w:highlight w:val="none"/>
          <w:u w:val="single"/>
        </w:rPr>
        <w:t>万元。预留中小企业份额244.271743万元，占总金额 40.00%，其中预留小微企业份额170.99022万元，占预留中小企业份额 70%。</w:t>
      </w:r>
    </w:p>
    <w:p>
      <w:pPr>
        <w:spacing w:line="360" w:lineRule="auto"/>
        <w:ind w:firstLine="480" w:firstLineChars="200"/>
        <w:rPr>
          <w:rFonts w:ascii="宋体" w:hAnsi="宋体"/>
          <w:sz w:val="24"/>
          <w:highlight w:val="none"/>
          <w:u w:val="single"/>
        </w:rPr>
      </w:pPr>
      <w:r>
        <w:rPr>
          <w:rFonts w:hint="eastAsia" w:ascii="宋体" w:hAnsi="宋体"/>
          <w:sz w:val="24"/>
          <w:highlight w:val="none"/>
          <w:u w:val="single"/>
        </w:rPr>
        <w:t>（2）第一包预算金额</w:t>
      </w:r>
      <w:r>
        <w:rPr>
          <w:rFonts w:ascii="宋体" w:hAnsi="宋体"/>
          <w:sz w:val="24"/>
          <w:highlight w:val="none"/>
          <w:u w:val="single"/>
        </w:rPr>
        <w:t>593.138658</w:t>
      </w:r>
      <w:r>
        <w:rPr>
          <w:rFonts w:hint="eastAsia" w:ascii="宋体" w:hAnsi="宋体"/>
          <w:sz w:val="24"/>
          <w:highlight w:val="none"/>
          <w:u w:val="single"/>
        </w:rPr>
        <w:t>万元，预留中小企业份额226.731043万元，其中预留小微企业份额153.44952万元。</w:t>
      </w:r>
    </w:p>
    <w:p>
      <w:pPr>
        <w:spacing w:line="360" w:lineRule="auto"/>
        <w:ind w:firstLine="480" w:firstLineChars="200"/>
        <w:rPr>
          <w:rFonts w:ascii="宋体" w:hAnsi="宋体"/>
          <w:sz w:val="24"/>
          <w:highlight w:val="none"/>
          <w:u w:val="single"/>
        </w:rPr>
      </w:pPr>
      <w:r>
        <w:rPr>
          <w:rFonts w:hint="eastAsia" w:ascii="宋体" w:hAnsi="宋体"/>
          <w:sz w:val="24"/>
          <w:highlight w:val="none"/>
          <w:u w:val="single"/>
        </w:rPr>
        <w:t>（3）第二包预算金额</w:t>
      </w:r>
      <w:r>
        <w:rPr>
          <w:rFonts w:ascii="宋体" w:hAnsi="宋体"/>
          <w:sz w:val="24"/>
          <w:highlight w:val="none"/>
          <w:u w:val="single"/>
        </w:rPr>
        <w:t>17.5407</w:t>
      </w:r>
      <w:r>
        <w:rPr>
          <w:rFonts w:hint="eastAsia" w:ascii="宋体" w:hAnsi="宋体"/>
          <w:sz w:val="24"/>
          <w:highlight w:val="none"/>
          <w:u w:val="single"/>
        </w:rPr>
        <w:t>万元，预留中小企业份额</w:t>
      </w:r>
      <w:r>
        <w:rPr>
          <w:rFonts w:ascii="宋体" w:hAnsi="宋体"/>
          <w:sz w:val="24"/>
          <w:highlight w:val="none"/>
          <w:u w:val="single"/>
        </w:rPr>
        <w:t>17.5407</w:t>
      </w:r>
      <w:r>
        <w:rPr>
          <w:rFonts w:hint="eastAsia" w:ascii="宋体" w:hAnsi="宋体"/>
          <w:sz w:val="24"/>
          <w:highlight w:val="none"/>
          <w:u w:val="single"/>
        </w:rPr>
        <w:t>万元，其中预留小微企业份额</w:t>
      </w:r>
      <w:r>
        <w:rPr>
          <w:rFonts w:ascii="宋体" w:hAnsi="宋体"/>
          <w:sz w:val="24"/>
          <w:highlight w:val="none"/>
          <w:u w:val="single"/>
        </w:rPr>
        <w:t>17.5407</w:t>
      </w:r>
      <w:r>
        <w:rPr>
          <w:rFonts w:hint="eastAsia" w:ascii="宋体" w:hAnsi="宋体"/>
          <w:sz w:val="24"/>
          <w:highlight w:val="none"/>
          <w:u w:val="single"/>
        </w:rPr>
        <w:t>万元。</w:t>
      </w: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ascii="宋体" w:hAnsi="宋体"/>
          <w:sz w:val="24"/>
        </w:rPr>
        <w:t xml:space="preserve">2.2 </w:t>
      </w:r>
      <w:r>
        <w:rPr>
          <w:rFonts w:hint="eastAsia" w:ascii="宋体" w:hAnsi="宋体"/>
          <w:sz w:val="24"/>
        </w:rPr>
        <w:t>其它落实政府采购政策的资格要求：</w:t>
      </w:r>
    </w:p>
    <w:p>
      <w:pPr>
        <w:pStyle w:val="42"/>
        <w:ind w:firstLine="480"/>
      </w:pPr>
      <w:r>
        <w:t>2.2.1</w:t>
      </w:r>
      <w:r>
        <w:rPr>
          <w:rFonts w:hint="eastAsia"/>
        </w:rPr>
        <w:t>投标人不得被列入“信用中国”网站（www.creditchina.gov.cn）、中国政府采购网（www.ccgp.gov.cn）信用记录失信被执行人、重大税收违法案件当事人名单、政府采购严重违法失信行为记录名单。</w:t>
      </w:r>
    </w:p>
    <w:p>
      <w:pPr>
        <w:pStyle w:val="42"/>
        <w:ind w:firstLine="480"/>
      </w:pPr>
      <w:r>
        <w:rPr>
          <w:rFonts w:hint="eastAsia"/>
        </w:rPr>
        <w:t>2</w:t>
      </w:r>
      <w:r>
        <w:t>.2.2</w:t>
      </w:r>
      <w:r>
        <w:rPr>
          <w:rFonts w:hint="eastAsia"/>
        </w:rPr>
        <w:t>不同投标人的法定代表人、单位负责人不是同一人也不存在直接控股、管理关系.</w:t>
      </w:r>
    </w:p>
    <w:p>
      <w:pPr>
        <w:spacing w:line="360" w:lineRule="auto"/>
        <w:ind w:firstLine="480" w:firstLineChars="200"/>
        <w:rPr>
          <w:rFonts w:ascii="宋体"/>
          <w:i/>
          <w:iCs/>
          <w:sz w:val="24"/>
          <w:u w:val="single"/>
        </w:rPr>
      </w:pPr>
      <w:r>
        <w:rPr>
          <w:rFonts w:ascii="宋体" w:hAnsi="宋体"/>
          <w:sz w:val="24"/>
        </w:rPr>
        <w:t>3.</w:t>
      </w:r>
      <w:r>
        <w:rPr>
          <w:rFonts w:hint="eastAsia" w:ascii="宋体" w:hAnsi="宋体"/>
          <w:sz w:val="24"/>
        </w:rPr>
        <w:t>本项目的特定资格要求：</w:t>
      </w:r>
    </w:p>
    <w:p>
      <w:pPr>
        <w:tabs>
          <w:tab w:val="left" w:pos="900"/>
          <w:tab w:val="left" w:pos="1134"/>
          <w:tab w:val="left" w:pos="1589"/>
          <w:tab w:val="left" w:pos="5521"/>
        </w:tabs>
        <w:snapToGrid w:val="0"/>
        <w:spacing w:line="360" w:lineRule="auto"/>
        <w:ind w:firstLine="480" w:firstLineChars="200"/>
        <w:rPr>
          <w:rFonts w:ascii="宋体"/>
          <w:sz w:val="24"/>
        </w:rPr>
      </w:pPr>
      <w:r>
        <w:rPr>
          <w:rFonts w:ascii="宋体" w:hAnsi="宋体"/>
          <w:sz w:val="24"/>
        </w:rPr>
        <w:t>3.1</w:t>
      </w:r>
      <w:r>
        <w:rPr>
          <w:rFonts w:hint="eastAsia" w:ascii="宋体" w:hAnsi="宋体"/>
          <w:sz w:val="24"/>
        </w:rPr>
        <w:t>本项目是否接受分支机构参与投标：</w:t>
      </w:r>
      <w:r>
        <w:rPr>
          <w:rFonts w:hint="eastAsia" w:ascii="宋体"/>
          <w:sz w:val="24"/>
        </w:rPr>
        <w:t>□</w:t>
      </w:r>
      <w:r>
        <w:rPr>
          <w:rFonts w:hint="eastAsia" w:ascii="宋体" w:hAnsi="宋体"/>
          <w:sz w:val="24"/>
        </w:rPr>
        <w:t>是</w:t>
      </w:r>
      <w:r>
        <w:rPr>
          <w:rFonts w:ascii="宋体" w:hAnsi="宋体"/>
          <w:sz w:val="24"/>
        </w:rPr>
        <w:t xml:space="preserve">   </w:t>
      </w:r>
      <w:r>
        <w:rPr>
          <w:rFonts w:hint="eastAsia" w:ascii="宋体"/>
          <w:b/>
          <w:sz w:val="24"/>
        </w:rPr>
        <w:t>■</w:t>
      </w:r>
      <w:r>
        <w:rPr>
          <w:rFonts w:hint="eastAsia" w:ascii="宋体" w:hAnsi="宋体"/>
          <w:sz w:val="24"/>
        </w:rPr>
        <w:t>否；</w:t>
      </w:r>
      <w:r>
        <w:rPr>
          <w:rFonts w:ascii="宋体" w:hAnsi="宋体"/>
          <w:sz w:val="24"/>
        </w:rPr>
        <w:t xml:space="preserve"> </w:t>
      </w:r>
    </w:p>
    <w:p>
      <w:pPr>
        <w:tabs>
          <w:tab w:val="left" w:pos="900"/>
          <w:tab w:val="left" w:pos="1134"/>
          <w:tab w:val="left" w:pos="1589"/>
          <w:tab w:val="left" w:pos="5521"/>
        </w:tabs>
        <w:snapToGrid w:val="0"/>
        <w:spacing w:line="360" w:lineRule="auto"/>
        <w:ind w:firstLine="480" w:firstLineChars="200"/>
        <w:rPr>
          <w:rFonts w:ascii="宋体"/>
          <w:sz w:val="24"/>
        </w:rPr>
      </w:pPr>
      <w:r>
        <w:rPr>
          <w:rFonts w:ascii="宋体" w:hAnsi="宋体"/>
          <w:sz w:val="24"/>
        </w:rPr>
        <w:t>3.2</w:t>
      </w:r>
      <w:r>
        <w:rPr>
          <w:rFonts w:hint="eastAsia" w:ascii="宋体" w:hAnsi="宋体"/>
          <w:sz w:val="24"/>
        </w:rPr>
        <w:t>本项目是否属于政府购买服务：</w:t>
      </w:r>
    </w:p>
    <w:p>
      <w:pPr>
        <w:tabs>
          <w:tab w:val="left" w:pos="900"/>
          <w:tab w:val="left" w:pos="1134"/>
          <w:tab w:val="left" w:pos="1589"/>
          <w:tab w:val="left" w:pos="5521"/>
        </w:tabs>
        <w:snapToGrid w:val="0"/>
        <w:spacing w:line="360" w:lineRule="auto"/>
        <w:ind w:left="991" w:leftChars="472" w:firstLine="2"/>
        <w:rPr>
          <w:rFonts w:ascii="宋体"/>
          <w:sz w:val="24"/>
        </w:rPr>
      </w:pPr>
      <w:r>
        <w:rPr>
          <w:rFonts w:hint="eastAsia" w:ascii="宋体"/>
          <w:b/>
          <w:sz w:val="24"/>
        </w:rPr>
        <w:t>■</w:t>
      </w:r>
      <w:r>
        <w:rPr>
          <w:rFonts w:hint="eastAsia" w:ascii="宋体" w:hAnsi="宋体"/>
          <w:sz w:val="24"/>
        </w:rPr>
        <w:t>否</w:t>
      </w:r>
    </w:p>
    <w:p>
      <w:pPr>
        <w:tabs>
          <w:tab w:val="left" w:pos="900"/>
          <w:tab w:val="left" w:pos="1134"/>
          <w:tab w:val="left" w:pos="1589"/>
          <w:tab w:val="left" w:pos="5521"/>
        </w:tabs>
        <w:snapToGrid w:val="0"/>
        <w:spacing w:line="360" w:lineRule="auto"/>
        <w:ind w:left="991" w:leftChars="472" w:firstLine="2"/>
        <w:rPr>
          <w:rFonts w:ascii="宋体"/>
          <w:sz w:val="24"/>
        </w:rPr>
      </w:pPr>
      <w:r>
        <w:rPr>
          <w:rFonts w:hint="eastAsia" w:ascii="宋体"/>
          <w:sz w:val="24"/>
        </w:rPr>
        <w:t>□</w:t>
      </w:r>
      <w:r>
        <w:rPr>
          <w:rFonts w:hint="eastAsia" w:ascii="宋体" w:hAnsi="宋体"/>
          <w:sz w:val="24"/>
        </w:rPr>
        <w:t>是，公益一类事业单位、使用事业编制且由财政拨款保障的群团组织，不得作为承接主体；</w:t>
      </w:r>
    </w:p>
    <w:p>
      <w:pPr>
        <w:spacing w:line="360" w:lineRule="auto"/>
        <w:ind w:left="420" w:leftChars="200"/>
        <w:rPr>
          <w:rFonts w:ascii="宋体" w:hAnsi="宋体"/>
          <w:sz w:val="24"/>
          <w:u w:val="single"/>
        </w:rPr>
      </w:pPr>
      <w:r>
        <w:rPr>
          <w:rFonts w:ascii="宋体" w:hAnsi="宋体"/>
          <w:sz w:val="24"/>
        </w:rPr>
        <w:t>3.3</w:t>
      </w:r>
      <w:r>
        <w:rPr>
          <w:rFonts w:hint="eastAsia" w:ascii="宋体" w:hAnsi="宋体"/>
          <w:sz w:val="24"/>
        </w:rPr>
        <w:t>其他特定资格要求：</w:t>
      </w:r>
      <w:bookmarkEnd w:id="11"/>
      <w:bookmarkEnd w:id="12"/>
      <w:bookmarkStart w:id="13" w:name="_Toc35393623"/>
      <w:bookmarkStart w:id="14" w:name="_Toc35393792"/>
      <w:r>
        <w:rPr>
          <w:rFonts w:ascii="宋体" w:hAnsi="宋体"/>
          <w:sz w:val="24"/>
          <w:u w:val="single"/>
        </w:rPr>
        <w:t>无</w:t>
      </w:r>
    </w:p>
    <w:p>
      <w:pPr>
        <w:spacing w:line="360" w:lineRule="auto"/>
        <w:ind w:left="420" w:leftChars="200"/>
        <w:rPr>
          <w:rFonts w:ascii="宋体" w:hAnsi="宋体"/>
          <w:sz w:val="24"/>
          <w:highlight w:val="none"/>
        </w:rPr>
      </w:pPr>
      <w:r>
        <w:rPr>
          <w:rFonts w:hint="eastAsia" w:ascii="宋体" w:hAnsi="宋体"/>
          <w:sz w:val="24"/>
          <w:highlight w:val="none"/>
        </w:rPr>
        <w:t>三、获取招标文件</w:t>
      </w:r>
      <w:bookmarkEnd w:id="13"/>
      <w:bookmarkEnd w:id="14"/>
    </w:p>
    <w:p>
      <w:pPr>
        <w:adjustRightInd w:val="0"/>
        <w:snapToGrid w:val="0"/>
        <w:spacing w:line="360" w:lineRule="auto"/>
        <w:ind w:firstLine="480" w:firstLineChars="200"/>
        <w:rPr>
          <w:rFonts w:ascii="宋体"/>
          <w:sz w:val="24"/>
        </w:rPr>
      </w:pPr>
      <w:r>
        <w:rPr>
          <w:rFonts w:ascii="宋体" w:hAnsi="宋体"/>
          <w:sz w:val="24"/>
        </w:rPr>
        <w:t>1.</w:t>
      </w:r>
      <w:r>
        <w:rPr>
          <w:rFonts w:hint="eastAsia" w:ascii="宋体" w:hAnsi="宋体"/>
          <w:sz w:val="24"/>
        </w:rPr>
        <w:t>时间：</w:t>
      </w:r>
      <w:r>
        <w:rPr>
          <w:rFonts w:ascii="宋体" w:hAnsi="宋体"/>
          <w:bCs/>
          <w:sz w:val="24"/>
          <w:u w:val="single"/>
        </w:rPr>
        <w:t>2024</w:t>
      </w:r>
      <w:r>
        <w:rPr>
          <w:rFonts w:hint="eastAsia" w:ascii="宋体" w:hAnsi="宋体"/>
          <w:bCs/>
          <w:sz w:val="24"/>
          <w:u w:val="single"/>
        </w:rPr>
        <w:t>年</w:t>
      </w:r>
      <w:r>
        <w:rPr>
          <w:rFonts w:hint="eastAsia" w:ascii="宋体" w:hAnsi="宋体"/>
          <w:bCs/>
          <w:sz w:val="24"/>
          <w:u w:val="single"/>
          <w:lang w:val="en-US" w:eastAsia="zh-CN"/>
        </w:rPr>
        <w:t>07</w:t>
      </w:r>
      <w:r>
        <w:rPr>
          <w:rFonts w:hint="eastAsia" w:ascii="宋体" w:hAnsi="宋体"/>
          <w:bCs/>
          <w:sz w:val="24"/>
          <w:u w:val="single"/>
        </w:rPr>
        <w:t>月</w:t>
      </w:r>
      <w:r>
        <w:rPr>
          <w:rFonts w:hint="eastAsia" w:ascii="宋体" w:hAnsi="宋体"/>
          <w:bCs/>
          <w:sz w:val="24"/>
          <w:u w:val="single"/>
          <w:lang w:val="en-US" w:eastAsia="zh-CN"/>
        </w:rPr>
        <w:t>19</w:t>
      </w:r>
      <w:r>
        <w:rPr>
          <w:rFonts w:ascii="宋体" w:hAnsi="宋体"/>
          <w:bCs/>
          <w:sz w:val="24"/>
          <w:u w:val="single"/>
        </w:rPr>
        <w:t>日</w:t>
      </w:r>
      <w:r>
        <w:rPr>
          <w:rFonts w:hint="eastAsia" w:ascii="宋体" w:hAnsi="宋体"/>
          <w:bCs/>
          <w:sz w:val="24"/>
          <w:u w:val="single"/>
        </w:rPr>
        <w:t>至</w:t>
      </w:r>
      <w:r>
        <w:rPr>
          <w:rFonts w:ascii="宋体" w:hAnsi="宋体"/>
          <w:bCs/>
          <w:sz w:val="24"/>
          <w:u w:val="single"/>
        </w:rPr>
        <w:t>2024</w:t>
      </w:r>
      <w:r>
        <w:rPr>
          <w:rFonts w:hint="eastAsia" w:ascii="宋体" w:hAnsi="宋体"/>
          <w:bCs/>
          <w:sz w:val="24"/>
          <w:u w:val="single"/>
        </w:rPr>
        <w:t>年</w:t>
      </w:r>
      <w:r>
        <w:rPr>
          <w:rFonts w:hint="eastAsia" w:ascii="宋体" w:hAnsi="宋体"/>
          <w:bCs/>
          <w:sz w:val="24"/>
          <w:u w:val="single"/>
          <w:lang w:val="en-US" w:eastAsia="zh-CN"/>
        </w:rPr>
        <w:t>07</w:t>
      </w:r>
      <w:r>
        <w:rPr>
          <w:rFonts w:hint="eastAsia" w:ascii="宋体" w:hAnsi="宋体"/>
          <w:bCs/>
          <w:sz w:val="24"/>
          <w:u w:val="single"/>
        </w:rPr>
        <w:t>月</w:t>
      </w:r>
      <w:r>
        <w:rPr>
          <w:rFonts w:hint="eastAsia" w:ascii="宋体" w:hAnsi="宋体"/>
          <w:bCs/>
          <w:sz w:val="24"/>
          <w:u w:val="single"/>
          <w:lang w:val="en-US" w:eastAsia="zh-CN"/>
        </w:rPr>
        <w:t>25</w:t>
      </w:r>
      <w:r>
        <w:rPr>
          <w:rFonts w:hint="eastAsia" w:ascii="宋体" w:hAnsi="宋体"/>
          <w:bCs/>
          <w:sz w:val="24"/>
          <w:u w:val="single"/>
        </w:rPr>
        <w:t>日</w:t>
      </w:r>
      <w:r>
        <w:rPr>
          <w:rFonts w:hint="eastAsia" w:ascii="宋体" w:hAnsi="宋体"/>
          <w:sz w:val="24"/>
        </w:rPr>
        <w:t>，</w:t>
      </w:r>
      <w:r>
        <w:rPr>
          <w:rFonts w:hint="eastAsia" w:ascii="宋体" w:hAnsi="宋体"/>
          <w:sz w:val="24"/>
          <w:u w:val="single"/>
        </w:rPr>
        <w:t>每天上午</w:t>
      </w:r>
      <w:r>
        <w:rPr>
          <w:rFonts w:ascii="宋体" w:hAnsi="宋体"/>
          <w:sz w:val="24"/>
          <w:u w:val="single"/>
        </w:rPr>
        <w:t>09:00</w:t>
      </w:r>
      <w:r>
        <w:rPr>
          <w:rFonts w:hint="eastAsia" w:ascii="宋体" w:hAnsi="宋体"/>
          <w:sz w:val="24"/>
          <w:u w:val="single"/>
        </w:rPr>
        <w:t>至</w:t>
      </w:r>
      <w:r>
        <w:rPr>
          <w:rFonts w:ascii="宋体" w:hAnsi="宋体"/>
          <w:sz w:val="24"/>
          <w:u w:val="single"/>
        </w:rPr>
        <w:t>12:00</w:t>
      </w:r>
      <w:r>
        <w:rPr>
          <w:rFonts w:hint="eastAsia" w:ascii="宋体" w:hAnsi="宋体"/>
          <w:sz w:val="24"/>
          <w:u w:val="single"/>
        </w:rPr>
        <w:t>，下午</w:t>
      </w:r>
      <w:r>
        <w:rPr>
          <w:rFonts w:ascii="宋体" w:hAnsi="宋体"/>
          <w:sz w:val="24"/>
          <w:u w:val="single"/>
        </w:rPr>
        <w:t>13:00</w:t>
      </w:r>
      <w:r>
        <w:rPr>
          <w:rFonts w:hint="eastAsia" w:ascii="宋体" w:hAnsi="宋体"/>
          <w:sz w:val="24"/>
          <w:u w:val="single"/>
        </w:rPr>
        <w:t>至</w:t>
      </w:r>
      <w:r>
        <w:rPr>
          <w:rFonts w:ascii="宋体" w:hAnsi="宋体"/>
          <w:sz w:val="24"/>
          <w:u w:val="single"/>
        </w:rPr>
        <w:t>17:00</w:t>
      </w:r>
      <w:r>
        <w:rPr>
          <w:rFonts w:hint="eastAsia" w:ascii="宋体" w:hAnsi="宋体"/>
          <w:sz w:val="24"/>
          <w:u w:val="single"/>
        </w:rPr>
        <w:t>（北京时间，法定节假日除外）</w:t>
      </w:r>
      <w:r>
        <w:rPr>
          <w:rFonts w:hint="eastAsia" w:ascii="宋体" w:hAnsi="宋体"/>
          <w:sz w:val="24"/>
        </w:rPr>
        <w:t>。</w:t>
      </w:r>
    </w:p>
    <w:p>
      <w:pPr>
        <w:adjustRightInd w:val="0"/>
        <w:snapToGrid w:val="0"/>
        <w:spacing w:line="360" w:lineRule="auto"/>
        <w:ind w:firstLine="480" w:firstLineChars="200"/>
        <w:rPr>
          <w:rFonts w:ascii="宋体" w:hAnsi="宋体"/>
          <w:sz w:val="24"/>
          <w:u w:val="single"/>
        </w:rPr>
      </w:pPr>
      <w:r>
        <w:rPr>
          <w:rFonts w:ascii="宋体" w:hAnsi="宋体"/>
          <w:sz w:val="24"/>
        </w:rPr>
        <w:t>2</w:t>
      </w:r>
      <w:r>
        <w:rPr>
          <w:rFonts w:hint="eastAsia" w:ascii="宋体" w:hAnsi="宋体"/>
          <w:sz w:val="24"/>
        </w:rPr>
        <w:t>地点：北京市政府采购电子交易平台(http://zbcg-bjzc.zhongcy.com/bjczj-portal-site/index.html#/home）获取电子招标文件</w:t>
      </w:r>
    </w:p>
    <w:p>
      <w:pPr>
        <w:adjustRightInd w:val="0"/>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left="660" w:leftChars="200" w:hanging="240" w:hangingChars="100"/>
        <w:jc w:val="left"/>
        <w:rPr>
          <w:rFonts w:ascii="宋体" w:hAnsi="宋体"/>
          <w:sz w:val="24"/>
        </w:rPr>
      </w:pPr>
      <w:r>
        <w:rPr>
          <w:rFonts w:ascii="宋体" w:hAnsi="宋体"/>
          <w:sz w:val="24"/>
        </w:rPr>
        <w:t xml:space="preserve"> 4.</w:t>
      </w:r>
      <w:r>
        <w:rPr>
          <w:rFonts w:hint="eastAsia" w:ascii="宋体" w:hAnsi="宋体"/>
          <w:sz w:val="24"/>
        </w:rPr>
        <w:t>售价：</w:t>
      </w:r>
      <w:r>
        <w:rPr>
          <w:rFonts w:ascii="宋体"/>
          <w:sz w:val="24"/>
        </w:rPr>
        <w:t>0</w:t>
      </w:r>
      <w:r>
        <w:rPr>
          <w:rFonts w:hint="eastAsia" w:ascii="宋体" w:hAnsi="宋体"/>
          <w:sz w:val="24"/>
        </w:rPr>
        <w:t>元。</w:t>
      </w:r>
    </w:p>
    <w:p>
      <w:pPr>
        <w:pStyle w:val="3"/>
        <w:widowControl/>
        <w:spacing w:before="0" w:line="360" w:lineRule="auto"/>
        <w:jc w:val="left"/>
        <w:rPr>
          <w:rFonts w:ascii="宋体" w:hAnsi="宋体" w:eastAsia="宋体"/>
          <w:sz w:val="24"/>
          <w:szCs w:val="24"/>
        </w:rPr>
      </w:pPr>
      <w:bookmarkStart w:id="15" w:name="_Toc28359005"/>
      <w:bookmarkStart w:id="16" w:name="_Toc28359082"/>
      <w:bookmarkStart w:id="17" w:name="_Toc35393793"/>
      <w:bookmarkStart w:id="18" w:name="_Toc35393624"/>
      <w:r>
        <w:rPr>
          <w:rFonts w:hint="eastAsia" w:ascii="宋体" w:hAnsi="宋体" w:eastAsia="宋体"/>
          <w:sz w:val="24"/>
          <w:szCs w:val="24"/>
        </w:rPr>
        <w:t>四、提交投标文件</w:t>
      </w:r>
      <w:bookmarkEnd w:id="15"/>
      <w:bookmarkEnd w:id="16"/>
      <w:r>
        <w:rPr>
          <w:rFonts w:hint="eastAsia" w:ascii="宋体" w:hAnsi="宋体" w:eastAsia="宋体"/>
          <w:sz w:val="24"/>
          <w:szCs w:val="24"/>
        </w:rPr>
        <w:t>截止时间、开标时间和地点</w:t>
      </w:r>
      <w:bookmarkEnd w:id="17"/>
      <w:bookmarkEnd w:id="18"/>
    </w:p>
    <w:p>
      <w:pPr>
        <w:spacing w:line="360" w:lineRule="auto"/>
        <w:ind w:firstLine="480" w:firstLineChars="200"/>
        <w:rPr>
          <w:rFonts w:ascii="宋体"/>
          <w:bCs/>
          <w:sz w:val="24"/>
        </w:rPr>
      </w:pPr>
      <w:r>
        <w:rPr>
          <w:rFonts w:hint="eastAsia" w:ascii="宋体" w:hAnsi="宋体"/>
          <w:sz w:val="24"/>
        </w:rPr>
        <w:t>投标截止时间、开标时间：</w:t>
      </w:r>
      <w:r>
        <w:rPr>
          <w:rFonts w:ascii="宋体" w:hAnsi="宋体"/>
          <w:bCs/>
          <w:sz w:val="24"/>
        </w:rPr>
        <w:t>2024</w:t>
      </w:r>
      <w:r>
        <w:rPr>
          <w:rFonts w:hint="eastAsia" w:ascii="宋体" w:hAnsi="宋体"/>
          <w:bCs/>
          <w:sz w:val="24"/>
        </w:rPr>
        <w:t>年</w:t>
      </w:r>
      <w:r>
        <w:rPr>
          <w:rFonts w:hint="eastAsia" w:ascii="宋体" w:hAnsi="宋体"/>
          <w:bCs/>
          <w:sz w:val="24"/>
          <w:lang w:val="en-US" w:eastAsia="zh-CN"/>
        </w:rPr>
        <w:t>08</w:t>
      </w:r>
      <w:r>
        <w:rPr>
          <w:rFonts w:hint="eastAsia" w:ascii="宋体" w:hAnsi="宋体"/>
          <w:bCs/>
          <w:sz w:val="24"/>
        </w:rPr>
        <w:t>月</w:t>
      </w:r>
      <w:r>
        <w:rPr>
          <w:rFonts w:hint="eastAsia" w:ascii="宋体" w:hAnsi="宋体"/>
          <w:bCs/>
          <w:sz w:val="24"/>
          <w:lang w:val="en-US" w:eastAsia="zh-CN"/>
        </w:rPr>
        <w:t>09</w:t>
      </w:r>
      <w:r>
        <w:rPr>
          <w:rFonts w:hint="eastAsia" w:ascii="宋体" w:hAnsi="宋体"/>
          <w:bCs/>
          <w:sz w:val="24"/>
        </w:rPr>
        <w:t>日</w:t>
      </w:r>
      <w:r>
        <w:rPr>
          <w:rFonts w:hint="eastAsia" w:ascii="宋体" w:hAnsi="宋体"/>
          <w:bCs/>
          <w:sz w:val="24"/>
          <w:lang w:val="en-US" w:eastAsia="zh-CN"/>
        </w:rPr>
        <w:t>09</w:t>
      </w:r>
      <w:r>
        <w:rPr>
          <w:rFonts w:hint="eastAsia" w:ascii="宋体" w:hAnsi="宋体"/>
          <w:bCs/>
          <w:sz w:val="24"/>
        </w:rPr>
        <w:t>点</w:t>
      </w:r>
      <w:r>
        <w:rPr>
          <w:rFonts w:hint="eastAsia" w:ascii="宋体" w:hAnsi="宋体"/>
          <w:bCs/>
          <w:sz w:val="24"/>
          <w:lang w:val="en-US" w:eastAsia="zh-CN"/>
        </w:rPr>
        <w:t>30</w:t>
      </w:r>
      <w:bookmarkStart w:id="909" w:name="_GoBack"/>
      <w:bookmarkEnd w:id="909"/>
      <w:r>
        <w:rPr>
          <w:rFonts w:hint="eastAsia" w:ascii="宋体" w:hAnsi="宋体"/>
          <w:bCs/>
          <w:sz w:val="24"/>
        </w:rPr>
        <w:t>分（北京时间）</w:t>
      </w:r>
      <w:r>
        <w:rPr>
          <w:rFonts w:hint="eastAsia" w:ascii="宋体" w:hAnsi="宋体"/>
          <w:iCs/>
          <w:sz w:val="24"/>
        </w:rPr>
        <w:t>。</w:t>
      </w:r>
    </w:p>
    <w:p>
      <w:pPr>
        <w:spacing w:line="360" w:lineRule="auto"/>
        <w:ind w:firstLine="480" w:firstLineChars="200"/>
        <w:rPr>
          <w:rFonts w:ascii="宋体"/>
          <w:bCs/>
          <w:sz w:val="24"/>
        </w:rPr>
      </w:pPr>
      <w:r>
        <w:rPr>
          <w:rFonts w:hint="eastAsia" w:ascii="宋体" w:hAnsi="宋体"/>
          <w:sz w:val="24"/>
        </w:rPr>
        <w:t>地点：</w:t>
      </w:r>
      <w:r>
        <w:rPr>
          <w:rFonts w:hint="eastAsia" w:ascii="宋体" w:hAnsi="宋体"/>
          <w:bCs/>
          <w:sz w:val="24"/>
        </w:rPr>
        <w:t>北京市大兴区宏业东路1号院3号楼3层301室</w:t>
      </w:r>
      <w:bookmarkStart w:id="19" w:name="_Toc35393794"/>
      <w:bookmarkStart w:id="20" w:name="_Toc28359007"/>
      <w:bookmarkStart w:id="21" w:name="_Toc35393625"/>
      <w:bookmarkStart w:id="22" w:name="_Toc28359084"/>
      <w:r>
        <w:rPr>
          <w:rFonts w:ascii="宋体" w:hAnsi="宋体"/>
          <w:bCs/>
          <w:sz w:val="24"/>
        </w:rPr>
        <w:t>。</w:t>
      </w:r>
    </w:p>
    <w:p>
      <w:pPr>
        <w:pStyle w:val="3"/>
        <w:spacing w:before="0" w:line="360" w:lineRule="auto"/>
        <w:jc w:val="left"/>
        <w:rPr>
          <w:rFonts w:ascii="宋体" w:hAnsi="宋体" w:eastAsia="宋体"/>
          <w:sz w:val="24"/>
          <w:szCs w:val="24"/>
        </w:rPr>
      </w:pPr>
      <w:r>
        <w:rPr>
          <w:rFonts w:hint="eastAsia" w:ascii="宋体" w:hAnsi="宋体" w:eastAsia="宋体"/>
          <w:sz w:val="24"/>
          <w:szCs w:val="24"/>
        </w:rPr>
        <w:t>五、公告期限</w:t>
      </w:r>
      <w:bookmarkEnd w:id="19"/>
      <w:bookmarkEnd w:id="20"/>
      <w:bookmarkEnd w:id="21"/>
      <w:bookmarkEnd w:id="22"/>
    </w:p>
    <w:p>
      <w:pPr>
        <w:spacing w:line="360" w:lineRule="auto"/>
        <w:ind w:firstLine="480" w:firstLineChars="200"/>
        <w:rPr>
          <w:rFonts w:ascii="宋体" w:hAnsi="宋体"/>
          <w:sz w:val="24"/>
        </w:rPr>
      </w:pPr>
      <w:r>
        <w:rPr>
          <w:rFonts w:hint="eastAsia" w:ascii="宋体" w:hAnsi="宋体"/>
          <w:kern w:val="0"/>
          <w:sz w:val="24"/>
        </w:rPr>
        <w:t>自本公告发布之日起</w:t>
      </w:r>
      <w:r>
        <w:rPr>
          <w:rFonts w:ascii="宋体" w:hAnsi="宋体"/>
          <w:kern w:val="0"/>
          <w:sz w:val="24"/>
        </w:rPr>
        <w:t>5</w:t>
      </w:r>
      <w:r>
        <w:rPr>
          <w:rFonts w:hint="eastAsia" w:ascii="宋体" w:hAnsi="宋体"/>
          <w:kern w:val="0"/>
          <w:sz w:val="24"/>
        </w:rPr>
        <w:t>个工作日。</w:t>
      </w:r>
      <w:bookmarkStart w:id="23" w:name="_Toc35393626"/>
      <w:bookmarkStart w:id="24" w:name="_Toc35393795"/>
    </w:p>
    <w:p>
      <w:pPr>
        <w:pStyle w:val="3"/>
        <w:spacing w:before="0" w:line="360" w:lineRule="auto"/>
        <w:jc w:val="left"/>
        <w:rPr>
          <w:rFonts w:ascii="宋体" w:hAnsi="宋体" w:eastAsia="宋体"/>
          <w:sz w:val="24"/>
          <w:szCs w:val="24"/>
        </w:rPr>
      </w:pPr>
      <w:r>
        <w:rPr>
          <w:rFonts w:hint="eastAsia" w:ascii="宋体" w:hAnsi="宋体" w:eastAsia="宋体"/>
          <w:sz w:val="24"/>
          <w:szCs w:val="24"/>
        </w:rPr>
        <w:t>六、其他补充事宜</w:t>
      </w:r>
      <w:bookmarkEnd w:id="23"/>
      <w:bookmarkEnd w:id="24"/>
    </w:p>
    <w:p>
      <w:pPr>
        <w:pStyle w:val="189"/>
        <w:spacing w:line="360" w:lineRule="auto"/>
        <w:ind w:firstLine="99"/>
        <w:rPr>
          <w:rStyle w:val="278"/>
          <w:rFonts w:ascii="宋体" w:hAnsi="宋体" w:eastAsia="宋体" w:cs="宋体"/>
          <w:color w:val="auto"/>
          <w:sz w:val="24"/>
          <w:szCs w:val="24"/>
        </w:rPr>
      </w:pPr>
      <w:r>
        <w:rPr>
          <w:rStyle w:val="278"/>
          <w:rFonts w:ascii="宋体" w:hAnsi="宋体" w:eastAsia="宋体" w:cs="宋体"/>
          <w:color w:val="auto"/>
          <w:sz w:val="24"/>
          <w:szCs w:val="24"/>
        </w:rPr>
        <w:t>1.</w:t>
      </w:r>
      <w:r>
        <w:rPr>
          <w:rStyle w:val="278"/>
          <w:rFonts w:ascii="宋体" w:hAnsi="宋体" w:eastAsia="宋体" w:cs="宋体"/>
          <w:color w:val="auto"/>
          <w:sz w:val="24"/>
          <w:szCs w:val="24"/>
          <w:lang w:val="zh-TW" w:eastAsia="zh-TW"/>
        </w:rPr>
        <w:t>本项目需要落实的政府采购政策：</w:t>
      </w:r>
    </w:p>
    <w:p>
      <w:pPr>
        <w:tabs>
          <w:tab w:val="left" w:pos="567"/>
        </w:tabs>
        <w:spacing w:line="360" w:lineRule="auto"/>
        <w:rPr>
          <w:rFonts w:hAnsi="宋体"/>
          <w:sz w:val="24"/>
          <w:lang w:bidi="en-US"/>
        </w:rPr>
      </w:pPr>
      <w:r>
        <w:rPr>
          <w:rFonts w:hint="eastAsia" w:hAnsi="宋体"/>
          <w:sz w:val="24"/>
          <w:lang w:bidi="en-US"/>
        </w:rPr>
        <w:t>（1）政府采购促进中小企业发展管理办法 (财库[2020]46号)</w:t>
      </w:r>
    </w:p>
    <w:p>
      <w:pPr>
        <w:tabs>
          <w:tab w:val="left" w:pos="567"/>
        </w:tabs>
        <w:spacing w:line="360" w:lineRule="auto"/>
        <w:rPr>
          <w:rFonts w:hAnsi="宋体"/>
          <w:sz w:val="24"/>
          <w:lang w:bidi="en-US"/>
        </w:rPr>
      </w:pPr>
      <w:r>
        <w:rPr>
          <w:rFonts w:hint="eastAsia" w:hAnsi="宋体"/>
          <w:sz w:val="24"/>
          <w:lang w:bidi="en-US"/>
        </w:rPr>
        <w:t>（2）政府采购支持监狱企业发展政策（财库[2014]68号）</w:t>
      </w:r>
    </w:p>
    <w:p>
      <w:pPr>
        <w:tabs>
          <w:tab w:val="left" w:pos="567"/>
        </w:tabs>
        <w:spacing w:line="360" w:lineRule="auto"/>
        <w:rPr>
          <w:rFonts w:hAnsi="宋体"/>
          <w:sz w:val="24"/>
          <w:lang w:bidi="en-US"/>
        </w:rPr>
      </w:pPr>
      <w:r>
        <w:rPr>
          <w:rFonts w:hint="eastAsia" w:hAnsi="宋体"/>
          <w:sz w:val="24"/>
          <w:lang w:bidi="en-US"/>
        </w:rPr>
        <w:t>（3）关于促进残疾人就业政府采购政策的通知（财库〔2017〕141号）</w:t>
      </w:r>
    </w:p>
    <w:p>
      <w:pPr>
        <w:tabs>
          <w:tab w:val="left" w:pos="567"/>
        </w:tabs>
        <w:spacing w:line="360" w:lineRule="auto"/>
        <w:ind w:left="710" w:leftChars="-5" w:hanging="720" w:hangingChars="300"/>
        <w:rPr>
          <w:rFonts w:hAnsi="宋体"/>
          <w:sz w:val="24"/>
          <w:lang w:bidi="en-US"/>
        </w:rPr>
      </w:pPr>
      <w:r>
        <w:rPr>
          <w:rFonts w:hint="eastAsia" w:hAnsi="宋体"/>
          <w:sz w:val="24"/>
          <w:lang w:bidi="en-US"/>
        </w:rPr>
        <w:t>（4）财政部关于调整优化节能产品、环境标志产品政府采购执行机制的通知（财库〔2019〕9号）</w:t>
      </w:r>
    </w:p>
    <w:p>
      <w:pPr>
        <w:tabs>
          <w:tab w:val="left" w:pos="567"/>
        </w:tabs>
        <w:spacing w:line="360" w:lineRule="auto"/>
        <w:rPr>
          <w:rFonts w:hAnsi="宋体"/>
          <w:sz w:val="24"/>
          <w:lang w:bidi="en-US"/>
        </w:rPr>
      </w:pPr>
      <w:r>
        <w:rPr>
          <w:rFonts w:hint="eastAsia" w:hAnsi="宋体"/>
          <w:sz w:val="24"/>
          <w:lang w:bidi="en-US"/>
        </w:rPr>
        <w:t>（5）《政府采购进口产品管理办法》（财库〔2007〕119号）</w:t>
      </w:r>
    </w:p>
    <w:p>
      <w:pPr>
        <w:tabs>
          <w:tab w:val="left" w:pos="567"/>
        </w:tabs>
        <w:spacing w:line="360" w:lineRule="auto"/>
        <w:ind w:left="480" w:hanging="480" w:hangingChars="200"/>
        <w:rPr>
          <w:rFonts w:hAnsi="宋体"/>
          <w:sz w:val="24"/>
          <w:lang w:bidi="en-US"/>
        </w:rPr>
      </w:pPr>
      <w:r>
        <w:rPr>
          <w:rFonts w:hint="eastAsia" w:hAnsi="宋体"/>
          <w:sz w:val="24"/>
          <w:lang w:bidi="en-US"/>
        </w:rPr>
        <w:t>（6）北京市财政局关于落实好政府采购支持中小企业发展的通知(京财采购〔2022〕1143号)</w:t>
      </w:r>
    </w:p>
    <w:p>
      <w:pPr>
        <w:tabs>
          <w:tab w:val="left" w:pos="567"/>
        </w:tabs>
        <w:spacing w:line="360" w:lineRule="auto"/>
        <w:rPr>
          <w:rStyle w:val="278"/>
          <w:sz w:val="24"/>
        </w:rPr>
      </w:pPr>
      <w:r>
        <w:rPr>
          <w:rFonts w:hint="eastAsia" w:hAnsi="宋体"/>
          <w:sz w:val="24"/>
          <w:lang w:bidi="en-US"/>
        </w:rPr>
        <w:t>（7）关于进一步加大政府采购支持中小企业力度的通知财库〔2022〕19号等。</w:t>
      </w:r>
    </w:p>
    <w:p>
      <w:pPr>
        <w:widowControl/>
        <w:adjustRightInd w:val="0"/>
        <w:snapToGrid w:val="0"/>
        <w:spacing w:line="360" w:lineRule="auto"/>
        <w:ind w:left="690" w:leftChars="100" w:hanging="480" w:hangingChars="200"/>
        <w:jc w:val="left"/>
        <w:rPr>
          <w:rFonts w:ascii="宋体" w:hAnsi="宋体"/>
          <w:sz w:val="24"/>
        </w:rPr>
      </w:pPr>
      <w:r>
        <w:rPr>
          <w:rFonts w:ascii="宋体" w:hAnsi="宋体"/>
          <w:sz w:val="24"/>
        </w:rPr>
        <w:t>2.</w:t>
      </w:r>
      <w:r>
        <w:rPr>
          <w:rFonts w:hint="eastAsia" w:ascii="宋体" w:hAnsi="宋体" w:cs="宋体"/>
          <w:sz w:val="24"/>
        </w:rPr>
        <w:t xml:space="preserve"> </w:t>
      </w:r>
      <w:r>
        <w:rPr>
          <w:rFonts w:hint="eastAsia" w:ascii="宋体" w:hAnsi="宋体"/>
          <w:sz w:val="24"/>
        </w:rPr>
        <w:t>本项目公告在中国政府采购网（</w:t>
      </w:r>
      <w:r>
        <w:rPr>
          <w:rFonts w:hint="eastAsia"/>
        </w:rPr>
        <w:fldChar w:fldCharType="begin"/>
      </w:r>
      <w:r>
        <w:instrText xml:space="preserve"> HYPERLINK "http://www.ccgp.gov.cn/）、北京市政府采购" </w:instrText>
      </w:r>
      <w:r>
        <w:rPr>
          <w:rFonts w:hint="eastAsia"/>
        </w:rPr>
        <w:fldChar w:fldCharType="separate"/>
      </w:r>
      <w:r>
        <w:rPr>
          <w:rStyle w:val="51"/>
          <w:rFonts w:hint="eastAsia" w:ascii="宋体" w:hAnsi="宋体"/>
          <w:color w:val="auto"/>
          <w:sz w:val="24"/>
          <w:u w:val="none"/>
        </w:rPr>
        <w:t>http://www.ccgp.gov.cn/）、北京市政府采购</w:t>
      </w:r>
      <w:r>
        <w:rPr>
          <w:rStyle w:val="51"/>
          <w:rFonts w:hint="eastAsia" w:ascii="宋体" w:hAnsi="宋体"/>
          <w:color w:val="auto"/>
          <w:sz w:val="24"/>
          <w:u w:val="none"/>
        </w:rPr>
        <w:fldChar w:fldCharType="end"/>
      </w:r>
      <w:r>
        <w:rPr>
          <w:rFonts w:hint="eastAsia" w:ascii="宋体" w:hAnsi="宋体"/>
          <w:sz w:val="24"/>
        </w:rPr>
        <w:t>网（http://www.ccgp-beijing.gov.cn/）上同时发布。</w:t>
      </w:r>
    </w:p>
    <w:p>
      <w:pPr>
        <w:widowControl/>
        <w:adjustRightInd w:val="0"/>
        <w:snapToGrid w:val="0"/>
        <w:spacing w:line="360" w:lineRule="auto"/>
        <w:ind w:left="563" w:leftChars="99" w:hanging="355" w:hangingChars="148"/>
        <w:jc w:val="left"/>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凡对本次招标提出询问及质疑，请与北京天极招投标咨询有限公司联系（质疑函请采用政府采购供应商质疑函范本格式，以书面形式一次性提交）。</w:t>
      </w:r>
    </w:p>
    <w:p>
      <w:pPr>
        <w:pStyle w:val="42"/>
        <w:ind w:left="690" w:leftChars="100" w:hanging="480" w:hangingChars="200"/>
        <w:rPr>
          <w:rFonts w:ascii="宋体" w:hAnsi="宋体"/>
        </w:rPr>
      </w:pPr>
      <w:r>
        <w:rPr>
          <w:rFonts w:ascii="宋体" w:hAnsi="宋体"/>
        </w:rPr>
        <w:t>4.</w:t>
      </w:r>
      <w:r>
        <w:rPr>
          <w:rFonts w:hint="eastAsia" w:ascii="宋体" w:hAnsi="宋体"/>
        </w:rPr>
        <w:t xml:space="preserve"> 本项目采用电子化与线下相结合采购方式，请供应商认真学习北京市政府采购电子交易平台发布的相关操作手册（供应商可在交易平台下载相关手册），办理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pStyle w:val="42"/>
        <w:ind w:firstLine="240" w:firstLineChars="100"/>
        <w:rPr>
          <w:rFonts w:ascii="宋体" w:hAnsi="宋体"/>
        </w:rPr>
      </w:pPr>
      <w:r>
        <w:rPr>
          <w:rFonts w:hint="eastAsia" w:ascii="宋体" w:hAnsi="宋体"/>
        </w:rPr>
        <w:t>CA数字证书服务热线 010-58511086</w:t>
      </w:r>
    </w:p>
    <w:p>
      <w:pPr>
        <w:pStyle w:val="42"/>
        <w:ind w:firstLine="240" w:firstLineChars="100"/>
        <w:rPr>
          <w:rFonts w:ascii="宋体" w:hAnsi="宋体"/>
        </w:rPr>
      </w:pPr>
      <w:r>
        <w:rPr>
          <w:rFonts w:hint="eastAsia" w:ascii="宋体" w:hAnsi="宋体"/>
        </w:rPr>
        <w:t>电子营业执照服务热线 400-699-7000</w:t>
      </w:r>
    </w:p>
    <w:p>
      <w:pPr>
        <w:pStyle w:val="42"/>
        <w:ind w:firstLine="240" w:firstLineChars="100"/>
        <w:rPr>
          <w:rFonts w:ascii="宋体" w:hAnsi="宋体"/>
        </w:rPr>
      </w:pPr>
      <w:r>
        <w:rPr>
          <w:rFonts w:hint="eastAsia" w:ascii="宋体" w:hAnsi="宋体"/>
        </w:rPr>
        <w:t>技术支持服务热线 010-86483801</w:t>
      </w:r>
    </w:p>
    <w:p>
      <w:pPr>
        <w:pStyle w:val="42"/>
        <w:ind w:firstLine="240" w:firstLineChars="100"/>
        <w:rPr>
          <w:rFonts w:ascii="宋体" w:hAnsi="宋体"/>
        </w:rPr>
      </w:pPr>
      <w:r>
        <w:rPr>
          <w:rFonts w:hint="eastAsia" w:ascii="宋体" w:hAnsi="宋体"/>
        </w:rPr>
        <w:t>4</w:t>
      </w:r>
      <w:r>
        <w:rPr>
          <w:rFonts w:ascii="宋体" w:hAnsi="宋体"/>
        </w:rPr>
        <w:t>.1</w:t>
      </w:r>
      <w:r>
        <w:rPr>
          <w:rFonts w:hint="eastAsia" w:ascii="宋体" w:hAnsi="宋体"/>
        </w:rPr>
        <w:t>办理 CA 数字证书或电子营业执照</w:t>
      </w:r>
    </w:p>
    <w:p>
      <w:pPr>
        <w:pStyle w:val="42"/>
        <w:ind w:left="630" w:leftChars="300" w:firstLine="0" w:firstLineChars="0"/>
        <w:rPr>
          <w:rFonts w:ascii="宋体" w:hAnsi="宋体"/>
        </w:rPr>
      </w:pPr>
      <w:r>
        <w:rPr>
          <w:rFonts w:hint="eastAsia" w:ascii="宋体" w:hAnsi="宋体"/>
        </w:rPr>
        <w:t>供应商登录北京市政府采购电子交易平台查阅</w:t>
      </w:r>
      <w:r>
        <w:rPr>
          <w:rFonts w:ascii="宋体" w:hAnsi="宋体"/>
        </w:rPr>
        <w:t xml:space="preserve"> </w:t>
      </w:r>
      <w:r>
        <w:rPr>
          <w:rFonts w:ascii="宋体" w:hAnsi="宋体" w:cs="Nirmala UI"/>
        </w:rPr>
        <w:t>”</w:t>
      </w:r>
      <w:r>
        <w:rPr>
          <w:rFonts w:hint="eastAsia" w:ascii="宋体" w:hAnsi="宋体"/>
        </w:rPr>
        <w:t>用户指南</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操作指南</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市场主体</w:t>
      </w:r>
      <w:r>
        <w:rPr>
          <w:rFonts w:ascii="宋体" w:hAnsi="宋体"/>
        </w:rPr>
        <w:t xml:space="preserve"> CA </w:t>
      </w:r>
      <w:r>
        <w:rPr>
          <w:rFonts w:hint="eastAsia" w:ascii="宋体" w:hAnsi="宋体"/>
        </w:rPr>
        <w:t>办理操作流程指引</w:t>
      </w:r>
      <w:r>
        <w:rPr>
          <w:rFonts w:ascii="宋体" w:hAnsi="宋体" w:cs="Nirmala UI"/>
        </w:rPr>
        <w:t>”</w:t>
      </w:r>
      <w:r>
        <w:rPr>
          <w:rFonts w:ascii="宋体" w:hAnsi="宋体"/>
        </w:rPr>
        <w:t>/</w:t>
      </w:r>
      <w:r>
        <w:rPr>
          <w:rFonts w:ascii="宋体" w:hAnsi="宋体" w:cs="Nirmala UI"/>
        </w:rPr>
        <w:t>”</w:t>
      </w:r>
      <w:r>
        <w:rPr>
          <w:rFonts w:hint="eastAsia" w:ascii="宋体" w:hAnsi="宋体"/>
        </w:rPr>
        <w:t>电子营业执照使用指南</w:t>
      </w:r>
      <w:r>
        <w:rPr>
          <w:rFonts w:ascii="宋体" w:hAnsi="宋体" w:cs="Nirmala UI"/>
        </w:rPr>
        <w:t>”</w:t>
      </w:r>
      <w:r>
        <w:rPr>
          <w:rFonts w:hint="eastAsia" w:ascii="宋体" w:hAnsi="宋体"/>
        </w:rPr>
        <w:t>，按照程序要求办理。</w:t>
      </w:r>
    </w:p>
    <w:p>
      <w:pPr>
        <w:widowControl/>
        <w:jc w:val="left"/>
        <w:rPr>
          <w:rFonts w:ascii="宋体" w:hAnsi="宋体"/>
          <w:sz w:val="24"/>
        </w:rPr>
      </w:pPr>
      <w:r>
        <w:rPr>
          <w:rFonts w:ascii="宋体" w:hAnsi="宋体"/>
        </w:rPr>
        <w:br w:type="page"/>
      </w:r>
    </w:p>
    <w:p>
      <w:pPr>
        <w:pStyle w:val="42"/>
        <w:ind w:firstLine="240" w:firstLineChars="100"/>
        <w:rPr>
          <w:rFonts w:ascii="宋体" w:hAnsi="宋体"/>
        </w:rPr>
      </w:pPr>
      <w:r>
        <w:rPr>
          <w:rFonts w:hint="eastAsia" w:ascii="宋体" w:hAnsi="宋体"/>
        </w:rPr>
        <w:t>4</w:t>
      </w:r>
      <w:r>
        <w:rPr>
          <w:rFonts w:ascii="宋体" w:hAnsi="宋体"/>
        </w:rPr>
        <w:t>.2</w:t>
      </w:r>
      <w:r>
        <w:rPr>
          <w:rFonts w:hint="eastAsia" w:ascii="宋体" w:hAnsi="宋体"/>
        </w:rPr>
        <w:t>注册</w:t>
      </w:r>
    </w:p>
    <w:p>
      <w:pPr>
        <w:pStyle w:val="42"/>
        <w:ind w:firstLine="240" w:firstLineChars="100"/>
        <w:rPr>
          <w:rFonts w:ascii="宋体" w:hAnsi="宋体"/>
        </w:rPr>
      </w:pPr>
      <w:r>
        <w:rPr>
          <w:rFonts w:hint="eastAsia" w:ascii="宋体" w:hAnsi="宋体"/>
        </w:rPr>
        <w:t>供应商登录北京市政府采购电子交易平台</w:t>
      </w:r>
      <w:r>
        <w:rPr>
          <w:rFonts w:ascii="宋体" w:hAnsi="宋体" w:cs="Nirmala UI"/>
        </w:rPr>
        <w:t>””</w:t>
      </w:r>
      <w:r>
        <w:rPr>
          <w:rFonts w:hint="eastAsia" w:ascii="宋体" w:hAnsi="宋体"/>
        </w:rPr>
        <w:t>用户指南</w:t>
      </w:r>
      <w:r>
        <w:rPr>
          <w:rFonts w:ascii="宋体" w:hAnsi="宋体" w:cs="Nirmala UI"/>
        </w:rPr>
        <w:t>”</w:t>
      </w:r>
      <w:r>
        <w:rPr>
          <w:rFonts w:hint="eastAsia" w:ascii="宋体" w:hAnsi="宋体"/>
        </w:rPr>
        <w:t>—</w:t>
      </w:r>
      <w:r>
        <w:rPr>
          <w:rFonts w:ascii="宋体" w:hAnsi="宋体" w:cs="Nirmala UI"/>
        </w:rPr>
        <w:t xml:space="preserve"> ”操</w:t>
      </w:r>
      <w:r>
        <w:rPr>
          <w:rFonts w:hint="eastAsia" w:ascii="宋体" w:hAnsi="宋体"/>
        </w:rPr>
        <w:t>作指南</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市场主体注册入库操作流程指引</w:t>
      </w:r>
      <w:r>
        <w:rPr>
          <w:rFonts w:ascii="宋体" w:hAnsi="宋体" w:cs="Nirmala UI"/>
        </w:rPr>
        <w:t>”</w:t>
      </w:r>
      <w:r>
        <w:rPr>
          <w:rFonts w:hint="eastAsia" w:ascii="宋体" w:hAnsi="宋体"/>
        </w:rPr>
        <w:t>进行自助注册绑定。</w:t>
      </w:r>
    </w:p>
    <w:p>
      <w:pPr>
        <w:pStyle w:val="42"/>
        <w:ind w:firstLine="240" w:firstLineChars="100"/>
        <w:rPr>
          <w:rFonts w:ascii="宋体" w:hAnsi="宋体"/>
        </w:rPr>
      </w:pPr>
      <w:r>
        <w:rPr>
          <w:rFonts w:ascii="宋体" w:hAnsi="宋体"/>
        </w:rPr>
        <w:t>4</w:t>
      </w:r>
      <w:r>
        <w:rPr>
          <w:rFonts w:hint="eastAsia" w:ascii="宋体" w:hAnsi="宋体"/>
        </w:rPr>
        <w:t>.3 驱动、客户端下载</w:t>
      </w:r>
    </w:p>
    <w:p>
      <w:pPr>
        <w:pStyle w:val="42"/>
        <w:ind w:firstLine="240" w:firstLineChars="100"/>
        <w:rPr>
          <w:rFonts w:ascii="宋体" w:hAnsi="宋体"/>
        </w:rPr>
      </w:pPr>
      <w:r>
        <w:rPr>
          <w:rFonts w:hint="eastAsia" w:ascii="宋体" w:hAnsi="宋体"/>
        </w:rPr>
        <w:t>供应商登录北京市政府采购电子交易平台</w:t>
      </w:r>
      <w:r>
        <w:rPr>
          <w:rFonts w:ascii="宋体" w:hAnsi="宋体" w:cs="Nirmala UI"/>
        </w:rPr>
        <w:t>”</w:t>
      </w:r>
      <w:r>
        <w:rPr>
          <w:rFonts w:hint="eastAsia" w:ascii="宋体" w:hAnsi="宋体"/>
        </w:rPr>
        <w:t>用户指南</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工具下载</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招标采购系统文件驱动安装包</w:t>
      </w:r>
      <w:r>
        <w:rPr>
          <w:rFonts w:ascii="宋体" w:hAnsi="宋体" w:cs="Nirmala UI"/>
        </w:rPr>
        <w:t>”</w:t>
      </w:r>
      <w:r>
        <w:rPr>
          <w:rFonts w:hint="eastAsia" w:ascii="宋体" w:hAnsi="宋体"/>
        </w:rPr>
        <w:t>下载相关驱动。</w:t>
      </w:r>
    </w:p>
    <w:p>
      <w:pPr>
        <w:pStyle w:val="42"/>
        <w:ind w:firstLine="240" w:firstLineChars="100"/>
        <w:rPr>
          <w:rFonts w:ascii="宋体" w:hAnsi="宋体"/>
        </w:rPr>
      </w:pPr>
      <w:r>
        <w:rPr>
          <w:rFonts w:hint="eastAsia" w:ascii="宋体" w:hAnsi="宋体"/>
        </w:rPr>
        <w:t>供应商登录北京市政府采购电子交易平台</w:t>
      </w:r>
      <w:r>
        <w:rPr>
          <w:rFonts w:ascii="宋体" w:hAnsi="宋体" w:cs="Nirmala UI"/>
        </w:rPr>
        <w:t>”</w:t>
      </w:r>
      <w:r>
        <w:rPr>
          <w:rFonts w:hint="eastAsia" w:ascii="宋体" w:hAnsi="宋体"/>
        </w:rPr>
        <w:t>用户指南</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工具下载</w:t>
      </w:r>
      <w:r>
        <w:rPr>
          <w:rFonts w:ascii="宋体" w:hAnsi="宋体" w:cs="Nirmala UI"/>
        </w:rPr>
        <w:t>”</w:t>
      </w:r>
      <w:r>
        <w:rPr>
          <w:rFonts w:hint="eastAsia" w:ascii="宋体" w:hAnsi="宋体"/>
        </w:rPr>
        <w:t>—</w:t>
      </w:r>
      <w:r>
        <w:rPr>
          <w:rFonts w:ascii="宋体" w:hAnsi="宋体" w:cs="Nirmala UI"/>
        </w:rPr>
        <w:t xml:space="preserve"> ”</w:t>
      </w:r>
      <w:r>
        <w:rPr>
          <w:rFonts w:hint="eastAsia" w:ascii="宋体" w:hAnsi="宋体"/>
        </w:rPr>
        <w:t>投标文件编制工具</w:t>
      </w:r>
      <w:r>
        <w:rPr>
          <w:rFonts w:ascii="宋体" w:hAnsi="宋体" w:cs="Nirmala UI"/>
        </w:rPr>
        <w:t>”</w:t>
      </w:r>
      <w:r>
        <w:rPr>
          <w:rFonts w:hint="eastAsia" w:ascii="宋体" w:hAnsi="宋体"/>
        </w:rPr>
        <w:t>下载相关客户端。</w:t>
      </w:r>
    </w:p>
    <w:p>
      <w:pPr>
        <w:pStyle w:val="42"/>
        <w:ind w:firstLine="240" w:firstLineChars="100"/>
        <w:rPr>
          <w:rFonts w:ascii="宋体" w:hAnsi="宋体"/>
        </w:rPr>
      </w:pPr>
      <w:r>
        <w:rPr>
          <w:rFonts w:hint="eastAsia" w:ascii="宋体" w:hAnsi="宋体"/>
        </w:rPr>
        <w:t>4</w:t>
      </w:r>
      <w:r>
        <w:rPr>
          <w:rFonts w:ascii="宋体" w:hAnsi="宋体"/>
        </w:rPr>
        <w:t>.4</w:t>
      </w:r>
      <w:r>
        <w:rPr>
          <w:rFonts w:hint="eastAsia" w:ascii="宋体" w:hAnsi="宋体"/>
        </w:rPr>
        <w:t>获取电子招标文件</w:t>
      </w:r>
    </w:p>
    <w:p>
      <w:pPr>
        <w:pStyle w:val="42"/>
        <w:ind w:firstLine="240" w:firstLineChars="100"/>
        <w:rPr>
          <w:rFonts w:ascii="宋体" w:hAnsi="宋体"/>
        </w:rPr>
      </w:pPr>
      <w:r>
        <w:rPr>
          <w:rFonts w:hint="eastAsia" w:ascii="宋体" w:hAnsi="宋体"/>
        </w:rPr>
        <w:t>供应商使用 CA 数字证书或电子营业执照登录北京市政府采购电子交易平台获取电子招标文件</w:t>
      </w:r>
      <w:r>
        <w:rPr>
          <w:rFonts w:ascii="宋体" w:hAnsi="宋体"/>
        </w:rPr>
        <w:t>。</w:t>
      </w:r>
      <w:r>
        <w:rPr>
          <w:rFonts w:hint="eastAsia" w:ascii="宋体" w:hAnsi="宋体"/>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无效。</w:t>
      </w:r>
    </w:p>
    <w:p>
      <w:pPr>
        <w:widowControl/>
        <w:jc w:val="left"/>
        <w:rPr>
          <w:rFonts w:ascii="宋体" w:hAnsi="宋体"/>
          <w:sz w:val="24"/>
        </w:rPr>
      </w:pPr>
      <w:bookmarkStart w:id="25" w:name="_Toc35393627"/>
      <w:bookmarkStart w:id="26" w:name="_Toc35393796"/>
      <w:bookmarkStart w:id="27" w:name="_Toc28359085"/>
      <w:bookmarkStart w:id="28" w:name="_Toc28359008"/>
    </w:p>
    <w:p>
      <w:pPr>
        <w:widowControl/>
        <w:jc w:val="left"/>
        <w:rPr>
          <w:rFonts w:ascii="宋体" w:hAnsi="宋体"/>
          <w:sz w:val="24"/>
        </w:rPr>
      </w:pPr>
      <w:r>
        <w:rPr>
          <w:rFonts w:hint="eastAsia" w:ascii="宋体" w:hAnsi="宋体"/>
          <w:sz w:val="24"/>
        </w:rPr>
        <w:t>七、对本次招标提出询问，请按以下方式联系。</w:t>
      </w:r>
      <w:bookmarkEnd w:id="25"/>
      <w:bookmarkEnd w:id="26"/>
      <w:bookmarkEnd w:id="27"/>
      <w:bookmarkEnd w:id="28"/>
    </w:p>
    <w:p>
      <w:pPr>
        <w:pStyle w:val="37"/>
      </w:pPr>
    </w:p>
    <w:p>
      <w:pPr>
        <w:widowControl/>
        <w:spacing w:line="360" w:lineRule="auto"/>
        <w:ind w:firstLine="426" w:firstLineChars="177"/>
        <w:jc w:val="left"/>
        <w:rPr>
          <w:rFonts w:ascii="宋体"/>
          <w:b/>
          <w:sz w:val="24"/>
        </w:rPr>
      </w:pPr>
      <w:r>
        <w:rPr>
          <w:rFonts w:ascii="宋体" w:hAnsi="宋体" w:cs="宋体"/>
          <w:b/>
          <w:sz w:val="24"/>
        </w:rPr>
        <w:t>1.</w:t>
      </w:r>
      <w:r>
        <w:rPr>
          <w:rFonts w:hint="eastAsia" w:ascii="宋体" w:hAnsi="宋体" w:cs="宋体"/>
          <w:b/>
          <w:sz w:val="24"/>
        </w:rPr>
        <w:t>采购人信息</w:t>
      </w:r>
    </w:p>
    <w:p>
      <w:pPr>
        <w:spacing w:line="360" w:lineRule="auto"/>
        <w:ind w:firstLine="424" w:firstLineChars="177"/>
        <w:jc w:val="left"/>
        <w:rPr>
          <w:rFonts w:ascii="宋体"/>
          <w:sz w:val="24"/>
          <w:u w:val="single"/>
        </w:rPr>
      </w:pPr>
      <w:r>
        <w:rPr>
          <w:rFonts w:hint="eastAsia" w:ascii="宋体" w:hAnsi="宋体"/>
          <w:sz w:val="24"/>
        </w:rPr>
        <w:t>名</w:t>
      </w:r>
      <w:r>
        <w:rPr>
          <w:rFonts w:ascii="宋体" w:hAnsi="宋体"/>
          <w:sz w:val="24"/>
        </w:rPr>
        <w:t xml:space="preserve"> </w:t>
      </w:r>
      <w:r>
        <w:rPr>
          <w:rFonts w:hint="eastAsia" w:ascii="宋体" w:hAnsi="宋体"/>
          <w:sz w:val="24"/>
        </w:rPr>
        <w:t>称：</w:t>
      </w:r>
      <w:r>
        <w:rPr>
          <w:rFonts w:ascii="宋体" w:hAnsi="宋体"/>
          <w:sz w:val="24"/>
        </w:rPr>
        <w:t xml:space="preserve"> 人大附中亦庄新城学校</w:t>
      </w:r>
    </w:p>
    <w:p>
      <w:pPr>
        <w:spacing w:line="360" w:lineRule="auto"/>
        <w:ind w:firstLine="424" w:firstLineChars="177"/>
        <w:jc w:val="left"/>
        <w:rPr>
          <w:rFonts w:ascii="宋体"/>
          <w:sz w:val="24"/>
        </w:rPr>
      </w:pPr>
      <w:r>
        <w:rPr>
          <w:rFonts w:hint="eastAsia" w:ascii="宋体" w:hAnsi="宋体"/>
          <w:sz w:val="24"/>
        </w:rPr>
        <w:t>地 址：北京经济技术开发区X95、X96地块</w:t>
      </w:r>
    </w:p>
    <w:p>
      <w:pPr>
        <w:spacing w:line="360" w:lineRule="auto"/>
        <w:ind w:firstLine="424" w:firstLineChars="177"/>
        <w:jc w:val="left"/>
        <w:rPr>
          <w:rFonts w:asciiTheme="minorEastAsia" w:hAnsiTheme="minorEastAsia" w:eastAsiaTheme="minorEastAsia"/>
          <w:sz w:val="24"/>
          <w:u w:val="single"/>
        </w:rPr>
      </w:pPr>
      <w:r>
        <w:rPr>
          <w:rFonts w:hint="eastAsia" w:asciiTheme="minorEastAsia" w:hAnsiTheme="minorEastAsia" w:eastAsiaTheme="minorEastAsia"/>
          <w:sz w:val="24"/>
        </w:rPr>
        <w:t>联系方式：</w:t>
      </w:r>
      <w:bookmarkStart w:id="29" w:name="_Toc28359086"/>
      <w:bookmarkStart w:id="30" w:name="_Toc28359009"/>
      <w:r>
        <w:rPr>
          <w:rFonts w:hint="eastAsia" w:asciiTheme="minorEastAsia" w:hAnsiTheme="minorEastAsia" w:eastAsiaTheme="minorEastAsia"/>
          <w:sz w:val="24"/>
        </w:rPr>
        <w:t>刘</w:t>
      </w:r>
      <w:r>
        <w:rPr>
          <w:rFonts w:hint="eastAsia" w:asciiTheme="minorEastAsia" w:hAnsiTheme="minorEastAsia" w:eastAsiaTheme="minorEastAsia"/>
          <w:sz w:val="24"/>
          <w:lang w:val="en-US" w:eastAsia="zh-CN"/>
        </w:rPr>
        <w:t>畅</w:t>
      </w:r>
      <w:r>
        <w:rPr>
          <w:rFonts w:hint="eastAsia" w:asciiTheme="minorEastAsia" w:hAnsiTheme="minorEastAsia" w:eastAsiaTheme="minorEastAsia"/>
          <w:sz w:val="24"/>
        </w:rPr>
        <w:t>，010-67857320</w:t>
      </w:r>
    </w:p>
    <w:p>
      <w:pPr>
        <w:spacing w:line="360" w:lineRule="auto"/>
        <w:ind w:firstLine="426" w:firstLineChars="177"/>
        <w:jc w:val="left"/>
        <w:rPr>
          <w:rFonts w:ascii="宋体"/>
          <w:b/>
          <w:sz w:val="24"/>
        </w:rPr>
      </w:pPr>
      <w:r>
        <w:rPr>
          <w:rFonts w:ascii="宋体" w:hAnsi="宋体" w:cs="宋体"/>
          <w:b/>
          <w:sz w:val="24"/>
        </w:rPr>
        <w:t>2.</w:t>
      </w:r>
      <w:r>
        <w:rPr>
          <w:rFonts w:hint="eastAsia" w:ascii="宋体" w:hAnsi="宋体" w:cs="宋体"/>
          <w:b/>
          <w:sz w:val="24"/>
        </w:rPr>
        <w:t>采购代理机构信息</w:t>
      </w:r>
      <w:bookmarkEnd w:id="29"/>
      <w:bookmarkEnd w:id="30"/>
    </w:p>
    <w:p>
      <w:pPr>
        <w:pStyle w:val="189"/>
        <w:spacing w:line="360" w:lineRule="auto"/>
        <w:ind w:firstLine="480"/>
        <w:rPr>
          <w:rStyle w:val="278"/>
          <w:rFonts w:ascii="宋体" w:hAnsi="宋体" w:eastAsia="宋体" w:cs="宋体"/>
          <w:color w:val="auto"/>
          <w:sz w:val="24"/>
          <w:szCs w:val="24"/>
          <w:lang w:val="zh-TW" w:eastAsia="zh-TW"/>
        </w:rPr>
      </w:pPr>
      <w:r>
        <w:rPr>
          <w:rStyle w:val="278"/>
          <w:rFonts w:ascii="宋体" w:hAnsi="宋体" w:eastAsia="宋体" w:cs="宋体"/>
          <w:color w:val="auto"/>
          <w:sz w:val="24"/>
          <w:szCs w:val="24"/>
          <w:lang w:val="zh-TW" w:eastAsia="zh-TW"/>
        </w:rPr>
        <w:t>名  称：北京天极招投标咨询有限公司　</w:t>
      </w:r>
    </w:p>
    <w:p>
      <w:pPr>
        <w:pStyle w:val="189"/>
        <w:spacing w:line="360" w:lineRule="auto"/>
        <w:ind w:firstLine="480"/>
        <w:rPr>
          <w:rStyle w:val="278"/>
          <w:rFonts w:ascii="宋体" w:hAnsi="宋体" w:eastAsia="宋体" w:cs="宋体"/>
          <w:color w:val="auto"/>
          <w:sz w:val="24"/>
          <w:szCs w:val="24"/>
        </w:rPr>
      </w:pPr>
      <w:r>
        <w:rPr>
          <w:rStyle w:val="278"/>
          <w:rFonts w:ascii="宋体" w:hAnsi="宋体" w:eastAsia="宋体" w:cs="宋体"/>
          <w:color w:val="auto"/>
          <w:sz w:val="24"/>
          <w:szCs w:val="24"/>
          <w:lang w:val="zh-TW" w:eastAsia="zh-TW"/>
        </w:rPr>
        <w:t>地　址：北京市大兴区宏业东路</w:t>
      </w:r>
      <w:r>
        <w:rPr>
          <w:rStyle w:val="278"/>
          <w:rFonts w:ascii="宋体" w:hAnsi="宋体" w:eastAsia="宋体" w:cs="宋体"/>
          <w:color w:val="auto"/>
          <w:sz w:val="24"/>
          <w:szCs w:val="24"/>
        </w:rPr>
        <w:t>1</w:t>
      </w:r>
      <w:r>
        <w:rPr>
          <w:rStyle w:val="278"/>
          <w:rFonts w:ascii="宋体" w:hAnsi="宋体" w:eastAsia="宋体" w:cs="宋体"/>
          <w:color w:val="auto"/>
          <w:sz w:val="24"/>
          <w:szCs w:val="24"/>
          <w:lang w:val="zh-TW" w:eastAsia="zh-TW"/>
        </w:rPr>
        <w:t>号院</w:t>
      </w:r>
      <w:r>
        <w:rPr>
          <w:rStyle w:val="278"/>
          <w:rFonts w:ascii="宋体" w:hAnsi="宋体" w:eastAsia="宋体" w:cs="宋体"/>
          <w:color w:val="auto"/>
          <w:sz w:val="24"/>
          <w:szCs w:val="24"/>
        </w:rPr>
        <w:t>3</w:t>
      </w:r>
      <w:r>
        <w:rPr>
          <w:rStyle w:val="278"/>
          <w:rFonts w:ascii="宋体" w:hAnsi="宋体" w:eastAsia="宋体" w:cs="宋体"/>
          <w:color w:val="auto"/>
          <w:sz w:val="24"/>
          <w:szCs w:val="24"/>
          <w:lang w:val="zh-TW" w:eastAsia="zh-TW"/>
        </w:rPr>
        <w:t>号楼</w:t>
      </w:r>
      <w:r>
        <w:rPr>
          <w:rStyle w:val="278"/>
          <w:rFonts w:ascii="宋体" w:hAnsi="宋体" w:eastAsia="宋体" w:cs="宋体"/>
          <w:color w:val="auto"/>
          <w:sz w:val="24"/>
          <w:szCs w:val="24"/>
        </w:rPr>
        <w:t>3</w:t>
      </w:r>
      <w:r>
        <w:rPr>
          <w:rStyle w:val="278"/>
          <w:rFonts w:ascii="宋体" w:hAnsi="宋体" w:eastAsia="宋体" w:cs="宋体"/>
          <w:color w:val="auto"/>
          <w:sz w:val="24"/>
          <w:szCs w:val="24"/>
          <w:lang w:val="zh-TW" w:eastAsia="zh-TW"/>
        </w:rPr>
        <w:t>层</w:t>
      </w:r>
      <w:r>
        <w:rPr>
          <w:rStyle w:val="278"/>
          <w:rFonts w:ascii="宋体" w:hAnsi="宋体" w:eastAsia="宋体" w:cs="宋体"/>
          <w:color w:val="auto"/>
          <w:sz w:val="24"/>
          <w:szCs w:val="24"/>
        </w:rPr>
        <w:t>301</w:t>
      </w:r>
      <w:r>
        <w:rPr>
          <w:rStyle w:val="278"/>
          <w:rFonts w:ascii="宋体" w:hAnsi="宋体" w:eastAsia="宋体" w:cs="宋体"/>
          <w:color w:val="auto"/>
          <w:sz w:val="24"/>
          <w:szCs w:val="24"/>
          <w:lang w:val="zh-TW" w:eastAsia="zh-TW"/>
        </w:rPr>
        <w:t>室　</w:t>
      </w:r>
    </w:p>
    <w:p>
      <w:pPr>
        <w:pStyle w:val="189"/>
        <w:spacing w:line="360" w:lineRule="auto"/>
        <w:ind w:firstLine="480"/>
        <w:rPr>
          <w:rStyle w:val="278"/>
          <w:rFonts w:ascii="宋体" w:hAnsi="宋体" w:eastAsia="宋体" w:cs="宋体"/>
          <w:color w:val="auto"/>
          <w:sz w:val="24"/>
          <w:szCs w:val="24"/>
        </w:rPr>
      </w:pPr>
      <w:r>
        <w:rPr>
          <w:rStyle w:val="278"/>
          <w:rFonts w:ascii="宋体" w:hAnsi="宋体" w:eastAsia="宋体" w:cs="宋体"/>
          <w:color w:val="auto"/>
          <w:sz w:val="24"/>
          <w:szCs w:val="24"/>
          <w:lang w:val="zh-TW" w:eastAsia="zh-TW"/>
        </w:rPr>
        <w:t>联系方式：</w:t>
      </w:r>
      <w:r>
        <w:rPr>
          <w:rStyle w:val="278"/>
          <w:rFonts w:ascii="宋体" w:hAnsi="宋体" w:eastAsia="宋体" w:cs="宋体"/>
          <w:color w:val="auto"/>
          <w:sz w:val="24"/>
          <w:szCs w:val="24"/>
        </w:rPr>
        <w:t>010-60230611-800</w:t>
      </w:r>
      <w:r>
        <w:rPr>
          <w:rStyle w:val="278"/>
          <w:rFonts w:hint="eastAsia" w:ascii="宋体" w:hAnsi="宋体" w:eastAsia="宋体" w:cs="宋体"/>
          <w:color w:val="auto"/>
          <w:sz w:val="24"/>
          <w:szCs w:val="24"/>
        </w:rPr>
        <w:t>9</w:t>
      </w:r>
    </w:p>
    <w:p>
      <w:pPr>
        <w:pStyle w:val="189"/>
        <w:spacing w:line="360" w:lineRule="auto"/>
        <w:ind w:firstLine="482"/>
        <w:rPr>
          <w:rStyle w:val="278"/>
          <w:rFonts w:ascii="宋体" w:hAnsi="宋体" w:eastAsia="宋体" w:cs="宋体"/>
          <w:b/>
          <w:bCs/>
          <w:color w:val="auto"/>
          <w:sz w:val="24"/>
          <w:szCs w:val="24"/>
          <w:u w:val="single"/>
        </w:rPr>
      </w:pPr>
      <w:r>
        <w:rPr>
          <w:rStyle w:val="278"/>
          <w:rFonts w:ascii="宋体" w:hAnsi="宋体" w:eastAsia="宋体" w:cs="宋体"/>
          <w:b/>
          <w:bCs/>
          <w:color w:val="auto"/>
          <w:sz w:val="24"/>
          <w:szCs w:val="24"/>
        </w:rPr>
        <w:t>3.</w:t>
      </w:r>
      <w:r>
        <w:rPr>
          <w:rStyle w:val="278"/>
          <w:rFonts w:ascii="宋体" w:hAnsi="宋体" w:eastAsia="宋体" w:cs="宋体"/>
          <w:b/>
          <w:bCs/>
          <w:color w:val="auto"/>
          <w:sz w:val="24"/>
          <w:szCs w:val="24"/>
          <w:lang w:val="zh-TW" w:eastAsia="zh-TW"/>
        </w:rPr>
        <w:t>项目联系方式</w:t>
      </w:r>
    </w:p>
    <w:p>
      <w:pPr>
        <w:pStyle w:val="189"/>
        <w:spacing w:line="360" w:lineRule="auto"/>
        <w:ind w:right="960" w:firstLine="480"/>
        <w:rPr>
          <w:rStyle w:val="278"/>
          <w:rFonts w:ascii="宋体" w:hAnsi="宋体" w:eastAsia="宋体" w:cs="宋体"/>
          <w:color w:val="auto"/>
          <w:sz w:val="24"/>
          <w:szCs w:val="24"/>
          <w:lang w:val="zh-TW" w:eastAsia="zh-TW"/>
        </w:rPr>
      </w:pPr>
      <w:r>
        <w:rPr>
          <w:rStyle w:val="278"/>
          <w:rFonts w:ascii="宋体" w:hAnsi="宋体" w:eastAsia="宋体" w:cs="宋体"/>
          <w:color w:val="auto"/>
          <w:sz w:val="24"/>
          <w:szCs w:val="24"/>
          <w:lang w:val="zh-TW" w:eastAsia="zh-TW"/>
        </w:rPr>
        <w:t>项目联系人：</w:t>
      </w:r>
      <w:r>
        <w:rPr>
          <w:rStyle w:val="278"/>
          <w:rFonts w:hint="eastAsia" w:ascii="宋体" w:hAnsi="宋体" w:eastAsia="宋体" w:cs="宋体"/>
          <w:color w:val="auto"/>
          <w:sz w:val="24"/>
          <w:szCs w:val="24"/>
        </w:rPr>
        <w:t>窦冰雪、冯乐乐、</w:t>
      </w:r>
      <w:r>
        <w:rPr>
          <w:rStyle w:val="278"/>
          <w:rFonts w:ascii="宋体" w:hAnsi="宋体" w:eastAsia="宋体" w:cs="宋体"/>
          <w:color w:val="auto"/>
          <w:sz w:val="24"/>
          <w:szCs w:val="24"/>
          <w:lang w:val="zh-TW" w:eastAsia="zh-TW"/>
        </w:rPr>
        <w:t>安冬</w:t>
      </w:r>
    </w:p>
    <w:p>
      <w:pPr>
        <w:pStyle w:val="189"/>
        <w:spacing w:line="360" w:lineRule="auto"/>
        <w:ind w:right="960" w:firstLine="480"/>
        <w:rPr>
          <w:rStyle w:val="278"/>
          <w:rFonts w:ascii="宋体" w:hAnsi="宋体" w:eastAsia="宋体" w:cs="宋体"/>
          <w:color w:val="auto"/>
          <w:sz w:val="24"/>
          <w:szCs w:val="24"/>
        </w:rPr>
      </w:pPr>
      <w:r>
        <w:rPr>
          <w:rStyle w:val="278"/>
          <w:rFonts w:ascii="宋体" w:hAnsi="宋体" w:eastAsia="宋体" w:cs="宋体"/>
          <w:color w:val="auto"/>
          <w:sz w:val="24"/>
          <w:szCs w:val="24"/>
          <w:lang w:val="zh-TW" w:eastAsia="zh-TW"/>
        </w:rPr>
        <w:t>电　    话：</w:t>
      </w:r>
      <w:r>
        <w:rPr>
          <w:rStyle w:val="278"/>
          <w:rFonts w:ascii="宋体" w:hAnsi="宋体" w:eastAsia="宋体" w:cs="宋体"/>
          <w:color w:val="auto"/>
          <w:sz w:val="24"/>
          <w:szCs w:val="24"/>
        </w:rPr>
        <w:t>010-60230611-800</w:t>
      </w:r>
      <w:r>
        <w:rPr>
          <w:rStyle w:val="278"/>
          <w:rFonts w:hint="eastAsia" w:ascii="宋体" w:hAnsi="宋体" w:eastAsia="宋体" w:cs="宋体"/>
          <w:color w:val="auto"/>
          <w:sz w:val="24"/>
          <w:szCs w:val="24"/>
        </w:rPr>
        <w:t>9</w:t>
      </w:r>
    </w:p>
    <w:p>
      <w:pPr>
        <w:spacing w:line="360" w:lineRule="auto"/>
        <w:jc w:val="center"/>
        <w:outlineLvl w:val="0"/>
        <w:rPr>
          <w:rFonts w:ascii="宋体"/>
          <w:b/>
          <w:sz w:val="32"/>
          <w:szCs w:val="32"/>
        </w:rPr>
      </w:pPr>
      <w:r>
        <w:rPr>
          <w:rFonts w:ascii="宋体" w:hAnsi="宋体"/>
          <w:iCs/>
          <w:sz w:val="24"/>
          <w:u w:val="single"/>
        </w:rPr>
        <w:br w:type="page"/>
      </w:r>
      <w:bookmarkStart w:id="31" w:name="_Toc127151777"/>
      <w:bookmarkStart w:id="32" w:name="_Toc265228423"/>
      <w:bookmarkStart w:id="33" w:name="_Toc150774783"/>
      <w:bookmarkStart w:id="34" w:name="_Toc305158928"/>
      <w:bookmarkStart w:id="35" w:name="_Toc264969275"/>
      <w:bookmarkStart w:id="36" w:name="_Toc512937850"/>
      <w:bookmarkStart w:id="37" w:name="_Toc353825548"/>
      <w:bookmarkStart w:id="38" w:name="_Toc226965856"/>
      <w:bookmarkStart w:id="39" w:name="_Toc127161488"/>
      <w:bookmarkStart w:id="40" w:name="_Toc305158854"/>
      <w:bookmarkStart w:id="41" w:name="_Toc195842950"/>
      <w:bookmarkStart w:id="42" w:name="_Toc353873938"/>
      <w:bookmarkStart w:id="43" w:name="_Toc12057"/>
      <w:r>
        <w:rPr>
          <w:rFonts w:hint="eastAsia" w:ascii="宋体" w:hAnsi="宋体"/>
          <w:b/>
          <w:sz w:val="36"/>
          <w:szCs w:val="36"/>
        </w:rPr>
        <w:t>第二章</w:t>
      </w:r>
      <w:r>
        <w:rPr>
          <w:rFonts w:ascii="宋体" w:hAnsi="宋体"/>
          <w:b/>
          <w:sz w:val="36"/>
          <w:szCs w:val="36"/>
        </w:rPr>
        <w:t xml:space="preserve">   </w:t>
      </w:r>
      <w:r>
        <w:rPr>
          <w:rFonts w:hint="eastAsia" w:ascii="宋体" w:hAnsi="宋体"/>
          <w:b/>
          <w:sz w:val="36"/>
          <w:szCs w:val="36"/>
        </w:rPr>
        <w:t>投标人须知</w:t>
      </w:r>
      <w:bookmarkEnd w:id="31"/>
      <w:bookmarkEnd w:id="32"/>
      <w:bookmarkEnd w:id="33"/>
      <w:bookmarkEnd w:id="34"/>
      <w:bookmarkEnd w:id="35"/>
      <w:bookmarkEnd w:id="36"/>
      <w:bookmarkEnd w:id="37"/>
      <w:bookmarkEnd w:id="38"/>
      <w:bookmarkEnd w:id="39"/>
      <w:bookmarkEnd w:id="40"/>
      <w:bookmarkEnd w:id="41"/>
      <w:bookmarkEnd w:id="42"/>
      <w:bookmarkEnd w:id="43"/>
    </w:p>
    <w:p>
      <w:pPr>
        <w:pStyle w:val="3"/>
        <w:tabs>
          <w:tab w:val="center" w:pos="4592"/>
          <w:tab w:val="left" w:pos="7860"/>
        </w:tabs>
        <w:spacing w:before="0" w:line="360" w:lineRule="auto"/>
        <w:rPr>
          <w:rFonts w:ascii="宋体" w:hAnsi="宋体" w:eastAsia="宋体"/>
          <w:sz w:val="28"/>
        </w:rPr>
      </w:pPr>
      <w:bookmarkStart w:id="44" w:name="_Toc520356144"/>
      <w:bookmarkStart w:id="45" w:name="_Toc164229214"/>
      <w:bookmarkStart w:id="46" w:name="_Toc150774619"/>
      <w:bookmarkStart w:id="47" w:name="_Toc127161433"/>
      <w:bookmarkStart w:id="48" w:name="_Toc226965792"/>
      <w:bookmarkStart w:id="49" w:name="_Toc226965709"/>
      <w:bookmarkStart w:id="50" w:name="_Toc195842884"/>
      <w:bookmarkStart w:id="51" w:name="_Toc151193617"/>
      <w:bookmarkStart w:id="52" w:name="_Toc151193907"/>
      <w:bookmarkStart w:id="53" w:name="_Toc164608788"/>
      <w:bookmarkStart w:id="54" w:name="_Toc149720812"/>
      <w:bookmarkStart w:id="55" w:name="_Toc164351613"/>
      <w:bookmarkStart w:id="56" w:name="_Toc150774724"/>
      <w:bookmarkStart w:id="57" w:name="_Toc164608633"/>
      <w:bookmarkStart w:id="58" w:name="_Toc226337215"/>
      <w:bookmarkStart w:id="59" w:name="_Toc127151720"/>
      <w:bookmarkStart w:id="60" w:name="_Toc127151519"/>
      <w:bookmarkStart w:id="61" w:name="_Toc226309763"/>
      <w:bookmarkStart w:id="62" w:name="_Toc150480757"/>
      <w:bookmarkStart w:id="63" w:name="_Toc150509270"/>
      <w:bookmarkStart w:id="64" w:name="_Toc151190146"/>
      <w:bookmarkStart w:id="65" w:name="_Toc164229360"/>
      <w:bookmarkStart w:id="66" w:name="_Toc151193689"/>
      <w:bookmarkStart w:id="67" w:name="_Toc142311021"/>
      <w:bookmarkStart w:id="68" w:name="_Toc151193833"/>
      <w:bookmarkStart w:id="69" w:name="_Toc151193761"/>
      <w:r>
        <w:rPr>
          <w:rFonts w:hint="eastAsia" w:ascii="宋体" w:hAnsi="宋体" w:eastAsia="宋体"/>
          <w:sz w:val="28"/>
        </w:rPr>
        <w:t>投标人须知资料表</w:t>
      </w:r>
    </w:p>
    <w:p>
      <w:pPr>
        <w:jc w:val="center"/>
        <w:rPr>
          <w:rFonts w:ascii="宋体"/>
          <w:b/>
          <w:sz w:val="28"/>
          <w:szCs w:val="28"/>
        </w:rPr>
      </w:pPr>
    </w:p>
    <w:p>
      <w:pPr>
        <w:spacing w:line="360" w:lineRule="auto"/>
        <w:ind w:firstLine="480"/>
        <w:rPr>
          <w:rFonts w:ascii="宋体"/>
          <w:sz w:val="24"/>
        </w:rPr>
      </w:pPr>
      <w:r>
        <w:rPr>
          <w:rFonts w:hint="eastAsia" w:ascii="宋体" w:hAnsi="宋体"/>
          <w:sz w:val="24"/>
        </w:rPr>
        <w:t>本表是对投标人须知的具体补充和修改，如有矛盾，均以本资料表为准。标记</w:t>
      </w:r>
      <w:r>
        <w:rPr>
          <w:rFonts w:hint="eastAsia" w:ascii="宋体"/>
          <w:sz w:val="24"/>
        </w:rPr>
        <w:t>“</w:t>
      </w:r>
      <w:r>
        <w:rPr>
          <w:rFonts w:hint="eastAsia" w:ascii="宋体"/>
          <w:b/>
          <w:sz w:val="24"/>
        </w:rPr>
        <w:t>■</w:t>
      </w:r>
      <w:r>
        <w:rPr>
          <w:rFonts w:hint="eastAsia" w:ascii="宋体"/>
          <w:sz w:val="24"/>
        </w:rPr>
        <w:t>”</w:t>
      </w:r>
      <w:r>
        <w:rPr>
          <w:rFonts w:hint="eastAsia" w:ascii="宋体" w:hAnsi="宋体"/>
          <w:sz w:val="24"/>
        </w:rPr>
        <w:t>的选项意为适用于本项目，标记</w:t>
      </w:r>
      <w:r>
        <w:rPr>
          <w:rFonts w:hint="eastAsia" w:ascii="宋体"/>
          <w:sz w:val="24"/>
        </w:rPr>
        <w:t>“□”</w:t>
      </w:r>
      <w:r>
        <w:rPr>
          <w:rFonts w:hint="eastAsia" w:ascii="宋体" w:hAnsi="宋体"/>
          <w:sz w:val="24"/>
        </w:rPr>
        <w:t>的选项意为不适用于本项目。</w:t>
      </w:r>
    </w:p>
    <w:tbl>
      <w:tblPr>
        <w:tblStyle w:val="43"/>
        <w:tblW w:w="11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297"/>
        <w:gridCol w:w="8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pPr>
              <w:jc w:val="center"/>
              <w:rPr>
                <w:rFonts w:ascii="宋体"/>
                <w:b/>
                <w:bCs/>
                <w:sz w:val="24"/>
              </w:rPr>
            </w:pPr>
            <w:r>
              <w:rPr>
                <w:rFonts w:hint="eastAsia" w:ascii="宋体" w:hAnsi="宋体"/>
                <w:b/>
                <w:sz w:val="24"/>
              </w:rPr>
              <w:t>条款号</w:t>
            </w:r>
          </w:p>
        </w:tc>
        <w:tc>
          <w:tcPr>
            <w:tcW w:w="1297" w:type="dxa"/>
            <w:vAlign w:val="center"/>
          </w:tcPr>
          <w:p>
            <w:pPr>
              <w:jc w:val="center"/>
              <w:rPr>
                <w:rFonts w:ascii="宋体"/>
                <w:b/>
                <w:bCs/>
                <w:sz w:val="24"/>
              </w:rPr>
            </w:pPr>
            <w:r>
              <w:rPr>
                <w:rFonts w:hint="eastAsia" w:ascii="宋体" w:hAnsi="宋体"/>
                <w:b/>
                <w:bCs/>
                <w:sz w:val="24"/>
              </w:rPr>
              <w:t>条目</w:t>
            </w:r>
          </w:p>
        </w:tc>
        <w:tc>
          <w:tcPr>
            <w:tcW w:w="8625" w:type="dxa"/>
            <w:vAlign w:val="center"/>
          </w:tcPr>
          <w:p>
            <w:pPr>
              <w:jc w:val="center"/>
              <w:rPr>
                <w:rFonts w:ascii="宋体"/>
                <w:b/>
                <w:bCs/>
                <w:sz w:val="24"/>
              </w:rPr>
            </w:pPr>
            <w:r>
              <w:rPr>
                <w:rFonts w:hint="eastAsia" w:ascii="宋体" w:hAnsi="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2.2</w:t>
            </w:r>
          </w:p>
        </w:tc>
        <w:tc>
          <w:tcPr>
            <w:tcW w:w="1297" w:type="dxa"/>
            <w:vAlign w:val="center"/>
          </w:tcPr>
          <w:p>
            <w:pPr>
              <w:jc w:val="center"/>
              <w:rPr>
                <w:rFonts w:ascii="宋体"/>
                <w:sz w:val="24"/>
              </w:rPr>
            </w:pPr>
            <w:r>
              <w:rPr>
                <w:rFonts w:hint="eastAsia" w:ascii="宋体" w:hAnsi="宋体"/>
                <w:sz w:val="24"/>
              </w:rPr>
              <w:t>项目属性</w:t>
            </w:r>
          </w:p>
        </w:tc>
        <w:tc>
          <w:tcPr>
            <w:tcW w:w="8625" w:type="dxa"/>
            <w:vAlign w:val="center"/>
          </w:tcPr>
          <w:p>
            <w:pPr>
              <w:jc w:val="left"/>
              <w:rPr>
                <w:rFonts w:ascii="宋体"/>
                <w:sz w:val="24"/>
              </w:rPr>
            </w:pPr>
            <w:r>
              <w:rPr>
                <w:rFonts w:hint="eastAsia" w:ascii="宋体" w:hAnsi="宋体"/>
                <w:sz w:val="24"/>
              </w:rPr>
              <w:t>项目属性：</w:t>
            </w:r>
          </w:p>
          <w:p>
            <w:pPr>
              <w:jc w:val="left"/>
              <w:rPr>
                <w:rFonts w:ascii="宋体"/>
                <w:sz w:val="24"/>
              </w:rPr>
            </w:pPr>
            <w:r>
              <w:rPr>
                <w:rFonts w:hint="eastAsia" w:ascii="宋体"/>
                <w:sz w:val="24"/>
              </w:rPr>
              <w:t>□</w:t>
            </w:r>
            <w:r>
              <w:rPr>
                <w:rFonts w:hint="eastAsia" w:ascii="宋体" w:hAnsi="宋体"/>
                <w:sz w:val="24"/>
              </w:rPr>
              <w:t>服务</w:t>
            </w:r>
          </w:p>
          <w:p>
            <w:pPr>
              <w:jc w:val="left"/>
              <w:rPr>
                <w:rFonts w:ascii="宋体"/>
                <w:sz w:val="24"/>
                <w:u w:val="single"/>
              </w:rPr>
            </w:pPr>
            <w:r>
              <w:rPr>
                <w:rFonts w:hint="eastAsia" w:ascii="宋体"/>
                <w:b/>
                <w:sz w:val="24"/>
              </w:rPr>
              <w:t>■</w:t>
            </w:r>
            <w:r>
              <w:rPr>
                <w:rFonts w:hint="eastAsia" w:ascii="宋体" w:hAnsi="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2.3</w:t>
            </w:r>
          </w:p>
        </w:tc>
        <w:tc>
          <w:tcPr>
            <w:tcW w:w="1297" w:type="dxa"/>
            <w:vAlign w:val="center"/>
          </w:tcPr>
          <w:p>
            <w:pPr>
              <w:jc w:val="center"/>
              <w:rPr>
                <w:rFonts w:ascii="宋体"/>
                <w:sz w:val="24"/>
              </w:rPr>
            </w:pPr>
            <w:r>
              <w:rPr>
                <w:rFonts w:hint="eastAsia" w:ascii="宋体" w:hAnsi="宋体"/>
                <w:sz w:val="24"/>
              </w:rPr>
              <w:t>科研仪器设备</w:t>
            </w:r>
          </w:p>
        </w:tc>
        <w:tc>
          <w:tcPr>
            <w:tcW w:w="8625" w:type="dxa"/>
            <w:vAlign w:val="center"/>
          </w:tcPr>
          <w:p>
            <w:pPr>
              <w:jc w:val="left"/>
              <w:rPr>
                <w:rFonts w:ascii="宋体"/>
                <w:sz w:val="24"/>
              </w:rPr>
            </w:pPr>
            <w:r>
              <w:rPr>
                <w:rFonts w:hint="eastAsia" w:ascii="宋体" w:hAnsi="宋体"/>
                <w:sz w:val="24"/>
              </w:rPr>
              <w:t>是否属于科研仪器设备采购项目：</w:t>
            </w:r>
          </w:p>
          <w:p>
            <w:pPr>
              <w:jc w:val="left"/>
              <w:rPr>
                <w:rFonts w:ascii="宋体"/>
                <w:sz w:val="24"/>
              </w:rPr>
            </w:pPr>
            <w:r>
              <w:rPr>
                <w:rFonts w:hint="eastAsia" w:ascii="宋体"/>
                <w:sz w:val="24"/>
              </w:rPr>
              <w:t>□</w:t>
            </w:r>
            <w:r>
              <w:rPr>
                <w:rFonts w:hint="eastAsia" w:ascii="宋体" w:hAnsi="宋体"/>
                <w:sz w:val="24"/>
              </w:rPr>
              <w:t>是</w:t>
            </w:r>
          </w:p>
          <w:p>
            <w:pPr>
              <w:jc w:val="left"/>
              <w:rPr>
                <w:rFonts w:ascii="宋体"/>
                <w:sz w:val="24"/>
              </w:rPr>
            </w:pPr>
            <w:r>
              <w:rPr>
                <w:rFonts w:hint="eastAsia" w:ascii="宋体"/>
                <w:b/>
                <w:sz w:val="24"/>
              </w:rPr>
              <w:t>■</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2.4</w:t>
            </w:r>
          </w:p>
        </w:tc>
        <w:tc>
          <w:tcPr>
            <w:tcW w:w="1297" w:type="dxa"/>
            <w:vAlign w:val="center"/>
          </w:tcPr>
          <w:p>
            <w:pPr>
              <w:jc w:val="center"/>
              <w:rPr>
                <w:rFonts w:ascii="宋体"/>
                <w:sz w:val="24"/>
                <w:highlight w:val="none"/>
              </w:rPr>
            </w:pPr>
            <w:r>
              <w:rPr>
                <w:rFonts w:hint="eastAsia" w:ascii="宋体" w:hAnsi="宋体"/>
                <w:sz w:val="24"/>
                <w:highlight w:val="none"/>
              </w:rPr>
              <w:t>核心产品</w:t>
            </w:r>
          </w:p>
        </w:tc>
        <w:tc>
          <w:tcPr>
            <w:tcW w:w="8625" w:type="dxa"/>
            <w:vAlign w:val="center"/>
          </w:tcPr>
          <w:p>
            <w:pPr>
              <w:pStyle w:val="23"/>
              <w:adjustRightInd w:val="0"/>
              <w:snapToGrid w:val="0"/>
              <w:rPr>
                <w:rFonts w:hAnsi="宋体"/>
                <w:sz w:val="24"/>
                <w:highlight w:val="none"/>
              </w:rPr>
            </w:pPr>
            <w:r>
              <w:rPr>
                <w:rFonts w:hint="eastAsia" w:hAnsi="宋体"/>
                <w:sz w:val="24"/>
                <w:highlight w:val="none"/>
              </w:rPr>
              <w:sym w:font="Wingdings 2" w:char="00A3"/>
            </w:r>
            <w:r>
              <w:rPr>
                <w:rFonts w:hint="eastAsia" w:hAnsi="宋体"/>
                <w:sz w:val="24"/>
                <w:highlight w:val="none"/>
              </w:rPr>
              <w:t>关于核心产品本项目不适用。</w:t>
            </w:r>
          </w:p>
          <w:p>
            <w:pPr>
              <w:pStyle w:val="23"/>
              <w:adjustRightInd w:val="0"/>
              <w:snapToGrid w:val="0"/>
              <w:rPr>
                <w:rFonts w:hAnsi="宋体"/>
                <w:sz w:val="24"/>
                <w:highlight w:val="none"/>
              </w:rPr>
            </w:pPr>
            <w:r>
              <w:rPr>
                <w:rFonts w:hint="eastAsia" w:hAnsi="宋体"/>
                <w:sz w:val="24"/>
                <w:highlight w:val="none"/>
              </w:rPr>
              <w:sym w:font="Wingdings 2" w:char="00A3"/>
            </w:r>
            <w:r>
              <w:rPr>
                <w:rFonts w:hint="eastAsia" w:hAnsi="宋体"/>
                <w:sz w:val="24"/>
                <w:highlight w:val="none"/>
              </w:rPr>
              <w:t>本项目为单一产品采购项目。</w:t>
            </w:r>
          </w:p>
          <w:p>
            <w:pPr>
              <w:jc w:val="left"/>
              <w:rPr>
                <w:rFonts w:hAnsi="宋体"/>
                <w:sz w:val="24"/>
                <w:highlight w:val="none"/>
              </w:rPr>
            </w:pPr>
            <w:r>
              <w:rPr>
                <w:rFonts w:hint="eastAsia" w:hAnsi="宋体"/>
                <w:sz w:val="24"/>
                <w:highlight w:val="none"/>
              </w:rPr>
              <w:t>■本项目为非单一产品采购项目，核心产品为：</w:t>
            </w:r>
            <w:r>
              <w:rPr>
                <w:rFonts w:hint="eastAsia" w:hAnsi="宋体"/>
                <w:sz w:val="24"/>
                <w:highlight w:val="none"/>
                <w:u w:val="single"/>
              </w:rPr>
              <w:t xml:space="preserve">LED全彩色显示屏 </w:t>
            </w:r>
            <w:r>
              <w:rPr>
                <w:rFonts w:ascii="宋体" w:hAnsi="宋体"/>
                <w:sz w:val="24"/>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pPr>
              <w:pStyle w:val="23"/>
              <w:adjustRightInd w:val="0"/>
              <w:snapToGrid w:val="0"/>
              <w:jc w:val="center"/>
              <w:rPr>
                <w:rFonts w:hAnsi="宋体"/>
                <w:sz w:val="24"/>
                <w:szCs w:val="24"/>
              </w:rPr>
            </w:pPr>
            <w:r>
              <w:rPr>
                <w:rFonts w:hAnsi="宋体"/>
                <w:sz w:val="24"/>
                <w:szCs w:val="24"/>
              </w:rPr>
              <w:t>3.1</w:t>
            </w:r>
          </w:p>
        </w:tc>
        <w:tc>
          <w:tcPr>
            <w:tcW w:w="1297" w:type="dxa"/>
            <w:vAlign w:val="center"/>
          </w:tcPr>
          <w:p>
            <w:pPr>
              <w:jc w:val="center"/>
              <w:rPr>
                <w:rFonts w:ascii="宋体"/>
                <w:sz w:val="24"/>
              </w:rPr>
            </w:pPr>
            <w:r>
              <w:rPr>
                <w:rFonts w:hint="eastAsia" w:ascii="宋体" w:hAnsi="宋体"/>
                <w:sz w:val="24"/>
              </w:rPr>
              <w:t>现场考察</w:t>
            </w:r>
          </w:p>
        </w:tc>
        <w:tc>
          <w:tcPr>
            <w:tcW w:w="8625" w:type="dxa"/>
            <w:vAlign w:val="center"/>
          </w:tcPr>
          <w:p>
            <w:pPr>
              <w:jc w:val="left"/>
              <w:rPr>
                <w:rFonts w:ascii="宋体"/>
                <w:sz w:val="24"/>
              </w:rPr>
            </w:pPr>
            <w:r>
              <w:rPr>
                <w:rFonts w:hint="eastAsia" w:ascii="宋体"/>
                <w:b/>
                <w:sz w:val="24"/>
              </w:rPr>
              <w:t>■</w:t>
            </w:r>
            <w:r>
              <w:rPr>
                <w:rFonts w:hint="eastAsia" w:ascii="宋体" w:hAnsi="宋体"/>
                <w:sz w:val="24"/>
              </w:rPr>
              <w:t>不组织</w:t>
            </w:r>
          </w:p>
          <w:p>
            <w:pPr>
              <w:jc w:val="left"/>
              <w:rPr>
                <w:rFonts w:ascii="宋体"/>
                <w:bCs/>
                <w:sz w:val="24"/>
              </w:rPr>
            </w:pPr>
            <w:r>
              <w:rPr>
                <w:rFonts w:hint="eastAsia" w:ascii="宋体" w:hAnsi="宋体"/>
                <w:sz w:val="24"/>
              </w:rPr>
              <w:t>□组织，考察时间：</w:t>
            </w:r>
            <w:r>
              <w:rPr>
                <w:rFonts w:ascii="宋体" w:hAnsi="宋体"/>
                <w:sz w:val="24"/>
              </w:rPr>
              <w:t>__</w:t>
            </w:r>
            <w:r>
              <w:rPr>
                <w:rFonts w:hint="eastAsia" w:ascii="宋体" w:hAnsi="宋体"/>
                <w:sz w:val="24"/>
              </w:rPr>
              <w:t>年</w:t>
            </w:r>
            <w:r>
              <w:rPr>
                <w:rFonts w:ascii="宋体" w:hAnsi="宋体"/>
                <w:sz w:val="24"/>
              </w:rPr>
              <w:t>_</w:t>
            </w:r>
            <w:r>
              <w:rPr>
                <w:rFonts w:hint="eastAsia" w:ascii="宋体" w:hAnsi="宋体"/>
                <w:sz w:val="24"/>
              </w:rPr>
              <w:t>月</w:t>
            </w:r>
            <w:r>
              <w:rPr>
                <w:rFonts w:ascii="宋体" w:hAnsi="宋体"/>
                <w:sz w:val="24"/>
              </w:rPr>
              <w:t>_</w:t>
            </w:r>
            <w:r>
              <w:rPr>
                <w:rFonts w:hint="eastAsia" w:ascii="宋体" w:hAnsi="宋体"/>
                <w:sz w:val="24"/>
              </w:rPr>
              <w:t>日</w:t>
            </w:r>
            <w:r>
              <w:rPr>
                <w:rFonts w:ascii="宋体" w:hAnsi="宋体"/>
                <w:sz w:val="24"/>
              </w:rPr>
              <w:t>_</w:t>
            </w:r>
            <w:r>
              <w:rPr>
                <w:rFonts w:hint="eastAsia" w:ascii="宋体" w:hAnsi="宋体"/>
                <w:bCs/>
                <w:sz w:val="24"/>
              </w:rPr>
              <w:t>点</w:t>
            </w:r>
            <w:r>
              <w:rPr>
                <w:rFonts w:ascii="宋体" w:hAnsi="宋体"/>
                <w:sz w:val="24"/>
              </w:rPr>
              <w:t>_</w:t>
            </w:r>
            <w:r>
              <w:rPr>
                <w:rFonts w:hint="eastAsia" w:ascii="宋体" w:hAnsi="宋体"/>
                <w:bCs/>
                <w:sz w:val="24"/>
              </w:rPr>
              <w:t>分</w:t>
            </w:r>
          </w:p>
          <w:p>
            <w:pPr>
              <w:pStyle w:val="23"/>
              <w:adjustRightInd w:val="0"/>
              <w:snapToGrid w:val="0"/>
              <w:rPr>
                <w:rFonts w:hAnsi="宋体"/>
                <w:sz w:val="24"/>
                <w:szCs w:val="24"/>
              </w:rPr>
            </w:pPr>
            <w:r>
              <w:rPr>
                <w:rFonts w:hint="eastAsia" w:hAnsi="宋体"/>
                <w:sz w:val="24"/>
              </w:rPr>
              <w:t>考察地点：</w:t>
            </w:r>
            <w:r>
              <w:rPr>
                <w:rFonts w:hAnsi="宋体"/>
                <w:sz w:val="24"/>
              </w:rPr>
              <w:t>____________</w:t>
            </w:r>
            <w:r>
              <w:rPr>
                <w:rFonts w:hint="eastAsia" w:hAnsi="宋体"/>
                <w:sz w:val="24"/>
              </w:rPr>
              <w:t>。</w:t>
            </w:r>
            <w:r>
              <w:rPr>
                <w:rFonts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129" w:type="dxa"/>
            <w:vMerge w:val="continue"/>
            <w:vAlign w:val="center"/>
          </w:tcPr>
          <w:p>
            <w:pPr>
              <w:pStyle w:val="23"/>
              <w:adjustRightInd w:val="0"/>
              <w:snapToGrid w:val="0"/>
              <w:jc w:val="center"/>
              <w:rPr>
                <w:rFonts w:hAnsi="宋体"/>
                <w:sz w:val="24"/>
                <w:szCs w:val="24"/>
              </w:rPr>
            </w:pPr>
          </w:p>
        </w:tc>
        <w:tc>
          <w:tcPr>
            <w:tcW w:w="1297" w:type="dxa"/>
            <w:vAlign w:val="center"/>
          </w:tcPr>
          <w:p>
            <w:pPr>
              <w:jc w:val="center"/>
              <w:rPr>
                <w:rFonts w:ascii="宋体"/>
                <w:sz w:val="24"/>
              </w:rPr>
            </w:pPr>
            <w:r>
              <w:rPr>
                <w:rFonts w:hint="eastAsia" w:ascii="宋体" w:hAnsi="宋体"/>
                <w:sz w:val="24"/>
              </w:rPr>
              <w:t>开标前答疑会</w:t>
            </w:r>
          </w:p>
        </w:tc>
        <w:tc>
          <w:tcPr>
            <w:tcW w:w="8625" w:type="dxa"/>
            <w:vAlign w:val="center"/>
          </w:tcPr>
          <w:p>
            <w:pPr>
              <w:jc w:val="left"/>
              <w:rPr>
                <w:rFonts w:ascii="宋体"/>
                <w:sz w:val="24"/>
              </w:rPr>
            </w:pPr>
            <w:r>
              <w:rPr>
                <w:rFonts w:hint="eastAsia" w:ascii="宋体"/>
                <w:b/>
                <w:sz w:val="24"/>
              </w:rPr>
              <w:t>■</w:t>
            </w:r>
            <w:r>
              <w:rPr>
                <w:rFonts w:hint="eastAsia" w:ascii="宋体" w:hAnsi="宋体"/>
                <w:sz w:val="24"/>
              </w:rPr>
              <w:t>不召开</w:t>
            </w:r>
          </w:p>
          <w:p>
            <w:pPr>
              <w:jc w:val="left"/>
              <w:rPr>
                <w:rFonts w:ascii="宋体"/>
                <w:sz w:val="24"/>
              </w:rPr>
            </w:pPr>
            <w:r>
              <w:rPr>
                <w:rFonts w:hint="eastAsia" w:ascii="宋体"/>
                <w:sz w:val="24"/>
              </w:rPr>
              <w:t>□</w:t>
            </w:r>
            <w:r>
              <w:rPr>
                <w:rFonts w:hint="eastAsia" w:ascii="宋体" w:hAnsi="宋体"/>
                <w:sz w:val="24"/>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4.1</w:t>
            </w:r>
          </w:p>
        </w:tc>
        <w:tc>
          <w:tcPr>
            <w:tcW w:w="1297" w:type="dxa"/>
            <w:vAlign w:val="center"/>
          </w:tcPr>
          <w:p>
            <w:pPr>
              <w:jc w:val="center"/>
              <w:rPr>
                <w:rFonts w:ascii="宋体"/>
                <w:sz w:val="24"/>
              </w:rPr>
            </w:pPr>
            <w:r>
              <w:rPr>
                <w:rFonts w:hint="eastAsia" w:ascii="宋体" w:hAnsi="宋体"/>
                <w:sz w:val="24"/>
              </w:rPr>
              <w:t>样品</w:t>
            </w:r>
          </w:p>
        </w:tc>
        <w:tc>
          <w:tcPr>
            <w:tcW w:w="8625" w:type="dxa"/>
            <w:vAlign w:val="center"/>
          </w:tcPr>
          <w:p>
            <w:pPr>
              <w:jc w:val="left"/>
              <w:rPr>
                <w:rFonts w:ascii="宋体"/>
                <w:sz w:val="24"/>
              </w:rPr>
            </w:pPr>
            <w:r>
              <w:rPr>
                <w:rFonts w:hint="eastAsia" w:ascii="宋体" w:hAnsi="宋体"/>
                <w:sz w:val="24"/>
              </w:rPr>
              <w:t>投标样品递交：</w:t>
            </w:r>
          </w:p>
          <w:p>
            <w:pPr>
              <w:jc w:val="left"/>
              <w:rPr>
                <w:rFonts w:ascii="宋体"/>
                <w:sz w:val="24"/>
              </w:rPr>
            </w:pPr>
            <w:r>
              <w:rPr>
                <w:rFonts w:hint="eastAsia" w:ascii="宋体"/>
                <w:b/>
                <w:sz w:val="24"/>
              </w:rPr>
              <w:t>■</w:t>
            </w:r>
            <w:r>
              <w:rPr>
                <w:rFonts w:hint="eastAsia" w:ascii="宋体" w:hAnsi="宋体"/>
                <w:sz w:val="24"/>
              </w:rPr>
              <w:t>不需要</w:t>
            </w:r>
          </w:p>
          <w:p>
            <w:pPr>
              <w:jc w:val="left"/>
              <w:rPr>
                <w:rFonts w:ascii="宋体"/>
                <w:sz w:val="24"/>
              </w:rPr>
            </w:pPr>
            <w:r>
              <w:rPr>
                <w:rFonts w:hint="eastAsia" w:ascii="宋体" w:hAnsi="宋体"/>
                <w:sz w:val="24"/>
              </w:rPr>
              <w:t>□需要，具体要求如下：</w:t>
            </w:r>
          </w:p>
          <w:p>
            <w:pPr>
              <w:jc w:val="left"/>
              <w:rPr>
                <w:rFonts w:ascii="宋体"/>
                <w:sz w:val="24"/>
                <w:u w:val="single"/>
              </w:rPr>
            </w:pPr>
            <w:r>
              <w:rPr>
                <w:rFonts w:hint="eastAsia" w:ascii="宋体" w:hAnsi="宋体"/>
                <w:sz w:val="24"/>
              </w:rPr>
              <w:t>（</w:t>
            </w:r>
            <w:r>
              <w:rPr>
                <w:rFonts w:ascii="宋体" w:hAnsi="宋体"/>
                <w:sz w:val="24"/>
              </w:rPr>
              <w:t>1</w:t>
            </w:r>
            <w:r>
              <w:rPr>
                <w:rFonts w:hint="eastAsia" w:ascii="宋体" w:hAnsi="宋体"/>
                <w:sz w:val="24"/>
              </w:rPr>
              <w:t>）样品制作的标准和要求：</w:t>
            </w:r>
          </w:p>
          <w:p>
            <w:pPr>
              <w:jc w:val="left"/>
              <w:rPr>
                <w:rFonts w:ascii="宋体"/>
                <w:sz w:val="24"/>
              </w:rPr>
            </w:pPr>
            <w:r>
              <w:rPr>
                <w:rFonts w:hint="eastAsia" w:ascii="宋体" w:hAnsi="宋体"/>
                <w:sz w:val="24"/>
              </w:rPr>
              <w:t>（</w:t>
            </w:r>
            <w:r>
              <w:rPr>
                <w:rFonts w:ascii="宋体" w:hAnsi="宋体"/>
                <w:sz w:val="24"/>
              </w:rPr>
              <w:t>2</w:t>
            </w:r>
            <w:r>
              <w:rPr>
                <w:rFonts w:hint="eastAsia" w:ascii="宋体" w:hAnsi="宋体"/>
                <w:sz w:val="24"/>
              </w:rPr>
              <w:t>）是否需要随样品提交相关检测报告：</w:t>
            </w:r>
          </w:p>
          <w:p>
            <w:pPr>
              <w:jc w:val="left"/>
              <w:rPr>
                <w:rFonts w:ascii="宋体"/>
                <w:sz w:val="24"/>
              </w:rPr>
            </w:pPr>
            <w:r>
              <w:rPr>
                <w:rFonts w:hint="eastAsia" w:ascii="宋体" w:hAnsi="宋体"/>
                <w:sz w:val="24"/>
              </w:rPr>
              <w:t>（</w:t>
            </w:r>
            <w:r>
              <w:rPr>
                <w:rFonts w:ascii="宋体" w:hAnsi="宋体"/>
                <w:sz w:val="24"/>
              </w:rPr>
              <w:t>3</w:t>
            </w:r>
            <w:r>
              <w:rPr>
                <w:rFonts w:hint="eastAsia" w:ascii="宋体" w:hAnsi="宋体"/>
                <w:sz w:val="24"/>
              </w:rPr>
              <w:t>）样品递交要求：</w:t>
            </w:r>
          </w:p>
          <w:p>
            <w:pPr>
              <w:jc w:val="left"/>
              <w:rPr>
                <w:rFonts w:ascii="宋体"/>
                <w:sz w:val="24"/>
              </w:rPr>
            </w:pPr>
            <w:r>
              <w:rPr>
                <w:rFonts w:hint="eastAsia" w:ascii="宋体" w:hAnsi="宋体"/>
                <w:sz w:val="24"/>
              </w:rPr>
              <w:t>（</w:t>
            </w:r>
            <w:r>
              <w:rPr>
                <w:rFonts w:ascii="宋体" w:hAnsi="宋体"/>
                <w:sz w:val="24"/>
              </w:rPr>
              <w:t>4</w:t>
            </w:r>
            <w:r>
              <w:rPr>
                <w:rFonts w:hint="eastAsia" w:ascii="宋体" w:hAnsi="宋体"/>
                <w:sz w:val="24"/>
              </w:rPr>
              <w:t>）未中标人样品退还：</w:t>
            </w:r>
          </w:p>
          <w:p>
            <w:pPr>
              <w:jc w:val="left"/>
              <w:rPr>
                <w:rFonts w:ascii="宋体"/>
                <w:sz w:val="24"/>
                <w:u w:val="single"/>
              </w:rPr>
            </w:pPr>
            <w:r>
              <w:rPr>
                <w:rFonts w:hint="eastAsia" w:ascii="宋体" w:hAnsi="宋体"/>
                <w:sz w:val="24"/>
              </w:rPr>
              <w:t>（</w:t>
            </w:r>
            <w:r>
              <w:rPr>
                <w:rFonts w:ascii="宋体" w:hAnsi="宋体"/>
                <w:sz w:val="24"/>
              </w:rPr>
              <w:t>5</w:t>
            </w:r>
            <w:r>
              <w:rPr>
                <w:rFonts w:hint="eastAsia" w:ascii="宋体" w:hAnsi="宋体"/>
                <w:sz w:val="24"/>
              </w:rPr>
              <w:t>）中标人样品保管、封存及退还：</w:t>
            </w:r>
          </w:p>
          <w:p>
            <w:pPr>
              <w:jc w:val="left"/>
              <w:rPr>
                <w:rFonts w:ascii="宋体"/>
                <w:sz w:val="24"/>
              </w:rPr>
            </w:pPr>
            <w:r>
              <w:rPr>
                <w:rFonts w:hint="eastAsia" w:ascii="宋体" w:hAnsi="宋体"/>
                <w:sz w:val="24"/>
              </w:rPr>
              <w:t>（</w:t>
            </w:r>
            <w:r>
              <w:rPr>
                <w:rFonts w:ascii="宋体" w:hAnsi="宋体"/>
                <w:sz w:val="24"/>
              </w:rPr>
              <w:t>6</w:t>
            </w:r>
            <w:r>
              <w:rPr>
                <w:rFonts w:hint="eastAsia" w:ascii="宋体" w:hAnsi="宋体"/>
                <w:sz w:val="24"/>
              </w:rPr>
              <w:t>）其他要求（如有）：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5.1.2</w:t>
            </w:r>
          </w:p>
        </w:tc>
        <w:tc>
          <w:tcPr>
            <w:tcW w:w="1297" w:type="dxa"/>
            <w:vAlign w:val="center"/>
          </w:tcPr>
          <w:p>
            <w:pPr>
              <w:jc w:val="center"/>
              <w:rPr>
                <w:rFonts w:ascii="宋体"/>
                <w:sz w:val="24"/>
              </w:rPr>
            </w:pPr>
            <w:r>
              <w:rPr>
                <w:rFonts w:hint="eastAsia" w:ascii="宋体" w:hAnsi="宋体"/>
                <w:sz w:val="24"/>
              </w:rPr>
              <w:t>进口产品</w:t>
            </w:r>
          </w:p>
        </w:tc>
        <w:tc>
          <w:tcPr>
            <w:tcW w:w="8625" w:type="dxa"/>
            <w:vAlign w:val="center"/>
          </w:tcPr>
          <w:p>
            <w:pPr>
              <w:jc w:val="left"/>
              <w:rPr>
                <w:rFonts w:ascii="宋体"/>
                <w:sz w:val="24"/>
              </w:rPr>
            </w:pPr>
            <w:r>
              <w:rPr>
                <w:rFonts w:hint="eastAsia" w:ascii="宋体" w:hAnsi="宋体"/>
                <w:sz w:val="24"/>
              </w:rPr>
              <w:t>是否接受进口产品：</w:t>
            </w:r>
          </w:p>
          <w:p>
            <w:pPr>
              <w:jc w:val="left"/>
              <w:rPr>
                <w:rFonts w:ascii="宋体"/>
                <w:sz w:val="24"/>
              </w:rPr>
            </w:pPr>
            <w:r>
              <w:rPr>
                <w:rFonts w:hint="eastAsia" w:ascii="宋体" w:hAnsi="宋体"/>
                <w:sz w:val="24"/>
              </w:rPr>
              <w:t>□是</w:t>
            </w:r>
          </w:p>
          <w:p>
            <w:pPr>
              <w:jc w:val="left"/>
              <w:rPr>
                <w:rFonts w:ascii="宋体"/>
                <w:sz w:val="24"/>
              </w:rPr>
            </w:pPr>
            <w:r>
              <w:rPr>
                <w:rFonts w:hint="eastAsia" w:ascii="宋体"/>
                <w:b/>
                <w:color w:val="000000"/>
                <w:sz w:val="24"/>
              </w:rPr>
              <w:t>■</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5.2.5</w:t>
            </w:r>
          </w:p>
        </w:tc>
        <w:tc>
          <w:tcPr>
            <w:tcW w:w="1297" w:type="dxa"/>
            <w:vAlign w:val="center"/>
          </w:tcPr>
          <w:p>
            <w:pPr>
              <w:jc w:val="center"/>
              <w:rPr>
                <w:rFonts w:ascii="宋体"/>
                <w:sz w:val="24"/>
              </w:rPr>
            </w:pPr>
            <w:r>
              <w:rPr>
                <w:rFonts w:hint="eastAsia" w:ascii="宋体" w:hAnsi="宋体"/>
                <w:sz w:val="24"/>
              </w:rPr>
              <w:t>标的所属行业</w:t>
            </w:r>
          </w:p>
        </w:tc>
        <w:tc>
          <w:tcPr>
            <w:tcW w:w="8625" w:type="dxa"/>
            <w:vAlign w:val="center"/>
          </w:tcPr>
          <w:p>
            <w:pPr>
              <w:rPr>
                <w:rFonts w:ascii="宋体" w:hAnsi="宋体"/>
                <w:sz w:val="24"/>
              </w:rPr>
            </w:pPr>
            <w:r>
              <w:rPr>
                <w:rFonts w:hint="eastAsia" w:ascii="宋体" w:hAnsi="宋体"/>
                <w:sz w:val="24"/>
              </w:rPr>
              <w:t>本项目采购标的对应的中小企业划分标准所属行业：</w:t>
            </w:r>
          </w:p>
          <w:tbl>
            <w:tblPr>
              <w:tblStyle w:val="43"/>
              <w:tblW w:w="7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2835"/>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sz w:val="24"/>
                      <w:highlight w:val="none"/>
                      <w:lang w:eastAsia="zh-CN"/>
                    </w:rPr>
                  </w:pPr>
                  <w:r>
                    <w:rPr>
                      <w:rFonts w:hint="eastAsia" w:ascii="宋体" w:hAnsi="宋体"/>
                      <w:sz w:val="24"/>
                      <w:highlight w:val="none"/>
                      <w:lang w:val="en-US" w:eastAsia="zh-CN"/>
                    </w:rPr>
                    <w:t>序号</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标的名称</w:t>
                  </w:r>
                </w:p>
              </w:tc>
              <w:tc>
                <w:tcPr>
                  <w:tcW w:w="34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sz w:val="24"/>
                      <w:szCs w:val="32"/>
                    </w:rPr>
                    <w:t>▲</w:t>
                  </w:r>
                  <w:r>
                    <w:rPr>
                      <w:rFonts w:hint="eastAsia" w:ascii="宋体" w:hAnsi="宋体" w:cs="宋体"/>
                      <w:color w:val="000000"/>
                      <w:kern w:val="0"/>
                      <w:sz w:val="22"/>
                      <w:szCs w:val="22"/>
                      <w:lang w:bidi="ar"/>
                    </w:rPr>
                    <w:t>LED全彩色显示屏</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sz w:val="24"/>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控制系统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视频处理器</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发送系统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接收系统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配电系统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结构支架</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控制台</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系统专用工作站</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主扩声功率放大器</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吸顶扬声器</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模拟调音台</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话筒（数字单通道）</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监听耳机</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监听音箱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数据大屏端口软件</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主控室改造</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监控画面解码器</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分布式输入节点</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分布式输出节点</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分布式音视频控制软件</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中控单元</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触摸平板</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路由器</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交换机</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编辑主机</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麦克风</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磁吸充电座</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对讲终端</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对讲服务系统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线材辅料施工</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LED显示屏</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视频发送系统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接收系统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视频图像处理器</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播放软件</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配电系统</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结构支架</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主扩音箱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超低音箱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中置音箱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台唇拉声像音箱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返送音箱</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后场补声</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拉声像功放</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Borders>
                    <w:top w:val="single" w:color="auto" w:sz="4" w:space="0"/>
                    <w:left w:val="single" w:color="auto" w:sz="4" w:space="0"/>
                    <w:bottom w:val="single" w:color="auto" w:sz="4" w:space="0"/>
                    <w:right w:val="single" w:color="auto" w:sz="4" w:space="0"/>
                  </w:tcBorders>
                </w:tcPr>
                <w:p>
                  <w:pPr>
                    <w:numPr>
                      <w:ilvl w:val="0"/>
                      <w:numId w:val="9"/>
                    </w:numPr>
                    <w:ind w:left="425" w:leftChars="0" w:hanging="425" w:firstLineChars="0"/>
                    <w:jc w:val="center"/>
                    <w:rPr>
                      <w:rFonts w:ascii="宋体" w:hAnsi="宋体"/>
                      <w:bCs/>
                      <w:sz w:val="24"/>
                    </w:rPr>
                  </w:pPr>
                </w:p>
              </w:tc>
              <w:tc>
                <w:tcPr>
                  <w:tcW w:w="2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主扩/中置/低音功放</w:t>
                  </w:r>
                </w:p>
              </w:tc>
              <w:tc>
                <w:tcPr>
                  <w:tcW w:w="34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返送功放</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补声功放</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数字调音台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音频输入输出扩展器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数字音频扩展器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音频图形化处理器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音频工作站</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音频接口</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虚拟声卡</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音频制作软件</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无线路由器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无线数字会议系统主机</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cs="宋体"/>
                      <w:color w:val="000000"/>
                      <w:kern w:val="0"/>
                      <w:sz w:val="22"/>
                      <w:szCs w:val="22"/>
                      <w:lang w:bidi="ar"/>
                    </w:rPr>
                    <w:t>无线数字会议主席单元</w:t>
                  </w:r>
                </w:p>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（内置锂电）</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cs="宋体"/>
                      <w:color w:val="000000"/>
                      <w:kern w:val="0"/>
                      <w:sz w:val="22"/>
                      <w:szCs w:val="22"/>
                      <w:lang w:bidi="ar"/>
                    </w:rPr>
                    <w:t>无线数字会议代表单元</w:t>
                  </w:r>
                </w:p>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（内置锂电）</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专业级八口USB阵列话筒充电器           </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无线接收放大器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手持话筒（数字双通道）</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头戴话筒（数字单通道）</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微型领夹（头戴）咪头</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鹅颈麦克无线接收机（数字单通道）</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鹅颈话筒发射机（不含话筒）</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鹅颈话筒杆</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天线分配器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天线</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监听耳机</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监听音箱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环境声拾音话筒</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音频隔离DI盒</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摇头灯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数字LED聚光灯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数字LED平板柔光灯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染色灯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电脑灯控台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电源直通箱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信号放大器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灯钩</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保险绳</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固定灯杆</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会议中控</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高清编码器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传感解码器 </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环境传感器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触摸屏编辑控制软件</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电源控制器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扩展主机</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无缝混合矩阵（机箱）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超高清无缝输入板卡</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超高清无缝输出板卡</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移动触控平板</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软件编程</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机柜</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演讲台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线材辅料</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系统集成</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LED显示屏</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视频发送系统</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接收系统</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视频图像处理器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播放软件</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配电系统</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结构支架</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主扩音箱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超低音箱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中置音箱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台唇拉声像音箱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返送音箱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后场补声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拉声像功放</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主扩/中置/低音功放</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返送功放</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补声功放</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数字调音台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音频输入输出扩展器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数字音频扩展器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音频图形化处理器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音频工作站</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音频接口</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虚拟声卡</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音频制作软件</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无线路由器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无线数字会议系统主机</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cs="宋体"/>
                      <w:color w:val="000000"/>
                      <w:kern w:val="0"/>
                      <w:sz w:val="22"/>
                      <w:szCs w:val="22"/>
                      <w:lang w:bidi="ar"/>
                    </w:rPr>
                    <w:t>无线数字会议主席单元</w:t>
                  </w:r>
                </w:p>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（内置锂电）</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cs="宋体"/>
                      <w:color w:val="000000"/>
                      <w:kern w:val="0"/>
                      <w:sz w:val="22"/>
                      <w:szCs w:val="22"/>
                      <w:lang w:bidi="ar"/>
                    </w:rPr>
                    <w:t>无线数字会议代表单元</w:t>
                  </w:r>
                </w:p>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（内置锂电）</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专业级八口USB阵列话筒充电器           </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无线接收放大器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手持话筒（数字双通道）</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头戴话筒（数字单通道）</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微型领夹（头戴）咪头</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鹅颈麦克无线接收机（数字单通道）</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鹅颈话筒发射机（不含话筒）</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鹅颈话筒杆</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天线分配器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天线</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监听耳机</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监听音箱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环境声拾音话筒</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音频隔离DI盒</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摇头灯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数字LED聚光灯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数字LED平板柔光灯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染色灯</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电脑灯控台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电源直通箱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信号放大器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灯钩</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保险绳</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固定灯杆</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会议中控</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高清编码器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传感解码器 </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环境传感器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触摸屏编辑控制软件</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电源控制器</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扩展主机</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无缝混合矩阵（机箱）</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超高清无缝输入板卡</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超高清无缝输出板卡</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移动触控平板</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软件编程</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机柜</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演讲台</w:t>
                  </w:r>
                </w:p>
              </w:tc>
              <w:tc>
                <w:tcPr>
                  <w:tcW w:w="3402"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线材辅料</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88" w:type="dxa"/>
                </w:tcPr>
                <w:p>
                  <w:pPr>
                    <w:numPr>
                      <w:ilvl w:val="0"/>
                      <w:numId w:val="9"/>
                    </w:numPr>
                    <w:ind w:left="425" w:leftChars="0" w:hanging="425" w:firstLineChars="0"/>
                    <w:jc w:val="center"/>
                    <w:rPr>
                      <w:rFonts w:ascii="宋体" w:hAnsi="宋体"/>
                      <w:bCs/>
                      <w:sz w:val="24"/>
                    </w:rPr>
                  </w:pPr>
                </w:p>
              </w:tc>
              <w:tc>
                <w:tcPr>
                  <w:tcW w:w="2835" w:type="dxa"/>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系统集成</w:t>
                  </w:r>
                </w:p>
              </w:tc>
              <w:tc>
                <w:tcPr>
                  <w:tcW w:w="3402" w:type="dxa"/>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其他未列明行业</w:t>
                  </w:r>
                </w:p>
              </w:tc>
            </w:tr>
          </w:tbl>
          <w:p>
            <w:pPr>
              <w:pStyle w:val="42"/>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11.2</w:t>
            </w:r>
          </w:p>
        </w:tc>
        <w:tc>
          <w:tcPr>
            <w:tcW w:w="1297" w:type="dxa"/>
            <w:vAlign w:val="center"/>
          </w:tcPr>
          <w:p>
            <w:pPr>
              <w:jc w:val="center"/>
              <w:rPr>
                <w:rFonts w:ascii="宋体"/>
                <w:sz w:val="24"/>
                <w:highlight w:val="none"/>
              </w:rPr>
            </w:pPr>
            <w:r>
              <w:rPr>
                <w:rFonts w:hint="eastAsia" w:ascii="宋体" w:hAnsi="宋体"/>
                <w:sz w:val="24"/>
                <w:highlight w:val="none"/>
              </w:rPr>
              <w:t>投标报价</w:t>
            </w:r>
          </w:p>
        </w:tc>
        <w:tc>
          <w:tcPr>
            <w:tcW w:w="8625" w:type="dxa"/>
            <w:vAlign w:val="center"/>
          </w:tcPr>
          <w:p>
            <w:pPr>
              <w:jc w:val="left"/>
              <w:rPr>
                <w:rFonts w:ascii="宋体"/>
                <w:sz w:val="24"/>
                <w:highlight w:val="none"/>
              </w:rPr>
            </w:pPr>
            <w:r>
              <w:rPr>
                <w:rFonts w:hint="eastAsia" w:ascii="宋体" w:hAnsi="宋体"/>
                <w:sz w:val="24"/>
                <w:highlight w:val="none"/>
              </w:rPr>
              <w:t>投标报价的特殊规定：</w:t>
            </w:r>
          </w:p>
          <w:p>
            <w:pPr>
              <w:jc w:val="left"/>
              <w:rPr>
                <w:rFonts w:ascii="宋体"/>
                <w:sz w:val="24"/>
                <w:highlight w:val="none"/>
              </w:rPr>
            </w:pPr>
            <w:r>
              <w:rPr>
                <w:rFonts w:hint="eastAsia" w:ascii="宋体"/>
                <w:b/>
                <w:sz w:val="24"/>
                <w:highlight w:val="none"/>
              </w:rPr>
              <w:t>■</w:t>
            </w:r>
            <w:r>
              <w:rPr>
                <w:rFonts w:hint="eastAsia" w:ascii="宋体" w:hAnsi="宋体"/>
                <w:sz w:val="24"/>
                <w:highlight w:val="none"/>
              </w:rPr>
              <w:t>无</w:t>
            </w:r>
          </w:p>
          <w:p>
            <w:pPr>
              <w:jc w:val="left"/>
              <w:rPr>
                <w:rFonts w:ascii="宋体"/>
                <w:sz w:val="24"/>
                <w:highlight w:val="none"/>
              </w:rPr>
            </w:pPr>
            <w:r>
              <w:rPr>
                <w:rFonts w:hint="eastAsia" w:ascii="宋体"/>
                <w:sz w:val="24"/>
                <w:highlight w:val="none"/>
              </w:rPr>
              <w:t>□</w:t>
            </w:r>
            <w:r>
              <w:rPr>
                <w:rFonts w:hint="eastAsia" w:ascii="宋体" w:hAnsi="宋体"/>
                <w:sz w:val="24"/>
                <w:highlight w:val="none"/>
              </w:rPr>
              <w:t>有，具体情形：</w:t>
            </w:r>
            <w:r>
              <w:rPr>
                <w:rFonts w:ascii="宋体" w:hAnsi="宋体"/>
                <w:sz w:val="24"/>
                <w:highlight w:val="none"/>
              </w:rPr>
              <w:t>_____</w:t>
            </w:r>
            <w:r>
              <w:rPr>
                <w:rFonts w:hint="eastAsia" w:ascii="宋体" w:hAnsi="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12.1</w:t>
            </w:r>
          </w:p>
        </w:tc>
        <w:tc>
          <w:tcPr>
            <w:tcW w:w="1297" w:type="dxa"/>
            <w:vMerge w:val="restart"/>
            <w:vAlign w:val="center"/>
          </w:tcPr>
          <w:p>
            <w:pPr>
              <w:jc w:val="center"/>
              <w:rPr>
                <w:rFonts w:ascii="宋体"/>
                <w:sz w:val="24"/>
              </w:rPr>
            </w:pPr>
            <w:r>
              <w:rPr>
                <w:rFonts w:hint="eastAsia" w:ascii="宋体" w:hAnsi="宋体"/>
                <w:sz w:val="24"/>
              </w:rPr>
              <w:t>投标保证金</w:t>
            </w:r>
          </w:p>
        </w:tc>
        <w:tc>
          <w:tcPr>
            <w:tcW w:w="8625" w:type="dxa"/>
            <w:vAlign w:val="center"/>
          </w:tcPr>
          <w:p>
            <w:pPr>
              <w:pStyle w:val="23"/>
              <w:adjustRightInd w:val="0"/>
              <w:snapToGrid w:val="0"/>
              <w:rPr>
                <w:sz w:val="24"/>
                <w:lang w:val="zh-TW"/>
              </w:rPr>
            </w:pPr>
            <w:r>
              <w:rPr>
                <w:rFonts w:hint="eastAsia" w:hAnsi="宋体"/>
                <w:sz w:val="24"/>
                <w:szCs w:val="24"/>
              </w:rPr>
              <w:t>投标保证金金额</w:t>
            </w:r>
            <w:r>
              <w:rPr>
                <w:sz w:val="24"/>
                <w:lang w:val="zh-TW"/>
              </w:rPr>
              <w:t>：</w:t>
            </w:r>
          </w:p>
          <w:p>
            <w:pPr>
              <w:pStyle w:val="23"/>
              <w:adjustRightInd w:val="0"/>
              <w:snapToGrid w:val="0"/>
              <w:rPr>
                <w:sz w:val="24"/>
                <w:lang w:val="zh-TW"/>
              </w:rPr>
            </w:pPr>
            <w:r>
              <w:rPr>
                <w:sz w:val="24"/>
                <w:lang w:val="zh-TW"/>
              </w:rPr>
              <w:t>第一包：</w:t>
            </w:r>
            <w:r>
              <w:rPr>
                <w:rFonts w:hint="eastAsia"/>
                <w:sz w:val="24"/>
                <w:lang w:val="zh-TW"/>
              </w:rPr>
              <w:t>￥</w:t>
            </w:r>
            <w:r>
              <w:rPr>
                <w:rFonts w:hint="eastAsia"/>
                <w:sz w:val="24"/>
              </w:rPr>
              <w:t>100000.00</w:t>
            </w:r>
            <w:r>
              <w:rPr>
                <w:sz w:val="24"/>
                <w:lang w:val="zh-TW"/>
              </w:rPr>
              <w:t>元</w:t>
            </w:r>
            <w:r>
              <w:rPr>
                <w:rFonts w:hint="eastAsia"/>
                <w:sz w:val="24"/>
                <w:lang w:val="zh-TW"/>
              </w:rPr>
              <w:t>（壹拾万元整）</w:t>
            </w:r>
            <w:r>
              <w:rPr>
                <w:rFonts w:eastAsia="PMingLiU"/>
                <w:sz w:val="24"/>
                <w:lang w:val="zh-TW" w:eastAsia="zh-TW"/>
              </w:rPr>
              <w:t xml:space="preserve">              </w:t>
            </w:r>
          </w:p>
          <w:p>
            <w:pPr>
              <w:pStyle w:val="23"/>
              <w:adjustRightInd w:val="0"/>
              <w:snapToGrid w:val="0"/>
              <w:rPr>
                <w:sz w:val="24"/>
              </w:rPr>
            </w:pPr>
            <w:r>
              <w:rPr>
                <w:sz w:val="24"/>
                <w:lang w:val="zh-TW"/>
              </w:rPr>
              <w:t>投标保证金收受人信息：</w:t>
            </w:r>
          </w:p>
          <w:p>
            <w:pPr>
              <w:pStyle w:val="23"/>
              <w:adjustRightInd w:val="0"/>
              <w:snapToGrid w:val="0"/>
              <w:rPr>
                <w:sz w:val="24"/>
              </w:rPr>
            </w:pPr>
            <w:r>
              <w:rPr>
                <w:sz w:val="24"/>
                <w:lang w:val="zh-TW"/>
              </w:rPr>
              <w:t>开户名称：北京天极招投标咨询有限公司</w:t>
            </w:r>
          </w:p>
          <w:p>
            <w:pPr>
              <w:pStyle w:val="23"/>
              <w:adjustRightInd w:val="0"/>
              <w:snapToGrid w:val="0"/>
              <w:rPr>
                <w:sz w:val="24"/>
              </w:rPr>
            </w:pPr>
            <w:r>
              <w:rPr>
                <w:sz w:val="24"/>
                <w:lang w:val="zh-TW"/>
              </w:rPr>
              <w:t>开 户 行：中国建设银行北京东大街支行</w:t>
            </w:r>
          </w:p>
          <w:p>
            <w:pPr>
              <w:pStyle w:val="23"/>
              <w:adjustRightInd w:val="0"/>
              <w:snapToGrid w:val="0"/>
              <w:rPr>
                <w:sz w:val="24"/>
                <w:lang w:val="zh-TW"/>
              </w:rPr>
            </w:pPr>
            <w:r>
              <w:rPr>
                <w:sz w:val="24"/>
                <w:lang w:val="zh-TW"/>
              </w:rPr>
              <w:t>账    号：</w:t>
            </w:r>
            <w:r>
              <w:rPr>
                <w:sz w:val="24"/>
              </w:rPr>
              <w:t>1100 1069 6000 5304 2311</w:t>
            </w:r>
            <w:r>
              <w:rPr>
                <w:sz w:val="24"/>
                <w:lang w:val="zh-TW"/>
              </w:rPr>
              <w:t>。</w:t>
            </w:r>
          </w:p>
          <w:p>
            <w:pPr>
              <w:pStyle w:val="23"/>
              <w:adjustRightInd w:val="0"/>
              <w:snapToGrid w:val="0"/>
              <w:rPr>
                <w:rFonts w:eastAsia="PMingLiU"/>
                <w:sz w:val="24"/>
                <w:lang w:eastAsia="zh-TW"/>
              </w:rPr>
            </w:pPr>
            <w:r>
              <w:rPr>
                <w:sz w:val="24"/>
                <w:lang w:val="zh-TW"/>
              </w:rPr>
              <w:t>注：采用汇款方式递交投标保证金的</w:t>
            </w:r>
            <w:r>
              <w:rPr>
                <w:rFonts w:asciiTheme="minorEastAsia" w:hAnsiTheme="minorEastAsia" w:eastAsiaTheme="minorEastAsia"/>
                <w:sz w:val="24"/>
                <w:lang w:val="zh-TW"/>
              </w:rPr>
              <w:t>，请备注：</w:t>
            </w:r>
            <w:r>
              <w:rPr>
                <w:rFonts w:asciiTheme="minorEastAsia" w:hAnsiTheme="minorEastAsia" w:eastAsiaTheme="minorEastAsia"/>
                <w:sz w:val="24"/>
                <w:lang w:val="zh-TW" w:eastAsia="zh-TW"/>
              </w:rPr>
              <w:t>项目代理编号</w:t>
            </w:r>
            <w:r>
              <w:rPr>
                <w:rFonts w:hint="eastAsia" w:asciiTheme="minorEastAsia" w:hAnsiTheme="minorEastAsia" w:eastAsiaTheme="minorEastAsia"/>
                <w:sz w:val="24"/>
                <w:lang w:val="zh-TW"/>
              </w:rPr>
              <w:t>/所</w:t>
            </w:r>
            <w:r>
              <w:rPr>
                <w:rFonts w:asciiTheme="minorEastAsia" w:hAnsiTheme="minorEastAsia" w:eastAsiaTheme="minorEastAsia"/>
                <w:sz w:val="24"/>
                <w:lang w:val="zh-TW" w:eastAsia="zh-TW"/>
              </w:rPr>
              <w:t>投包号投标保证金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12.7.2</w:t>
            </w:r>
          </w:p>
        </w:tc>
        <w:tc>
          <w:tcPr>
            <w:tcW w:w="1297" w:type="dxa"/>
            <w:vMerge w:val="continue"/>
            <w:vAlign w:val="center"/>
          </w:tcPr>
          <w:p>
            <w:pPr>
              <w:jc w:val="center"/>
              <w:rPr>
                <w:rFonts w:ascii="宋体"/>
                <w:sz w:val="24"/>
              </w:rPr>
            </w:pPr>
          </w:p>
        </w:tc>
        <w:tc>
          <w:tcPr>
            <w:tcW w:w="8625" w:type="dxa"/>
            <w:vAlign w:val="center"/>
          </w:tcPr>
          <w:p>
            <w:pPr>
              <w:jc w:val="left"/>
              <w:rPr>
                <w:rFonts w:ascii="宋体"/>
                <w:sz w:val="24"/>
              </w:rPr>
            </w:pPr>
            <w:r>
              <w:rPr>
                <w:rFonts w:hint="eastAsia" w:ascii="宋体" w:hAnsi="宋体"/>
                <w:sz w:val="24"/>
              </w:rPr>
              <w:t>投标保证金可以不予退还的其他情形：</w:t>
            </w:r>
          </w:p>
          <w:p>
            <w:pPr>
              <w:jc w:val="left"/>
              <w:rPr>
                <w:rFonts w:ascii="宋体"/>
                <w:sz w:val="24"/>
              </w:rPr>
            </w:pPr>
            <w:r>
              <w:rPr>
                <w:rFonts w:hint="eastAsia" w:hAnsi="宋体"/>
                <w:sz w:val="24"/>
              </w:rPr>
              <w:t>□</w:t>
            </w:r>
            <w:r>
              <w:rPr>
                <w:rFonts w:hint="eastAsia" w:ascii="宋体" w:hAnsi="宋体"/>
                <w:sz w:val="24"/>
              </w:rPr>
              <w:t>无</w:t>
            </w:r>
          </w:p>
          <w:p>
            <w:pPr>
              <w:pStyle w:val="23"/>
              <w:adjustRightInd w:val="0"/>
              <w:snapToGrid w:val="0"/>
              <w:rPr>
                <w:rFonts w:hAnsi="宋体"/>
                <w:sz w:val="24"/>
              </w:rPr>
            </w:pPr>
            <w:r>
              <w:rPr>
                <w:rFonts w:hint="eastAsia"/>
                <w:b/>
                <w:sz w:val="24"/>
              </w:rPr>
              <w:t>■</w:t>
            </w:r>
            <w:r>
              <w:rPr>
                <w:rFonts w:hint="eastAsia" w:hAnsi="宋体"/>
                <w:sz w:val="24"/>
              </w:rPr>
              <w:t>有，具体情形：</w:t>
            </w:r>
          </w:p>
          <w:p>
            <w:pPr>
              <w:pStyle w:val="23"/>
              <w:adjustRightInd w:val="0"/>
              <w:snapToGrid w:val="0"/>
              <w:rPr>
                <w:rFonts w:hAnsi="宋体"/>
                <w:sz w:val="24"/>
              </w:rPr>
            </w:pPr>
            <w:r>
              <w:rPr>
                <w:rFonts w:hAnsi="宋体"/>
                <w:sz w:val="24"/>
                <w:lang w:val="zh-TW"/>
              </w:rPr>
              <w:t>（</w:t>
            </w:r>
            <w:r>
              <w:rPr>
                <w:rFonts w:hAnsi="宋体"/>
                <w:sz w:val="24"/>
              </w:rPr>
              <w:t>1</w:t>
            </w:r>
            <w:r>
              <w:rPr>
                <w:rFonts w:hAnsi="宋体"/>
                <w:sz w:val="24"/>
                <w:lang w:val="zh-TW"/>
              </w:rPr>
              <w:t>）投标有效期内投标人撤销投标文件的；</w:t>
            </w:r>
          </w:p>
          <w:p>
            <w:pPr>
              <w:pStyle w:val="23"/>
              <w:adjustRightInd w:val="0"/>
              <w:snapToGrid w:val="0"/>
              <w:ind w:left="480" w:hanging="480" w:hangingChars="200"/>
              <w:rPr>
                <w:rFonts w:hAnsi="宋体"/>
                <w:sz w:val="24"/>
              </w:rPr>
            </w:pPr>
            <w:r>
              <w:rPr>
                <w:rFonts w:hAnsi="宋体"/>
                <w:sz w:val="24"/>
                <w:lang w:val="zh-TW"/>
              </w:rPr>
              <w:t>（</w:t>
            </w:r>
            <w:r>
              <w:rPr>
                <w:rFonts w:hAnsi="宋体"/>
                <w:sz w:val="24"/>
              </w:rPr>
              <w:t>2</w:t>
            </w:r>
            <w:r>
              <w:rPr>
                <w:rFonts w:hAnsi="宋体"/>
                <w:sz w:val="24"/>
                <w:lang w:val="zh-TW"/>
              </w:rPr>
              <w:t>）中标人无正当理由不与采购人订立合同，在签订合同时向采购人提出附加条件的；</w:t>
            </w:r>
          </w:p>
          <w:p>
            <w:pPr>
              <w:pStyle w:val="23"/>
              <w:adjustRightInd w:val="0"/>
              <w:snapToGrid w:val="0"/>
              <w:rPr>
                <w:rFonts w:hAnsi="宋体"/>
                <w:sz w:val="24"/>
              </w:rPr>
            </w:pPr>
            <w:r>
              <w:rPr>
                <w:rFonts w:hAnsi="宋体"/>
                <w:sz w:val="24"/>
                <w:lang w:val="zh-TW"/>
              </w:rPr>
              <w:t>（</w:t>
            </w:r>
            <w:r>
              <w:rPr>
                <w:rFonts w:hAnsi="宋体"/>
                <w:sz w:val="24"/>
              </w:rPr>
              <w:t>3</w:t>
            </w:r>
            <w:r>
              <w:rPr>
                <w:rFonts w:hAnsi="宋体"/>
                <w:sz w:val="24"/>
                <w:lang w:val="zh-TW"/>
              </w:rPr>
              <w:t>）中标人不按照招标文件要求提交履约保证金的；</w:t>
            </w:r>
          </w:p>
          <w:p>
            <w:pPr>
              <w:pStyle w:val="23"/>
              <w:adjustRightInd w:val="0"/>
              <w:snapToGrid w:val="0"/>
              <w:rPr>
                <w:rFonts w:hAnsi="宋体"/>
                <w:sz w:val="24"/>
                <w:szCs w:val="24"/>
              </w:rPr>
            </w:pPr>
            <w:r>
              <w:rPr>
                <w:rFonts w:hAnsi="宋体"/>
                <w:sz w:val="24"/>
                <w:szCs w:val="24"/>
                <w:lang w:val="zh-TW"/>
              </w:rPr>
              <w:t>（</w:t>
            </w:r>
            <w:r>
              <w:rPr>
                <w:rFonts w:hAnsi="宋体"/>
                <w:sz w:val="24"/>
                <w:szCs w:val="24"/>
              </w:rPr>
              <w:t>4</w:t>
            </w:r>
            <w:r>
              <w:rPr>
                <w:rFonts w:hAnsi="宋体"/>
                <w:sz w:val="24"/>
                <w:szCs w:val="24"/>
                <w:lang w:val="zh-TW"/>
              </w:rPr>
              <w:t>）中标人擅自放弃中标的。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13.1</w:t>
            </w:r>
          </w:p>
        </w:tc>
        <w:tc>
          <w:tcPr>
            <w:tcW w:w="1297" w:type="dxa"/>
            <w:vAlign w:val="center"/>
          </w:tcPr>
          <w:p>
            <w:pPr>
              <w:jc w:val="center"/>
              <w:rPr>
                <w:rFonts w:ascii="宋体"/>
                <w:sz w:val="24"/>
              </w:rPr>
            </w:pPr>
            <w:r>
              <w:rPr>
                <w:rFonts w:hint="eastAsia" w:ascii="宋体" w:hAnsi="宋体"/>
                <w:sz w:val="24"/>
              </w:rPr>
              <w:t>投标有效期</w:t>
            </w:r>
          </w:p>
        </w:tc>
        <w:tc>
          <w:tcPr>
            <w:tcW w:w="8625" w:type="dxa"/>
            <w:vAlign w:val="center"/>
          </w:tcPr>
          <w:p>
            <w:pPr>
              <w:jc w:val="left"/>
              <w:rPr>
                <w:rFonts w:ascii="宋体"/>
                <w:sz w:val="24"/>
              </w:rPr>
            </w:pPr>
            <w:r>
              <w:rPr>
                <w:rFonts w:hint="eastAsia" w:ascii="宋体" w:hAnsi="宋体"/>
                <w:sz w:val="24"/>
              </w:rPr>
              <w:t>自提交投标文件的截止之日起算</w:t>
            </w:r>
            <w:r>
              <w:rPr>
                <w:rFonts w:hint="eastAsia" w:ascii="宋体" w:hAnsi="宋体"/>
                <w:b/>
                <w:sz w:val="24"/>
                <w:u w:val="single"/>
              </w:rPr>
              <w:t xml:space="preserve"> </w:t>
            </w:r>
            <w:r>
              <w:rPr>
                <w:rFonts w:ascii="宋体" w:hAnsi="宋体"/>
                <w:b/>
                <w:sz w:val="24"/>
                <w:u w:val="single"/>
              </w:rPr>
              <w:t xml:space="preserve"> 90  </w:t>
            </w:r>
            <w:r>
              <w:rPr>
                <w:rFonts w:hint="eastAsia" w:ascii="宋体" w:hAnsi="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14.1</w:t>
            </w:r>
          </w:p>
        </w:tc>
        <w:tc>
          <w:tcPr>
            <w:tcW w:w="1297" w:type="dxa"/>
            <w:vAlign w:val="center"/>
          </w:tcPr>
          <w:p>
            <w:pPr>
              <w:jc w:val="center"/>
              <w:rPr>
                <w:rFonts w:ascii="宋体"/>
                <w:sz w:val="24"/>
              </w:rPr>
            </w:pPr>
            <w:r>
              <w:rPr>
                <w:rFonts w:hint="eastAsia" w:ascii="宋体" w:hAnsi="宋体"/>
                <w:sz w:val="24"/>
              </w:rPr>
              <w:t>投标文件的签署、盖章</w:t>
            </w:r>
          </w:p>
        </w:tc>
        <w:tc>
          <w:tcPr>
            <w:tcW w:w="8625" w:type="dxa"/>
            <w:vAlign w:val="center"/>
          </w:tcPr>
          <w:p>
            <w:pPr>
              <w:tabs>
                <w:tab w:val="left" w:pos="900"/>
                <w:tab w:val="left" w:pos="1080"/>
                <w:tab w:val="left" w:pos="1589"/>
                <w:tab w:val="left" w:pos="2014"/>
              </w:tabs>
              <w:snapToGrid w:val="0"/>
              <w:spacing w:line="360" w:lineRule="auto"/>
              <w:rPr>
                <w:sz w:val="24"/>
              </w:rPr>
            </w:pPr>
            <w:r>
              <w:rPr>
                <w:rFonts w:hint="eastAsia"/>
                <w:sz w:val="24"/>
              </w:rPr>
              <w:t>投标文件的正本需打印或用不退色墨水书写；</w:t>
            </w:r>
          </w:p>
          <w:p>
            <w:pPr>
              <w:tabs>
                <w:tab w:val="left" w:pos="900"/>
                <w:tab w:val="left" w:pos="1080"/>
                <w:tab w:val="left" w:pos="1589"/>
                <w:tab w:val="left" w:pos="2014"/>
              </w:tabs>
              <w:snapToGrid w:val="0"/>
              <w:spacing w:line="360" w:lineRule="auto"/>
              <w:rPr>
                <w:sz w:val="24"/>
              </w:rPr>
            </w:pPr>
            <w:r>
              <w:rPr>
                <w:rFonts w:hint="eastAsia"/>
                <w:sz w:val="24"/>
              </w:rPr>
              <w:t>任何对投标文件行间插字、涂改和增删，必须由法定代表人或其授权代表签字或加盖本单位公章后有效；</w:t>
            </w:r>
          </w:p>
          <w:p>
            <w:pPr>
              <w:tabs>
                <w:tab w:val="left" w:pos="900"/>
                <w:tab w:val="left" w:pos="1080"/>
                <w:tab w:val="left" w:pos="1589"/>
                <w:tab w:val="left" w:pos="2014"/>
              </w:tabs>
              <w:snapToGrid w:val="0"/>
              <w:spacing w:line="360" w:lineRule="auto"/>
              <w:rPr>
                <w:sz w:val="24"/>
              </w:rPr>
            </w:pPr>
            <w:r>
              <w:rPr>
                <w:rFonts w:hint="eastAsia"/>
                <w:sz w:val="24"/>
              </w:rPr>
              <w:t>投标文件因字迹潦草或表达不清所引起的后果由投标人负责；</w:t>
            </w:r>
          </w:p>
          <w:p>
            <w:pPr>
              <w:jc w:val="left"/>
              <w:rPr>
                <w:rFonts w:ascii="宋体"/>
                <w:sz w:val="24"/>
              </w:rPr>
            </w:pPr>
            <w:r>
              <w:rPr>
                <w:rFonts w:hint="eastAsia"/>
                <w:sz w:val="24"/>
              </w:rPr>
              <w:t>招标文件中所要求加盖的投标人公章是指与投标人名称全称相一致的物理“行政公章”，不得加盖其它“合同专用章、投标专用章、财务专用章”等非行政公章，否则将被视为无效投标。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int="eastAsia" w:hAnsi="宋体"/>
                <w:sz w:val="24"/>
                <w:szCs w:val="24"/>
              </w:rPr>
              <w:t>1</w:t>
            </w:r>
            <w:r>
              <w:rPr>
                <w:rFonts w:hAnsi="宋体"/>
                <w:sz w:val="24"/>
                <w:szCs w:val="24"/>
              </w:rPr>
              <w:t>5</w:t>
            </w:r>
          </w:p>
        </w:tc>
        <w:tc>
          <w:tcPr>
            <w:tcW w:w="1297" w:type="dxa"/>
            <w:vAlign w:val="center"/>
          </w:tcPr>
          <w:p>
            <w:pPr>
              <w:jc w:val="center"/>
              <w:rPr>
                <w:rFonts w:ascii="宋体" w:hAnsi="宋体"/>
                <w:sz w:val="24"/>
              </w:rPr>
            </w:pPr>
            <w:r>
              <w:rPr>
                <w:rFonts w:hint="eastAsia" w:ascii="宋体" w:hAnsi="宋体"/>
                <w:sz w:val="24"/>
              </w:rPr>
              <w:t>投标文件的提交</w:t>
            </w:r>
          </w:p>
          <w:p>
            <w:pPr>
              <w:jc w:val="center"/>
              <w:rPr>
                <w:rFonts w:ascii="宋体" w:hAnsi="宋体"/>
                <w:sz w:val="24"/>
              </w:rPr>
            </w:pPr>
          </w:p>
        </w:tc>
        <w:tc>
          <w:tcPr>
            <w:tcW w:w="8625" w:type="dxa"/>
            <w:vAlign w:val="center"/>
          </w:tcPr>
          <w:p>
            <w:pPr>
              <w:tabs>
                <w:tab w:val="left" w:pos="1080"/>
                <w:tab w:val="left" w:pos="1589"/>
                <w:tab w:val="left" w:pos="2014"/>
              </w:tabs>
              <w:snapToGrid w:val="0"/>
              <w:spacing w:line="360" w:lineRule="auto"/>
              <w:rPr>
                <w:sz w:val="24"/>
              </w:rPr>
            </w:pPr>
            <w:r>
              <w:rPr>
                <w:rFonts w:hint="eastAsia"/>
                <w:sz w:val="24"/>
              </w:rPr>
              <w:t>投标文件的提交</w:t>
            </w:r>
          </w:p>
          <w:p>
            <w:pPr>
              <w:tabs>
                <w:tab w:val="left" w:pos="900"/>
                <w:tab w:val="left" w:pos="1080"/>
                <w:tab w:val="left" w:pos="1589"/>
                <w:tab w:val="left" w:pos="2014"/>
              </w:tabs>
              <w:snapToGrid w:val="0"/>
              <w:spacing w:line="360" w:lineRule="auto"/>
              <w:rPr>
                <w:sz w:val="24"/>
              </w:rPr>
            </w:pPr>
            <w:r>
              <w:rPr>
                <w:rFonts w:hint="eastAsia"/>
                <w:sz w:val="24"/>
              </w:rPr>
              <w:t>纸质递交：</w:t>
            </w:r>
          </w:p>
          <w:p>
            <w:pPr>
              <w:tabs>
                <w:tab w:val="left" w:pos="900"/>
                <w:tab w:val="left" w:pos="1080"/>
                <w:tab w:val="left" w:pos="1589"/>
                <w:tab w:val="left" w:pos="2014"/>
              </w:tabs>
              <w:snapToGrid w:val="0"/>
              <w:spacing w:line="360" w:lineRule="auto"/>
              <w:rPr>
                <w:b/>
                <w:bCs/>
                <w:sz w:val="24"/>
              </w:rPr>
            </w:pPr>
            <w:r>
              <w:rPr>
                <w:rFonts w:hint="eastAsia"/>
                <w:b/>
                <w:bCs/>
                <w:sz w:val="24"/>
              </w:rPr>
              <w:t>投标文件资格证明文件：正本：1份，副本：</w:t>
            </w:r>
            <w:r>
              <w:rPr>
                <w:b/>
                <w:bCs/>
                <w:sz w:val="24"/>
              </w:rPr>
              <w:t>3</w:t>
            </w:r>
            <w:r>
              <w:rPr>
                <w:rFonts w:hint="eastAsia"/>
                <w:b/>
                <w:bCs/>
                <w:sz w:val="24"/>
              </w:rPr>
              <w:t>份，电子版：1份。</w:t>
            </w:r>
          </w:p>
          <w:p>
            <w:pPr>
              <w:tabs>
                <w:tab w:val="left" w:pos="900"/>
                <w:tab w:val="left" w:pos="1080"/>
                <w:tab w:val="left" w:pos="1589"/>
                <w:tab w:val="left" w:pos="2014"/>
              </w:tabs>
              <w:snapToGrid w:val="0"/>
              <w:spacing w:line="360" w:lineRule="auto"/>
              <w:rPr>
                <w:b/>
                <w:bCs/>
                <w:sz w:val="24"/>
              </w:rPr>
            </w:pPr>
            <w:r>
              <w:rPr>
                <w:rFonts w:hint="eastAsia"/>
                <w:b/>
                <w:bCs/>
                <w:sz w:val="24"/>
              </w:rPr>
              <w:t>投标文件商务技术文件：正本：1份，副本：5份，电子版：1份。</w:t>
            </w:r>
          </w:p>
          <w:p>
            <w:pPr>
              <w:tabs>
                <w:tab w:val="left" w:pos="900"/>
                <w:tab w:val="left" w:pos="1080"/>
                <w:tab w:val="left" w:pos="1589"/>
                <w:tab w:val="left" w:pos="2014"/>
              </w:tabs>
              <w:snapToGrid w:val="0"/>
              <w:spacing w:line="360" w:lineRule="auto"/>
              <w:rPr>
                <w:sz w:val="24"/>
              </w:rPr>
            </w:pPr>
            <w:r>
              <w:rPr>
                <w:rFonts w:hint="eastAsia"/>
                <w:sz w:val="24"/>
              </w:rPr>
              <w:t>（电子文件应提供可编辑word文档和PDF盖章扫描件，存储载体为U盘）。</w:t>
            </w:r>
          </w:p>
          <w:p>
            <w:pPr>
              <w:tabs>
                <w:tab w:val="left" w:pos="900"/>
                <w:tab w:val="left" w:pos="1080"/>
                <w:tab w:val="left" w:pos="1589"/>
                <w:tab w:val="left" w:pos="2014"/>
              </w:tabs>
              <w:snapToGrid w:val="0"/>
              <w:spacing w:line="360" w:lineRule="auto"/>
              <w:rPr>
                <w:sz w:val="24"/>
              </w:rPr>
            </w:pPr>
            <w:r>
              <w:rPr>
                <w:rFonts w:hint="eastAsia"/>
                <w:sz w:val="24"/>
              </w:rPr>
              <w:t>若投标文件正本和副本、电子文件不符，以纸质正本为准。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22.1</w:t>
            </w:r>
          </w:p>
        </w:tc>
        <w:tc>
          <w:tcPr>
            <w:tcW w:w="1297" w:type="dxa"/>
            <w:vAlign w:val="center"/>
          </w:tcPr>
          <w:p>
            <w:pPr>
              <w:jc w:val="center"/>
              <w:rPr>
                <w:rFonts w:ascii="宋体"/>
                <w:sz w:val="24"/>
              </w:rPr>
            </w:pPr>
            <w:r>
              <w:rPr>
                <w:rFonts w:hint="eastAsia" w:ascii="宋体" w:hAnsi="宋体"/>
                <w:sz w:val="24"/>
              </w:rPr>
              <w:t>确定中标人</w:t>
            </w:r>
          </w:p>
        </w:tc>
        <w:tc>
          <w:tcPr>
            <w:tcW w:w="8625" w:type="dxa"/>
            <w:vAlign w:val="center"/>
          </w:tcPr>
          <w:p>
            <w:pPr>
              <w:pStyle w:val="23"/>
              <w:adjustRightInd w:val="0"/>
              <w:snapToGrid w:val="0"/>
              <w:rPr>
                <w:rFonts w:hAnsi="宋体"/>
                <w:sz w:val="24"/>
              </w:rPr>
            </w:pPr>
            <w:r>
              <w:rPr>
                <w:rFonts w:hint="eastAsia" w:hAnsi="宋体"/>
                <w:sz w:val="24"/>
              </w:rPr>
              <w:t>中标候选人并列的，采购人是否委托评标委员会确定中标人：</w:t>
            </w:r>
          </w:p>
          <w:p>
            <w:pPr>
              <w:pStyle w:val="23"/>
              <w:adjustRightInd w:val="0"/>
              <w:snapToGrid w:val="0"/>
              <w:rPr>
                <w:rFonts w:hAnsi="宋体"/>
                <w:sz w:val="24"/>
              </w:rPr>
            </w:pPr>
            <w:r>
              <w:rPr>
                <w:rFonts w:hint="eastAsia" w:hAnsi="宋体"/>
                <w:b/>
                <w:sz w:val="24"/>
              </w:rPr>
              <w:t>■</w:t>
            </w:r>
            <w:r>
              <w:rPr>
                <w:rFonts w:hint="eastAsia" w:hAnsi="宋体"/>
                <w:sz w:val="24"/>
              </w:rPr>
              <w:t>否</w:t>
            </w:r>
          </w:p>
          <w:p>
            <w:pPr>
              <w:pStyle w:val="23"/>
              <w:adjustRightInd w:val="0"/>
              <w:snapToGrid w:val="0"/>
              <w:rPr>
                <w:rFonts w:hAnsi="宋体"/>
                <w:sz w:val="24"/>
              </w:rPr>
            </w:pPr>
            <w:r>
              <w:rPr>
                <w:rFonts w:hint="eastAsia" w:hAnsi="宋体"/>
                <w:sz w:val="24"/>
              </w:rPr>
              <w:t>□是</w:t>
            </w:r>
          </w:p>
          <w:p>
            <w:pPr>
              <w:pStyle w:val="23"/>
              <w:adjustRightInd w:val="0"/>
              <w:snapToGrid w:val="0"/>
              <w:rPr>
                <w:rFonts w:hAnsi="宋体"/>
              </w:rPr>
            </w:pPr>
            <w:r>
              <w:rPr>
                <w:rFonts w:hint="eastAsia" w:hAnsi="宋体"/>
                <w:sz w:val="24"/>
              </w:rPr>
              <w:t>中标候选人并列的，按照以下方式确定中标人：</w:t>
            </w:r>
            <w:r>
              <w:rPr>
                <w:rFonts w:hAnsi="宋体"/>
              </w:rPr>
              <w:t xml:space="preserve"> </w:t>
            </w:r>
          </w:p>
          <w:p>
            <w:pPr>
              <w:pStyle w:val="23"/>
              <w:adjustRightInd w:val="0"/>
              <w:snapToGrid w:val="0"/>
              <w:rPr>
                <w:rFonts w:hAnsi="宋体"/>
                <w:sz w:val="24"/>
              </w:rPr>
            </w:pPr>
            <w:r>
              <w:rPr>
                <w:rFonts w:hint="eastAsia" w:hAnsi="宋体"/>
                <w:b/>
                <w:sz w:val="24"/>
              </w:rPr>
              <w:t>■</w:t>
            </w:r>
            <w:r>
              <w:rPr>
                <w:rFonts w:hint="eastAsia" w:hAnsi="宋体"/>
                <w:sz w:val="24"/>
              </w:rPr>
              <w:t>得分且投标报价均相同的，以</w:t>
            </w:r>
            <w:r>
              <w:rPr>
                <w:rFonts w:hint="eastAsia" w:hAnsi="宋体"/>
                <w:sz w:val="24"/>
                <w:u w:val="single"/>
              </w:rPr>
              <w:t>技术部分</w:t>
            </w:r>
            <w:r>
              <w:rPr>
                <w:rFonts w:hint="eastAsia" w:hAnsi="宋体"/>
                <w:sz w:val="24"/>
              </w:rPr>
              <w:t>得分高者为中标人</w:t>
            </w:r>
          </w:p>
          <w:p>
            <w:pPr>
              <w:pStyle w:val="23"/>
              <w:adjustRightInd w:val="0"/>
              <w:snapToGrid w:val="0"/>
              <w:rPr>
                <w:rFonts w:hAnsi="宋体"/>
                <w:sz w:val="24"/>
                <w:u w:val="single"/>
              </w:rPr>
            </w:pPr>
            <w:r>
              <w:rPr>
                <w:rFonts w:hint="eastAsia" w:hAnsi="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25.5</w:t>
            </w:r>
          </w:p>
        </w:tc>
        <w:tc>
          <w:tcPr>
            <w:tcW w:w="1297" w:type="dxa"/>
            <w:vAlign w:val="center"/>
          </w:tcPr>
          <w:p>
            <w:pPr>
              <w:jc w:val="center"/>
              <w:rPr>
                <w:rFonts w:ascii="宋体"/>
                <w:sz w:val="24"/>
              </w:rPr>
            </w:pPr>
            <w:r>
              <w:rPr>
                <w:rFonts w:hint="eastAsia" w:ascii="宋体" w:hAnsi="宋体"/>
                <w:sz w:val="24"/>
              </w:rPr>
              <w:t>分包</w:t>
            </w:r>
          </w:p>
        </w:tc>
        <w:tc>
          <w:tcPr>
            <w:tcW w:w="8625" w:type="dxa"/>
            <w:vAlign w:val="center"/>
          </w:tcPr>
          <w:p>
            <w:pPr>
              <w:jc w:val="left"/>
              <w:rPr>
                <w:rFonts w:ascii="宋体"/>
                <w:sz w:val="24"/>
              </w:rPr>
            </w:pPr>
            <w:r>
              <w:rPr>
                <w:rFonts w:hint="eastAsia" w:ascii="宋体" w:hAnsi="宋体"/>
                <w:sz w:val="24"/>
              </w:rPr>
              <w:t>本项目的非主体、非关键性工作是否允许分包：</w:t>
            </w:r>
            <w:r>
              <w:rPr>
                <w:rFonts w:ascii="宋体" w:hAnsi="宋体"/>
                <w:sz w:val="24"/>
              </w:rPr>
              <w:t xml:space="preserve"> </w:t>
            </w:r>
          </w:p>
          <w:p>
            <w:pPr>
              <w:jc w:val="left"/>
              <w:rPr>
                <w:rFonts w:ascii="宋体"/>
                <w:sz w:val="24"/>
              </w:rPr>
            </w:pPr>
            <w:r>
              <w:rPr>
                <w:rFonts w:hint="eastAsia" w:ascii="宋体"/>
                <w:b/>
                <w:sz w:val="24"/>
              </w:rPr>
              <w:t>■</w:t>
            </w:r>
            <w:r>
              <w:rPr>
                <w:rFonts w:hint="eastAsia" w:ascii="宋体" w:hAnsi="宋体"/>
                <w:sz w:val="24"/>
              </w:rPr>
              <w:t>不允许</w:t>
            </w:r>
          </w:p>
          <w:p>
            <w:pPr>
              <w:jc w:val="left"/>
              <w:rPr>
                <w:rFonts w:ascii="宋体"/>
                <w:sz w:val="24"/>
              </w:rPr>
            </w:pPr>
            <w:r>
              <w:rPr>
                <w:rFonts w:hint="eastAsia" w:ascii="宋体"/>
                <w:sz w:val="24"/>
              </w:rPr>
              <w:t>□</w:t>
            </w:r>
            <w:r>
              <w:rPr>
                <w:rFonts w:hint="eastAsia" w:ascii="宋体" w:hAnsi="宋体"/>
                <w:sz w:val="24"/>
              </w:rPr>
              <w:t>允许，具体要求：</w:t>
            </w:r>
          </w:p>
          <w:p>
            <w:pPr>
              <w:jc w:val="left"/>
              <w:rPr>
                <w:rFonts w:ascii="宋体"/>
                <w:sz w:val="24"/>
              </w:rPr>
            </w:pPr>
            <w:r>
              <w:rPr>
                <w:rFonts w:hint="eastAsia" w:ascii="宋体" w:hAnsi="宋体"/>
                <w:sz w:val="24"/>
              </w:rPr>
              <w:t>（</w:t>
            </w:r>
            <w:r>
              <w:rPr>
                <w:rFonts w:ascii="宋体" w:hAnsi="宋体"/>
                <w:sz w:val="24"/>
              </w:rPr>
              <w:t>1</w:t>
            </w:r>
            <w:r>
              <w:rPr>
                <w:rFonts w:hint="eastAsia" w:ascii="宋体" w:hAnsi="宋体"/>
                <w:sz w:val="24"/>
              </w:rPr>
              <w:t>）可以分包履行的具体内容：</w:t>
            </w:r>
            <w:r>
              <w:rPr>
                <w:rFonts w:ascii="宋体" w:hAnsi="宋体"/>
                <w:sz w:val="24"/>
              </w:rPr>
              <w:t>_____</w:t>
            </w:r>
            <w:r>
              <w:rPr>
                <w:rFonts w:hint="eastAsia" w:ascii="宋体" w:hAnsi="宋体"/>
                <w:sz w:val="24"/>
              </w:rPr>
              <w:t>；</w:t>
            </w:r>
          </w:p>
          <w:p>
            <w:pPr>
              <w:jc w:val="left"/>
              <w:rPr>
                <w:rFonts w:ascii="宋体"/>
                <w:sz w:val="24"/>
              </w:rPr>
            </w:pPr>
            <w:r>
              <w:rPr>
                <w:rFonts w:hint="eastAsia" w:ascii="宋体" w:hAnsi="宋体"/>
                <w:sz w:val="24"/>
              </w:rPr>
              <w:t>（</w:t>
            </w:r>
            <w:r>
              <w:rPr>
                <w:rFonts w:ascii="宋体" w:hAnsi="宋体"/>
                <w:sz w:val="24"/>
              </w:rPr>
              <w:t>2</w:t>
            </w:r>
            <w:r>
              <w:rPr>
                <w:rFonts w:hint="eastAsia" w:ascii="宋体" w:hAnsi="宋体"/>
                <w:sz w:val="24"/>
              </w:rPr>
              <w:t>）允许分包的金额或者比例：</w:t>
            </w:r>
            <w:r>
              <w:rPr>
                <w:rFonts w:ascii="宋体" w:hAnsi="宋体"/>
                <w:sz w:val="24"/>
              </w:rPr>
              <w:t>_____</w:t>
            </w:r>
            <w:r>
              <w:rPr>
                <w:rFonts w:hint="eastAsia" w:ascii="宋体" w:hAnsi="宋体"/>
                <w:sz w:val="24"/>
              </w:rPr>
              <w:t>；</w:t>
            </w:r>
          </w:p>
          <w:p>
            <w:pPr>
              <w:jc w:val="left"/>
              <w:rPr>
                <w:rFonts w:ascii="宋体"/>
                <w:sz w:val="24"/>
                <w:u w:val="single"/>
              </w:rPr>
            </w:pPr>
            <w:r>
              <w:rPr>
                <w:rFonts w:hint="eastAsia" w:ascii="宋体" w:hAnsi="宋体"/>
                <w:sz w:val="24"/>
              </w:rPr>
              <w:t>（</w:t>
            </w:r>
            <w:r>
              <w:rPr>
                <w:rFonts w:ascii="宋体" w:hAnsi="宋体"/>
                <w:sz w:val="24"/>
              </w:rPr>
              <w:t>3</w:t>
            </w:r>
            <w:r>
              <w:rPr>
                <w:rFonts w:hint="eastAsia" w:ascii="宋体" w:hAnsi="宋体"/>
                <w:sz w:val="24"/>
              </w:rPr>
              <w:t>）其他要求：</w:t>
            </w:r>
            <w:r>
              <w:rPr>
                <w:rFonts w:ascii="宋体" w:hAnsi="宋体"/>
                <w:sz w:val="24"/>
              </w:rPr>
              <w:t>_____</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26.1.1</w:t>
            </w:r>
          </w:p>
        </w:tc>
        <w:tc>
          <w:tcPr>
            <w:tcW w:w="1297" w:type="dxa"/>
            <w:vAlign w:val="center"/>
          </w:tcPr>
          <w:p>
            <w:pPr>
              <w:jc w:val="center"/>
              <w:rPr>
                <w:rFonts w:ascii="宋体"/>
                <w:sz w:val="24"/>
              </w:rPr>
            </w:pPr>
            <w:r>
              <w:rPr>
                <w:rFonts w:hint="eastAsia" w:ascii="宋体" w:hAnsi="宋体"/>
                <w:sz w:val="24"/>
              </w:rPr>
              <w:t>询问</w:t>
            </w:r>
          </w:p>
        </w:tc>
        <w:tc>
          <w:tcPr>
            <w:tcW w:w="8625" w:type="dxa"/>
            <w:vAlign w:val="center"/>
          </w:tcPr>
          <w:p>
            <w:pPr>
              <w:jc w:val="left"/>
              <w:rPr>
                <w:rFonts w:ascii="宋体"/>
                <w:sz w:val="24"/>
              </w:rPr>
            </w:pPr>
            <w:r>
              <w:rPr>
                <w:rFonts w:hint="eastAsia" w:ascii="宋体" w:hAnsi="宋体"/>
                <w:sz w:val="24"/>
              </w:rPr>
              <w:t>询问送达形式：原件送达。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26.3</w:t>
            </w:r>
          </w:p>
        </w:tc>
        <w:tc>
          <w:tcPr>
            <w:tcW w:w="1297" w:type="dxa"/>
            <w:vAlign w:val="center"/>
          </w:tcPr>
          <w:p>
            <w:pPr>
              <w:jc w:val="center"/>
              <w:rPr>
                <w:rFonts w:ascii="宋体"/>
                <w:sz w:val="24"/>
              </w:rPr>
            </w:pPr>
            <w:r>
              <w:rPr>
                <w:rFonts w:hint="eastAsia" w:ascii="宋体" w:hAnsi="宋体"/>
                <w:sz w:val="24"/>
              </w:rPr>
              <w:t>联系方式</w:t>
            </w:r>
          </w:p>
        </w:tc>
        <w:tc>
          <w:tcPr>
            <w:tcW w:w="8625" w:type="dxa"/>
            <w:vAlign w:val="center"/>
          </w:tcPr>
          <w:p>
            <w:pPr>
              <w:jc w:val="left"/>
              <w:rPr>
                <w:rFonts w:ascii="宋体"/>
                <w:sz w:val="24"/>
              </w:rPr>
            </w:pPr>
            <w:r>
              <w:rPr>
                <w:rFonts w:hint="eastAsia" w:ascii="宋体" w:hAnsi="宋体"/>
                <w:sz w:val="24"/>
              </w:rPr>
              <w:t>接收询问和质疑的联系方式</w:t>
            </w:r>
          </w:p>
          <w:p>
            <w:pPr>
              <w:jc w:val="left"/>
              <w:rPr>
                <w:rFonts w:ascii="宋体"/>
                <w:sz w:val="24"/>
              </w:rPr>
            </w:pPr>
            <w:r>
              <w:rPr>
                <w:rFonts w:hint="eastAsia" w:ascii="宋体" w:hAnsi="宋体"/>
                <w:sz w:val="24"/>
              </w:rPr>
              <w:t>联系部门：</w:t>
            </w:r>
            <w:r>
              <w:rPr>
                <w:rStyle w:val="278"/>
                <w:rFonts w:ascii="宋体" w:hAnsi="宋体" w:cs="宋体"/>
                <w:sz w:val="24"/>
                <w:lang w:val="zh-TW" w:eastAsia="zh-TW"/>
              </w:rPr>
              <w:t>北京天极招投标咨询有限公司</w:t>
            </w:r>
            <w:r>
              <w:rPr>
                <w:rFonts w:hint="eastAsia" w:ascii="宋体" w:hAnsi="宋体"/>
                <w:sz w:val="24"/>
              </w:rPr>
              <w:t>；</w:t>
            </w:r>
          </w:p>
          <w:p>
            <w:pPr>
              <w:jc w:val="left"/>
              <w:rPr>
                <w:rFonts w:ascii="宋体"/>
                <w:sz w:val="24"/>
              </w:rPr>
            </w:pPr>
            <w:r>
              <w:rPr>
                <w:rFonts w:hint="eastAsia" w:ascii="宋体" w:hAnsi="宋体"/>
                <w:sz w:val="24"/>
              </w:rPr>
              <w:t>联系电话：</w:t>
            </w:r>
            <w:r>
              <w:rPr>
                <w:rFonts w:ascii="宋体" w:hAnsi="宋体"/>
                <w:iCs/>
                <w:sz w:val="24"/>
              </w:rPr>
              <w:t>010-60230611</w:t>
            </w:r>
            <w:r>
              <w:rPr>
                <w:rFonts w:hint="eastAsia" w:ascii="宋体" w:hAnsi="宋体"/>
                <w:sz w:val="24"/>
              </w:rPr>
              <w:t>；邮箱：bjtj</w:t>
            </w:r>
            <w:r>
              <w:rPr>
                <w:rFonts w:ascii="宋体" w:hAnsi="宋体"/>
                <w:sz w:val="24"/>
              </w:rPr>
              <w:t>01@126.com</w:t>
            </w:r>
          </w:p>
          <w:p>
            <w:pPr>
              <w:jc w:val="left"/>
              <w:rPr>
                <w:rFonts w:ascii="宋体"/>
                <w:sz w:val="24"/>
              </w:rPr>
            </w:pPr>
            <w:r>
              <w:rPr>
                <w:rFonts w:hint="eastAsia" w:ascii="宋体" w:hAnsi="宋体"/>
                <w:sz w:val="24"/>
              </w:rPr>
              <w:t>通讯地址：</w:t>
            </w:r>
            <w:r>
              <w:rPr>
                <w:rFonts w:ascii="宋体" w:hAnsi="宋体"/>
                <w:sz w:val="24"/>
                <w:lang w:val="zh-TW"/>
              </w:rPr>
              <w:t>北京市大兴区宏业东路</w:t>
            </w:r>
            <w:r>
              <w:rPr>
                <w:rFonts w:ascii="宋体" w:hAnsi="宋体"/>
                <w:sz w:val="24"/>
              </w:rPr>
              <w:t>1</w:t>
            </w:r>
            <w:r>
              <w:rPr>
                <w:rFonts w:ascii="宋体" w:hAnsi="宋体"/>
                <w:sz w:val="24"/>
                <w:lang w:val="zh-TW"/>
              </w:rPr>
              <w:t>号院</w:t>
            </w:r>
            <w:r>
              <w:rPr>
                <w:rFonts w:ascii="宋体" w:hAnsi="宋体"/>
                <w:sz w:val="24"/>
              </w:rPr>
              <w:t>3</w:t>
            </w:r>
            <w:r>
              <w:rPr>
                <w:rFonts w:ascii="宋体" w:hAnsi="宋体"/>
                <w:sz w:val="24"/>
                <w:lang w:val="zh-TW"/>
              </w:rPr>
              <w:t>号楼</w:t>
            </w:r>
            <w:r>
              <w:rPr>
                <w:rFonts w:ascii="宋体" w:hAnsi="宋体"/>
                <w:sz w:val="24"/>
              </w:rPr>
              <w:t>3</w:t>
            </w:r>
            <w:r>
              <w:rPr>
                <w:rFonts w:ascii="宋体" w:hAnsi="宋体"/>
                <w:sz w:val="24"/>
                <w:lang w:val="zh-TW"/>
              </w:rPr>
              <w:t>层</w:t>
            </w:r>
            <w:r>
              <w:rPr>
                <w:rFonts w:ascii="宋体" w:hAnsi="宋体"/>
                <w:sz w:val="24"/>
              </w:rPr>
              <w:t>301</w:t>
            </w:r>
            <w:r>
              <w:rPr>
                <w:rFonts w:ascii="宋体" w:hAnsi="宋体"/>
                <w:sz w:val="24"/>
                <w:lang w:val="zh-TW"/>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pPr>
              <w:pStyle w:val="23"/>
              <w:adjustRightInd w:val="0"/>
              <w:snapToGrid w:val="0"/>
              <w:jc w:val="center"/>
              <w:rPr>
                <w:rFonts w:hAnsi="宋体"/>
                <w:sz w:val="24"/>
                <w:szCs w:val="24"/>
              </w:rPr>
            </w:pPr>
            <w:r>
              <w:rPr>
                <w:rFonts w:hAnsi="宋体"/>
                <w:sz w:val="24"/>
                <w:szCs w:val="24"/>
              </w:rPr>
              <w:t>27</w:t>
            </w:r>
          </w:p>
        </w:tc>
        <w:tc>
          <w:tcPr>
            <w:tcW w:w="1297" w:type="dxa"/>
            <w:vAlign w:val="center"/>
          </w:tcPr>
          <w:p>
            <w:pPr>
              <w:jc w:val="center"/>
              <w:rPr>
                <w:rFonts w:ascii="宋体"/>
                <w:sz w:val="24"/>
              </w:rPr>
            </w:pPr>
            <w:r>
              <w:rPr>
                <w:rFonts w:hint="eastAsia" w:ascii="宋体" w:hAnsi="宋体"/>
                <w:sz w:val="24"/>
              </w:rPr>
              <w:t>代理费</w:t>
            </w:r>
          </w:p>
        </w:tc>
        <w:tc>
          <w:tcPr>
            <w:tcW w:w="8625" w:type="dxa"/>
            <w:vAlign w:val="center"/>
          </w:tcPr>
          <w:p>
            <w:pPr>
              <w:jc w:val="left"/>
              <w:rPr>
                <w:rFonts w:ascii="宋体"/>
                <w:sz w:val="24"/>
              </w:rPr>
            </w:pPr>
            <w:r>
              <w:rPr>
                <w:rFonts w:hint="eastAsia" w:ascii="宋体" w:hAnsi="宋体"/>
                <w:sz w:val="24"/>
              </w:rPr>
              <w:t>收费对象：</w:t>
            </w:r>
          </w:p>
          <w:p>
            <w:pPr>
              <w:jc w:val="left"/>
              <w:rPr>
                <w:rFonts w:ascii="宋体"/>
                <w:sz w:val="24"/>
              </w:rPr>
            </w:pPr>
            <w:r>
              <w:rPr>
                <w:rFonts w:hint="eastAsia" w:ascii="宋体"/>
                <w:sz w:val="24"/>
              </w:rPr>
              <w:t>□</w:t>
            </w:r>
            <w:r>
              <w:rPr>
                <w:rFonts w:hint="eastAsia" w:ascii="宋体" w:hAnsi="宋体"/>
                <w:sz w:val="24"/>
              </w:rPr>
              <w:t>采购人</w:t>
            </w:r>
          </w:p>
          <w:p>
            <w:pPr>
              <w:jc w:val="left"/>
              <w:rPr>
                <w:rFonts w:ascii="宋体"/>
                <w:sz w:val="24"/>
              </w:rPr>
            </w:pPr>
            <w:r>
              <w:rPr>
                <w:rFonts w:hint="eastAsia" w:ascii="宋体"/>
                <w:b/>
                <w:sz w:val="24"/>
              </w:rPr>
              <w:t>■</w:t>
            </w:r>
            <w:r>
              <w:rPr>
                <w:rFonts w:hint="eastAsia" w:ascii="宋体" w:hAnsi="宋体"/>
                <w:sz w:val="24"/>
              </w:rPr>
              <w:t>中标人</w:t>
            </w:r>
          </w:p>
          <w:p>
            <w:pPr>
              <w:jc w:val="left"/>
              <w:rPr>
                <w:rFonts w:ascii="宋体"/>
                <w:sz w:val="24"/>
              </w:rPr>
            </w:pPr>
            <w:r>
              <w:rPr>
                <w:rFonts w:hint="eastAsia" w:ascii="宋体" w:hAnsi="宋体"/>
                <w:sz w:val="24"/>
              </w:rPr>
              <w:t>收费标准：</w:t>
            </w:r>
          </w:p>
          <w:p>
            <w:pPr>
              <w:jc w:val="left"/>
              <w:rPr>
                <w:rFonts w:ascii="宋体"/>
                <w:sz w:val="24"/>
              </w:rPr>
            </w:pPr>
            <w:r>
              <w:rPr>
                <w:rFonts w:hint="eastAsia" w:ascii="宋体" w:hAnsi="宋体"/>
                <w:sz w:val="24"/>
              </w:rPr>
              <w:t>（</w:t>
            </w:r>
            <w:r>
              <w:rPr>
                <w:rFonts w:ascii="宋体" w:hAnsi="宋体"/>
                <w:sz w:val="24"/>
              </w:rPr>
              <w:t>1</w:t>
            </w:r>
            <w:r>
              <w:rPr>
                <w:rFonts w:hint="eastAsia" w:ascii="宋体" w:hAnsi="宋体"/>
                <w:sz w:val="24"/>
              </w:rPr>
              <w:t>）以中标金额作为收费的计算基数。</w:t>
            </w:r>
          </w:p>
          <w:p>
            <w:pPr>
              <w:jc w:val="left"/>
              <w:rPr>
                <w:rFonts w:ascii="宋体"/>
                <w:sz w:val="24"/>
              </w:rPr>
            </w:pPr>
            <w:r>
              <w:rPr>
                <w:rFonts w:hint="eastAsia" w:ascii="宋体" w:hAnsi="宋体"/>
                <w:sz w:val="24"/>
              </w:rPr>
              <w:t>（</w:t>
            </w:r>
            <w:r>
              <w:rPr>
                <w:rFonts w:ascii="宋体" w:hAnsi="宋体"/>
                <w:sz w:val="24"/>
              </w:rPr>
              <w:t>2</w:t>
            </w:r>
            <w:r>
              <w:rPr>
                <w:rFonts w:hint="eastAsia" w:ascii="宋体" w:hAnsi="宋体"/>
                <w:sz w:val="24"/>
              </w:rPr>
              <w:t>）采购代理机构参照原计价格</w:t>
            </w:r>
            <w:r>
              <w:rPr>
                <w:rFonts w:ascii="宋体" w:hAnsi="宋体"/>
                <w:sz w:val="24"/>
              </w:rPr>
              <w:t>[2002]1980</w:t>
            </w:r>
            <w:r>
              <w:rPr>
                <w:rFonts w:hint="eastAsia" w:ascii="宋体" w:hAnsi="宋体"/>
                <w:sz w:val="24"/>
              </w:rPr>
              <w:t>号文、发改办价格</w:t>
            </w:r>
            <w:r>
              <w:rPr>
                <w:rFonts w:ascii="宋体" w:hAnsi="宋体"/>
                <w:sz w:val="24"/>
              </w:rPr>
              <w:t>[2003]857</w:t>
            </w:r>
            <w:r>
              <w:rPr>
                <w:rFonts w:hint="eastAsia" w:ascii="宋体" w:hAnsi="宋体"/>
                <w:sz w:val="24"/>
              </w:rPr>
              <w:t>号文及发改价格</w:t>
            </w:r>
            <w:r>
              <w:rPr>
                <w:rFonts w:ascii="宋体" w:hAnsi="宋体"/>
                <w:sz w:val="24"/>
              </w:rPr>
              <w:t>[2011]534</w:t>
            </w:r>
            <w:r>
              <w:rPr>
                <w:rFonts w:hint="eastAsia" w:ascii="宋体" w:hAnsi="宋体"/>
                <w:sz w:val="24"/>
              </w:rPr>
              <w:t>号文有关规定向中标人收取服务费用。</w:t>
            </w:r>
          </w:p>
          <w:p>
            <w:pPr>
              <w:jc w:val="left"/>
              <w:rPr>
                <w:rFonts w:ascii="宋体"/>
                <w:sz w:val="24"/>
              </w:rPr>
            </w:pPr>
            <w:r>
              <w:rPr>
                <w:rFonts w:hint="eastAsia" w:ascii="宋体" w:hAnsi="宋体"/>
                <w:sz w:val="24"/>
              </w:rPr>
              <w:t>（</w:t>
            </w:r>
            <w:r>
              <w:rPr>
                <w:rFonts w:ascii="宋体" w:hAnsi="宋体"/>
                <w:sz w:val="24"/>
              </w:rPr>
              <w:t>3</w:t>
            </w:r>
            <w:r>
              <w:rPr>
                <w:rFonts w:hint="eastAsia" w:ascii="宋体" w:hAnsi="宋体"/>
                <w:sz w:val="24"/>
              </w:rPr>
              <w:t>）中标服务费币种与中标签订合同的币种相同或采购代理机构同意的币种。</w:t>
            </w:r>
          </w:p>
          <w:p>
            <w:pPr>
              <w:jc w:val="left"/>
              <w:rPr>
                <w:rFonts w:ascii="宋体"/>
                <w:sz w:val="24"/>
              </w:rPr>
            </w:pPr>
            <w:r>
              <w:rPr>
                <w:rFonts w:hint="eastAsia" w:ascii="宋体" w:hAnsi="宋体"/>
                <w:sz w:val="24"/>
              </w:rPr>
              <w:t>缴纳时间：中标人在领取中标通知书时一次性向采购代理机构交纳所有服务费。</w:t>
            </w:r>
          </w:p>
          <w:p>
            <w:pPr>
              <w:rPr>
                <w:rFonts w:ascii="宋体"/>
                <w:b/>
                <w:sz w:val="24"/>
              </w:rPr>
            </w:pPr>
            <w:r>
              <w:rPr>
                <w:rFonts w:hint="eastAsia" w:ascii="宋体" w:hAnsi="宋体"/>
                <w:b/>
                <w:sz w:val="24"/>
              </w:rPr>
              <w:t>服务费汇款账户：</w:t>
            </w:r>
            <w:r>
              <w:rPr>
                <w:rFonts w:ascii="宋体"/>
                <w:b/>
                <w:sz w:val="24"/>
              </w:rPr>
              <w:t xml:space="preserve"> </w:t>
            </w:r>
          </w:p>
          <w:p>
            <w:pPr>
              <w:rPr>
                <w:rFonts w:ascii="宋体" w:hAnsi="宋体"/>
                <w:b/>
                <w:sz w:val="24"/>
              </w:rPr>
            </w:pPr>
            <w:r>
              <w:rPr>
                <w:rFonts w:ascii="宋体" w:hAnsi="宋体"/>
                <w:b/>
                <w:sz w:val="24"/>
                <w:lang w:val="zh-TW"/>
              </w:rPr>
              <w:t>开户名称：北京天极招投标咨询有限公司</w:t>
            </w:r>
          </w:p>
          <w:p>
            <w:pPr>
              <w:rPr>
                <w:rFonts w:ascii="宋体" w:hAnsi="宋体"/>
                <w:b/>
                <w:sz w:val="24"/>
              </w:rPr>
            </w:pPr>
            <w:r>
              <w:rPr>
                <w:rFonts w:ascii="宋体" w:hAnsi="宋体"/>
                <w:b/>
                <w:sz w:val="24"/>
                <w:lang w:val="zh-TW"/>
              </w:rPr>
              <w:t>开 户 行：中国建设银行北京东大街支行</w:t>
            </w:r>
          </w:p>
          <w:p>
            <w:pPr>
              <w:rPr>
                <w:rFonts w:ascii="宋体"/>
                <w:sz w:val="24"/>
              </w:rPr>
            </w:pPr>
            <w:r>
              <w:rPr>
                <w:rFonts w:ascii="宋体" w:hAnsi="宋体"/>
                <w:b/>
                <w:sz w:val="24"/>
                <w:lang w:val="zh-TW"/>
              </w:rPr>
              <w:t>账    号：</w:t>
            </w:r>
            <w:r>
              <w:rPr>
                <w:rFonts w:ascii="宋体" w:hAnsi="宋体"/>
                <w:b/>
                <w:sz w:val="24"/>
              </w:rPr>
              <w:t>1100 1069 6000 5304 2311</w:t>
            </w:r>
            <w:r>
              <w:rPr>
                <w:rFonts w:ascii="宋体" w:hAnsi="宋体"/>
                <w:b/>
                <w:sz w:val="24"/>
                <w:lang w:val="zh-TW"/>
              </w:rPr>
              <w:t>。</w:t>
            </w:r>
          </w:p>
        </w:tc>
      </w:tr>
    </w:tbl>
    <w:p>
      <w:pPr>
        <w:tabs>
          <w:tab w:val="left" w:pos="5580"/>
        </w:tabs>
        <w:adjustRightInd w:val="0"/>
        <w:spacing w:line="360" w:lineRule="auto"/>
        <w:jc w:val="distribute"/>
        <w:rPr>
          <w:rFonts w:ascii="宋体"/>
          <w:sz w:val="24"/>
        </w:rPr>
        <w:sectPr>
          <w:footerReference r:id="rId5" w:type="first"/>
          <w:footerReference r:id="rId4" w:type="default"/>
          <w:pgSz w:w="11907" w:h="16840"/>
          <w:pgMar w:top="1418" w:right="1134" w:bottom="1418" w:left="993" w:header="851" w:footer="851" w:gutter="0"/>
          <w:pgNumType w:start="1"/>
          <w:cols w:space="720" w:num="1"/>
          <w:titlePg/>
          <w:docGrid w:linePitch="462" w:charSpace="0"/>
        </w:sectPr>
      </w:pPr>
    </w:p>
    <w:p>
      <w:pPr>
        <w:spacing w:before="240" w:beforeLines="100" w:after="240" w:afterLines="100"/>
        <w:jc w:val="center"/>
        <w:rPr>
          <w:rFonts w:ascii="宋体"/>
          <w:b/>
          <w:sz w:val="28"/>
          <w:szCs w:val="28"/>
        </w:rPr>
      </w:pPr>
      <w:bookmarkStart w:id="70" w:name="_Toc150774722"/>
      <w:bookmarkStart w:id="71" w:name="_Toc305158859"/>
      <w:bookmarkStart w:id="72" w:name="_Toc226965790"/>
      <w:bookmarkStart w:id="73" w:name="_Toc305158785"/>
      <w:bookmarkStart w:id="74" w:name="_Toc353873932"/>
      <w:bookmarkStart w:id="75" w:name="_Toc127151517"/>
      <w:bookmarkStart w:id="76" w:name="_Toc226337213"/>
      <w:bookmarkStart w:id="77" w:name="_Toc195842882"/>
      <w:bookmarkStart w:id="78" w:name="_Toc353873662"/>
      <w:bookmarkStart w:id="79" w:name="_Toc142311019"/>
      <w:bookmarkStart w:id="80" w:name="_Toc150480755"/>
      <w:bookmarkStart w:id="81" w:name="_Toc264969207"/>
      <w:bookmarkStart w:id="82" w:name="_Toc353825542"/>
      <w:bookmarkStart w:id="83" w:name="_Toc265228355"/>
      <w:r>
        <w:rPr>
          <w:rFonts w:hint="eastAsia" w:ascii="宋体" w:hAnsi="宋体"/>
          <w:b/>
          <w:sz w:val="28"/>
          <w:szCs w:val="28"/>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pPr>
        <w:pStyle w:val="3"/>
        <w:tabs>
          <w:tab w:val="center" w:pos="4592"/>
          <w:tab w:val="left" w:pos="7860"/>
        </w:tabs>
        <w:spacing w:before="0" w:line="360" w:lineRule="auto"/>
        <w:rPr>
          <w:rFonts w:ascii="宋体" w:hAnsi="宋体" w:eastAsia="宋体"/>
          <w:sz w:val="28"/>
        </w:rPr>
      </w:pPr>
      <w:bookmarkStart w:id="84" w:name="_Toc150509269"/>
      <w:bookmarkStart w:id="85" w:name="_Toc195842883"/>
      <w:bookmarkStart w:id="86" w:name="_Toc226309762"/>
      <w:bookmarkStart w:id="87" w:name="_Toc151193616"/>
      <w:bookmarkStart w:id="88" w:name="_Toc305158786"/>
      <w:bookmarkStart w:id="89" w:name="_Toc265228356"/>
      <w:bookmarkStart w:id="90" w:name="_Toc151193832"/>
      <w:bookmarkStart w:id="91" w:name="_Toc151190145"/>
      <w:bookmarkStart w:id="92" w:name="_Toc226965791"/>
      <w:bookmarkStart w:id="93" w:name="_Toc127151518"/>
      <w:bookmarkStart w:id="94" w:name="_Toc226965708"/>
      <w:bookmarkStart w:id="95" w:name="_Toc226337214"/>
      <w:bookmarkStart w:id="96" w:name="_Toc150774618"/>
      <w:bookmarkStart w:id="97" w:name="_Toc305158860"/>
      <w:bookmarkStart w:id="98" w:name="_Toc150774723"/>
      <w:bookmarkStart w:id="99" w:name="_Toc151193760"/>
      <w:bookmarkStart w:id="100" w:name="_Toc142311020"/>
      <w:bookmarkStart w:id="101" w:name="_Toc151193906"/>
      <w:bookmarkStart w:id="102" w:name="_Toc520356143"/>
      <w:bookmarkStart w:id="103" w:name="_Toc150480756"/>
      <w:bookmarkStart w:id="104" w:name="_Toc151193688"/>
      <w:bookmarkStart w:id="105" w:name="_Toc264969208"/>
      <w:r>
        <w:rPr>
          <w:rFonts w:hint="eastAsia" w:ascii="宋体" w:hAnsi="宋体" w:eastAsia="宋体"/>
          <w:sz w:val="28"/>
        </w:rPr>
        <w:t>一</w:t>
      </w:r>
      <w:r>
        <w:rPr>
          <w:rFonts w:ascii="宋体" w:hAnsi="宋体" w:eastAsia="宋体"/>
          <w:sz w:val="28"/>
        </w:rPr>
        <w:t xml:space="preserve">  </w:t>
      </w:r>
      <w:r>
        <w:rPr>
          <w:rFonts w:hint="eastAsia" w:ascii="宋体" w:hAnsi="宋体" w:eastAsia="宋体"/>
          <w:sz w:val="28"/>
        </w:rPr>
        <w:t>说</w:t>
      </w:r>
      <w:r>
        <w:rPr>
          <w:rFonts w:ascii="宋体" w:hAnsi="宋体" w:eastAsia="宋体"/>
          <w:sz w:val="28"/>
        </w:rPr>
        <w:t xml:space="preserve"> </w:t>
      </w:r>
      <w:r>
        <w:rPr>
          <w:rFonts w:hint="eastAsia" w:ascii="宋体" w:hAnsi="宋体" w:eastAsia="宋体"/>
          <w:sz w:val="28"/>
        </w:rPr>
        <w:t>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numPr>
          <w:ilvl w:val="0"/>
          <w:numId w:val="10"/>
        </w:numPr>
        <w:tabs>
          <w:tab w:val="left" w:pos="360"/>
          <w:tab w:val="clear" w:pos="900"/>
        </w:tabs>
        <w:snapToGrid w:val="0"/>
        <w:spacing w:line="360" w:lineRule="auto"/>
        <w:ind w:left="357" w:hanging="357"/>
        <w:outlineLvl w:val="1"/>
        <w:rPr>
          <w:rFonts w:ascii="宋体"/>
          <w:sz w:val="24"/>
        </w:rPr>
      </w:pPr>
      <w:bookmarkStart w:id="106" w:name="_Toc305158861"/>
      <w:bookmarkStart w:id="107" w:name="_Toc264969209"/>
      <w:bookmarkStart w:id="108" w:name="_Toc305158787"/>
      <w:bookmarkStart w:id="109" w:name="_Toc265228357"/>
      <w:r>
        <w:rPr>
          <w:rFonts w:hint="eastAsia" w:ascii="宋体" w:hAnsi="宋体"/>
          <w:sz w:val="24"/>
        </w:rPr>
        <w:t>采购人、采购代理机构、投标人</w:t>
      </w:r>
      <w:bookmarkEnd w:id="106"/>
      <w:bookmarkEnd w:id="107"/>
      <w:bookmarkEnd w:id="108"/>
      <w:bookmarkEnd w:id="109"/>
      <w:r>
        <w:rPr>
          <w:rFonts w:hint="eastAsia" w:ascii="宋体" w:hAnsi="宋体"/>
          <w:sz w:val="24"/>
        </w:rPr>
        <w:t>、联合体</w:t>
      </w:r>
    </w:p>
    <w:p>
      <w:pPr>
        <w:numPr>
          <w:ilvl w:val="1"/>
          <w:numId w:val="10"/>
        </w:numPr>
        <w:tabs>
          <w:tab w:val="left" w:pos="1080"/>
          <w:tab w:val="left" w:pos="2014"/>
          <w:tab w:val="left" w:pos="5521"/>
        </w:tabs>
        <w:snapToGrid w:val="0"/>
        <w:spacing w:line="360" w:lineRule="auto"/>
        <w:ind w:left="1080" w:hanging="720"/>
        <w:rPr>
          <w:rFonts w:ascii="宋体"/>
          <w:sz w:val="24"/>
        </w:rPr>
      </w:pPr>
      <w:r>
        <w:rPr>
          <w:rFonts w:hint="eastAsia" w:ascii="宋体" w:hAnsi="宋体"/>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rFonts w:ascii="宋体"/>
          <w:sz w:val="24"/>
        </w:rPr>
      </w:pPr>
      <w:r>
        <w:rPr>
          <w:rFonts w:hint="eastAsia" w:ascii="宋体" w:hAnsi="宋体"/>
          <w:sz w:val="24"/>
        </w:rPr>
        <w:t>投标人（也称“供应商”、“申请人”）：指向采购人提供货物、工程或者服务的法人、其他组织或者自然人。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rFonts w:ascii="宋体"/>
          <w:sz w:val="24"/>
        </w:rPr>
      </w:pPr>
      <w:r>
        <w:rPr>
          <w:rFonts w:hint="eastAsia" w:ascii="宋体" w:hAnsi="宋体"/>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ascii="宋体"/>
          <w:sz w:val="24"/>
        </w:rPr>
      </w:pPr>
      <w:bookmarkStart w:id="110" w:name="_Toc226309764"/>
      <w:bookmarkStart w:id="111" w:name="_Toc305158862"/>
      <w:bookmarkStart w:id="112" w:name="_Toc164608634"/>
      <w:bookmarkStart w:id="113" w:name="_Toc151193618"/>
      <w:bookmarkStart w:id="114" w:name="_Toc151193908"/>
      <w:bookmarkStart w:id="115" w:name="_Toc226965710"/>
      <w:bookmarkStart w:id="116" w:name="_Toc164351614"/>
      <w:bookmarkStart w:id="117" w:name="_Toc164608789"/>
      <w:bookmarkStart w:id="118" w:name="_Toc151193690"/>
      <w:bookmarkStart w:id="119" w:name="_Toc195842885"/>
      <w:bookmarkStart w:id="120" w:name="_Toc127151520"/>
      <w:bookmarkStart w:id="121" w:name="_Toc164229361"/>
      <w:bookmarkStart w:id="122" w:name="_Toc149720813"/>
      <w:bookmarkStart w:id="123" w:name="_Toc151190147"/>
      <w:bookmarkStart w:id="124" w:name="_Toc150774620"/>
      <w:bookmarkStart w:id="125" w:name="_Toc265228358"/>
      <w:bookmarkStart w:id="126" w:name="_Toc226965793"/>
      <w:bookmarkStart w:id="127" w:name="_Toc150480758"/>
      <w:bookmarkStart w:id="128" w:name="_Toc127151721"/>
      <w:bookmarkStart w:id="129" w:name="_Toc151193762"/>
      <w:bookmarkStart w:id="130" w:name="_Toc226337216"/>
      <w:bookmarkStart w:id="131" w:name="_Toc150774725"/>
      <w:bookmarkStart w:id="132" w:name="_Toc305158788"/>
      <w:bookmarkStart w:id="133" w:name="_Toc150509271"/>
      <w:bookmarkStart w:id="134" w:name="_Toc264969210"/>
      <w:bookmarkStart w:id="135" w:name="_Toc142311022"/>
      <w:bookmarkStart w:id="136" w:name="_Toc151193834"/>
      <w:bookmarkStart w:id="137" w:name="_Toc164229215"/>
      <w:bookmarkStart w:id="138" w:name="_Toc127161434"/>
      <w:r>
        <w:rPr>
          <w:rFonts w:hint="eastAsia" w:ascii="宋体" w:hAnsi="宋体"/>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sz w:val="24"/>
        </w:rPr>
        <w:t>、项目属性、科研仪器设备采购、核心产品</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资金来源为财政性资金和</w:t>
      </w:r>
      <w:r>
        <w:rPr>
          <w:rFonts w:ascii="宋体" w:hAnsi="宋体"/>
          <w:sz w:val="24"/>
        </w:rPr>
        <w:t>/</w:t>
      </w:r>
      <w:r>
        <w:rPr>
          <w:rFonts w:hint="eastAsia" w:ascii="宋体" w:hAnsi="宋体"/>
          <w:sz w:val="24"/>
        </w:rPr>
        <w:t>或本项目采购中无法与财政性资金分割的非财政性资金。</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项目属性见《投标人须知资料表》。</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rFonts w:ascii="宋体"/>
          <w:sz w:val="24"/>
        </w:rPr>
      </w:pPr>
      <w:r>
        <w:rPr>
          <w:rFonts w:hint="eastAsia" w:ascii="宋体" w:hAnsi="宋体"/>
          <w:sz w:val="24"/>
        </w:rPr>
        <w:t>核心产品见《投标人须知资料表》。</w:t>
      </w: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现场考察、开标前答疑会</w:t>
      </w:r>
    </w:p>
    <w:p>
      <w:pPr>
        <w:numPr>
          <w:ilvl w:val="1"/>
          <w:numId w:val="10"/>
        </w:numPr>
        <w:tabs>
          <w:tab w:val="left" w:pos="1080"/>
          <w:tab w:val="left" w:pos="2014"/>
        </w:tabs>
        <w:snapToGrid w:val="0"/>
        <w:spacing w:line="360" w:lineRule="auto"/>
        <w:ind w:left="1080" w:hanging="720"/>
        <w:rPr>
          <w:rFonts w:ascii="宋体"/>
          <w:sz w:val="28"/>
        </w:rPr>
      </w:pPr>
      <w:r>
        <w:rPr>
          <w:rFonts w:hint="eastAsia" w:ascii="宋体" w:hAnsi="宋体"/>
          <w:sz w:val="24"/>
        </w:rPr>
        <w:t>若《投标人须知资料表》中规定了组织现场考察、召开开标前答疑会，则投标人应按要求在规定的时间和地点参加。</w:t>
      </w:r>
      <w:bookmarkStart w:id="139" w:name="_Toc264969212"/>
      <w:bookmarkStart w:id="140" w:name="_Toc226965712"/>
      <w:bookmarkStart w:id="141" w:name="_Toc265228360"/>
      <w:bookmarkStart w:id="142" w:name="_Toc305158790"/>
      <w:bookmarkStart w:id="143" w:name="_Toc305158864"/>
      <w:bookmarkStart w:id="144" w:name="_Toc151193692"/>
      <w:bookmarkStart w:id="145" w:name="_Toc151190149"/>
      <w:bookmarkStart w:id="146" w:name="_Toc150774622"/>
      <w:bookmarkStart w:id="147" w:name="_Toc151193910"/>
      <w:bookmarkStart w:id="148" w:name="_Toc150480760"/>
      <w:bookmarkStart w:id="149" w:name="_Toc151193620"/>
      <w:bookmarkStart w:id="150" w:name="_Toc142311024"/>
      <w:bookmarkStart w:id="151" w:name="_Toc127151522"/>
      <w:bookmarkStart w:id="152" w:name="_Toc150774727"/>
      <w:bookmarkStart w:id="153" w:name="_Toc195842887"/>
      <w:bookmarkStart w:id="154" w:name="_Toc151193764"/>
      <w:bookmarkStart w:id="155" w:name="_Toc151193836"/>
      <w:bookmarkStart w:id="156" w:name="_Toc226309766"/>
      <w:bookmarkStart w:id="157" w:name="_Toc226965795"/>
      <w:bookmarkStart w:id="158" w:name="_Toc150509273"/>
      <w:bookmarkStart w:id="159" w:name="_Toc520356146"/>
      <w:bookmarkStart w:id="160" w:name="_Toc226337218"/>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样品</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样品的评审方法以及评审标准等内容见第四章《评标程序、评标方法和评标标准》。</w:t>
      </w:r>
    </w:p>
    <w:p>
      <w:pPr>
        <w:numPr>
          <w:ilvl w:val="0"/>
          <w:numId w:val="10"/>
        </w:numPr>
        <w:tabs>
          <w:tab w:val="left" w:pos="360"/>
          <w:tab w:val="clear" w:pos="900"/>
        </w:tabs>
        <w:snapToGrid w:val="0"/>
        <w:spacing w:line="360" w:lineRule="auto"/>
        <w:ind w:left="357" w:hanging="357"/>
        <w:outlineLvl w:val="1"/>
        <w:rPr>
          <w:rFonts w:ascii="宋体"/>
          <w:sz w:val="24"/>
        </w:rPr>
      </w:pPr>
      <w:r>
        <w:rPr>
          <w:rFonts w:hint="eastAsia" w:ascii="宋体" w:hAnsi="宋体"/>
          <w:sz w:val="24"/>
        </w:rPr>
        <w:t>政府采购政策（包括但不限于下列具体政策要求）</w:t>
      </w:r>
    </w:p>
    <w:p>
      <w:pPr>
        <w:numPr>
          <w:ilvl w:val="1"/>
          <w:numId w:val="10"/>
        </w:numPr>
        <w:tabs>
          <w:tab w:val="left" w:pos="1080"/>
          <w:tab w:val="left" w:pos="2014"/>
        </w:tabs>
        <w:snapToGrid w:val="0"/>
        <w:spacing w:line="360" w:lineRule="auto"/>
        <w:ind w:hanging="1042"/>
        <w:rPr>
          <w:rFonts w:ascii="宋体"/>
          <w:sz w:val="24"/>
        </w:rPr>
      </w:pPr>
      <w:r>
        <w:rPr>
          <w:rFonts w:hint="eastAsia" w:ascii="宋体"/>
          <w:sz w:val="24"/>
        </w:rPr>
        <w:t>采购本国货物、工程和服务</w:t>
      </w:r>
    </w:p>
    <w:p>
      <w:pPr>
        <w:numPr>
          <w:ilvl w:val="2"/>
          <w:numId w:val="10"/>
        </w:numPr>
        <w:tabs>
          <w:tab w:val="left" w:pos="2014"/>
        </w:tabs>
        <w:snapToGrid w:val="0"/>
        <w:spacing w:line="360" w:lineRule="auto"/>
        <w:rPr>
          <w:rFonts w:ascii="宋体"/>
          <w:sz w:val="24"/>
        </w:rPr>
      </w:pPr>
      <w:r>
        <w:rPr>
          <w:rFonts w:ascii="宋体" w:hAnsi="宋体"/>
          <w:sz w:val="24"/>
        </w:rPr>
        <w:t>政府采购应当采购本国货物、工程和服务。但有《中华人民共和国政府采购法》第十条规定情形的除外。</w:t>
      </w:r>
    </w:p>
    <w:p>
      <w:pPr>
        <w:numPr>
          <w:ilvl w:val="2"/>
          <w:numId w:val="10"/>
        </w:numPr>
        <w:tabs>
          <w:tab w:val="left" w:pos="2014"/>
        </w:tabs>
        <w:snapToGrid w:val="0"/>
        <w:spacing w:line="360" w:lineRule="auto"/>
        <w:rPr>
          <w:rFonts w:ascii="宋体"/>
          <w:sz w:val="24"/>
        </w:rPr>
      </w:pPr>
      <w:r>
        <w:rPr>
          <w:rFonts w:ascii="宋体"/>
          <w:sz w:val="24"/>
        </w:rPr>
        <w:t>本项目如接受非本国货物、工程、服务参与投标，则具体要求见第二章《投标人须知资料表》及第五章《采购需求》。</w:t>
      </w:r>
    </w:p>
    <w:p>
      <w:pPr>
        <w:numPr>
          <w:ilvl w:val="2"/>
          <w:numId w:val="10"/>
        </w:numPr>
        <w:tabs>
          <w:tab w:val="left" w:pos="2014"/>
        </w:tabs>
        <w:snapToGrid w:val="0"/>
        <w:spacing w:line="360" w:lineRule="auto"/>
        <w:rPr>
          <w:rFonts w:ascii="宋体"/>
          <w:sz w:val="24"/>
        </w:rPr>
      </w:pPr>
      <w:r>
        <w:rPr>
          <w:rFonts w:ascii="宋体"/>
          <w:sz w:val="24"/>
        </w:rPr>
        <w:t>进口产品指通过中国海关报关验放进入中国境内且产自关境外的产 品，包括已经进入中国境内的进口产品。关于进口产品的相关规定依 据《政府采购进口产品管理办法》（财库〔2007〕119 号文）、《关于政府采购进口产品管理有关问题的通知》（财办库〔2008〕248 号文）。</w:t>
      </w:r>
    </w:p>
    <w:p>
      <w:pPr>
        <w:numPr>
          <w:ilvl w:val="2"/>
          <w:numId w:val="10"/>
        </w:numPr>
        <w:tabs>
          <w:tab w:val="left" w:pos="2014"/>
        </w:tabs>
        <w:snapToGrid w:val="0"/>
        <w:spacing w:line="360" w:lineRule="auto"/>
        <w:rPr>
          <w:rFonts w:ascii="宋体"/>
          <w:sz w:val="24"/>
        </w:rPr>
      </w:pPr>
      <w:r>
        <w:rPr>
          <w:rFonts w:ascii="宋体"/>
          <w:sz w:val="24"/>
        </w:rPr>
        <w:t>本项目如接受非本国货物、工程、服务参与投标，则具体要求见第二章《投标人须知资料表》。</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中小企业、监狱企业及残疾人福利性单位</w:t>
      </w:r>
    </w:p>
    <w:p>
      <w:pPr>
        <w:numPr>
          <w:ilvl w:val="2"/>
          <w:numId w:val="10"/>
        </w:numPr>
        <w:snapToGrid w:val="0"/>
        <w:spacing w:line="360" w:lineRule="auto"/>
        <w:rPr>
          <w:rFonts w:ascii="宋体"/>
          <w:sz w:val="24"/>
        </w:rPr>
      </w:pPr>
      <w:r>
        <w:rPr>
          <w:rFonts w:hint="eastAsia" w:ascii="宋体" w:hAnsi="宋体"/>
          <w:sz w:val="24"/>
        </w:rPr>
        <w:t>中小企业定义：</w:t>
      </w:r>
    </w:p>
    <w:p>
      <w:pPr>
        <w:pStyle w:val="62"/>
        <w:numPr>
          <w:ilvl w:val="0"/>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0"/>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0"/>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0"/>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0"/>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1"/>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1"/>
          <w:numId w:val="11"/>
        </w:numPr>
        <w:tabs>
          <w:tab w:val="left" w:pos="1980"/>
          <w:tab w:val="left" w:pos="2035"/>
          <w:tab w:val="left" w:pos="2977"/>
        </w:tabs>
        <w:snapToGrid w:val="0"/>
        <w:spacing w:line="360" w:lineRule="auto"/>
        <w:ind w:firstLineChars="0"/>
        <w:rPr>
          <w:rFonts w:ascii="宋体"/>
          <w:vanish/>
          <w:sz w:val="24"/>
          <w:szCs w:val="24"/>
        </w:rPr>
      </w:pPr>
    </w:p>
    <w:p>
      <w:pPr>
        <w:pStyle w:val="62"/>
        <w:numPr>
          <w:ilvl w:val="2"/>
          <w:numId w:val="11"/>
        </w:numPr>
        <w:tabs>
          <w:tab w:val="left" w:pos="2035"/>
          <w:tab w:val="left" w:pos="2977"/>
        </w:tabs>
        <w:snapToGrid w:val="0"/>
        <w:spacing w:line="360" w:lineRule="auto"/>
        <w:ind w:firstLineChars="0"/>
        <w:rPr>
          <w:rFonts w:ascii="宋体"/>
          <w:vanish/>
          <w:sz w:val="24"/>
          <w:szCs w:val="24"/>
        </w:rPr>
      </w:pPr>
    </w:p>
    <w:p>
      <w:pPr>
        <w:numPr>
          <w:ilvl w:val="3"/>
          <w:numId w:val="11"/>
        </w:numPr>
        <w:tabs>
          <w:tab w:val="left" w:pos="1980"/>
          <w:tab w:val="left" w:pos="2035"/>
          <w:tab w:val="left" w:pos="2835"/>
          <w:tab w:val="left" w:pos="2977"/>
          <w:tab w:val="clear" w:pos="900"/>
        </w:tabs>
        <w:snapToGrid w:val="0"/>
        <w:spacing w:line="360" w:lineRule="auto"/>
        <w:ind w:left="2835" w:hanging="850"/>
        <w:rPr>
          <w:rFonts w:ascii="宋体"/>
          <w:sz w:val="24"/>
        </w:rPr>
      </w:pPr>
      <w:r>
        <w:rPr>
          <w:rFonts w:hint="eastAsia"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w:t>
      </w:r>
      <w:r>
        <w:rPr>
          <w:rFonts w:ascii="宋体" w:hAnsi="宋体"/>
          <w:sz w:val="24"/>
        </w:rPr>
        <w:t>2020</w:t>
      </w:r>
      <w:r>
        <w:rPr>
          <w:rFonts w:hint="eastAsia" w:ascii="宋体" w:hAnsi="宋体"/>
          <w:sz w:val="24"/>
        </w:rPr>
        <w:t>〕</w:t>
      </w:r>
      <w:r>
        <w:rPr>
          <w:rFonts w:ascii="宋体" w:hAnsi="宋体"/>
          <w:sz w:val="24"/>
        </w:rPr>
        <w:t>46</w:t>
      </w:r>
      <w:r>
        <w:rPr>
          <w:rFonts w:hint="eastAsia" w:ascii="宋体" w:hAnsi="宋体"/>
          <w:sz w:val="24"/>
        </w:rPr>
        <w:t>号）、《关于印发中小企业划型标准规定的通知》（工信部联企业〔</w:t>
      </w:r>
      <w:r>
        <w:rPr>
          <w:rFonts w:ascii="宋体" w:hAnsi="宋体"/>
          <w:sz w:val="24"/>
        </w:rPr>
        <w:t>2011</w:t>
      </w:r>
      <w:r>
        <w:rPr>
          <w:rFonts w:hint="eastAsia" w:ascii="宋体" w:hAnsi="宋体"/>
          <w:sz w:val="24"/>
        </w:rPr>
        <w:t>〕</w:t>
      </w:r>
      <w:r>
        <w:rPr>
          <w:rFonts w:ascii="宋体" w:hAnsi="宋体"/>
          <w:sz w:val="24"/>
        </w:rPr>
        <w:t xml:space="preserve">300 </w:t>
      </w:r>
      <w:r>
        <w:rPr>
          <w:rFonts w:hint="eastAsia" w:ascii="宋体" w:hAnsi="宋体"/>
          <w:sz w:val="24"/>
        </w:rPr>
        <w:t>号）。</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供应商提供的货物、工程或者服务符合下列情形的，享受中小企业扶持政策：</w:t>
      </w:r>
    </w:p>
    <w:p>
      <w:pPr>
        <w:tabs>
          <w:tab w:val="left" w:pos="1980"/>
        </w:tabs>
        <w:snapToGrid w:val="0"/>
        <w:spacing w:line="360" w:lineRule="auto"/>
        <w:ind w:left="2835" w:leftChars="1350"/>
        <w:rPr>
          <w:rFonts w:ascii="宋体"/>
          <w:sz w:val="24"/>
        </w:rPr>
      </w:pPr>
      <w:r>
        <w:rPr>
          <w:rFonts w:hint="eastAsia" w:ascii="宋体" w:hAnsi="宋体"/>
          <w:sz w:val="24"/>
        </w:rPr>
        <w:t>（</w:t>
      </w:r>
      <w:r>
        <w:rPr>
          <w:rFonts w:ascii="宋体" w:hAnsi="宋体"/>
          <w:sz w:val="24"/>
        </w:rPr>
        <w:t>1</w:t>
      </w:r>
      <w:r>
        <w:rPr>
          <w:rFonts w:hint="eastAsia" w:ascii="宋体" w:hAnsi="宋体"/>
          <w:sz w:val="24"/>
        </w:rPr>
        <w:t>）在货物采购项目中，货物由中小企业制造，即货物由中小企业生产且使用该中小企业商号或者注册商标；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sz w:val="24"/>
        </w:rPr>
      </w:pPr>
      <w:r>
        <w:rPr>
          <w:rFonts w:hint="eastAsia" w:ascii="宋体" w:hAnsi="宋体"/>
          <w:sz w:val="24"/>
        </w:rPr>
        <w:t>（</w:t>
      </w:r>
      <w:r>
        <w:rPr>
          <w:rFonts w:ascii="宋体" w:hAnsi="宋体"/>
          <w:sz w:val="24"/>
        </w:rPr>
        <w:t>2</w:t>
      </w:r>
      <w:r>
        <w:rPr>
          <w:rFonts w:hint="eastAsia" w:ascii="宋体" w:hAnsi="宋体"/>
          <w:sz w:val="24"/>
        </w:rPr>
        <w:t>）在工程采购项目中，工程由中小企业承建，即工程施工单位为中小企业；</w:t>
      </w:r>
    </w:p>
    <w:p>
      <w:pPr>
        <w:tabs>
          <w:tab w:val="left" w:pos="1980"/>
        </w:tabs>
        <w:snapToGrid w:val="0"/>
        <w:spacing w:line="360" w:lineRule="auto"/>
        <w:ind w:left="2835" w:leftChars="1350"/>
        <w:rPr>
          <w:rFonts w:ascii="宋体"/>
          <w:sz w:val="24"/>
        </w:rPr>
      </w:pPr>
      <w:r>
        <w:rPr>
          <w:rFonts w:hint="eastAsia" w:ascii="宋体" w:hAnsi="宋体"/>
          <w:sz w:val="24"/>
        </w:rPr>
        <w:t>（</w:t>
      </w:r>
      <w:r>
        <w:rPr>
          <w:rFonts w:ascii="宋体" w:hAnsi="宋体"/>
          <w:sz w:val="24"/>
        </w:rPr>
        <w:t>3</w:t>
      </w:r>
      <w:r>
        <w:rPr>
          <w:rFonts w:hint="eastAsia" w:ascii="宋体" w:hAnsi="宋体"/>
          <w:sz w:val="24"/>
        </w:rPr>
        <w:t>）在服务采购项目中，服务由中小企业承接，即提供服务的人员为中小企业依照《中华人民共和国劳动合同法》订立劳动合同的从业人员。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pPr>
        <w:widowControl/>
        <w:jc w:val="left"/>
        <w:rPr>
          <w:rFonts w:ascii="宋体" w:hAnsi="宋体"/>
          <w:sz w:val="24"/>
        </w:rPr>
      </w:pPr>
      <w:r>
        <w:rPr>
          <w:rFonts w:ascii="宋体" w:hAnsi="宋体"/>
          <w:sz w:val="24"/>
        </w:rPr>
        <w:br w:type="page"/>
      </w:r>
    </w:p>
    <w:p>
      <w:pPr>
        <w:numPr>
          <w:ilvl w:val="2"/>
          <w:numId w:val="10"/>
        </w:numPr>
        <w:snapToGrid w:val="0"/>
        <w:spacing w:line="360" w:lineRule="auto"/>
        <w:rPr>
          <w:rFonts w:ascii="宋体"/>
          <w:sz w:val="24"/>
        </w:rPr>
      </w:pPr>
      <w:r>
        <w:rPr>
          <w:rFonts w:ascii="宋体" w:hAnsi="宋体"/>
          <w:sz w:val="24"/>
        </w:rPr>
        <w:t>在政府采购活动中，监狱企业视同小型、微型企业，享受预留份额、 评审中价格扣除等政府采购促进中小企业发展的政府采购政策。</w:t>
      </w:r>
      <w:r>
        <w:rPr>
          <w:rFonts w:hint="eastAsia"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rFonts w:ascii="宋体"/>
          <w:sz w:val="24"/>
        </w:rPr>
      </w:pPr>
      <w:r>
        <w:rPr>
          <w:rFonts w:ascii="宋体" w:hAnsi="宋体"/>
          <w:sz w:val="24"/>
        </w:rPr>
        <w:t>在政府采购活动中，残疾人福利性单位视同小型、微型企业，享受预留份额、评审中价格扣除等促进中小企业发展的政府采购政策。</w:t>
      </w:r>
      <w:r>
        <w:rPr>
          <w:rFonts w:hint="eastAsia" w:ascii="宋体" w:hAnsi="宋体"/>
          <w:sz w:val="24"/>
        </w:rPr>
        <w:t>残疾人福利性单位定义：享受政府采购支持政策的残疾人福利性单位应当同时满足以下条件：</w:t>
      </w:r>
    </w:p>
    <w:p>
      <w:pPr>
        <w:pStyle w:val="62"/>
        <w:numPr>
          <w:ilvl w:val="2"/>
          <w:numId w:val="11"/>
        </w:numPr>
        <w:tabs>
          <w:tab w:val="left" w:pos="2035"/>
          <w:tab w:val="left" w:pos="2977"/>
        </w:tabs>
        <w:snapToGrid w:val="0"/>
        <w:spacing w:line="360" w:lineRule="auto"/>
        <w:ind w:firstLineChars="0"/>
        <w:rPr>
          <w:rFonts w:ascii="宋体"/>
          <w:vanish/>
          <w:sz w:val="24"/>
          <w:szCs w:val="24"/>
        </w:rPr>
      </w:pPr>
    </w:p>
    <w:p>
      <w:pPr>
        <w:pStyle w:val="62"/>
        <w:numPr>
          <w:ilvl w:val="2"/>
          <w:numId w:val="11"/>
        </w:numPr>
        <w:tabs>
          <w:tab w:val="left" w:pos="2035"/>
          <w:tab w:val="left" w:pos="2977"/>
        </w:tabs>
        <w:snapToGrid w:val="0"/>
        <w:spacing w:line="360" w:lineRule="auto"/>
        <w:ind w:firstLineChars="0"/>
        <w:rPr>
          <w:rFonts w:ascii="宋体"/>
          <w:vanish/>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安置的残疾人占本单位在职职工人数的比例不低于</w:t>
      </w:r>
      <w:r>
        <w:rPr>
          <w:rFonts w:ascii="宋体" w:hAnsi="宋体"/>
          <w:sz w:val="24"/>
        </w:rPr>
        <w:t>25%</w:t>
      </w:r>
      <w:r>
        <w:rPr>
          <w:rFonts w:hint="eastAsia" w:ascii="宋体" w:hAnsi="宋体"/>
          <w:sz w:val="24"/>
        </w:rPr>
        <w:t>（含</w:t>
      </w:r>
      <w:r>
        <w:rPr>
          <w:rFonts w:ascii="宋体" w:hAnsi="宋体"/>
          <w:sz w:val="24"/>
        </w:rPr>
        <w:t>25%</w:t>
      </w:r>
      <w:r>
        <w:rPr>
          <w:rFonts w:hint="eastAsia" w:ascii="宋体" w:hAnsi="宋体"/>
          <w:sz w:val="24"/>
        </w:rPr>
        <w:t>），并且安置的残疾人人数不少于</w:t>
      </w:r>
      <w:r>
        <w:rPr>
          <w:rFonts w:ascii="宋体" w:hAnsi="宋体"/>
          <w:sz w:val="24"/>
        </w:rPr>
        <w:t xml:space="preserve">10 </w:t>
      </w:r>
      <w:r>
        <w:rPr>
          <w:rFonts w:hint="eastAsia" w:ascii="宋体" w:hAnsi="宋体"/>
          <w:sz w:val="24"/>
        </w:rPr>
        <w:t>人（含</w:t>
      </w:r>
      <w:r>
        <w:rPr>
          <w:rFonts w:ascii="宋体" w:hAnsi="宋体"/>
          <w:sz w:val="24"/>
        </w:rPr>
        <w:t xml:space="preserve">10 </w:t>
      </w:r>
      <w:r>
        <w:rPr>
          <w:rFonts w:hint="eastAsia" w:ascii="宋体" w:hAnsi="宋体"/>
          <w:sz w:val="24"/>
        </w:rPr>
        <w:t>人）；</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rFonts w:ascii="宋体"/>
          <w:sz w:val="24"/>
        </w:rPr>
      </w:pPr>
      <w:r>
        <w:rPr>
          <w:rFonts w:hint="eastAsia" w:ascii="宋体" w:hAnsi="宋体"/>
          <w:sz w:val="24"/>
        </w:rPr>
        <w:t>前款所称残疾人是指法定劳动年龄内，持有《中华人民共和国残疾人证》或者《中华人民共和国残疾军人证（</w:t>
      </w:r>
      <w:r>
        <w:rPr>
          <w:rFonts w:ascii="宋体" w:hAnsi="宋体"/>
          <w:sz w:val="24"/>
        </w:rPr>
        <w:t xml:space="preserve">1 </w:t>
      </w:r>
      <w:r>
        <w:rPr>
          <w:rFonts w:hint="eastAsia" w:ascii="宋体" w:hAnsi="宋体"/>
          <w:sz w:val="24"/>
        </w:rPr>
        <w:t>至</w:t>
      </w:r>
      <w:r>
        <w:rPr>
          <w:rFonts w:ascii="宋体" w:hAnsi="宋体"/>
          <w:sz w:val="24"/>
        </w:rPr>
        <w:t xml:space="preserve">8 </w:t>
      </w:r>
      <w:r>
        <w:rPr>
          <w:rFonts w:hint="eastAsia" w:ascii="宋体" w:hAnsi="宋体"/>
          <w:sz w:val="24"/>
        </w:rPr>
        <w:t>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rFonts w:ascii="宋体"/>
          <w:sz w:val="24"/>
        </w:rPr>
      </w:pPr>
      <w:r>
        <w:rPr>
          <w:rFonts w:hint="eastAsia" w:ascii="宋体" w:hAnsi="宋体"/>
          <w:sz w:val="24"/>
        </w:rPr>
        <w:t>本项目是否专门面向中小企业预留采购份额见第一章《投标邀请》。</w:t>
      </w:r>
    </w:p>
    <w:p>
      <w:pPr>
        <w:numPr>
          <w:ilvl w:val="2"/>
          <w:numId w:val="10"/>
        </w:numPr>
        <w:snapToGrid w:val="0"/>
        <w:spacing w:line="360" w:lineRule="auto"/>
        <w:rPr>
          <w:rFonts w:ascii="宋体"/>
          <w:sz w:val="24"/>
        </w:rPr>
      </w:pPr>
      <w:r>
        <w:rPr>
          <w:rFonts w:hint="eastAsia" w:ascii="宋体" w:hAnsi="宋体"/>
          <w:sz w:val="24"/>
        </w:rPr>
        <w:t>采购标的对应的中小企业划分标准所属行业见《投标人须知资料表》。</w:t>
      </w:r>
    </w:p>
    <w:p>
      <w:pPr>
        <w:numPr>
          <w:ilvl w:val="2"/>
          <w:numId w:val="10"/>
        </w:numPr>
        <w:snapToGrid w:val="0"/>
        <w:spacing w:line="360" w:lineRule="auto"/>
        <w:rPr>
          <w:rFonts w:ascii="宋体"/>
          <w:sz w:val="24"/>
        </w:rPr>
      </w:pPr>
      <w:r>
        <w:rPr>
          <w:rFonts w:hint="eastAsia" w:ascii="宋体" w:hAnsi="宋体"/>
          <w:sz w:val="24"/>
        </w:rPr>
        <w:t>小微企业价格评审优惠的政策调整：见第四章《评标程序、评标方法和评标标准》。</w:t>
      </w:r>
    </w:p>
    <w:p>
      <w:pPr>
        <w:widowControl/>
        <w:jc w:val="left"/>
        <w:rPr>
          <w:rFonts w:ascii="宋体" w:hAnsi="宋体"/>
          <w:sz w:val="24"/>
        </w:rPr>
      </w:pPr>
      <w:r>
        <w:rPr>
          <w:rFonts w:ascii="宋体" w:hAnsi="宋体"/>
          <w:sz w:val="24"/>
        </w:rPr>
        <w:br w:type="page"/>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政府采购节能产品、环境标志产品</w:t>
      </w:r>
    </w:p>
    <w:p>
      <w:pPr>
        <w:numPr>
          <w:ilvl w:val="2"/>
          <w:numId w:val="10"/>
        </w:numPr>
        <w:snapToGrid w:val="0"/>
        <w:spacing w:line="360" w:lineRule="auto"/>
        <w:rPr>
          <w:rFonts w:ascii="宋体"/>
          <w:sz w:val="24"/>
        </w:rPr>
      </w:pPr>
      <w:r>
        <w:rPr>
          <w:rFonts w:hint="eastAsia"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rFonts w:ascii="宋体"/>
          <w:sz w:val="24"/>
        </w:rPr>
      </w:pPr>
      <w:r>
        <w:rPr>
          <w:rFonts w:hint="eastAsia"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2019</w:t>
      </w:r>
      <w:r>
        <w:rPr>
          <w:rFonts w:hint="eastAsia" w:ascii="宋体" w:hAnsi="宋体"/>
          <w:sz w:val="24"/>
        </w:rPr>
        <w:t>〕</w:t>
      </w:r>
      <w:r>
        <w:rPr>
          <w:rFonts w:ascii="宋体" w:hAnsi="宋体"/>
          <w:sz w:val="24"/>
        </w:rPr>
        <w:t>9</w:t>
      </w:r>
      <w:r>
        <w:rPr>
          <w:rFonts w:hint="eastAsia" w:ascii="宋体" w:hAnsi="宋体"/>
          <w:sz w:val="24"/>
        </w:rPr>
        <w:t>号）。</w:t>
      </w:r>
      <w:r>
        <w:rPr>
          <w:rFonts w:ascii="宋体" w:hAnsi="宋体"/>
          <w:sz w:val="24"/>
        </w:rPr>
        <w:t xml:space="preserve"> </w:t>
      </w:r>
    </w:p>
    <w:p>
      <w:pPr>
        <w:numPr>
          <w:ilvl w:val="2"/>
          <w:numId w:val="10"/>
        </w:numPr>
        <w:snapToGrid w:val="0"/>
        <w:spacing w:line="360" w:lineRule="auto"/>
        <w:rPr>
          <w:rFonts w:ascii="宋体"/>
          <w:sz w:val="24"/>
        </w:rPr>
      </w:pPr>
      <w:r>
        <w:rPr>
          <w:rFonts w:hint="eastAsia" w:ascii="宋体" w:hAnsi="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kern w:val="0"/>
          <w:sz w:val="24"/>
        </w:rPr>
        <w:t>否则</w:t>
      </w:r>
      <w:r>
        <w:rPr>
          <w:rFonts w:hint="eastAsia" w:ascii="宋体" w:hAnsi="宋体"/>
          <w:b/>
          <w:kern w:val="0"/>
          <w:sz w:val="24"/>
        </w:rPr>
        <w:t>投标无效</w:t>
      </w:r>
      <w:r>
        <w:rPr>
          <w:rFonts w:hint="eastAsia" w:ascii="宋体" w:hAnsi="宋体"/>
          <w:sz w:val="24"/>
        </w:rPr>
        <w:t>；</w:t>
      </w:r>
    </w:p>
    <w:p>
      <w:pPr>
        <w:numPr>
          <w:ilvl w:val="2"/>
          <w:numId w:val="10"/>
        </w:numPr>
        <w:snapToGrid w:val="0"/>
        <w:spacing w:line="360" w:lineRule="auto"/>
        <w:rPr>
          <w:rFonts w:ascii="宋体"/>
          <w:sz w:val="24"/>
        </w:rPr>
      </w:pPr>
      <w:r>
        <w:rPr>
          <w:rFonts w:hint="eastAsia" w:ascii="宋体" w:hAnsi="宋体"/>
          <w:sz w:val="24"/>
        </w:rPr>
        <w:t>非政府强制采购的节能产品或环境标志产品，依据品目清单和认证证书实施政府优先采购。优先采购的具体规定见第四章《评标程序、评标方法和评标标准》（如涉及）。</w:t>
      </w:r>
    </w:p>
    <w:p>
      <w:pPr>
        <w:numPr>
          <w:ilvl w:val="1"/>
          <w:numId w:val="10"/>
        </w:numPr>
        <w:tabs>
          <w:tab w:val="left" w:pos="1080"/>
          <w:tab w:val="left" w:pos="2014"/>
        </w:tabs>
        <w:snapToGrid w:val="0"/>
        <w:spacing w:line="360" w:lineRule="auto"/>
        <w:ind w:left="1080" w:hanging="720"/>
        <w:rPr>
          <w:rFonts w:ascii="宋体"/>
          <w:sz w:val="24"/>
        </w:rPr>
      </w:pPr>
      <w:r>
        <w:rPr>
          <w:rFonts w:ascii="宋体"/>
          <w:sz w:val="24"/>
        </w:rPr>
        <w:t>正版软件</w:t>
      </w:r>
    </w:p>
    <w:p>
      <w:pPr>
        <w:numPr>
          <w:ilvl w:val="2"/>
          <w:numId w:val="10"/>
        </w:numPr>
        <w:tabs>
          <w:tab w:val="left" w:pos="2014"/>
        </w:tabs>
        <w:snapToGrid w:val="0"/>
        <w:spacing w:line="360" w:lineRule="auto"/>
        <w:rPr>
          <w:rFonts w:ascii="宋体"/>
          <w:sz w:val="24"/>
        </w:rPr>
      </w:pPr>
      <w:r>
        <w:rPr>
          <w:rFonts w:asci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 （国办发〔2010〕47 号）、《财政部关于进一步做好政府机关使用 正版软件工作的通知》（财预〔2010〕536 号）。</w:t>
      </w:r>
    </w:p>
    <w:p>
      <w:pPr>
        <w:numPr>
          <w:ilvl w:val="1"/>
          <w:numId w:val="10"/>
        </w:numPr>
        <w:tabs>
          <w:tab w:val="left" w:pos="1080"/>
          <w:tab w:val="left" w:pos="2014"/>
        </w:tabs>
        <w:snapToGrid w:val="0"/>
        <w:spacing w:line="360" w:lineRule="auto"/>
        <w:rPr>
          <w:rFonts w:ascii="宋体"/>
          <w:sz w:val="24"/>
        </w:rPr>
      </w:pPr>
      <w:r>
        <w:rPr>
          <w:rFonts w:hint="eastAsia" w:ascii="宋体"/>
          <w:sz w:val="24"/>
        </w:rPr>
        <w:t>网络安全专用产品</w:t>
      </w:r>
    </w:p>
    <w:p>
      <w:pPr>
        <w:numPr>
          <w:ilvl w:val="2"/>
          <w:numId w:val="10"/>
        </w:numPr>
        <w:snapToGrid w:val="0"/>
        <w:spacing w:line="360" w:lineRule="auto"/>
        <w:rPr>
          <w:rFonts w:ascii="宋体"/>
          <w:sz w:val="24"/>
        </w:rPr>
      </w:pPr>
      <w:r>
        <w:rPr>
          <w:rFonts w:ascii="宋体" w:hAnsi="宋体"/>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pPr>
        <w:numPr>
          <w:ilvl w:val="1"/>
          <w:numId w:val="10"/>
        </w:numPr>
        <w:tabs>
          <w:tab w:val="left" w:pos="1080"/>
          <w:tab w:val="left" w:pos="2014"/>
        </w:tabs>
        <w:snapToGrid w:val="0"/>
        <w:spacing w:line="360" w:lineRule="auto"/>
        <w:rPr>
          <w:rFonts w:ascii="宋体"/>
          <w:sz w:val="24"/>
        </w:rPr>
      </w:pPr>
      <w:r>
        <w:rPr>
          <w:rFonts w:ascii="宋体"/>
          <w:sz w:val="24"/>
        </w:rPr>
        <w:t>推广使用低挥发性有机化合物（VOCs）</w:t>
      </w:r>
    </w:p>
    <w:p>
      <w:pPr>
        <w:pStyle w:val="37"/>
        <w:spacing w:line="360" w:lineRule="auto"/>
        <w:ind w:left="1800" w:hanging="1800" w:hangingChars="750"/>
      </w:pPr>
      <w:r>
        <w:t xml:space="preserve">         5.6.1 为全面推进本市挥发性有机物（VOCs）治理，贯彻落实挥发性有机 物污染治理专项行动有关要求，相关规定依据《北京市财政局北京市 生态环境局关于政府采购推广使用低挥发性有机化合物（VOCs）有 关事项的通知》（京财采购〔2020〕2381 号）。本项目中涉及涂料、 胶黏剂、油墨、清洗剂等挥发性有机物产品的，属于强制性标准的， 供应商应执行符合本市和国家的 VOCs 含量限制标准（具体标准见 第五章《采购需求》），否则投标无效；属于推荐性标准的，优先采购， 具体见第四章《评标程序、评标方法和评标标准》。</w:t>
      </w:r>
    </w:p>
    <w:p>
      <w:pPr>
        <w:pStyle w:val="37"/>
      </w:pPr>
    </w:p>
    <w:p>
      <w:pPr>
        <w:numPr>
          <w:ilvl w:val="1"/>
          <w:numId w:val="10"/>
        </w:numPr>
        <w:tabs>
          <w:tab w:val="left" w:pos="1080"/>
          <w:tab w:val="left" w:pos="2014"/>
        </w:tabs>
        <w:snapToGrid w:val="0"/>
        <w:spacing w:line="360" w:lineRule="auto"/>
        <w:ind w:left="1080" w:hanging="513"/>
        <w:rPr>
          <w:rFonts w:ascii="宋体"/>
          <w:sz w:val="24"/>
        </w:rPr>
      </w:pPr>
      <w:r>
        <w:rPr>
          <w:rFonts w:hint="eastAsia" w:ascii="宋体"/>
          <w:sz w:val="24"/>
        </w:rPr>
        <w:t>采购需求标准</w:t>
      </w:r>
    </w:p>
    <w:p>
      <w:pPr>
        <w:numPr>
          <w:ilvl w:val="2"/>
          <w:numId w:val="10"/>
        </w:numPr>
        <w:tabs>
          <w:tab w:val="left" w:pos="2014"/>
        </w:tabs>
        <w:snapToGrid w:val="0"/>
        <w:spacing w:line="360" w:lineRule="auto"/>
        <w:rPr>
          <w:rFonts w:ascii="宋体"/>
          <w:sz w:val="24"/>
        </w:rPr>
      </w:pPr>
      <w:r>
        <w:rPr>
          <w:rFonts w:ascii="宋体"/>
          <w:sz w:val="24"/>
        </w:rPr>
        <w:t>商品包装、快递包装政府采购需求标准（试行）</w:t>
      </w:r>
    </w:p>
    <w:p>
      <w:pPr>
        <w:tabs>
          <w:tab w:val="left" w:pos="900"/>
          <w:tab w:val="left" w:pos="1980"/>
          <w:tab w:val="left" w:pos="2014"/>
        </w:tabs>
        <w:snapToGrid w:val="0"/>
        <w:spacing w:line="360" w:lineRule="auto"/>
        <w:ind w:left="1980"/>
        <w:rPr>
          <w:rFonts w:ascii="宋体"/>
          <w:sz w:val="24"/>
        </w:rPr>
      </w:pPr>
      <w:r>
        <w:rPr>
          <w:rFonts w:ascii="宋体"/>
          <w:sz w:val="24"/>
        </w:rPr>
        <w:t>为助力打好污染防治攻坚战，推广使用绿色包装，根据财政部关于印 发《商品包装政府采购需求标准（试行）》、《快递包装政府采购需求标准（试行）》的通知（财办库〔2020〕123 号），本项目如涉及商品包装和快递包装的，则其具体要求见第五章《采购需求》。</w:t>
      </w:r>
    </w:p>
    <w:p>
      <w:pPr>
        <w:numPr>
          <w:ilvl w:val="2"/>
          <w:numId w:val="10"/>
        </w:numPr>
        <w:tabs>
          <w:tab w:val="left" w:pos="2014"/>
        </w:tabs>
        <w:snapToGrid w:val="0"/>
        <w:spacing w:line="360" w:lineRule="auto"/>
        <w:rPr>
          <w:rFonts w:ascii="宋体"/>
          <w:sz w:val="24"/>
        </w:rPr>
      </w:pPr>
      <w:r>
        <w:rPr>
          <w:rFonts w:ascii="宋体"/>
          <w:sz w:val="24"/>
        </w:rPr>
        <w:t>绿色数据中心政府采购需求标准（试行）</w:t>
      </w:r>
    </w:p>
    <w:p>
      <w:pPr>
        <w:tabs>
          <w:tab w:val="left" w:pos="900"/>
          <w:tab w:val="left" w:pos="1980"/>
          <w:tab w:val="left" w:pos="2014"/>
        </w:tabs>
        <w:snapToGrid w:val="0"/>
        <w:spacing w:line="360" w:lineRule="auto"/>
        <w:ind w:left="1980"/>
        <w:rPr>
          <w:rFonts w:ascii="宋体"/>
          <w:sz w:val="24"/>
        </w:rPr>
      </w:pPr>
      <w:r>
        <w:rPr>
          <w:rFonts w:ascii="宋体"/>
          <w:sz w:val="24"/>
        </w:rPr>
        <w:t>为加快数据中心绿色转型，根据财政部 生态环境部 工业和信息化部 关于印发《绿色数据中心政府采购需求标准（试行）》的通知（财库〔2023〕7号），本项目如涉及绿色数据中心，则具体要求见第五章《采购需求》。</w:t>
      </w:r>
    </w:p>
    <w:p>
      <w:pPr>
        <w:widowControl/>
        <w:jc w:val="left"/>
        <w:rPr>
          <w:rFonts w:ascii="宋体" w:hAnsi="宋体"/>
          <w:sz w:val="24"/>
        </w:rPr>
      </w:pP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投标费用</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投标人应自行承担所有与准备和参加投标有关的费用，无论投标的结果如何，采购人或采购代理机构在任何情况下均无承担这些费用的义务和责任。</w:t>
      </w:r>
      <w:bookmarkStart w:id="161" w:name="_1.8_计量单位"/>
      <w:bookmarkEnd w:id="161"/>
    </w:p>
    <w:p>
      <w:pPr>
        <w:widowControl/>
        <w:jc w:val="left"/>
        <w:rPr>
          <w:rFonts w:ascii="宋体"/>
          <w:sz w:val="24"/>
        </w:rPr>
      </w:pPr>
      <w:r>
        <w:rPr>
          <w:rFonts w:ascii="宋体"/>
          <w:sz w:val="24"/>
        </w:rPr>
        <w:br w:type="page"/>
      </w:r>
    </w:p>
    <w:p>
      <w:pPr>
        <w:pStyle w:val="3"/>
        <w:spacing w:before="0" w:line="360" w:lineRule="auto"/>
        <w:rPr>
          <w:rFonts w:ascii="宋体" w:hAnsi="宋体" w:eastAsia="宋体"/>
          <w:sz w:val="28"/>
        </w:rPr>
      </w:pPr>
      <w:r>
        <w:rPr>
          <w:rFonts w:hint="eastAsia" w:ascii="宋体" w:hAnsi="宋体" w:eastAsia="宋体"/>
          <w:sz w:val="28"/>
        </w:rPr>
        <w:t>二</w:t>
      </w:r>
      <w:r>
        <w:rPr>
          <w:rFonts w:ascii="宋体" w:hAnsi="宋体" w:eastAsia="宋体"/>
          <w:sz w:val="28"/>
        </w:rPr>
        <w:t xml:space="preserve">   </w:t>
      </w:r>
      <w:r>
        <w:rPr>
          <w:rFonts w:hint="eastAsia" w:ascii="宋体" w:hAnsi="宋体" w:eastAsia="宋体"/>
          <w:sz w:val="28"/>
        </w:rPr>
        <w:t>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numPr>
          <w:ilvl w:val="0"/>
          <w:numId w:val="10"/>
        </w:numPr>
        <w:tabs>
          <w:tab w:val="left" w:pos="360"/>
        </w:tabs>
        <w:snapToGrid w:val="0"/>
        <w:spacing w:line="360" w:lineRule="auto"/>
        <w:ind w:left="357" w:hanging="357"/>
        <w:outlineLvl w:val="1"/>
        <w:rPr>
          <w:rFonts w:ascii="宋体"/>
          <w:sz w:val="24"/>
        </w:rPr>
      </w:pPr>
      <w:bookmarkStart w:id="162" w:name="_Toc520356147"/>
      <w:bookmarkStart w:id="163" w:name="_Toc164229364"/>
      <w:bookmarkStart w:id="164" w:name="_Toc195842888"/>
      <w:bookmarkStart w:id="165" w:name="_Toc226309767"/>
      <w:bookmarkStart w:id="166" w:name="_Toc142311025"/>
      <w:bookmarkStart w:id="167" w:name="_Toc164608637"/>
      <w:bookmarkStart w:id="168" w:name="_Toc226965713"/>
      <w:bookmarkStart w:id="169" w:name="_Toc151193837"/>
      <w:bookmarkStart w:id="170" w:name="_Toc150774623"/>
      <w:bookmarkStart w:id="171" w:name="_Toc265228361"/>
      <w:bookmarkStart w:id="172" w:name="_Toc226965796"/>
      <w:bookmarkStart w:id="173" w:name="_Toc151193621"/>
      <w:bookmarkStart w:id="174" w:name="_Toc264969213"/>
      <w:bookmarkStart w:id="175" w:name="_Toc226337219"/>
      <w:bookmarkStart w:id="176" w:name="_Toc150509274"/>
      <w:bookmarkStart w:id="177" w:name="_Toc305158791"/>
      <w:bookmarkStart w:id="178" w:name="_Toc127151523"/>
      <w:bookmarkStart w:id="179" w:name="_Toc127161437"/>
      <w:bookmarkStart w:id="180" w:name="_Toc151190150"/>
      <w:bookmarkStart w:id="181" w:name="_Toc150774728"/>
      <w:bookmarkStart w:id="182" w:name="_Toc151193911"/>
      <w:bookmarkStart w:id="183" w:name="_Toc164351617"/>
      <w:bookmarkStart w:id="184" w:name="_Toc151193765"/>
      <w:bookmarkStart w:id="185" w:name="_Toc150480761"/>
      <w:bookmarkStart w:id="186" w:name="_Toc164229218"/>
      <w:bookmarkStart w:id="187" w:name="_Toc127151724"/>
      <w:bookmarkStart w:id="188" w:name="_Toc305158865"/>
      <w:bookmarkStart w:id="189" w:name="_Toc164608792"/>
      <w:bookmarkStart w:id="190" w:name="_Toc151193693"/>
      <w:bookmarkStart w:id="191" w:name="_Toc149720816"/>
      <w:r>
        <w:rPr>
          <w:rFonts w:hint="eastAsia" w:ascii="宋体" w:hAnsi="宋体"/>
          <w:sz w:val="24"/>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sz w:val="24"/>
        </w:rPr>
        <w:t>成</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招标文件包括以下部分：</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投标邀请</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投标人须知</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资格审查</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评标程序、评标方法和评标标准</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采购需求</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拟签订的合同文本</w:t>
      </w:r>
    </w:p>
    <w:p>
      <w:pPr>
        <w:numPr>
          <w:ilvl w:val="0"/>
          <w:numId w:val="12"/>
        </w:numPr>
        <w:tabs>
          <w:tab w:val="left" w:pos="1980"/>
          <w:tab w:val="left" w:pos="2520"/>
        </w:tabs>
        <w:snapToGrid w:val="0"/>
        <w:spacing w:line="360" w:lineRule="auto"/>
        <w:ind w:left="1440" w:firstLine="5"/>
        <w:rPr>
          <w:rFonts w:ascii="宋体"/>
          <w:sz w:val="24"/>
        </w:rPr>
      </w:pPr>
      <w:r>
        <w:rPr>
          <w:rFonts w:hint="eastAsia" w:ascii="宋体" w:hAnsi="宋体"/>
          <w:sz w:val="24"/>
        </w:rPr>
        <w:t>投标文件格式</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b/>
          <w:sz w:val="24"/>
        </w:rPr>
        <w:t>投标无效</w:t>
      </w:r>
      <w:r>
        <w:rPr>
          <w:rFonts w:hint="eastAsia" w:ascii="宋体" w:hAnsi="宋体"/>
          <w:sz w:val="24"/>
        </w:rPr>
        <w:t>。</w:t>
      </w:r>
    </w:p>
    <w:p>
      <w:pPr>
        <w:numPr>
          <w:ilvl w:val="0"/>
          <w:numId w:val="10"/>
        </w:numPr>
        <w:tabs>
          <w:tab w:val="left" w:pos="1080"/>
          <w:tab w:val="left" w:pos="2014"/>
        </w:tabs>
        <w:snapToGrid w:val="0"/>
        <w:spacing w:line="360" w:lineRule="auto"/>
        <w:ind w:left="357" w:hanging="357"/>
        <w:outlineLvl w:val="1"/>
        <w:rPr>
          <w:rFonts w:ascii="宋体"/>
          <w:sz w:val="24"/>
        </w:rPr>
      </w:pPr>
      <w:r>
        <w:rPr>
          <w:rFonts w:hint="eastAsia" w:ascii="宋体" w:hAnsi="宋体"/>
          <w:sz w:val="24"/>
        </w:rPr>
        <w:t>对招标文件的澄清或修改</w:t>
      </w:r>
    </w:p>
    <w:p>
      <w:pPr>
        <w:numPr>
          <w:ilvl w:val="1"/>
          <w:numId w:val="10"/>
        </w:numPr>
        <w:tabs>
          <w:tab w:val="left" w:pos="1080"/>
          <w:tab w:val="left" w:pos="1561"/>
          <w:tab w:val="left" w:pos="2014"/>
        </w:tabs>
        <w:snapToGrid w:val="0"/>
        <w:spacing w:line="360" w:lineRule="auto"/>
        <w:ind w:left="1080" w:hanging="720"/>
        <w:rPr>
          <w:rFonts w:ascii="宋体"/>
          <w:sz w:val="24"/>
        </w:rPr>
      </w:pPr>
      <w:r>
        <w:rPr>
          <w:rFonts w:hint="eastAsia" w:ascii="宋体" w:hAnsi="宋体"/>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1080" w:hanging="720"/>
        <w:rPr>
          <w:rFonts w:ascii="宋体"/>
          <w:sz w:val="24"/>
        </w:rPr>
      </w:pPr>
      <w:r>
        <w:rPr>
          <w:rFonts w:hint="eastAsia" w:ascii="宋体" w:hAnsi="宋体"/>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rFonts w:ascii="宋体"/>
          <w:sz w:val="24"/>
        </w:rPr>
      </w:pPr>
      <w:r>
        <w:rPr>
          <w:rFonts w:hint="eastAsia" w:ascii="宋体" w:hAnsi="宋体"/>
          <w:sz w:val="24"/>
        </w:rPr>
        <w:t>澄清或者修改的内容为招标文件的组成部分，并对所有获取招标文件的潜在投标人具有约束力。澄清或者修改的内容可能影响投标文件编制的，将在投标截止时间至少</w:t>
      </w:r>
      <w:r>
        <w:rPr>
          <w:rFonts w:ascii="宋体" w:hAnsi="宋体"/>
          <w:sz w:val="24"/>
        </w:rPr>
        <w:t>15</w:t>
      </w:r>
      <w:r>
        <w:rPr>
          <w:rFonts w:hint="eastAsia" w:ascii="宋体" w:hAnsi="宋体"/>
          <w:sz w:val="24"/>
        </w:rPr>
        <w:t>日前，以书面形式通知所有获取招标文件的潜在投标人；不足</w:t>
      </w:r>
      <w:r>
        <w:rPr>
          <w:rFonts w:ascii="宋体" w:hAnsi="宋体"/>
          <w:sz w:val="24"/>
        </w:rPr>
        <w:t>15</w:t>
      </w:r>
      <w:r>
        <w:rPr>
          <w:rFonts w:hint="eastAsia" w:ascii="宋体" w:hAnsi="宋体"/>
          <w:sz w:val="24"/>
        </w:rPr>
        <w:t>日的，将顺延提交投标文件的截止时间和开标时间。</w:t>
      </w:r>
    </w:p>
    <w:p>
      <w:pPr>
        <w:tabs>
          <w:tab w:val="left" w:pos="1080"/>
          <w:tab w:val="left" w:pos="1561"/>
        </w:tabs>
        <w:snapToGrid w:val="0"/>
        <w:spacing w:line="360" w:lineRule="auto"/>
        <w:ind w:left="1080"/>
        <w:rPr>
          <w:rFonts w:ascii="宋体"/>
          <w:sz w:val="28"/>
        </w:rPr>
      </w:pPr>
      <w:bookmarkStart w:id="192" w:name="_Toc516367020"/>
      <w:bookmarkStart w:id="193" w:name="_Toc151193768"/>
      <w:bookmarkStart w:id="194" w:name="_Toc226965799"/>
      <w:bookmarkStart w:id="195" w:name="_Toc151193914"/>
      <w:bookmarkStart w:id="196" w:name="_Toc226337222"/>
      <w:bookmarkStart w:id="197" w:name="_Toc150774731"/>
      <w:bookmarkStart w:id="198" w:name="_Toc305158868"/>
      <w:bookmarkStart w:id="199" w:name="_Toc127151526"/>
      <w:bookmarkStart w:id="200" w:name="_Toc305158794"/>
      <w:bookmarkStart w:id="201" w:name="_Toc226965716"/>
      <w:bookmarkStart w:id="202" w:name="_Toc151193840"/>
      <w:bookmarkStart w:id="203" w:name="_Toc195842891"/>
      <w:bookmarkStart w:id="204" w:name="_Toc142311028"/>
      <w:bookmarkStart w:id="205" w:name="_Toc151193696"/>
      <w:bookmarkStart w:id="206" w:name="_Toc151193624"/>
      <w:bookmarkStart w:id="207" w:name="_Toc150480764"/>
      <w:bookmarkStart w:id="208" w:name="_Toc150509277"/>
      <w:bookmarkStart w:id="209" w:name="_Toc265228364"/>
      <w:bookmarkStart w:id="210" w:name="_Toc264969216"/>
      <w:bookmarkStart w:id="211" w:name="_Toc151190153"/>
      <w:bookmarkStart w:id="212" w:name="_Toc150774626"/>
      <w:bookmarkStart w:id="213" w:name="_Toc226309770"/>
      <w:bookmarkStart w:id="214" w:name="_Toc520356150"/>
    </w:p>
    <w:p>
      <w:pPr>
        <w:pStyle w:val="3"/>
        <w:spacing w:before="0" w:line="360" w:lineRule="auto"/>
        <w:rPr>
          <w:rFonts w:ascii="宋体" w:hAnsi="宋体" w:eastAsia="宋体"/>
          <w:sz w:val="28"/>
        </w:rPr>
      </w:pPr>
      <w:r>
        <w:rPr>
          <w:rFonts w:hint="eastAsia" w:ascii="宋体" w:hAnsi="宋体" w:eastAsia="宋体"/>
          <w:sz w:val="28"/>
        </w:rPr>
        <w:t>三</w:t>
      </w:r>
      <w:r>
        <w:rPr>
          <w:rFonts w:ascii="宋体" w:hAnsi="宋体" w:eastAsia="宋体"/>
          <w:sz w:val="28"/>
        </w:rPr>
        <w:t xml:space="preserve">   </w:t>
      </w:r>
      <w:r>
        <w:rPr>
          <w:rFonts w:hint="eastAsia" w:ascii="宋体" w:hAnsi="宋体" w:eastAsia="宋体"/>
          <w:sz w:val="28"/>
        </w:rPr>
        <w:t>投标文件</w:t>
      </w:r>
      <w:bookmarkEnd w:id="192"/>
      <w:r>
        <w:rPr>
          <w:rFonts w:hint="eastAsia" w:ascii="宋体" w:hAnsi="宋体" w:eastAsia="宋体"/>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pPr>
        <w:numPr>
          <w:ilvl w:val="0"/>
          <w:numId w:val="10"/>
        </w:numPr>
        <w:tabs>
          <w:tab w:val="left" w:pos="360"/>
        </w:tabs>
        <w:snapToGrid w:val="0"/>
        <w:spacing w:line="360" w:lineRule="auto"/>
        <w:ind w:left="357" w:hanging="357"/>
        <w:outlineLvl w:val="1"/>
        <w:rPr>
          <w:rFonts w:ascii="宋体"/>
          <w:sz w:val="24"/>
        </w:rPr>
      </w:pPr>
      <w:bookmarkStart w:id="215" w:name="_Toc265228365"/>
      <w:bookmarkStart w:id="216" w:name="_Toc264969217"/>
      <w:bookmarkStart w:id="217" w:name="_Toc151193625"/>
      <w:bookmarkStart w:id="218" w:name="_Toc127151728"/>
      <w:bookmarkStart w:id="219" w:name="_Toc164229222"/>
      <w:bookmarkStart w:id="220" w:name="_Toc195842892"/>
      <w:bookmarkStart w:id="221" w:name="_Toc516367021"/>
      <w:bookmarkStart w:id="222" w:name="_Toc151193841"/>
      <w:bookmarkStart w:id="223" w:name="_Toc164351621"/>
      <w:bookmarkStart w:id="224" w:name="_Toc127161441"/>
      <w:bookmarkStart w:id="225" w:name="_Toc150774732"/>
      <w:bookmarkStart w:id="226" w:name="_Toc142311029"/>
      <w:bookmarkStart w:id="227" w:name="_Toc151193697"/>
      <w:bookmarkStart w:id="228" w:name="_Toc127151527"/>
      <w:bookmarkStart w:id="229" w:name="_Toc305158869"/>
      <w:bookmarkStart w:id="230" w:name="_Toc164229368"/>
      <w:bookmarkStart w:id="231" w:name="_Toc226965800"/>
      <w:bookmarkStart w:id="232" w:name="_Toc164608796"/>
      <w:bookmarkStart w:id="233" w:name="_Toc226965717"/>
      <w:bookmarkStart w:id="234" w:name="_Toc150774627"/>
      <w:bookmarkStart w:id="235" w:name="_Toc149720820"/>
      <w:bookmarkStart w:id="236" w:name="_Toc164608641"/>
      <w:bookmarkStart w:id="237" w:name="_Toc226337223"/>
      <w:bookmarkStart w:id="238" w:name="_Toc151193769"/>
      <w:bookmarkStart w:id="239" w:name="_Toc305158795"/>
      <w:bookmarkStart w:id="240" w:name="_Toc150509278"/>
      <w:bookmarkStart w:id="241" w:name="_Toc150480765"/>
      <w:bookmarkStart w:id="242" w:name="_Toc520356151"/>
      <w:bookmarkStart w:id="243" w:name="_Toc226309771"/>
      <w:bookmarkStart w:id="244" w:name="_Toc151190154"/>
      <w:bookmarkStart w:id="245" w:name="_Toc151193915"/>
      <w:r>
        <w:rPr>
          <w:rFonts w:hint="eastAsia" w:ascii="宋体" w:hAnsi="宋体"/>
          <w:sz w:val="24"/>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sz w:val="24"/>
        </w:rPr>
        <w:t>及投标语言</w:t>
      </w:r>
    </w:p>
    <w:p>
      <w:pPr>
        <w:numPr>
          <w:ilvl w:val="1"/>
          <w:numId w:val="10"/>
        </w:numPr>
        <w:tabs>
          <w:tab w:val="left" w:pos="1080"/>
          <w:tab w:val="left" w:pos="2014"/>
        </w:tabs>
        <w:snapToGrid w:val="0"/>
        <w:spacing w:line="360" w:lineRule="auto"/>
        <w:ind w:left="1080" w:hanging="720"/>
        <w:rPr>
          <w:rFonts w:ascii="宋体" w:hAnsi="宋体"/>
          <w:sz w:val="24"/>
        </w:rPr>
      </w:pPr>
      <w:r>
        <w:rPr>
          <w:rFonts w:hint="eastAsia"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b/>
          <w:sz w:val="24"/>
        </w:rPr>
        <w:t>无效投标</w:t>
      </w:r>
      <w:r>
        <w:rPr>
          <w:rFonts w:hint="eastAsia" w:ascii="宋体" w:hAnsi="宋体"/>
          <w:sz w:val="24"/>
        </w:rPr>
        <w:t>。</w:t>
      </w:r>
    </w:p>
    <w:p>
      <w:pPr>
        <w:pStyle w:val="37"/>
      </w:pP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rFonts w:ascii="宋体"/>
          <w:sz w:val="24"/>
        </w:rPr>
      </w:pPr>
      <w:r>
        <w:rPr>
          <w:rFonts w:hint="eastAsia"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rFonts w:ascii="宋体"/>
          <w:sz w:val="24"/>
        </w:rPr>
      </w:pPr>
      <w:bookmarkStart w:id="246" w:name="_Ref467306676"/>
      <w:bookmarkStart w:id="247" w:name="_Toc516367022"/>
      <w:bookmarkStart w:id="248" w:name="_Ref467306195"/>
      <w:bookmarkStart w:id="249" w:name="_Toc149720821"/>
      <w:bookmarkStart w:id="250" w:name="_Toc151193770"/>
      <w:bookmarkStart w:id="251" w:name="_Toc151193916"/>
      <w:bookmarkStart w:id="252" w:name="_Toc151190155"/>
      <w:bookmarkStart w:id="253" w:name="_Toc150774628"/>
      <w:bookmarkStart w:id="254" w:name="_Toc151193626"/>
      <w:bookmarkStart w:id="255" w:name="_Toc150480766"/>
      <w:bookmarkStart w:id="256" w:name="_Toc142311030"/>
      <w:bookmarkStart w:id="257" w:name="_Toc164229223"/>
      <w:bookmarkStart w:id="258" w:name="_Toc264969218"/>
      <w:bookmarkStart w:id="259" w:name="_Toc265228366"/>
      <w:bookmarkStart w:id="260" w:name="_Toc520356152"/>
      <w:bookmarkStart w:id="261" w:name="_Toc164608642"/>
      <w:bookmarkStart w:id="262" w:name="_Toc150774733"/>
      <w:bookmarkStart w:id="263" w:name="_Toc226337224"/>
      <w:bookmarkStart w:id="264" w:name="_Toc164608797"/>
      <w:bookmarkStart w:id="265" w:name="_Toc151193698"/>
      <w:bookmarkStart w:id="266" w:name="_Toc195842893"/>
      <w:bookmarkStart w:id="267" w:name="_Toc127161442"/>
      <w:bookmarkStart w:id="268" w:name="_Toc226309772"/>
      <w:bookmarkStart w:id="269" w:name="_Toc305158796"/>
      <w:bookmarkStart w:id="270" w:name="_Toc127151528"/>
      <w:bookmarkStart w:id="271" w:name="_Toc164351622"/>
      <w:bookmarkStart w:id="272" w:name="_Toc226965718"/>
      <w:bookmarkStart w:id="273" w:name="_Toc127151729"/>
      <w:bookmarkStart w:id="274" w:name="_Toc226965801"/>
      <w:bookmarkStart w:id="275" w:name="_Toc151193842"/>
      <w:bookmarkStart w:id="276" w:name="_Toc150509279"/>
      <w:bookmarkStart w:id="277" w:name="_Toc305158870"/>
      <w:bookmarkStart w:id="278" w:name="_Toc164229369"/>
      <w:r>
        <w:rPr>
          <w:rFonts w:hint="eastAsia" w:ascii="宋体" w:hAnsi="宋体"/>
          <w:sz w:val="24"/>
        </w:rPr>
        <w:t>投标文件</w:t>
      </w:r>
      <w:bookmarkEnd w:id="246"/>
      <w:bookmarkEnd w:id="247"/>
      <w:bookmarkEnd w:id="248"/>
      <w:r>
        <w:rPr>
          <w:rFonts w:hint="eastAsia" w:ascii="宋体" w:hAnsi="宋体"/>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pPr>
        <w:numPr>
          <w:ilvl w:val="1"/>
          <w:numId w:val="10"/>
        </w:numPr>
        <w:tabs>
          <w:tab w:val="left" w:pos="1080"/>
          <w:tab w:val="left" w:pos="2014"/>
        </w:tabs>
        <w:snapToGrid w:val="0"/>
        <w:spacing w:line="360" w:lineRule="auto"/>
        <w:ind w:left="1077" w:hanging="720"/>
        <w:rPr>
          <w:rFonts w:ascii="宋体"/>
          <w:sz w:val="24"/>
        </w:rPr>
      </w:pPr>
      <w:bookmarkStart w:id="279" w:name="_Ref467052588"/>
      <w:r>
        <w:rPr>
          <w:rFonts w:hint="eastAsia" w:ascii="宋体" w:hAnsi="宋体"/>
          <w:sz w:val="24"/>
        </w:rPr>
        <w:t>投标人应当按照招标文件的要求编制投标文件。投标文件应由《资格证明文件》、《商务技术文件》两部分构成。投标文件的部分格式要求，见第七章《投标文件格式》。</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kern w:val="0"/>
          <w:sz w:val="24"/>
        </w:rPr>
        <w:t>对于招标文件中标记了</w:t>
      </w:r>
      <w:r>
        <w:rPr>
          <w:rFonts w:hint="eastAsia" w:ascii="宋体"/>
          <w:kern w:val="0"/>
          <w:sz w:val="24"/>
        </w:rPr>
        <w:t>“</w:t>
      </w:r>
      <w:r>
        <w:rPr>
          <w:rFonts w:hint="eastAsia" w:ascii="宋体" w:hAnsi="宋体"/>
          <w:kern w:val="0"/>
          <w:sz w:val="24"/>
        </w:rPr>
        <w:t>实质性格式</w:t>
      </w:r>
      <w:r>
        <w:rPr>
          <w:rFonts w:hint="eastAsia" w:ascii="宋体"/>
          <w:kern w:val="0"/>
          <w:sz w:val="24"/>
        </w:rPr>
        <w:t>”</w:t>
      </w:r>
      <w:r>
        <w:rPr>
          <w:rFonts w:hint="eastAsia" w:ascii="宋体" w:hAnsi="宋体"/>
          <w:kern w:val="0"/>
          <w:sz w:val="24"/>
        </w:rPr>
        <w:t>文件的，</w:t>
      </w:r>
      <w:r>
        <w:rPr>
          <w:rFonts w:hint="eastAsia"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kern w:val="0"/>
          <w:sz w:val="24"/>
        </w:rPr>
        <w:t>否则</w:t>
      </w:r>
      <w:r>
        <w:rPr>
          <w:rFonts w:hint="eastAsia" w:ascii="宋体" w:hAnsi="宋体"/>
          <w:b/>
          <w:kern w:val="0"/>
          <w:sz w:val="24"/>
        </w:rPr>
        <w:t>投标无效</w:t>
      </w:r>
      <w:r>
        <w:rPr>
          <w:rFonts w:hint="eastAsia" w:ascii="宋体" w:hAnsi="宋体"/>
          <w:kern w:val="0"/>
          <w:sz w:val="24"/>
        </w:rPr>
        <w:t>。未标记</w:t>
      </w:r>
      <w:r>
        <w:rPr>
          <w:rFonts w:hint="eastAsia" w:ascii="宋体"/>
          <w:kern w:val="0"/>
          <w:sz w:val="24"/>
        </w:rPr>
        <w:t>“</w:t>
      </w:r>
      <w:r>
        <w:rPr>
          <w:rFonts w:hint="eastAsia" w:ascii="宋体" w:hAnsi="宋体"/>
          <w:kern w:val="0"/>
          <w:sz w:val="24"/>
        </w:rPr>
        <w:t>实质性格式</w:t>
      </w:r>
      <w:r>
        <w:rPr>
          <w:rFonts w:hint="eastAsia" w:ascii="宋体"/>
          <w:kern w:val="0"/>
          <w:sz w:val="24"/>
        </w:rPr>
        <w:t>”</w:t>
      </w:r>
      <w:r>
        <w:rPr>
          <w:rFonts w:hint="eastAsia" w:ascii="宋体" w:hAnsi="宋体"/>
          <w:kern w:val="0"/>
          <w:sz w:val="24"/>
        </w:rPr>
        <w:t>的文件和招标文件未提供格式的内容，可由投标人自行编写。</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pPr>
      <w:r>
        <w:rPr>
          <w:rFonts w:hint="eastAsia" w:ascii="宋体" w:hAnsi="宋体"/>
          <w:sz w:val="24"/>
        </w:rPr>
        <w:t>对照第五章《采购需求》，说明所提供货物或者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投标人认为应附的其他材料。</w:t>
      </w:r>
      <w:bookmarkEnd w:id="279"/>
    </w:p>
    <w:p>
      <w:pPr>
        <w:numPr>
          <w:ilvl w:val="0"/>
          <w:numId w:val="10"/>
        </w:numPr>
        <w:tabs>
          <w:tab w:val="left" w:pos="360"/>
        </w:tabs>
        <w:snapToGrid w:val="0"/>
        <w:spacing w:line="360" w:lineRule="auto"/>
        <w:ind w:left="357" w:hanging="357"/>
        <w:outlineLvl w:val="1"/>
        <w:rPr>
          <w:rFonts w:ascii="宋体"/>
          <w:sz w:val="24"/>
        </w:rPr>
      </w:pPr>
      <w:bookmarkStart w:id="280" w:name="_Toc150774630"/>
      <w:bookmarkStart w:id="281" w:name="_Toc150774735"/>
      <w:bookmarkStart w:id="282" w:name="_Toc127151530"/>
      <w:bookmarkStart w:id="283" w:name="_Toc195842895"/>
      <w:bookmarkStart w:id="284" w:name="_Toc164608799"/>
      <w:bookmarkStart w:id="285" w:name="_Toc150509281"/>
      <w:bookmarkStart w:id="286" w:name="_Toc151193918"/>
      <w:bookmarkStart w:id="287" w:name="_Toc127161444"/>
      <w:bookmarkStart w:id="288" w:name="_Toc127151731"/>
      <w:bookmarkStart w:id="289" w:name="_Toc151193844"/>
      <w:bookmarkStart w:id="290" w:name="_Toc142311032"/>
      <w:bookmarkStart w:id="291" w:name="_Toc151193700"/>
      <w:bookmarkStart w:id="292" w:name="_Toc164229225"/>
      <w:bookmarkStart w:id="293" w:name="_Toc164608644"/>
      <w:bookmarkStart w:id="294" w:name="_Toc151193772"/>
      <w:bookmarkStart w:id="295" w:name="_Toc149720823"/>
      <w:bookmarkStart w:id="296" w:name="_Toc520356155"/>
      <w:bookmarkStart w:id="297" w:name="_Toc151193628"/>
      <w:bookmarkStart w:id="298" w:name="_Toc164229371"/>
      <w:bookmarkStart w:id="299" w:name="_Toc150480768"/>
      <w:bookmarkStart w:id="300" w:name="_Toc164351624"/>
      <w:bookmarkStart w:id="301" w:name="_Toc151190157"/>
      <w:r>
        <w:rPr>
          <w:rFonts w:hint="eastAsia" w:ascii="宋体" w:hAnsi="宋体"/>
          <w:sz w:val="24"/>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pPr>
        <w:numPr>
          <w:ilvl w:val="1"/>
          <w:numId w:val="10"/>
        </w:numPr>
        <w:tabs>
          <w:tab w:val="left" w:pos="1080"/>
          <w:tab w:val="left" w:pos="2014"/>
        </w:tabs>
        <w:snapToGrid w:val="0"/>
        <w:spacing w:line="360" w:lineRule="auto"/>
        <w:ind w:left="1077" w:hanging="651"/>
        <w:rPr>
          <w:rFonts w:ascii="宋体"/>
          <w:sz w:val="24"/>
        </w:rPr>
      </w:pPr>
      <w:r>
        <w:rPr>
          <w:rFonts w:hint="eastAsia" w:ascii="宋体" w:hAnsi="宋体"/>
          <w:sz w:val="24"/>
        </w:rPr>
        <w:t>所有投标均以人民币报价。</w:t>
      </w:r>
    </w:p>
    <w:p>
      <w:pPr>
        <w:numPr>
          <w:ilvl w:val="1"/>
          <w:numId w:val="10"/>
        </w:numPr>
        <w:tabs>
          <w:tab w:val="left" w:pos="1080"/>
          <w:tab w:val="left" w:pos="2014"/>
        </w:tabs>
        <w:snapToGrid w:val="0"/>
        <w:spacing w:line="360" w:lineRule="auto"/>
        <w:ind w:left="1077" w:hanging="651"/>
        <w:rPr>
          <w:rFonts w:ascii="宋体"/>
          <w:sz w:val="24"/>
        </w:rPr>
      </w:pPr>
      <w:r>
        <w:rPr>
          <w:rFonts w:hint="eastAsia"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10"/>
        </w:numPr>
        <w:snapToGrid w:val="0"/>
        <w:spacing w:line="360" w:lineRule="auto"/>
        <w:rPr>
          <w:rFonts w:ascii="宋体"/>
          <w:sz w:val="24"/>
        </w:rPr>
      </w:pPr>
      <w:r>
        <w:rPr>
          <w:rFonts w:hint="eastAsia"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10"/>
        </w:numPr>
        <w:snapToGrid w:val="0"/>
        <w:spacing w:line="360" w:lineRule="auto"/>
        <w:rPr>
          <w:rFonts w:ascii="宋体"/>
          <w:sz w:val="24"/>
        </w:rPr>
      </w:pPr>
      <w:r>
        <w:rPr>
          <w:rFonts w:hint="eastAsia" w:ascii="宋体" w:hAnsi="宋体"/>
          <w:sz w:val="24"/>
        </w:rPr>
        <w:t>按照招标文件要求完成本项目的全部相关费用。</w:t>
      </w:r>
      <w:r>
        <w:rPr>
          <w:rFonts w:ascii="宋体" w:hAnsi="宋体"/>
          <w:sz w:val="24"/>
        </w:rPr>
        <w:t xml:space="preserve"> </w:t>
      </w:r>
    </w:p>
    <w:p>
      <w:pPr>
        <w:numPr>
          <w:ilvl w:val="1"/>
          <w:numId w:val="10"/>
        </w:numPr>
        <w:tabs>
          <w:tab w:val="left" w:pos="1080"/>
          <w:tab w:val="left" w:pos="2014"/>
        </w:tabs>
        <w:snapToGrid w:val="0"/>
        <w:spacing w:line="360" w:lineRule="auto"/>
        <w:ind w:left="1077" w:hanging="651"/>
        <w:rPr>
          <w:rFonts w:ascii="宋体"/>
          <w:sz w:val="24"/>
        </w:rPr>
      </w:pPr>
      <w:r>
        <w:rPr>
          <w:rFonts w:hint="eastAsia" w:ascii="宋体" w:hAnsi="宋体"/>
          <w:sz w:val="24"/>
        </w:rPr>
        <w:t>采购人不得向供应商索要或者接受其给予的赠品、回扣或者与采购无关的其他商品、服务。</w:t>
      </w:r>
    </w:p>
    <w:p>
      <w:pPr>
        <w:numPr>
          <w:ilvl w:val="1"/>
          <w:numId w:val="10"/>
        </w:numPr>
        <w:tabs>
          <w:tab w:val="left" w:pos="1134"/>
          <w:tab w:val="left" w:pos="2014"/>
        </w:tabs>
        <w:snapToGrid w:val="0"/>
        <w:spacing w:line="360" w:lineRule="auto"/>
        <w:ind w:left="1134" w:hanging="708"/>
        <w:rPr>
          <w:rFonts w:ascii="宋体"/>
          <w:sz w:val="24"/>
        </w:rPr>
      </w:pPr>
      <w:r>
        <w:rPr>
          <w:rFonts w:hint="eastAsia" w:ascii="宋体" w:hAnsi="宋体"/>
          <w:sz w:val="24"/>
        </w:rPr>
        <w:t>投标人不能提供任何有选择性或可调整的报价（招标文件另有规定的除外），否则其</w:t>
      </w:r>
      <w:r>
        <w:rPr>
          <w:rFonts w:hint="eastAsia" w:ascii="宋体" w:hAnsi="宋体"/>
          <w:b/>
          <w:sz w:val="24"/>
        </w:rPr>
        <w:t>投标无效</w:t>
      </w:r>
      <w:r>
        <w:rPr>
          <w:rFonts w:hint="eastAsia" w:ascii="宋体" w:hAnsi="宋体"/>
          <w:sz w:val="24"/>
        </w:rPr>
        <w:t>。</w:t>
      </w:r>
    </w:p>
    <w:p>
      <w:pPr>
        <w:numPr>
          <w:ilvl w:val="0"/>
          <w:numId w:val="10"/>
        </w:numPr>
        <w:tabs>
          <w:tab w:val="left" w:pos="360"/>
        </w:tabs>
        <w:snapToGrid w:val="0"/>
        <w:spacing w:line="360" w:lineRule="auto"/>
        <w:ind w:left="357" w:hanging="357"/>
        <w:outlineLvl w:val="1"/>
        <w:rPr>
          <w:rFonts w:ascii="宋体"/>
          <w:sz w:val="24"/>
        </w:rPr>
      </w:pPr>
      <w:bookmarkStart w:id="302" w:name="_Toc265228369"/>
      <w:bookmarkStart w:id="303" w:name="_Toc226965721"/>
      <w:bookmarkStart w:id="304" w:name="_Toc151193701"/>
      <w:bookmarkStart w:id="305" w:name="_Toc127151732"/>
      <w:bookmarkStart w:id="306" w:name="_Ref467306513"/>
      <w:bookmarkStart w:id="307" w:name="_Toc226965804"/>
      <w:bookmarkStart w:id="308" w:name="_Toc142311033"/>
      <w:bookmarkStart w:id="309" w:name="_Toc164229226"/>
      <w:bookmarkStart w:id="310" w:name="_Toc151193629"/>
      <w:bookmarkStart w:id="311" w:name="_Toc151193845"/>
      <w:bookmarkStart w:id="312" w:name="_Toc164608645"/>
      <w:bookmarkStart w:id="313" w:name="_Toc520356156"/>
      <w:bookmarkStart w:id="314" w:name="_Toc226337227"/>
      <w:bookmarkStart w:id="315" w:name="_Toc151193919"/>
      <w:bookmarkStart w:id="316" w:name="_Toc149720824"/>
      <w:bookmarkStart w:id="317" w:name="_Toc164351625"/>
      <w:bookmarkStart w:id="318" w:name="_Toc127161445"/>
      <w:bookmarkStart w:id="319" w:name="_Toc164608800"/>
      <w:bookmarkStart w:id="320" w:name="_Toc127151531"/>
      <w:bookmarkStart w:id="321" w:name="_Toc150480769"/>
      <w:bookmarkStart w:id="322" w:name="_Toc150509282"/>
      <w:bookmarkStart w:id="323" w:name="_Toc151190158"/>
      <w:bookmarkStart w:id="324" w:name="_Toc305158799"/>
      <w:bookmarkStart w:id="325" w:name="_Toc305158873"/>
      <w:bookmarkStart w:id="326" w:name="_Toc150774736"/>
      <w:bookmarkStart w:id="327" w:name="_Toc150774631"/>
      <w:bookmarkStart w:id="328" w:name="_Toc164229372"/>
      <w:bookmarkStart w:id="329" w:name="_Toc151193773"/>
      <w:bookmarkStart w:id="330" w:name="_Toc264969221"/>
      <w:bookmarkStart w:id="331" w:name="_Toc226309775"/>
      <w:bookmarkStart w:id="332" w:name="_Toc195842896"/>
      <w:r>
        <w:rPr>
          <w:rFonts w:hint="eastAsia" w:ascii="宋体" w:hAnsi="宋体"/>
          <w:sz w:val="24"/>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numPr>
          <w:ilvl w:val="1"/>
          <w:numId w:val="10"/>
        </w:numPr>
        <w:tabs>
          <w:tab w:val="left" w:pos="1080"/>
          <w:tab w:val="left" w:pos="2014"/>
        </w:tabs>
        <w:snapToGrid w:val="0"/>
        <w:spacing w:line="360" w:lineRule="auto"/>
        <w:ind w:left="1077" w:hanging="720"/>
        <w:rPr>
          <w:rFonts w:ascii="宋体"/>
          <w:sz w:val="24"/>
        </w:rPr>
      </w:pPr>
      <w:bookmarkStart w:id="333" w:name="_Ref467306302"/>
      <w:r>
        <w:rPr>
          <w:rFonts w:hint="eastAsia" w:ascii="宋体" w:hAnsi="宋体"/>
          <w:sz w:val="24"/>
        </w:rPr>
        <w:t>投标人应按《投标人须知资料表》中规定的金额及要求交纳投标保证金</w:t>
      </w:r>
      <w:bookmarkEnd w:id="333"/>
      <w:r>
        <w:rPr>
          <w:rFonts w:hint="eastAsia" w:ascii="宋体" w:hAnsi="宋体"/>
          <w:sz w:val="24"/>
        </w:rPr>
        <w:t>，并作为其投标的一部分。</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交纳投标保证金可采用的形式：政府采购法律法规接受的支票、汇票、本票、网上银行支付或者金融机构、担保机构出具的保函等非现金形式。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b/>
          <w:sz w:val="24"/>
        </w:rPr>
        <w:t>投标无效</w:t>
      </w:r>
      <w:r>
        <w:rPr>
          <w:rFonts w:hint="eastAsia" w:ascii="宋体" w:hAnsi="宋体"/>
          <w:sz w:val="24"/>
        </w:rPr>
        <w:t>。</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投标保证金有效期同投标有效期。</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投标人为联合体的，可以由联合体中的一方或者多方共同交纳投标保证金，其交纳的投标保证金对联合体各方均具有约束力。</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10"/>
        </w:numPr>
        <w:snapToGrid w:val="0"/>
        <w:spacing w:line="360" w:lineRule="auto"/>
        <w:rPr>
          <w:rFonts w:ascii="宋体"/>
          <w:sz w:val="24"/>
        </w:rPr>
      </w:pPr>
      <w:r>
        <w:rPr>
          <w:rFonts w:hint="eastAsia" w:ascii="宋体" w:hAnsi="宋体"/>
          <w:sz w:val="24"/>
        </w:rPr>
        <w:t>投标人在投标截止时间前撤回已提交的投标文件的，自收到投标人书面撤回通知之日起</w:t>
      </w:r>
      <w:r>
        <w:rPr>
          <w:rFonts w:ascii="宋体" w:hAnsi="宋体"/>
          <w:sz w:val="24"/>
        </w:rPr>
        <w:t>5</w:t>
      </w:r>
      <w:r>
        <w:rPr>
          <w:rFonts w:hint="eastAsia" w:ascii="宋体" w:hAnsi="宋体"/>
          <w:sz w:val="24"/>
        </w:rPr>
        <w:t>个工作日内退还已收取的投标保证金；</w:t>
      </w:r>
    </w:p>
    <w:p>
      <w:pPr>
        <w:numPr>
          <w:ilvl w:val="2"/>
          <w:numId w:val="10"/>
        </w:numPr>
        <w:snapToGrid w:val="0"/>
        <w:spacing w:line="360" w:lineRule="auto"/>
        <w:rPr>
          <w:rFonts w:ascii="宋体"/>
          <w:sz w:val="24"/>
        </w:rPr>
      </w:pPr>
      <w:r>
        <w:rPr>
          <w:rFonts w:hint="eastAsia" w:ascii="宋体" w:hAnsi="宋体"/>
          <w:sz w:val="24"/>
        </w:rPr>
        <w:t>中标人的投标保证金，自采购合同签订之日起</w:t>
      </w:r>
      <w:r>
        <w:rPr>
          <w:rFonts w:ascii="宋体" w:hAnsi="宋体"/>
          <w:sz w:val="24"/>
        </w:rPr>
        <w:t>5</w:t>
      </w:r>
      <w:r>
        <w:rPr>
          <w:rFonts w:hint="eastAsia" w:ascii="宋体" w:hAnsi="宋体"/>
          <w:sz w:val="24"/>
        </w:rPr>
        <w:t>个工作日内退还中标人；</w:t>
      </w:r>
    </w:p>
    <w:p>
      <w:pPr>
        <w:numPr>
          <w:ilvl w:val="2"/>
          <w:numId w:val="10"/>
        </w:numPr>
        <w:snapToGrid w:val="0"/>
        <w:spacing w:line="360" w:lineRule="auto"/>
        <w:rPr>
          <w:rFonts w:ascii="宋体"/>
          <w:sz w:val="24"/>
        </w:rPr>
      </w:pPr>
      <w:r>
        <w:rPr>
          <w:rFonts w:hint="eastAsia" w:ascii="宋体" w:hAnsi="宋体"/>
          <w:sz w:val="24"/>
        </w:rPr>
        <w:t>未中标投标人的投标保证金，自中标通知书发出之日起</w:t>
      </w:r>
      <w:r>
        <w:rPr>
          <w:rFonts w:ascii="宋体" w:hAnsi="宋体"/>
          <w:sz w:val="24"/>
        </w:rPr>
        <w:t>5</w:t>
      </w:r>
      <w:r>
        <w:rPr>
          <w:rFonts w:hint="eastAsia" w:ascii="宋体" w:hAnsi="宋体"/>
          <w:sz w:val="24"/>
        </w:rPr>
        <w:t>个工作日内退还未中标人；</w:t>
      </w:r>
    </w:p>
    <w:p>
      <w:pPr>
        <w:numPr>
          <w:ilvl w:val="2"/>
          <w:numId w:val="10"/>
        </w:numPr>
        <w:snapToGrid w:val="0"/>
        <w:spacing w:line="360" w:lineRule="auto"/>
        <w:rPr>
          <w:rFonts w:ascii="宋体"/>
          <w:sz w:val="24"/>
        </w:rPr>
      </w:pPr>
      <w:r>
        <w:rPr>
          <w:rFonts w:hint="eastAsia" w:ascii="宋体" w:hAnsi="宋体"/>
          <w:sz w:val="24"/>
        </w:rPr>
        <w:t>终止招标项目已经收取投标保证金的，自终止采购活动后</w:t>
      </w:r>
      <w:r>
        <w:rPr>
          <w:rFonts w:ascii="宋体" w:hAnsi="宋体"/>
          <w:sz w:val="24"/>
        </w:rPr>
        <w:t>5</w:t>
      </w:r>
      <w:r>
        <w:rPr>
          <w:rFonts w:hint="eastAsia" w:ascii="宋体" w:hAnsi="宋体"/>
          <w:sz w:val="24"/>
        </w:rPr>
        <w:t>个工作日内退还已收取的投标保证金及其在银行产生的孳息。</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有下列情形之一的，采购人或采购代理机构可以不予退还投标保证金：</w:t>
      </w:r>
    </w:p>
    <w:p>
      <w:pPr>
        <w:numPr>
          <w:ilvl w:val="2"/>
          <w:numId w:val="10"/>
        </w:numPr>
        <w:snapToGrid w:val="0"/>
        <w:spacing w:line="360" w:lineRule="auto"/>
        <w:rPr>
          <w:rFonts w:ascii="宋体"/>
          <w:sz w:val="24"/>
        </w:rPr>
      </w:pPr>
      <w:r>
        <w:rPr>
          <w:rFonts w:hint="eastAsia" w:ascii="宋体" w:hAnsi="宋体"/>
          <w:sz w:val="24"/>
        </w:rPr>
        <w:t>投标有效期内投标人撤销投标文件的；</w:t>
      </w:r>
    </w:p>
    <w:p>
      <w:pPr>
        <w:numPr>
          <w:ilvl w:val="2"/>
          <w:numId w:val="10"/>
        </w:numPr>
        <w:tabs>
          <w:tab w:val="left" w:pos="900"/>
          <w:tab w:val="left" w:pos="1080"/>
          <w:tab w:val="left" w:pos="2014"/>
        </w:tabs>
        <w:snapToGrid w:val="0"/>
        <w:spacing w:line="360" w:lineRule="auto"/>
        <w:rPr>
          <w:rFonts w:ascii="宋体"/>
          <w:sz w:val="24"/>
        </w:rPr>
      </w:pPr>
      <w:r>
        <w:rPr>
          <w:rFonts w:hint="eastAsia" w:ascii="宋体" w:hAnsi="宋体"/>
          <w:sz w:val="24"/>
        </w:rPr>
        <w:t>《投标人须知资料表》中规定的其他情形。</w:t>
      </w:r>
    </w:p>
    <w:p>
      <w:pPr>
        <w:numPr>
          <w:ilvl w:val="0"/>
          <w:numId w:val="10"/>
        </w:numPr>
        <w:tabs>
          <w:tab w:val="left" w:pos="360"/>
        </w:tabs>
        <w:snapToGrid w:val="0"/>
        <w:spacing w:line="360" w:lineRule="auto"/>
        <w:ind w:left="357" w:hanging="357"/>
        <w:outlineLvl w:val="1"/>
        <w:rPr>
          <w:rFonts w:ascii="宋体"/>
          <w:sz w:val="24"/>
        </w:rPr>
      </w:pPr>
      <w:bookmarkStart w:id="334" w:name="_Toc127151532"/>
      <w:bookmarkStart w:id="335" w:name="_Toc149720825"/>
      <w:bookmarkStart w:id="336" w:name="_Toc305158800"/>
      <w:bookmarkStart w:id="337" w:name="_Toc142311034"/>
      <w:bookmarkStart w:id="338" w:name="_Toc264969222"/>
      <w:bookmarkStart w:id="339" w:name="_Toc195842897"/>
      <w:bookmarkStart w:id="340" w:name="_Toc151193846"/>
      <w:bookmarkStart w:id="341" w:name="_Toc150509283"/>
      <w:bookmarkStart w:id="342" w:name="_Toc151193630"/>
      <w:bookmarkStart w:id="343" w:name="_Toc151193702"/>
      <w:bookmarkStart w:id="344" w:name="_Toc150774737"/>
      <w:bookmarkStart w:id="345" w:name="_Toc164229227"/>
      <w:bookmarkStart w:id="346" w:name="_Toc151190159"/>
      <w:bookmarkStart w:id="347" w:name="_Toc151193774"/>
      <w:bookmarkStart w:id="348" w:name="_Toc226337228"/>
      <w:bookmarkStart w:id="349" w:name="_Toc226309776"/>
      <w:bookmarkStart w:id="350" w:name="_Toc164608801"/>
      <w:bookmarkStart w:id="351" w:name="_Toc127161446"/>
      <w:bookmarkStart w:id="352" w:name="_Toc305158874"/>
      <w:bookmarkStart w:id="353" w:name="_Toc226965805"/>
      <w:bookmarkStart w:id="354" w:name="_Toc226965722"/>
      <w:bookmarkStart w:id="355" w:name="_Toc150774632"/>
      <w:bookmarkStart w:id="356" w:name="_Toc164229373"/>
      <w:bookmarkStart w:id="357" w:name="_Toc520356157"/>
      <w:bookmarkStart w:id="358" w:name="_Toc151193920"/>
      <w:bookmarkStart w:id="359" w:name="_Toc127151733"/>
      <w:bookmarkStart w:id="360" w:name="_Toc164351626"/>
      <w:bookmarkStart w:id="361" w:name="_Toc150480770"/>
      <w:bookmarkStart w:id="362" w:name="_Toc164608646"/>
      <w:bookmarkStart w:id="363" w:name="_Toc265228370"/>
      <w:r>
        <w:rPr>
          <w:rFonts w:hint="eastAsia" w:ascii="宋体" w:hAnsi="宋体"/>
          <w:sz w:val="24"/>
        </w:rPr>
        <w:t>投标有效期</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投标文件应在本招标文件《投标人须知资料表》中规定的投标有效期内保持有效，投标有效期少于招标文件规定期限的，其</w:t>
      </w:r>
      <w:r>
        <w:rPr>
          <w:rFonts w:hint="eastAsia" w:ascii="宋体" w:hAnsi="宋体"/>
          <w:b/>
          <w:sz w:val="24"/>
        </w:rPr>
        <w:t>投标无效</w:t>
      </w:r>
      <w:r>
        <w:rPr>
          <w:rFonts w:hint="eastAsia" w:ascii="宋体" w:hAnsi="宋体"/>
          <w:sz w:val="24"/>
        </w:rPr>
        <w:t>。</w:t>
      </w:r>
    </w:p>
    <w:p>
      <w:pPr>
        <w:widowControl/>
        <w:jc w:val="left"/>
        <w:rPr>
          <w:rFonts w:ascii="宋体" w:hAnsi="宋体"/>
          <w:sz w:val="24"/>
        </w:rPr>
      </w:pPr>
      <w:bookmarkStart w:id="364" w:name="_Toc520356158"/>
      <w:bookmarkStart w:id="365" w:name="_Toc150509284"/>
      <w:bookmarkStart w:id="366" w:name="_Toc164608647"/>
      <w:bookmarkStart w:id="367" w:name="_Toc226965723"/>
      <w:bookmarkStart w:id="368" w:name="_Toc226965806"/>
      <w:bookmarkStart w:id="369" w:name="_Toc150774633"/>
      <w:bookmarkStart w:id="370" w:name="_Toc150480771"/>
      <w:bookmarkStart w:id="371" w:name="_Toc164608802"/>
      <w:bookmarkStart w:id="372" w:name="_Toc149720826"/>
      <w:bookmarkStart w:id="373" w:name="_Toc127161447"/>
      <w:bookmarkStart w:id="374" w:name="_Toc226337229"/>
      <w:bookmarkStart w:id="375" w:name="_Toc151193921"/>
      <w:bookmarkStart w:id="376" w:name="_Toc265228371"/>
      <w:bookmarkStart w:id="377" w:name="_Toc195842898"/>
      <w:bookmarkStart w:id="378" w:name="_Toc127151533"/>
      <w:bookmarkStart w:id="379" w:name="_Toc151190160"/>
      <w:bookmarkStart w:id="380" w:name="_Toc150774738"/>
      <w:bookmarkStart w:id="381" w:name="_Toc164229228"/>
      <w:bookmarkStart w:id="382" w:name="_Toc226309777"/>
      <w:bookmarkStart w:id="383" w:name="_Toc164351627"/>
      <w:bookmarkStart w:id="384" w:name="_Toc151193847"/>
      <w:bookmarkStart w:id="385" w:name="_Toc142311035"/>
      <w:bookmarkStart w:id="386" w:name="_Toc151193631"/>
      <w:bookmarkStart w:id="387" w:name="_Toc305158875"/>
      <w:bookmarkStart w:id="388" w:name="_Toc305158801"/>
      <w:bookmarkStart w:id="389" w:name="_Toc151193775"/>
      <w:bookmarkStart w:id="390" w:name="_Toc264969223"/>
      <w:bookmarkStart w:id="391" w:name="_Toc164229374"/>
      <w:bookmarkStart w:id="392" w:name="_Toc151193703"/>
      <w:bookmarkStart w:id="393" w:name="_Toc127151734"/>
      <w:r>
        <w:rPr>
          <w:rFonts w:ascii="宋体" w:hAnsi="宋体"/>
          <w:sz w:val="24"/>
        </w:rPr>
        <w:br w:type="page"/>
      </w: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hint="eastAsia" w:ascii="宋体" w:hAnsi="宋体"/>
          <w:sz w:val="24"/>
        </w:rPr>
        <w:t>、盖章</w:t>
      </w:r>
    </w:p>
    <w:p>
      <w:pPr>
        <w:numPr>
          <w:ilvl w:val="1"/>
          <w:numId w:val="10"/>
        </w:numPr>
        <w:tabs>
          <w:tab w:val="left" w:pos="1080"/>
          <w:tab w:val="left" w:pos="2014"/>
        </w:tabs>
        <w:snapToGrid w:val="0"/>
        <w:spacing w:line="360" w:lineRule="auto"/>
        <w:ind w:left="1077" w:hanging="720"/>
        <w:rPr>
          <w:rFonts w:ascii="宋体"/>
          <w:sz w:val="24"/>
        </w:rPr>
      </w:pPr>
      <w:bookmarkStart w:id="394" w:name="_Toc520356159"/>
      <w:bookmarkStart w:id="395" w:name="_Toc151193848"/>
      <w:bookmarkStart w:id="396" w:name="_Toc226965807"/>
      <w:bookmarkStart w:id="397" w:name="_Toc305158876"/>
      <w:bookmarkStart w:id="398" w:name="_Toc305158802"/>
      <w:bookmarkStart w:id="399" w:name="_Toc265228372"/>
      <w:bookmarkStart w:id="400" w:name="_Toc151193704"/>
      <w:bookmarkStart w:id="401" w:name="_Toc150774634"/>
      <w:bookmarkStart w:id="402" w:name="_Toc226309778"/>
      <w:bookmarkStart w:id="403" w:name="_Toc150480772"/>
      <w:bookmarkStart w:id="404" w:name="_Toc195842899"/>
      <w:bookmarkStart w:id="405" w:name="_Toc151190161"/>
      <w:bookmarkStart w:id="406" w:name="_Toc226965724"/>
      <w:bookmarkStart w:id="407" w:name="_Toc151193632"/>
      <w:bookmarkStart w:id="408" w:name="_Toc151193776"/>
      <w:bookmarkStart w:id="409" w:name="_Toc151193922"/>
      <w:bookmarkStart w:id="410" w:name="_Toc226337230"/>
      <w:bookmarkStart w:id="411" w:name="_Toc127151534"/>
      <w:bookmarkStart w:id="412" w:name="_Toc264969224"/>
      <w:bookmarkStart w:id="413" w:name="_Toc150774739"/>
      <w:bookmarkStart w:id="414" w:name="_Toc150509285"/>
      <w:bookmarkStart w:id="415" w:name="_Toc142311036"/>
      <w:r>
        <w:rPr>
          <w:rFonts w:hint="eastAsia" w:ascii="宋体" w:hAnsi="宋体"/>
          <w:sz w:val="24"/>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投标文件的正本需打印或用不退色墨水书写；</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任何对投标文件行间插字、涂改和增删，必须由法定代表人或其授权代表签字或加盖本单位公章后有效；</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投标文件因字迹潦草或表达不清所引起的后果由投标人负责；</w:t>
      </w:r>
    </w:p>
    <w:p>
      <w:pPr>
        <w:numPr>
          <w:ilvl w:val="1"/>
          <w:numId w:val="10"/>
        </w:numPr>
        <w:tabs>
          <w:tab w:val="left" w:pos="1080"/>
          <w:tab w:val="left" w:pos="2014"/>
        </w:tabs>
        <w:snapToGrid w:val="0"/>
        <w:spacing w:line="360" w:lineRule="auto"/>
        <w:ind w:left="1077" w:hanging="720"/>
      </w:pPr>
      <w:r>
        <w:rPr>
          <w:rFonts w:hint="eastAsia" w:ascii="宋体" w:hAnsi="宋体"/>
          <w:sz w:val="24"/>
        </w:rPr>
        <w:t>招标文件中所要求加盖的投标人公章是指与投标人名称全称相一致的“行政公章”，不得加盖其它“合同专用章、投标专用章、财务专用章”等非行政公章，否则将被视为无效投标。</w:t>
      </w:r>
    </w:p>
    <w:p>
      <w:pPr>
        <w:tabs>
          <w:tab w:val="left" w:pos="900"/>
          <w:tab w:val="left" w:pos="1080"/>
        </w:tabs>
        <w:snapToGrid w:val="0"/>
        <w:spacing w:line="360" w:lineRule="auto"/>
        <w:ind w:left="357"/>
        <w:rPr>
          <w:rFonts w:ascii="宋体"/>
        </w:rPr>
      </w:pPr>
    </w:p>
    <w:p>
      <w:pPr>
        <w:pStyle w:val="3"/>
        <w:spacing w:before="0" w:line="360" w:lineRule="auto"/>
        <w:rPr>
          <w:rFonts w:ascii="宋体" w:hAnsi="宋体" w:eastAsia="宋体"/>
          <w:sz w:val="28"/>
        </w:rPr>
      </w:pPr>
      <w:r>
        <w:rPr>
          <w:rFonts w:hint="eastAsia" w:ascii="宋体" w:hAnsi="宋体" w:eastAsia="宋体"/>
          <w:sz w:val="28"/>
        </w:rPr>
        <w:t>四</w:t>
      </w:r>
      <w:r>
        <w:rPr>
          <w:rFonts w:ascii="宋体" w:hAnsi="宋体" w:eastAsia="宋体"/>
          <w:sz w:val="28"/>
        </w:rPr>
        <w:t xml:space="preserve">   </w:t>
      </w:r>
      <w:r>
        <w:rPr>
          <w:rFonts w:hint="eastAsia" w:ascii="宋体" w:hAnsi="宋体" w:eastAsia="宋体"/>
          <w:sz w:val="28"/>
        </w:rPr>
        <w:t>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numPr>
          <w:ilvl w:val="0"/>
          <w:numId w:val="10"/>
        </w:numPr>
        <w:tabs>
          <w:tab w:val="left" w:pos="360"/>
        </w:tabs>
        <w:snapToGrid w:val="0"/>
        <w:spacing w:line="360" w:lineRule="auto"/>
        <w:ind w:left="357" w:hanging="357"/>
        <w:outlineLvl w:val="1"/>
        <w:rPr>
          <w:rFonts w:ascii="宋体" w:hAnsi="宋体"/>
          <w:sz w:val="24"/>
        </w:rPr>
      </w:pPr>
      <w:bookmarkStart w:id="416" w:name="_Toc226337231"/>
      <w:bookmarkStart w:id="417" w:name="_Toc150480773"/>
      <w:bookmarkStart w:id="418" w:name="_Toc520356160"/>
      <w:bookmarkStart w:id="419" w:name="_Toc164229230"/>
      <w:bookmarkStart w:id="420" w:name="_Toc151193633"/>
      <w:bookmarkStart w:id="421" w:name="_Toc127151535"/>
      <w:bookmarkStart w:id="422" w:name="_Toc150774635"/>
      <w:bookmarkStart w:id="423" w:name="_Toc305158803"/>
      <w:bookmarkStart w:id="424" w:name="_Toc150509286"/>
      <w:bookmarkStart w:id="425" w:name="_Toc151193849"/>
      <w:bookmarkStart w:id="426" w:name="_Toc151193705"/>
      <w:bookmarkStart w:id="427" w:name="_Toc305158877"/>
      <w:bookmarkStart w:id="428" w:name="_Toc164608649"/>
      <w:bookmarkStart w:id="429" w:name="_Toc164229376"/>
      <w:bookmarkStart w:id="430" w:name="_Toc265228373"/>
      <w:bookmarkStart w:id="431" w:name="_Toc195842900"/>
      <w:bookmarkStart w:id="432" w:name="_Toc164351629"/>
      <w:bookmarkStart w:id="433" w:name="_Toc151193777"/>
      <w:bookmarkStart w:id="434" w:name="_Toc226965725"/>
      <w:bookmarkStart w:id="435" w:name="_Toc127161449"/>
      <w:bookmarkStart w:id="436" w:name="_Toc127151736"/>
      <w:bookmarkStart w:id="437" w:name="_Toc264969225"/>
      <w:bookmarkStart w:id="438" w:name="_Toc164608804"/>
      <w:bookmarkStart w:id="439" w:name="_Toc151190162"/>
      <w:bookmarkStart w:id="440" w:name="_Toc149720828"/>
      <w:bookmarkStart w:id="441" w:name="_Toc226965808"/>
      <w:bookmarkStart w:id="442" w:name="_Toc150774740"/>
      <w:bookmarkStart w:id="443" w:name="_Toc226309779"/>
      <w:bookmarkStart w:id="444" w:name="_Toc142311037"/>
      <w:bookmarkStart w:id="445" w:name="_Toc151193923"/>
      <w:r>
        <w:rPr>
          <w:rFonts w:hint="eastAsia" w:ascii="宋体" w:hAnsi="宋体"/>
          <w:sz w:val="24"/>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sz w:val="24"/>
        </w:rPr>
        <w:t>提交</w:t>
      </w:r>
    </w:p>
    <w:p>
      <w:pPr>
        <w:numPr>
          <w:ilvl w:val="1"/>
          <w:numId w:val="10"/>
        </w:numPr>
        <w:tabs>
          <w:tab w:val="left" w:pos="993"/>
          <w:tab w:val="left" w:pos="2014"/>
        </w:tabs>
        <w:snapToGrid w:val="0"/>
        <w:spacing w:line="360" w:lineRule="auto"/>
        <w:ind w:left="1077" w:hanging="720"/>
        <w:rPr>
          <w:rFonts w:ascii="宋体" w:hAnsi="宋体"/>
          <w:sz w:val="24"/>
        </w:rPr>
      </w:pPr>
      <w:bookmarkStart w:id="446" w:name="_Toc226965726"/>
      <w:bookmarkStart w:id="447" w:name="_Toc142311038"/>
      <w:bookmarkStart w:id="448" w:name="_Toc164608805"/>
      <w:bookmarkStart w:id="449" w:name="_Toc226337232"/>
      <w:bookmarkStart w:id="450" w:name="_Toc226965809"/>
      <w:bookmarkStart w:id="451" w:name="_Toc264969226"/>
      <w:bookmarkStart w:id="452" w:name="_Toc150480774"/>
      <w:bookmarkStart w:id="453" w:name="_Toc127161450"/>
      <w:bookmarkStart w:id="454" w:name="_Toc151193634"/>
      <w:bookmarkStart w:id="455" w:name="_Toc151193706"/>
      <w:bookmarkStart w:id="456" w:name="_Toc520356161"/>
      <w:bookmarkStart w:id="457" w:name="_Toc164229377"/>
      <w:bookmarkStart w:id="458" w:name="_Toc149720829"/>
      <w:bookmarkStart w:id="459" w:name="_Toc164229231"/>
      <w:bookmarkStart w:id="460" w:name="_Toc151190163"/>
      <w:bookmarkStart w:id="461" w:name="_Toc127151536"/>
      <w:bookmarkStart w:id="462" w:name="_Toc164608650"/>
      <w:bookmarkStart w:id="463" w:name="_Toc265228374"/>
      <w:bookmarkStart w:id="464" w:name="_Toc150774741"/>
      <w:bookmarkStart w:id="465" w:name="_Toc151193778"/>
      <w:bookmarkStart w:id="466" w:name="_Toc164351630"/>
      <w:bookmarkStart w:id="467" w:name="_Toc127151737"/>
      <w:bookmarkStart w:id="468" w:name="_Toc226309780"/>
      <w:bookmarkStart w:id="469" w:name="_Toc305158804"/>
      <w:bookmarkStart w:id="470" w:name="_Toc305158878"/>
      <w:bookmarkStart w:id="471" w:name="_Toc195842901"/>
      <w:bookmarkStart w:id="472" w:name="_Toc150774636"/>
      <w:bookmarkStart w:id="473" w:name="_Toc151193850"/>
      <w:bookmarkStart w:id="474" w:name="_Toc151193924"/>
      <w:bookmarkStart w:id="475" w:name="_Toc150509287"/>
      <w:r>
        <w:rPr>
          <w:rFonts w:hint="eastAsia" w:ascii="宋体" w:hAnsi="宋体"/>
          <w:sz w:val="24"/>
        </w:rPr>
        <w:t>投标文件一律采用A4纸（图纸、彩页等除外）左侧装订。装订应牢固可靠，不易散落，不得采用活页式装订，采购人或采购代理机构对因装订不牢造成的文件散失不负责任。投标文件可双面打印。</w:t>
      </w:r>
    </w:p>
    <w:p>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投标人应将“开标一览表”、“投标文件资格证明文件正本”、“ 投标文件资格证明文件副本”、“投标文件商务技术文件正本”、“ 投标文件商务技术文件副本”、“投标保证金证明文件（如有）”、“投标文件电子版”、“样品（如有）”分开单独密封，并在密封袋/箱上分别标明“开标一览表”、“投标文件资格证明文件正本”、“投标文件资格证明文件副本”、“投标保证金证明文件（如有）”、“投标文件电子版”、“投标文件商务技术文件正本”、“投标文件商务技术文件副本”、“样品（如有）”字样，在投标时统一递交。</w:t>
      </w:r>
    </w:p>
    <w:p>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所有密封袋/箱上均应：</w:t>
      </w:r>
    </w:p>
    <w:p>
      <w:pPr>
        <w:tabs>
          <w:tab w:val="left" w:pos="1080"/>
          <w:tab w:val="left" w:pos="2014"/>
        </w:tabs>
        <w:snapToGrid w:val="0"/>
        <w:spacing w:line="360" w:lineRule="auto"/>
        <w:ind w:left="1077"/>
        <w:rPr>
          <w:rFonts w:ascii="宋体" w:hAnsi="宋体"/>
          <w:sz w:val="24"/>
        </w:rPr>
      </w:pPr>
      <w:r>
        <w:rPr>
          <w:rFonts w:hint="eastAsia" w:ascii="宋体" w:hAnsi="宋体"/>
          <w:sz w:val="24"/>
        </w:rPr>
        <w:t>1)清楚标明投标文件递交地点暨开标地点。</w:t>
      </w:r>
    </w:p>
    <w:p>
      <w:pPr>
        <w:tabs>
          <w:tab w:val="left" w:pos="1080"/>
          <w:tab w:val="left" w:pos="2014"/>
        </w:tabs>
        <w:snapToGrid w:val="0"/>
        <w:spacing w:line="360" w:lineRule="auto"/>
        <w:ind w:left="1077"/>
        <w:rPr>
          <w:rFonts w:ascii="宋体" w:hAnsi="宋体"/>
          <w:sz w:val="24"/>
        </w:rPr>
      </w:pPr>
      <w:r>
        <w:rPr>
          <w:rFonts w:hint="eastAsia" w:ascii="宋体" w:hAnsi="宋体"/>
          <w:sz w:val="24"/>
        </w:rPr>
        <w:t>2)注明招标的项目名称、项目代理编号和投标人名称和地址，以及“在（开标时间）之前不得启封”的字样。如果投标人未按上述要求加写标记的，采购代理机构对投标文件的误投概不负责。</w:t>
      </w:r>
    </w:p>
    <w:p>
      <w:pPr>
        <w:tabs>
          <w:tab w:val="left" w:pos="1080"/>
          <w:tab w:val="left" w:pos="2014"/>
        </w:tabs>
        <w:snapToGrid w:val="0"/>
        <w:spacing w:line="360" w:lineRule="auto"/>
        <w:ind w:left="1077"/>
        <w:rPr>
          <w:rFonts w:ascii="宋体" w:hAnsi="宋体"/>
          <w:sz w:val="24"/>
        </w:rPr>
      </w:pPr>
      <w:r>
        <w:rPr>
          <w:rFonts w:hint="eastAsia" w:ascii="宋体" w:hAnsi="宋体"/>
          <w:sz w:val="24"/>
        </w:rPr>
        <w:t>3)投标人提供投标文件的密封粘贴处应加盖本单位公章，以便确认密封情况，不符合要求的投标将被拒绝。</w:t>
      </w:r>
    </w:p>
    <w:p>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如需提供样品的，采购活动结束后，对于未中标人提供的样品，应当及时退还或者经未中标人同意后自行处理；对于中标人提供的样品，应当按照招标文件的规定进行保管、封存，并作为履约验收的参考。</w:t>
      </w: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hint="eastAsia" w:ascii="宋体" w:hAnsi="宋体"/>
          <w:sz w:val="24"/>
        </w:rPr>
        <w:t>时间</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投标人应在招标文件要求提交投标文件截止时间前，将投标文件按招标公告或投标邀请书中规定的投标地点递交。</w:t>
      </w:r>
    </w:p>
    <w:p>
      <w:pPr>
        <w:numPr>
          <w:ilvl w:val="0"/>
          <w:numId w:val="10"/>
        </w:numPr>
        <w:tabs>
          <w:tab w:val="left" w:pos="360"/>
        </w:tabs>
        <w:snapToGrid w:val="0"/>
        <w:spacing w:line="360" w:lineRule="auto"/>
        <w:ind w:left="357" w:hanging="357"/>
        <w:outlineLvl w:val="1"/>
        <w:rPr>
          <w:rFonts w:ascii="宋体"/>
          <w:sz w:val="24"/>
        </w:rPr>
      </w:pPr>
      <w:bookmarkStart w:id="476" w:name="_Toc164229232"/>
      <w:bookmarkStart w:id="477" w:name="_Toc151193779"/>
      <w:bookmarkStart w:id="478" w:name="_Toc151193925"/>
      <w:bookmarkStart w:id="479" w:name="_Toc149720830"/>
      <w:bookmarkStart w:id="480" w:name="_Toc265228375"/>
      <w:bookmarkStart w:id="481" w:name="_Toc195842902"/>
      <w:bookmarkStart w:id="482" w:name="_Toc151193635"/>
      <w:bookmarkStart w:id="483" w:name="_Toc150774742"/>
      <w:bookmarkStart w:id="484" w:name="_Toc127151738"/>
      <w:bookmarkStart w:id="485" w:name="_Toc226337233"/>
      <w:bookmarkStart w:id="486" w:name="_Toc164608806"/>
      <w:bookmarkStart w:id="487" w:name="_Toc151193851"/>
      <w:bookmarkStart w:id="488" w:name="_Toc151190164"/>
      <w:bookmarkStart w:id="489" w:name="_Toc305158805"/>
      <w:bookmarkStart w:id="490" w:name="_Toc305158879"/>
      <w:bookmarkStart w:id="491" w:name="_Toc226965810"/>
      <w:bookmarkStart w:id="492" w:name="_Toc127151537"/>
      <w:bookmarkStart w:id="493" w:name="_Toc164351631"/>
      <w:bookmarkStart w:id="494" w:name="_Toc164608651"/>
      <w:bookmarkStart w:id="495" w:name="_Toc226309781"/>
      <w:bookmarkStart w:id="496" w:name="_Toc150480775"/>
      <w:bookmarkStart w:id="497" w:name="_Toc520356162"/>
      <w:bookmarkStart w:id="498" w:name="_Toc226965727"/>
      <w:bookmarkStart w:id="499" w:name="_Toc150509288"/>
      <w:bookmarkStart w:id="500" w:name="_Toc264969227"/>
      <w:bookmarkStart w:id="501" w:name="_Toc127161451"/>
      <w:bookmarkStart w:id="502" w:name="_Toc150774637"/>
      <w:bookmarkStart w:id="503" w:name="_Toc142311039"/>
      <w:bookmarkStart w:id="504" w:name="_Toc164229378"/>
      <w:bookmarkStart w:id="505" w:name="_Toc151193707"/>
      <w:r>
        <w:rPr>
          <w:rFonts w:hint="eastAsia" w:ascii="宋体" w:hAnsi="宋体"/>
          <w:sz w:val="24"/>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投标截止时间前，投标人可以对所提交的投标文件进行补充、修改或者撤回。但应就其补充、修改或者撤回通知采购人或采购代理机构。</w:t>
      </w:r>
    </w:p>
    <w:p>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投标人对投标文件的补充、修改的内容应当按照招标文件要求签署、盖章，作为投标文件的组成部分。</w:t>
      </w:r>
    </w:p>
    <w:p>
      <w:pPr>
        <w:numPr>
          <w:ilvl w:val="1"/>
          <w:numId w:val="10"/>
        </w:numPr>
        <w:tabs>
          <w:tab w:val="left" w:pos="1080"/>
          <w:tab w:val="left" w:pos="2014"/>
        </w:tabs>
        <w:snapToGrid w:val="0"/>
        <w:spacing w:line="360" w:lineRule="auto"/>
        <w:ind w:left="1077" w:hanging="720"/>
        <w:rPr>
          <w:rStyle w:val="278"/>
          <w:rFonts w:ascii="宋体" w:hAnsi="宋体"/>
          <w:sz w:val="24"/>
        </w:rPr>
      </w:pPr>
      <w:r>
        <w:rPr>
          <w:rStyle w:val="278"/>
          <w:rFonts w:ascii="宋体" w:hAnsi="宋体" w:cs="宋体"/>
          <w:sz w:val="24"/>
          <w:lang w:val="zh-TW" w:eastAsia="zh-TW"/>
        </w:rPr>
        <w:t>在投标截止时间之后，投标人不得对其所提交的投标文件做任何修改</w:t>
      </w:r>
    </w:p>
    <w:p>
      <w:pPr>
        <w:pStyle w:val="42"/>
        <w:ind w:firstLine="480"/>
      </w:pPr>
    </w:p>
    <w:p>
      <w:pPr>
        <w:spacing w:line="360" w:lineRule="auto"/>
        <w:rPr>
          <w:rFonts w:ascii="宋体"/>
          <w:sz w:val="24"/>
        </w:rPr>
      </w:pPr>
    </w:p>
    <w:p>
      <w:pPr>
        <w:pStyle w:val="3"/>
        <w:spacing w:before="0" w:line="360" w:lineRule="auto"/>
        <w:rPr>
          <w:rFonts w:ascii="宋体" w:hAnsi="宋体" w:eastAsia="宋体"/>
          <w:sz w:val="28"/>
        </w:rPr>
      </w:pPr>
      <w:bookmarkStart w:id="506" w:name="_Toc151193780"/>
      <w:bookmarkStart w:id="507" w:name="_Toc226337234"/>
      <w:bookmarkStart w:id="508" w:name="_Toc305158806"/>
      <w:bookmarkStart w:id="509" w:name="_Toc127151538"/>
      <w:bookmarkStart w:id="510" w:name="_Toc142311040"/>
      <w:bookmarkStart w:id="511" w:name="_Toc226965811"/>
      <w:bookmarkStart w:id="512" w:name="_Toc150774638"/>
      <w:bookmarkStart w:id="513" w:name="_Toc264969228"/>
      <w:bookmarkStart w:id="514" w:name="_Toc226309782"/>
      <w:bookmarkStart w:id="515" w:name="_Toc150480776"/>
      <w:bookmarkStart w:id="516" w:name="_Toc151193852"/>
      <w:bookmarkStart w:id="517" w:name="_Toc151193636"/>
      <w:bookmarkStart w:id="518" w:name="_Toc151193926"/>
      <w:bookmarkStart w:id="519" w:name="_Toc265228376"/>
      <w:bookmarkStart w:id="520" w:name="_Toc226965728"/>
      <w:bookmarkStart w:id="521" w:name="_Toc151193708"/>
      <w:bookmarkStart w:id="522" w:name="_Toc195842903"/>
      <w:bookmarkStart w:id="523" w:name="_Toc150774743"/>
      <w:bookmarkStart w:id="524" w:name="_Toc150509289"/>
      <w:bookmarkStart w:id="525" w:name="_Toc305158880"/>
      <w:bookmarkStart w:id="526" w:name="_Toc151190165"/>
      <w:bookmarkStart w:id="527" w:name="_Toc520356163"/>
      <w:r>
        <w:rPr>
          <w:rFonts w:hint="eastAsia" w:ascii="宋体" w:hAnsi="宋体" w:eastAsia="宋体"/>
          <w:sz w:val="28"/>
        </w:rPr>
        <w:t>五</w:t>
      </w:r>
      <w:r>
        <w:rPr>
          <w:rFonts w:ascii="宋体" w:hAnsi="宋体" w:eastAsia="宋体"/>
          <w:sz w:val="28"/>
        </w:rPr>
        <w:t xml:space="preserve">   </w:t>
      </w:r>
      <w:r>
        <w:rPr>
          <w:rFonts w:hint="eastAsia" w:ascii="宋体" w:hAnsi="宋体" w:eastAsia="宋体"/>
          <w:sz w:val="28"/>
        </w:rPr>
        <w:t>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pPr>
        <w:numPr>
          <w:ilvl w:val="0"/>
          <w:numId w:val="10"/>
        </w:numPr>
        <w:tabs>
          <w:tab w:val="left" w:pos="360"/>
        </w:tabs>
        <w:snapToGrid w:val="0"/>
        <w:spacing w:line="360" w:lineRule="auto"/>
        <w:ind w:left="357" w:hanging="357"/>
        <w:outlineLvl w:val="1"/>
        <w:rPr>
          <w:rFonts w:ascii="宋体"/>
          <w:sz w:val="24"/>
        </w:rPr>
      </w:pPr>
      <w:bookmarkStart w:id="528" w:name="_Toc150774744"/>
      <w:bookmarkStart w:id="529" w:name="_Toc150774639"/>
      <w:bookmarkStart w:id="530" w:name="_Toc150480777"/>
      <w:bookmarkStart w:id="531" w:name="_Toc520356164"/>
      <w:bookmarkStart w:id="532" w:name="_Toc226965729"/>
      <w:bookmarkStart w:id="533" w:name="_Toc151193927"/>
      <w:bookmarkStart w:id="534" w:name="_Toc226337235"/>
      <w:bookmarkStart w:id="535" w:name="_Toc127151539"/>
      <w:bookmarkStart w:id="536" w:name="_Toc164229234"/>
      <w:bookmarkStart w:id="537" w:name="_Toc151193853"/>
      <w:bookmarkStart w:id="538" w:name="_Toc305158881"/>
      <w:bookmarkStart w:id="539" w:name="_Toc150509290"/>
      <w:bookmarkStart w:id="540" w:name="_Toc127151740"/>
      <w:bookmarkStart w:id="541" w:name="_Toc164229380"/>
      <w:bookmarkStart w:id="542" w:name="_Toc142311041"/>
      <w:bookmarkStart w:id="543" w:name="_Toc164351633"/>
      <w:bookmarkStart w:id="544" w:name="_Toc151193637"/>
      <w:bookmarkStart w:id="545" w:name="_Toc149720832"/>
      <w:bookmarkStart w:id="546" w:name="_Toc127161453"/>
      <w:bookmarkStart w:id="547" w:name="_Toc164608808"/>
      <w:bookmarkStart w:id="548" w:name="_Toc151190166"/>
      <w:bookmarkStart w:id="549" w:name="_Toc264969229"/>
      <w:bookmarkStart w:id="550" w:name="_Toc265228377"/>
      <w:bookmarkStart w:id="551" w:name="_Toc151193709"/>
      <w:bookmarkStart w:id="552" w:name="_Toc164608653"/>
      <w:bookmarkStart w:id="553" w:name="_Toc226965812"/>
      <w:bookmarkStart w:id="554" w:name="_Toc305158807"/>
      <w:bookmarkStart w:id="555" w:name="_Toc195842904"/>
      <w:bookmarkStart w:id="556" w:name="_Toc226309783"/>
      <w:bookmarkStart w:id="557" w:name="_Toc151193781"/>
      <w:r>
        <w:rPr>
          <w:rFonts w:hint="eastAsia" w:ascii="宋体" w:hAnsi="宋体"/>
          <w:sz w:val="24"/>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pPr>
        <w:pStyle w:val="189"/>
        <w:numPr>
          <w:ilvl w:val="1"/>
          <w:numId w:val="10"/>
        </w:numPr>
        <w:tabs>
          <w:tab w:val="left" w:pos="1418"/>
          <w:tab w:val="clear" w:pos="1589"/>
        </w:tabs>
        <w:spacing w:line="360" w:lineRule="auto"/>
        <w:rPr>
          <w:rFonts w:ascii="宋体" w:hAnsi="宋体" w:eastAsia="宋体" w:cs="宋体"/>
          <w:color w:val="auto"/>
          <w:sz w:val="24"/>
          <w:szCs w:val="24"/>
          <w:lang w:val="zh-TW" w:eastAsia="zh-TW"/>
        </w:rPr>
      </w:pPr>
      <w:bookmarkStart w:id="558" w:name="_Toc520356165"/>
      <w:r>
        <w:rPr>
          <w:rStyle w:val="278"/>
          <w:rFonts w:ascii="宋体" w:hAnsi="宋体" w:eastAsia="宋体" w:cs="宋体"/>
          <w:color w:val="auto"/>
          <w:sz w:val="24"/>
          <w:szCs w:val="24"/>
          <w:lang w:val="zh-TW" w:eastAsia="zh-TW"/>
        </w:rPr>
        <w:t>采购人或采购代理机构将按</w:t>
      </w:r>
      <w:r>
        <w:rPr>
          <w:rStyle w:val="278"/>
          <w:rFonts w:hint="eastAsia" w:ascii="宋体" w:hAnsi="宋体" w:eastAsia="宋体" w:cs="宋体"/>
          <w:color w:val="auto"/>
          <w:sz w:val="24"/>
          <w:szCs w:val="24"/>
          <w:lang w:val="zh-TW"/>
        </w:rPr>
        <w:t>招标</w:t>
      </w:r>
      <w:r>
        <w:rPr>
          <w:rStyle w:val="278"/>
          <w:rFonts w:ascii="宋体" w:hAnsi="宋体" w:eastAsia="宋体" w:cs="宋体"/>
          <w:color w:val="auto"/>
          <w:sz w:val="24"/>
          <w:szCs w:val="24"/>
          <w:lang w:val="zh-TW" w:eastAsia="zh-TW"/>
        </w:rPr>
        <w:t>文件的规定，在投标截止时间的同一时间和招标文件预先确定的地点组织开标。所有投标人应派法定代表人或授权代表参加开标会，并签到以证明其出席。</w:t>
      </w:r>
    </w:p>
    <w:p>
      <w:pPr>
        <w:pStyle w:val="189"/>
        <w:numPr>
          <w:ilvl w:val="1"/>
          <w:numId w:val="10"/>
        </w:numPr>
        <w:spacing w:line="360" w:lineRule="auto"/>
        <w:ind w:left="1418" w:hanging="850"/>
        <w:rPr>
          <w:rFonts w:ascii="宋体" w:hAnsi="宋体" w:eastAsia="宋体" w:cs="宋体"/>
          <w:color w:val="auto"/>
          <w:sz w:val="24"/>
          <w:szCs w:val="24"/>
          <w:lang w:val="zh-TW" w:eastAsia="zh-TW"/>
        </w:rPr>
      </w:pPr>
      <w:r>
        <w:rPr>
          <w:rStyle w:val="278"/>
          <w:rFonts w:ascii="宋体" w:hAnsi="宋体" w:eastAsia="宋体" w:cs="宋体"/>
          <w:color w:val="auto"/>
          <w:sz w:val="24"/>
          <w:szCs w:val="24"/>
          <w:lang w:val="zh-TW" w:eastAsia="zh-TW"/>
        </w:rPr>
        <w:t>开标时，由公证员（如有）、监标人（如有）、投标人或者其推选的代表检查投标文件的密封情况。</w:t>
      </w:r>
    </w:p>
    <w:p>
      <w:pPr>
        <w:pStyle w:val="189"/>
        <w:numPr>
          <w:ilvl w:val="1"/>
          <w:numId w:val="10"/>
        </w:numPr>
        <w:spacing w:line="360" w:lineRule="auto"/>
        <w:rPr>
          <w:rFonts w:ascii="宋体" w:hAnsi="宋体" w:eastAsia="宋体" w:cs="宋体"/>
          <w:color w:val="auto"/>
          <w:sz w:val="24"/>
          <w:szCs w:val="24"/>
          <w:lang w:val="zh-TW" w:eastAsia="zh-TW"/>
        </w:rPr>
      </w:pPr>
      <w:r>
        <w:rPr>
          <w:rStyle w:val="278"/>
          <w:rFonts w:ascii="宋体" w:hAnsi="宋体" w:eastAsia="宋体" w:cs="宋体"/>
          <w:color w:val="auto"/>
          <w:sz w:val="24"/>
          <w:szCs w:val="24"/>
          <w:lang w:val="zh-TW" w:eastAsia="zh-TW"/>
        </w:rPr>
        <w:t>开标时，采购代理机构工作人员当众拆封，宣布投标人名称、投标价格和招标文件规定的需要宣布的其他内容。</w:t>
      </w:r>
    </w:p>
    <w:p>
      <w:pPr>
        <w:pStyle w:val="189"/>
        <w:numPr>
          <w:ilvl w:val="1"/>
          <w:numId w:val="10"/>
        </w:numPr>
        <w:spacing w:line="360" w:lineRule="auto"/>
        <w:rPr>
          <w:rFonts w:ascii="宋体" w:hAnsi="宋体" w:eastAsia="宋体" w:cs="宋体"/>
          <w:color w:val="auto"/>
          <w:sz w:val="24"/>
          <w:szCs w:val="24"/>
          <w:lang w:val="zh-TW" w:eastAsia="zh-TW"/>
        </w:rPr>
      </w:pPr>
      <w:r>
        <w:rPr>
          <w:rStyle w:val="278"/>
          <w:rFonts w:ascii="宋体" w:hAnsi="宋体" w:eastAsia="宋体" w:cs="宋体"/>
          <w:color w:val="auto"/>
          <w:sz w:val="24"/>
          <w:szCs w:val="24"/>
          <w:lang w:val="zh-TW" w:eastAsia="zh-TW"/>
        </w:rPr>
        <w:t>开标过程应当由采购代理机构负责记录，由公证员（如有）、监标人（如有）、参加开标的各投标人代表和相关工作人员签字。</w:t>
      </w:r>
    </w:p>
    <w:p>
      <w:pPr>
        <w:pStyle w:val="189"/>
        <w:numPr>
          <w:ilvl w:val="1"/>
          <w:numId w:val="10"/>
        </w:numPr>
        <w:spacing w:line="360" w:lineRule="auto"/>
        <w:rPr>
          <w:rStyle w:val="278"/>
          <w:rFonts w:ascii="宋体" w:hAnsi="宋体" w:eastAsia="宋体" w:cs="宋体"/>
          <w:color w:val="auto"/>
          <w:sz w:val="24"/>
          <w:szCs w:val="24"/>
          <w:lang w:val="zh-TW" w:eastAsia="zh-TW"/>
        </w:rPr>
      </w:pPr>
      <w:r>
        <w:rPr>
          <w:rFonts w:ascii="宋体" w:hAnsi="宋体" w:eastAsia="宋体" w:cs="宋体"/>
          <w:color w:val="auto"/>
          <w:sz w:val="24"/>
          <w:szCs w:val="24"/>
          <w:lang w:eastAsia="zh-TW"/>
        </w:rPr>
        <w:t>投标人对开标过程和开标记录有疑义，以及认为采购人、采购代理机构相关工作人员有需要回避的情形的，应当场</w:t>
      </w:r>
      <w:r>
        <w:rPr>
          <w:rFonts w:hint="eastAsia" w:ascii="宋体" w:hAnsi="宋体" w:eastAsia="宋体" w:cs="宋体"/>
          <w:color w:val="auto"/>
          <w:sz w:val="24"/>
          <w:szCs w:val="24"/>
          <w:lang w:eastAsia="zh-TW"/>
        </w:rPr>
        <w:t>提</w:t>
      </w:r>
      <w:r>
        <w:rPr>
          <w:rFonts w:ascii="宋体" w:hAnsi="宋体" w:eastAsia="宋体" w:cs="宋体"/>
          <w:color w:val="auto"/>
          <w:sz w:val="24"/>
          <w:szCs w:val="24"/>
          <w:lang w:eastAsia="zh-TW"/>
        </w:rPr>
        <w:t>出询问或者回避申请。采购人、采购代理机构对投标人提出的询问或者回避申请将及时处理。</w:t>
      </w:r>
    </w:p>
    <w:p>
      <w:pPr>
        <w:pStyle w:val="189"/>
        <w:numPr>
          <w:ilvl w:val="1"/>
          <w:numId w:val="10"/>
        </w:numPr>
        <w:spacing w:line="360" w:lineRule="auto"/>
        <w:rPr>
          <w:rFonts w:ascii="宋体" w:hAnsi="宋体" w:eastAsia="宋体" w:cs="宋体"/>
          <w:color w:val="auto"/>
          <w:sz w:val="24"/>
          <w:szCs w:val="24"/>
          <w:lang w:val="zh-TW" w:eastAsia="zh-TW"/>
        </w:rPr>
      </w:pPr>
      <w:r>
        <w:rPr>
          <w:rStyle w:val="278"/>
          <w:rFonts w:ascii="宋体" w:hAnsi="宋体" w:eastAsia="宋体" w:cs="宋体"/>
          <w:color w:val="auto"/>
          <w:sz w:val="24"/>
          <w:szCs w:val="24"/>
          <w:lang w:val="zh-TW" w:eastAsia="zh-TW"/>
        </w:rPr>
        <w:t>投标人未参加开标的，视同认可开标结果。</w:t>
      </w:r>
      <w:r>
        <w:rPr>
          <w:rStyle w:val="278"/>
          <w:rFonts w:ascii="宋体" w:hAnsi="宋体" w:eastAsia="PMingLiU" w:cs="宋体"/>
          <w:color w:val="auto"/>
          <w:sz w:val="24"/>
          <w:szCs w:val="24"/>
          <w:lang w:val="zh-TW" w:eastAsia="zh-TW"/>
        </w:rPr>
        <w:tab/>
      </w:r>
    </w:p>
    <w:p>
      <w:pPr>
        <w:pStyle w:val="189"/>
        <w:numPr>
          <w:ilvl w:val="1"/>
          <w:numId w:val="10"/>
        </w:numPr>
        <w:spacing w:line="360" w:lineRule="auto"/>
        <w:rPr>
          <w:rFonts w:ascii="宋体" w:hAnsi="宋体" w:eastAsia="PMingLiU" w:cs="宋体"/>
          <w:color w:val="auto"/>
          <w:sz w:val="24"/>
          <w:szCs w:val="24"/>
          <w:lang w:val="zh-TW" w:eastAsia="zh-TW"/>
        </w:rPr>
      </w:pPr>
      <w:r>
        <w:rPr>
          <w:rStyle w:val="278"/>
          <w:rFonts w:ascii="宋体" w:hAnsi="宋体" w:eastAsia="宋体" w:cs="宋体"/>
          <w:color w:val="auto"/>
          <w:sz w:val="24"/>
          <w:szCs w:val="24"/>
          <w:lang w:val="zh-TW" w:eastAsia="zh-TW"/>
        </w:rPr>
        <w:t>投标人不足</w:t>
      </w:r>
      <w:r>
        <w:rPr>
          <w:rStyle w:val="278"/>
          <w:rFonts w:ascii="宋体" w:hAnsi="宋体" w:eastAsia="宋体" w:cs="宋体"/>
          <w:color w:val="auto"/>
          <w:sz w:val="24"/>
          <w:szCs w:val="24"/>
        </w:rPr>
        <w:t>3</w:t>
      </w:r>
      <w:r>
        <w:rPr>
          <w:rStyle w:val="278"/>
          <w:rFonts w:ascii="宋体" w:hAnsi="宋体" w:eastAsia="宋体" w:cs="宋体"/>
          <w:color w:val="auto"/>
          <w:sz w:val="24"/>
          <w:szCs w:val="24"/>
          <w:lang w:val="zh-TW" w:eastAsia="zh-TW"/>
        </w:rPr>
        <w:t>家的，不予开标。</w:t>
      </w: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资格审查</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见第三章《资格审查》。</w:t>
      </w:r>
    </w:p>
    <w:bookmarkEnd w:id="558"/>
    <w:p>
      <w:pPr>
        <w:numPr>
          <w:ilvl w:val="0"/>
          <w:numId w:val="10"/>
        </w:numPr>
        <w:tabs>
          <w:tab w:val="left" w:pos="360"/>
        </w:tabs>
        <w:snapToGrid w:val="0"/>
        <w:spacing w:line="360" w:lineRule="auto"/>
        <w:ind w:left="357" w:hanging="357"/>
        <w:outlineLvl w:val="1"/>
        <w:rPr>
          <w:rFonts w:ascii="宋体"/>
          <w:sz w:val="24"/>
        </w:rPr>
      </w:pPr>
      <w:bookmarkStart w:id="559" w:name="_Toc226965813"/>
      <w:bookmarkStart w:id="560" w:name="_Toc151193854"/>
      <w:bookmarkStart w:id="561" w:name="_Toc150480778"/>
      <w:bookmarkStart w:id="562" w:name="_Toc151193710"/>
      <w:bookmarkStart w:id="563" w:name="_Toc226965730"/>
      <w:bookmarkStart w:id="564" w:name="_Toc226309784"/>
      <w:bookmarkStart w:id="565" w:name="_Toc142311042"/>
      <w:bookmarkStart w:id="566" w:name="_Toc164608654"/>
      <w:bookmarkStart w:id="567" w:name="_Toc305158882"/>
      <w:bookmarkStart w:id="568" w:name="_Toc164229381"/>
      <w:bookmarkStart w:id="569" w:name="_Toc151193928"/>
      <w:bookmarkStart w:id="570" w:name="_Toc164229235"/>
      <w:bookmarkStart w:id="571" w:name="_Toc151193638"/>
      <w:bookmarkStart w:id="572" w:name="_Toc150774745"/>
      <w:bookmarkStart w:id="573" w:name="_Toc265228378"/>
      <w:bookmarkStart w:id="574" w:name="_Toc195842905"/>
      <w:bookmarkStart w:id="575" w:name="_Toc127151741"/>
      <w:bookmarkStart w:id="576" w:name="_Toc226337236"/>
      <w:bookmarkStart w:id="577" w:name="_Toc127161454"/>
      <w:bookmarkStart w:id="578" w:name="_Toc149720833"/>
      <w:bookmarkStart w:id="579" w:name="_Toc264969230"/>
      <w:bookmarkStart w:id="580" w:name="_Toc150774640"/>
      <w:bookmarkStart w:id="581" w:name="_Toc164608809"/>
      <w:bookmarkStart w:id="582" w:name="_Toc127151540"/>
      <w:bookmarkStart w:id="583" w:name="_Toc151190167"/>
      <w:bookmarkStart w:id="584" w:name="_Toc151193782"/>
      <w:bookmarkStart w:id="585" w:name="_Toc164351634"/>
      <w:bookmarkStart w:id="586" w:name="_Toc305158808"/>
      <w:bookmarkStart w:id="587" w:name="_Toc150509291"/>
      <w:r>
        <w:rPr>
          <w:rFonts w:hint="eastAsia" w:ascii="宋体" w:hAnsi="宋体"/>
          <w:sz w:val="24"/>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评标委员会根据政府采购有关规定和本次招标采购项目的特点进行组建，并负责具体评标事务，独立履行职责。</w:t>
      </w:r>
      <w:bookmarkStart w:id="588" w:name="_Toc520356166"/>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评审专家须符合《财政部关于在政府采购活动中查询及使用信用记录有关问题的通知》（财库〔</w:t>
      </w:r>
      <w:r>
        <w:rPr>
          <w:rFonts w:ascii="宋体" w:hAnsi="宋体"/>
          <w:sz w:val="24"/>
        </w:rPr>
        <w:t>2016</w:t>
      </w:r>
      <w:r>
        <w:rPr>
          <w:rFonts w:hint="eastAsia" w:ascii="宋体" w:hAnsi="宋体"/>
          <w:sz w:val="24"/>
        </w:rPr>
        <w:t>〕</w:t>
      </w:r>
      <w:r>
        <w:rPr>
          <w:rFonts w:ascii="宋体" w:hAnsi="宋体"/>
          <w:sz w:val="24"/>
        </w:rPr>
        <w:t>125</w:t>
      </w:r>
      <w:r>
        <w:rPr>
          <w:rFonts w:hint="eastAsia" w:ascii="宋体" w:hAnsi="宋体"/>
          <w:sz w:val="24"/>
        </w:rPr>
        <w:t>号）的规定。依法自行选定评审专家的，采购人和采购代理机构将查询有关信用记录，对具有行贿、受贿、欺诈等不良信用记录的人员，拒绝其参与政府采购活动。</w:t>
      </w:r>
      <w:bookmarkEnd w:id="588"/>
      <w:bookmarkStart w:id="589" w:name="_Toc520356169"/>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评标程序、评标方法和评标标准</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见第四章《评标程序、评标方法和评标标准》。</w:t>
      </w:r>
    </w:p>
    <w:p>
      <w:pPr>
        <w:tabs>
          <w:tab w:val="left" w:pos="360"/>
          <w:tab w:val="left" w:pos="1080"/>
        </w:tabs>
        <w:snapToGrid w:val="0"/>
        <w:spacing w:line="360" w:lineRule="auto"/>
        <w:ind w:left="1080"/>
        <w:rPr>
          <w:rFonts w:ascii="宋体"/>
          <w:sz w:val="24"/>
        </w:rPr>
      </w:pPr>
    </w:p>
    <w:p>
      <w:pPr>
        <w:pStyle w:val="3"/>
        <w:spacing w:before="0" w:line="360" w:lineRule="auto"/>
        <w:rPr>
          <w:rFonts w:ascii="宋体" w:hAnsi="宋体" w:eastAsia="宋体"/>
          <w:sz w:val="28"/>
        </w:rPr>
      </w:pPr>
      <w:bookmarkStart w:id="590" w:name="_Toc150774645"/>
      <w:bookmarkStart w:id="591" w:name="_Toc142311047"/>
      <w:bookmarkStart w:id="592" w:name="_Toc151193787"/>
      <w:bookmarkStart w:id="593" w:name="_Toc265228383"/>
      <w:bookmarkStart w:id="594" w:name="_Toc264969235"/>
      <w:bookmarkStart w:id="595" w:name="_Toc226965818"/>
      <w:bookmarkStart w:id="596" w:name="_Toc305158813"/>
      <w:bookmarkStart w:id="597" w:name="_Toc226965735"/>
      <w:bookmarkStart w:id="598" w:name="_Toc150509296"/>
      <w:bookmarkStart w:id="599" w:name="_Toc150480783"/>
      <w:bookmarkStart w:id="600" w:name="_Toc195842910"/>
      <w:bookmarkStart w:id="601" w:name="_Toc151193715"/>
      <w:bookmarkStart w:id="602" w:name="_Toc305158887"/>
      <w:bookmarkStart w:id="603" w:name="_Toc151190172"/>
      <w:bookmarkStart w:id="604" w:name="_Toc150774750"/>
      <w:bookmarkStart w:id="605" w:name="_Toc151193859"/>
      <w:bookmarkStart w:id="606" w:name="_Toc226337241"/>
      <w:bookmarkStart w:id="607" w:name="_Toc226309789"/>
      <w:bookmarkStart w:id="608" w:name="_Toc151193643"/>
      <w:bookmarkStart w:id="609" w:name="_Toc127151545"/>
      <w:bookmarkStart w:id="610" w:name="_Toc151193933"/>
      <w:r>
        <w:rPr>
          <w:rFonts w:hint="eastAsia" w:ascii="宋体" w:hAnsi="宋体" w:eastAsia="宋体"/>
          <w:sz w:val="28"/>
        </w:rPr>
        <w:t>六</w:t>
      </w:r>
      <w:r>
        <w:rPr>
          <w:rFonts w:ascii="宋体" w:hAnsi="宋体" w:eastAsia="宋体"/>
          <w:sz w:val="28"/>
        </w:rPr>
        <w:t xml:space="preserve">   </w:t>
      </w:r>
      <w:bookmarkEnd w:id="589"/>
      <w:r>
        <w:rPr>
          <w:rFonts w:hint="eastAsia" w:ascii="宋体" w:hAnsi="宋体" w:eastAsia="宋体"/>
          <w:sz w:val="28"/>
        </w:rPr>
        <w:t>确定中标</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Start w:id="611" w:name="_Toc127151748"/>
      <w:bookmarkStart w:id="612" w:name="_Toc151193645"/>
      <w:bookmarkStart w:id="613" w:name="_Toc164351641"/>
      <w:bookmarkStart w:id="614" w:name="_Toc226965737"/>
      <w:bookmarkStart w:id="615" w:name="_Toc264969237"/>
      <w:bookmarkStart w:id="616" w:name="_Toc149720840"/>
      <w:bookmarkStart w:id="617" w:name="_Toc195842912"/>
      <w:bookmarkStart w:id="618" w:name="_Toc164229242"/>
      <w:bookmarkStart w:id="619" w:name="_Toc226309791"/>
      <w:bookmarkStart w:id="620" w:name="_Toc305158815"/>
      <w:bookmarkStart w:id="621" w:name="_Toc150509298"/>
      <w:bookmarkStart w:id="622" w:name="_Toc226965820"/>
      <w:bookmarkStart w:id="623" w:name="_Toc305158889"/>
      <w:bookmarkStart w:id="624" w:name="_Toc151193935"/>
      <w:bookmarkStart w:id="625" w:name="_Toc265228385"/>
      <w:bookmarkStart w:id="626" w:name="_Toc151193861"/>
      <w:bookmarkStart w:id="627" w:name="_Toc150774647"/>
      <w:bookmarkStart w:id="628" w:name="_Toc142311049"/>
      <w:bookmarkStart w:id="629" w:name="_Toc151193789"/>
      <w:bookmarkStart w:id="630" w:name="_Toc164229388"/>
      <w:bookmarkStart w:id="631" w:name="_Toc151190174"/>
      <w:bookmarkStart w:id="632" w:name="_Toc150480785"/>
      <w:bookmarkStart w:id="633" w:name="_Toc164608816"/>
      <w:bookmarkStart w:id="634" w:name="_Toc127161461"/>
      <w:bookmarkStart w:id="635" w:name="_Toc150774752"/>
      <w:bookmarkStart w:id="636" w:name="_Toc151193717"/>
      <w:bookmarkStart w:id="637" w:name="_Toc226337243"/>
      <w:bookmarkStart w:id="638" w:name="_Toc164608661"/>
      <w:bookmarkStart w:id="639" w:name="_Toc127151547"/>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确定中标人</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rFonts w:ascii="宋体"/>
          <w:sz w:val="24"/>
        </w:rPr>
      </w:pPr>
      <w:bookmarkStart w:id="640" w:name="_Toc305158817"/>
      <w:bookmarkStart w:id="641" w:name="_Toc305158891"/>
      <w:bookmarkStart w:id="642" w:name="_Toc226965822"/>
      <w:bookmarkStart w:id="643" w:name="_Toc151193863"/>
      <w:bookmarkStart w:id="644" w:name="_Toc265228387"/>
      <w:bookmarkStart w:id="645" w:name="_Toc226337245"/>
      <w:bookmarkStart w:id="646" w:name="_Toc151193719"/>
      <w:bookmarkStart w:id="647" w:name="_Toc164229244"/>
      <w:bookmarkStart w:id="648" w:name="_Toc150480787"/>
      <w:bookmarkStart w:id="649" w:name="_Toc195842914"/>
      <w:bookmarkStart w:id="650" w:name="_Toc226965739"/>
      <w:bookmarkStart w:id="651" w:name="_Toc164608663"/>
      <w:bookmarkStart w:id="652" w:name="_Toc150509300"/>
      <w:bookmarkStart w:id="653" w:name="_Toc264969239"/>
      <w:bookmarkStart w:id="654" w:name="_Toc150774754"/>
      <w:bookmarkStart w:id="655" w:name="_Toc142311051"/>
      <w:bookmarkStart w:id="656" w:name="_Toc149720842"/>
      <w:bookmarkStart w:id="657" w:name="_Toc150774649"/>
      <w:bookmarkStart w:id="658" w:name="_Toc127161463"/>
      <w:bookmarkStart w:id="659" w:name="_Toc151193791"/>
      <w:bookmarkStart w:id="660" w:name="_Toc127151750"/>
      <w:bookmarkStart w:id="661" w:name="_Toc151193937"/>
      <w:bookmarkStart w:id="662" w:name="_Toc226309793"/>
      <w:bookmarkStart w:id="663" w:name="_Toc164229390"/>
      <w:bookmarkStart w:id="664" w:name="_Toc127151549"/>
      <w:bookmarkStart w:id="665" w:name="_Toc151190176"/>
      <w:bookmarkStart w:id="666" w:name="_Toc151193647"/>
      <w:bookmarkStart w:id="667" w:name="_Toc164608818"/>
      <w:bookmarkStart w:id="668" w:name="_Toc164351643"/>
      <w:bookmarkStart w:id="669" w:name="_Toc520356176"/>
      <w:bookmarkStart w:id="670" w:name="_Ref467306425"/>
      <w:bookmarkStart w:id="671" w:name="_Ref467307090"/>
      <w:r>
        <w:rPr>
          <w:rFonts w:hint="eastAsia" w:ascii="宋体" w:hAnsi="宋体"/>
          <w:sz w:val="24"/>
        </w:rPr>
        <w:t>中标公告与中标通知书</w:t>
      </w:r>
      <w:bookmarkEnd w:id="640"/>
      <w:bookmarkEnd w:id="641"/>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采购人或采购代理机构自中标人确定之日起</w:t>
      </w:r>
      <w:r>
        <w:rPr>
          <w:rFonts w:ascii="宋体" w:hAnsi="宋体"/>
          <w:sz w:val="24"/>
        </w:rPr>
        <w:t>2</w:t>
      </w:r>
      <w:r>
        <w:rPr>
          <w:rFonts w:hint="eastAsia" w:ascii="宋体" w:hAnsi="宋体"/>
          <w:sz w:val="24"/>
        </w:rPr>
        <w:t>个工作日内，</w:t>
      </w:r>
      <w:r>
        <w:rPr>
          <w:rFonts w:hint="eastAsia" w:ascii="宋体" w:hAnsi="宋体"/>
          <w:kern w:val="0"/>
          <w:sz w:val="24"/>
        </w:rPr>
        <w:t>在北京市政府采购网公告中标结果</w:t>
      </w:r>
      <w:r>
        <w:rPr>
          <w:rFonts w:hint="eastAsia" w:ascii="宋体" w:hAnsi="宋体"/>
          <w:sz w:val="24"/>
        </w:rPr>
        <w:t>，同时向中标人发出中标通知书，中标公告期限为</w:t>
      </w:r>
      <w:r>
        <w:rPr>
          <w:rFonts w:ascii="宋体" w:hAnsi="宋体"/>
          <w:sz w:val="24"/>
        </w:rPr>
        <w:t>1</w:t>
      </w:r>
      <w:r>
        <w:rPr>
          <w:rFonts w:hint="eastAsia" w:ascii="宋体" w:hAnsi="宋体"/>
          <w:sz w:val="24"/>
        </w:rPr>
        <w:t>个工作日。</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废标</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在招标采购中，出现下列情形之一的，应予废标：</w:t>
      </w:r>
    </w:p>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Pr>
        <w:numPr>
          <w:ilvl w:val="2"/>
          <w:numId w:val="10"/>
        </w:numPr>
        <w:snapToGrid w:val="0"/>
        <w:spacing w:line="360" w:lineRule="auto"/>
        <w:rPr>
          <w:rFonts w:ascii="宋体"/>
          <w:sz w:val="24"/>
        </w:rPr>
      </w:pPr>
      <w:bookmarkStart w:id="672" w:name="_Toc520356175"/>
      <w:bookmarkStart w:id="673" w:name="_Toc164608819"/>
      <w:bookmarkStart w:id="674" w:name="_Toc164229245"/>
      <w:bookmarkStart w:id="675" w:name="_Toc305158818"/>
      <w:bookmarkStart w:id="676" w:name="_Toc150509301"/>
      <w:bookmarkStart w:id="677" w:name="_Toc226337246"/>
      <w:bookmarkStart w:id="678" w:name="_Toc226965740"/>
      <w:bookmarkStart w:id="679" w:name="_Toc195842915"/>
      <w:bookmarkStart w:id="680" w:name="_Toc151193792"/>
      <w:bookmarkStart w:id="681" w:name="_Toc127151751"/>
      <w:bookmarkStart w:id="682" w:name="_Toc150480788"/>
      <w:bookmarkStart w:id="683" w:name="_Toc149720843"/>
      <w:bookmarkStart w:id="684" w:name="_Toc265228388"/>
      <w:bookmarkStart w:id="685" w:name="_Toc142311052"/>
      <w:bookmarkStart w:id="686" w:name="_Toc305158892"/>
      <w:bookmarkStart w:id="687" w:name="_Toc151193648"/>
      <w:bookmarkStart w:id="688" w:name="_Toc164351644"/>
      <w:bookmarkStart w:id="689" w:name="_Ref467307204"/>
      <w:bookmarkStart w:id="690" w:name="_Toc151190177"/>
      <w:bookmarkStart w:id="691" w:name="_Toc264969240"/>
      <w:bookmarkStart w:id="692" w:name="_Toc151193720"/>
      <w:bookmarkStart w:id="693" w:name="_Ref467307062"/>
      <w:bookmarkStart w:id="694" w:name="_Toc151193938"/>
      <w:bookmarkStart w:id="695" w:name="_Toc127151550"/>
      <w:bookmarkStart w:id="696" w:name="_Toc164608664"/>
      <w:bookmarkStart w:id="697" w:name="_Toc226965823"/>
      <w:bookmarkStart w:id="698" w:name="_Toc150774755"/>
      <w:bookmarkStart w:id="699" w:name="_Toc127161464"/>
      <w:bookmarkStart w:id="700" w:name="_Toc164229391"/>
      <w:bookmarkStart w:id="701" w:name="_Toc150774650"/>
      <w:bookmarkStart w:id="702" w:name="_Ref467306978"/>
      <w:bookmarkStart w:id="703" w:name="_Ref467306377"/>
      <w:bookmarkStart w:id="704" w:name="_Toc226309794"/>
      <w:bookmarkStart w:id="705" w:name="_Toc151193864"/>
      <w:r>
        <w:rPr>
          <w:rFonts w:hint="eastAsia" w:ascii="宋体" w:hAnsi="宋体"/>
          <w:sz w:val="24"/>
        </w:rPr>
        <w:t>符合专业条件的供应商或者对招标文件作实质响应的供应商不足三家的；</w:t>
      </w:r>
    </w:p>
    <w:p>
      <w:pPr>
        <w:numPr>
          <w:ilvl w:val="2"/>
          <w:numId w:val="10"/>
        </w:numPr>
        <w:snapToGrid w:val="0"/>
        <w:spacing w:line="360" w:lineRule="auto"/>
        <w:rPr>
          <w:rFonts w:ascii="宋体"/>
          <w:sz w:val="24"/>
        </w:rPr>
      </w:pPr>
      <w:r>
        <w:rPr>
          <w:rFonts w:hint="eastAsia" w:ascii="宋体" w:hAnsi="宋体"/>
          <w:sz w:val="24"/>
        </w:rPr>
        <w:t>出现影响采购公正的违法、违规行为的；</w:t>
      </w:r>
    </w:p>
    <w:p>
      <w:pPr>
        <w:numPr>
          <w:ilvl w:val="2"/>
          <w:numId w:val="10"/>
        </w:numPr>
        <w:snapToGrid w:val="0"/>
        <w:spacing w:line="360" w:lineRule="auto"/>
        <w:rPr>
          <w:rFonts w:ascii="宋体"/>
          <w:sz w:val="24"/>
        </w:rPr>
      </w:pPr>
      <w:r>
        <w:rPr>
          <w:rFonts w:hint="eastAsia" w:ascii="宋体" w:hAnsi="宋体"/>
          <w:sz w:val="24"/>
        </w:rPr>
        <w:t>投标人的报价均超过了采购预算，采购人不能支付的；</w:t>
      </w:r>
    </w:p>
    <w:p>
      <w:pPr>
        <w:numPr>
          <w:ilvl w:val="2"/>
          <w:numId w:val="10"/>
        </w:numPr>
        <w:snapToGrid w:val="0"/>
        <w:spacing w:line="360" w:lineRule="auto"/>
        <w:rPr>
          <w:rFonts w:ascii="宋体"/>
          <w:sz w:val="24"/>
        </w:rPr>
      </w:pPr>
      <w:r>
        <w:rPr>
          <w:rFonts w:hint="eastAsia" w:ascii="宋体" w:hAnsi="宋体"/>
          <w:sz w:val="24"/>
        </w:rPr>
        <w:t>因重大变故，采购任务取消的。</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废标后，采购人将废标理由通知所有投标人。</w:t>
      </w:r>
    </w:p>
    <w:p>
      <w:pPr>
        <w:tabs>
          <w:tab w:val="left" w:pos="900"/>
          <w:tab w:val="left" w:pos="1080"/>
          <w:tab w:val="left" w:pos="1589"/>
          <w:tab w:val="left" w:pos="2014"/>
        </w:tabs>
        <w:snapToGrid w:val="0"/>
        <w:spacing w:line="360" w:lineRule="auto"/>
        <w:ind w:left="1077"/>
        <w:rPr>
          <w:rFonts w:ascii="宋体"/>
          <w:sz w:val="24"/>
        </w:rPr>
      </w:pP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签订合同</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中标人、采购人应当自中标通知书发出之日起</w:t>
      </w:r>
      <w:r>
        <w:rPr>
          <w:rFonts w:ascii="宋体" w:hAnsi="宋体"/>
          <w:sz w:val="24"/>
        </w:rPr>
        <w:t>30</w:t>
      </w:r>
      <w:r>
        <w:rPr>
          <w:rFonts w:hint="eastAsia" w:ascii="宋体" w:hAnsi="宋体"/>
          <w:sz w:val="24"/>
        </w:rPr>
        <w:t>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政府采购合同不能转包。</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b/>
          <w:sz w:val="24"/>
        </w:rPr>
        <w:t>，</w:t>
      </w:r>
      <w:r>
        <w:rPr>
          <w:rFonts w:hint="eastAsia" w:ascii="宋体" w:hAnsi="宋体"/>
          <w:sz w:val="24"/>
        </w:rPr>
        <w:t>否则</w:t>
      </w:r>
      <w:r>
        <w:rPr>
          <w:rFonts w:hint="eastAsia" w:ascii="宋体" w:hAnsi="宋体"/>
          <w:b/>
          <w:sz w:val="24"/>
        </w:rPr>
        <w:t>投标无效</w:t>
      </w:r>
      <w:r>
        <w:rPr>
          <w:rFonts w:hint="eastAsia" w:ascii="宋体" w:hAnsi="宋体"/>
          <w:sz w:val="24"/>
        </w:rPr>
        <w:t>。中标人就采购项目和分包项目向采购人负责，分包供应商就分包项目承担责任。</w:t>
      </w:r>
    </w:p>
    <w:bookmarkEnd w:id="669"/>
    <w:bookmarkEnd w:id="670"/>
    <w:bookmarkEnd w:id="671"/>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询问与质疑</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询问</w:t>
      </w:r>
    </w:p>
    <w:p>
      <w:pPr>
        <w:numPr>
          <w:ilvl w:val="2"/>
          <w:numId w:val="10"/>
        </w:numPr>
        <w:snapToGrid w:val="0"/>
        <w:spacing w:line="360" w:lineRule="auto"/>
        <w:rPr>
          <w:rFonts w:ascii="宋体"/>
          <w:sz w:val="24"/>
        </w:rPr>
      </w:pPr>
      <w:r>
        <w:rPr>
          <w:rFonts w:hint="eastAsia" w:ascii="宋体" w:hAnsi="宋体"/>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rFonts w:ascii="宋体"/>
          <w:sz w:val="24"/>
        </w:rPr>
      </w:pPr>
      <w:r>
        <w:rPr>
          <w:rFonts w:hint="eastAsia" w:ascii="宋体" w:hAnsi="宋体"/>
          <w:sz w:val="24"/>
        </w:rPr>
        <w:t>采购人或采购代理机构对供应商依法提出的询问，在</w:t>
      </w:r>
      <w:r>
        <w:rPr>
          <w:rFonts w:ascii="宋体" w:hAnsi="宋体"/>
          <w:sz w:val="24"/>
        </w:rPr>
        <w:t>3</w:t>
      </w:r>
      <w:r>
        <w:rPr>
          <w:rFonts w:hint="eastAsia" w:ascii="宋体" w:hAnsi="宋体"/>
          <w:sz w:val="24"/>
        </w:rPr>
        <w:t>个工作日内作出答复，但答复的内容不得涉及商业秘密。</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质疑</w:t>
      </w:r>
    </w:p>
    <w:p>
      <w:pPr>
        <w:numPr>
          <w:ilvl w:val="2"/>
          <w:numId w:val="10"/>
        </w:numPr>
        <w:snapToGrid w:val="0"/>
        <w:spacing w:line="360" w:lineRule="auto"/>
        <w:rPr>
          <w:rFonts w:ascii="宋体"/>
          <w:sz w:val="24"/>
        </w:rPr>
      </w:pPr>
      <w:r>
        <w:rPr>
          <w:rFonts w:hint="eastAsia" w:ascii="宋体" w:hAnsi="宋体"/>
          <w:sz w:val="24"/>
        </w:rPr>
        <w:t>投标人认为采购文件、采购过程、中标结果使自己的权益受到损害的，可以在知道或者应知其权益受到损害之日起</w:t>
      </w:r>
      <w:r>
        <w:rPr>
          <w:rFonts w:ascii="宋体" w:hAnsi="宋体"/>
          <w:sz w:val="24"/>
        </w:rPr>
        <w:t>7</w:t>
      </w:r>
      <w:r>
        <w:rPr>
          <w:rFonts w:hint="eastAsia" w:ascii="宋体" w:hAnsi="宋体"/>
          <w:sz w:val="24"/>
        </w:rPr>
        <w:t>个工作日内，由投标人派授权代表以书面形式向采购人、采购代理机构提出质疑。采购人、采购代理机构在收到质疑函后</w:t>
      </w:r>
      <w:r>
        <w:rPr>
          <w:rFonts w:ascii="宋体" w:hAnsi="宋体"/>
          <w:sz w:val="24"/>
        </w:rPr>
        <w:t>7</w:t>
      </w:r>
      <w:r>
        <w:rPr>
          <w:rFonts w:hint="eastAsia" w:ascii="宋体" w:hAnsi="宋体"/>
          <w:sz w:val="24"/>
        </w:rPr>
        <w:t>个工作日内作出答复。</w:t>
      </w:r>
    </w:p>
    <w:p>
      <w:pPr>
        <w:numPr>
          <w:ilvl w:val="2"/>
          <w:numId w:val="10"/>
        </w:numPr>
        <w:snapToGrid w:val="0"/>
        <w:spacing w:line="360" w:lineRule="auto"/>
        <w:rPr>
          <w:rFonts w:ascii="宋体"/>
          <w:sz w:val="24"/>
        </w:rPr>
      </w:pPr>
      <w:r>
        <w:rPr>
          <w:rFonts w:hint="eastAsia" w:ascii="宋体" w:hAnsi="宋体"/>
          <w:sz w:val="24"/>
        </w:rPr>
        <w:t>质疑函须使用财政部制定的范本文件。投标人为自然人的，质疑函应当由本人签字；投标人为法人或者其他组织的，应当由法定代表人、主要负责人，或者其授权代表签字或者盖章，并加盖公章。</w:t>
      </w:r>
    </w:p>
    <w:p>
      <w:pPr>
        <w:numPr>
          <w:ilvl w:val="2"/>
          <w:numId w:val="10"/>
        </w:numPr>
        <w:snapToGrid w:val="0"/>
        <w:spacing w:line="360" w:lineRule="auto"/>
        <w:rPr>
          <w:rFonts w:ascii="宋体"/>
          <w:sz w:val="24"/>
        </w:rPr>
      </w:pPr>
      <w:r>
        <w:rPr>
          <w:rFonts w:ascii="宋体"/>
          <w:sz w:val="24"/>
        </w:rPr>
        <w:t>投标人委托代理人进行质疑的，应当随质疑函同时</w:t>
      </w:r>
      <w:r>
        <w:rPr>
          <w:sz w:val="24"/>
        </w:rPr>
        <w:t>提</w:t>
      </w:r>
      <w:r>
        <w:rPr>
          <w:rFonts w:ascii="宋体"/>
          <w:sz w:val="24"/>
        </w:rPr>
        <w:t>交投标人签署的授权委托书。授权委托书应当载明代理人的姓名或者名称、代理事项、 具体权限、期限和相关事项。投标人为自然人的，应当由本人签字； 投标人为法人或者其他组织的，应当由法定代表人、主要负责人签字或者盖章，并加盖公章。</w:t>
      </w:r>
    </w:p>
    <w:p>
      <w:pPr>
        <w:numPr>
          <w:ilvl w:val="2"/>
          <w:numId w:val="10"/>
        </w:numPr>
        <w:snapToGrid w:val="0"/>
        <w:spacing w:line="360" w:lineRule="auto"/>
        <w:rPr>
          <w:rFonts w:ascii="宋体"/>
          <w:sz w:val="24"/>
        </w:rPr>
      </w:pPr>
      <w:r>
        <w:rPr>
          <w:rFonts w:hint="eastAsia" w:ascii="宋体" w:hAnsi="宋体"/>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接收询问和质疑的联系部门、联系电话和通讯地址见《投标人须知资料表》。</w:t>
      </w:r>
    </w:p>
    <w:p>
      <w:pPr>
        <w:pStyle w:val="37"/>
      </w:pPr>
    </w:p>
    <w:p>
      <w:pPr>
        <w:numPr>
          <w:ilvl w:val="0"/>
          <w:numId w:val="10"/>
        </w:numPr>
        <w:tabs>
          <w:tab w:val="left" w:pos="360"/>
        </w:tabs>
        <w:snapToGrid w:val="0"/>
        <w:spacing w:line="360" w:lineRule="auto"/>
        <w:ind w:left="357" w:hanging="357"/>
        <w:outlineLvl w:val="1"/>
        <w:rPr>
          <w:rFonts w:ascii="宋体"/>
          <w:sz w:val="24"/>
        </w:rPr>
      </w:pPr>
      <w:r>
        <w:rPr>
          <w:rFonts w:hint="eastAsia" w:ascii="宋体" w:hAnsi="宋体"/>
          <w:sz w:val="24"/>
        </w:rPr>
        <w:t>代理费</w:t>
      </w:r>
    </w:p>
    <w:p>
      <w:pPr>
        <w:numPr>
          <w:ilvl w:val="1"/>
          <w:numId w:val="10"/>
        </w:numPr>
        <w:tabs>
          <w:tab w:val="left" w:pos="1080"/>
          <w:tab w:val="left" w:pos="2014"/>
        </w:tabs>
        <w:snapToGrid w:val="0"/>
        <w:spacing w:line="360" w:lineRule="auto"/>
        <w:ind w:left="1077" w:hanging="720"/>
        <w:rPr>
          <w:rFonts w:ascii="宋体"/>
          <w:sz w:val="24"/>
        </w:rPr>
      </w:pPr>
      <w:r>
        <w:rPr>
          <w:rFonts w:hint="eastAsia" w:ascii="宋体" w:hAnsi="宋体"/>
          <w:sz w:val="24"/>
        </w:rPr>
        <w:t>收费对象、收费标准及缴纳时间见《投标人须知资料表》。由中标人支付的，中标人须一次性向采购代理机构缴纳代理费，投标报价应包含代理费用。</w:t>
      </w:r>
    </w:p>
    <w:p>
      <w:pPr>
        <w:spacing w:line="360" w:lineRule="auto"/>
        <w:ind w:left="141" w:leftChars="67"/>
        <w:jc w:val="center"/>
        <w:outlineLvl w:val="0"/>
        <w:rPr>
          <w:rFonts w:ascii="宋体"/>
          <w:b/>
          <w:sz w:val="36"/>
          <w:szCs w:val="36"/>
        </w:rPr>
      </w:pPr>
      <w:bookmarkStart w:id="706" w:name="_Toc265228392"/>
      <w:bookmarkStart w:id="707" w:name="_Toc127151554"/>
      <w:bookmarkStart w:id="708" w:name="_Toc305158822"/>
      <w:bookmarkStart w:id="709" w:name="_Toc264969244"/>
      <w:bookmarkStart w:id="710" w:name="_Toc353873934"/>
      <w:bookmarkStart w:id="711" w:name="_Toc142311056"/>
      <w:bookmarkStart w:id="712" w:name="_Toc150480792"/>
      <w:bookmarkStart w:id="713" w:name="_Toc226965827"/>
      <w:bookmarkStart w:id="714" w:name="_Toc150774759"/>
      <w:bookmarkStart w:id="715" w:name="_Toc305158896"/>
      <w:bookmarkStart w:id="716" w:name="_Toc353825544"/>
      <w:bookmarkStart w:id="717" w:name="_Toc353873664"/>
      <w:bookmarkStart w:id="718" w:name="_Toc226337250"/>
      <w:r>
        <w:rPr>
          <w:rFonts w:ascii="宋体"/>
          <w:sz w:val="24"/>
        </w:rPr>
        <w:br w:type="page"/>
      </w:r>
      <w:bookmarkStart w:id="719" w:name="_Toc2806"/>
      <w:r>
        <w:rPr>
          <w:rFonts w:hint="eastAsia" w:ascii="宋体" w:hAnsi="宋体"/>
          <w:b/>
          <w:sz w:val="36"/>
          <w:szCs w:val="36"/>
        </w:rPr>
        <w:t>第三章</w:t>
      </w:r>
      <w:r>
        <w:rPr>
          <w:rFonts w:ascii="宋体" w:hAnsi="宋体"/>
          <w:b/>
          <w:sz w:val="36"/>
          <w:szCs w:val="36"/>
        </w:rPr>
        <w:t xml:space="preserve">   </w:t>
      </w:r>
      <w:bookmarkEnd w:id="706"/>
      <w:bookmarkEnd w:id="707"/>
      <w:bookmarkEnd w:id="708"/>
      <w:bookmarkEnd w:id="709"/>
      <w:bookmarkEnd w:id="710"/>
      <w:bookmarkEnd w:id="711"/>
      <w:bookmarkEnd w:id="712"/>
      <w:bookmarkEnd w:id="713"/>
      <w:bookmarkEnd w:id="714"/>
      <w:bookmarkEnd w:id="715"/>
      <w:bookmarkEnd w:id="716"/>
      <w:bookmarkEnd w:id="717"/>
      <w:bookmarkEnd w:id="718"/>
      <w:r>
        <w:rPr>
          <w:rFonts w:hint="eastAsia" w:ascii="宋体" w:hAnsi="宋体"/>
          <w:b/>
          <w:sz w:val="36"/>
          <w:szCs w:val="36"/>
        </w:rPr>
        <w:t>资格审查</w:t>
      </w:r>
      <w:bookmarkEnd w:id="719"/>
      <w:bookmarkStart w:id="720" w:name="_Toc487900382"/>
    </w:p>
    <w:p>
      <w:pPr>
        <w:tabs>
          <w:tab w:val="left" w:pos="360"/>
          <w:tab w:val="left" w:pos="900"/>
        </w:tabs>
        <w:snapToGrid w:val="0"/>
        <w:spacing w:line="360" w:lineRule="auto"/>
        <w:jc w:val="center"/>
        <w:outlineLvl w:val="1"/>
        <w:rPr>
          <w:rFonts w:ascii="宋体"/>
          <w:b/>
          <w:sz w:val="24"/>
        </w:rPr>
      </w:pPr>
      <w:bookmarkStart w:id="721" w:name="_Toc99301422"/>
      <w:r>
        <w:rPr>
          <w:rFonts w:hint="eastAsia" w:ascii="宋体" w:hAnsi="宋体"/>
          <w:b/>
          <w:sz w:val="24"/>
        </w:rPr>
        <w:t>一、资格审查程序</w:t>
      </w:r>
      <w:bookmarkEnd w:id="721"/>
    </w:p>
    <w:p>
      <w:pPr>
        <w:numPr>
          <w:ilvl w:val="0"/>
          <w:numId w:val="13"/>
        </w:numPr>
        <w:tabs>
          <w:tab w:val="left" w:pos="426"/>
          <w:tab w:val="left" w:pos="851"/>
          <w:tab w:val="clear" w:pos="900"/>
        </w:tabs>
        <w:snapToGrid w:val="0"/>
        <w:spacing w:line="360" w:lineRule="auto"/>
        <w:ind w:left="426" w:hanging="426"/>
        <w:outlineLvl w:val="1"/>
        <w:rPr>
          <w:rFonts w:ascii="宋体"/>
          <w:sz w:val="24"/>
        </w:rPr>
      </w:pPr>
      <w:r>
        <w:rPr>
          <w:rFonts w:hint="eastAsia" w:ascii="宋体" w:hAnsi="宋体"/>
          <w:sz w:val="24"/>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rFonts w:ascii="宋体"/>
          <w:sz w:val="24"/>
        </w:rPr>
      </w:pPr>
      <w:r>
        <w:rPr>
          <w:rFonts w:hint="eastAsia" w:ascii="宋体" w:hAnsi="宋体"/>
          <w:sz w:val="24"/>
        </w:rPr>
        <w:t>《资格审查要求》中对格式有要求的，除招标文件另有规定外，均为</w:t>
      </w:r>
      <w:r>
        <w:rPr>
          <w:rFonts w:hint="eastAsia" w:ascii="宋体"/>
          <w:sz w:val="24"/>
        </w:rPr>
        <w:t>“</w:t>
      </w:r>
      <w:r>
        <w:rPr>
          <w:rFonts w:hint="eastAsia" w:ascii="宋体" w:hAnsi="宋体"/>
          <w:sz w:val="24"/>
        </w:rPr>
        <w:t>实质性格式</w:t>
      </w:r>
      <w:r>
        <w:rPr>
          <w:rFonts w:hint="eastAsia" w:ascii="宋体"/>
          <w:sz w:val="24"/>
        </w:rPr>
        <w:t>”</w:t>
      </w:r>
      <w:r>
        <w:rPr>
          <w:rFonts w:hint="eastAsia" w:ascii="宋体" w:hAnsi="宋体"/>
          <w:sz w:val="24"/>
        </w:rPr>
        <w:t>文件。</w:t>
      </w:r>
    </w:p>
    <w:p>
      <w:pPr>
        <w:numPr>
          <w:ilvl w:val="0"/>
          <w:numId w:val="13"/>
        </w:numPr>
        <w:tabs>
          <w:tab w:val="left" w:pos="426"/>
          <w:tab w:val="left" w:pos="851"/>
          <w:tab w:val="clear" w:pos="900"/>
        </w:tabs>
        <w:snapToGrid w:val="0"/>
        <w:spacing w:line="360" w:lineRule="auto"/>
        <w:ind w:left="426" w:hanging="426"/>
        <w:outlineLvl w:val="1"/>
        <w:rPr>
          <w:rFonts w:ascii="宋体"/>
          <w:sz w:val="24"/>
        </w:rPr>
      </w:pPr>
      <w:r>
        <w:rPr>
          <w:rFonts w:hint="eastAsia" w:ascii="宋体" w:hAnsi="宋体"/>
          <w:sz w:val="24"/>
        </w:rPr>
        <w:t>投标人《资格证明文件》有任何一项不符合《资格审查要求》的，资格审查不合格，其</w:t>
      </w:r>
      <w:r>
        <w:rPr>
          <w:rFonts w:hint="eastAsia" w:ascii="宋体" w:hAnsi="宋体"/>
          <w:b/>
          <w:sz w:val="24"/>
        </w:rPr>
        <w:t>投标无效</w:t>
      </w:r>
      <w:r>
        <w:rPr>
          <w:rFonts w:hint="eastAsia" w:ascii="宋体" w:hAnsi="宋体"/>
          <w:sz w:val="24"/>
        </w:rPr>
        <w:t>。</w:t>
      </w:r>
    </w:p>
    <w:p>
      <w:pPr>
        <w:numPr>
          <w:ilvl w:val="0"/>
          <w:numId w:val="13"/>
        </w:numPr>
        <w:tabs>
          <w:tab w:val="left" w:pos="426"/>
          <w:tab w:val="left" w:pos="851"/>
          <w:tab w:val="clear" w:pos="900"/>
        </w:tabs>
        <w:snapToGrid w:val="0"/>
        <w:spacing w:line="360" w:lineRule="auto"/>
        <w:ind w:left="426" w:hanging="426"/>
        <w:outlineLvl w:val="1"/>
        <w:rPr>
          <w:rFonts w:ascii="宋体"/>
          <w:sz w:val="24"/>
        </w:rPr>
      </w:pPr>
      <w:r>
        <w:rPr>
          <w:rFonts w:hint="eastAsia" w:ascii="宋体" w:hAnsi="宋体"/>
          <w:sz w:val="24"/>
        </w:rPr>
        <w:t>资格审查合格的投标人不足</w:t>
      </w:r>
      <w:r>
        <w:rPr>
          <w:rFonts w:ascii="宋体" w:hAnsi="宋体"/>
          <w:sz w:val="24"/>
        </w:rPr>
        <w:t>3</w:t>
      </w:r>
      <w:r>
        <w:rPr>
          <w:rFonts w:hint="eastAsia" w:ascii="宋体" w:hAnsi="宋体"/>
          <w:sz w:val="24"/>
        </w:rPr>
        <w:t>家的，不进行评标。</w:t>
      </w:r>
    </w:p>
    <w:p>
      <w:pPr>
        <w:widowControl/>
        <w:jc w:val="left"/>
        <w:rPr>
          <w:rFonts w:ascii="宋体"/>
          <w:sz w:val="24"/>
        </w:rPr>
      </w:pPr>
    </w:p>
    <w:p>
      <w:pPr>
        <w:tabs>
          <w:tab w:val="left" w:pos="360"/>
          <w:tab w:val="left" w:pos="900"/>
        </w:tabs>
        <w:snapToGrid w:val="0"/>
        <w:spacing w:line="360" w:lineRule="auto"/>
        <w:jc w:val="center"/>
        <w:outlineLvl w:val="1"/>
        <w:rPr>
          <w:rFonts w:ascii="宋体"/>
          <w:b/>
          <w:sz w:val="24"/>
        </w:rPr>
      </w:pPr>
      <w:r>
        <w:rPr>
          <w:rFonts w:hint="eastAsia" w:ascii="宋体" w:hAnsi="宋体"/>
          <w:b/>
          <w:sz w:val="24"/>
        </w:rPr>
        <w:t>二、资格审查要求</w:t>
      </w:r>
    </w:p>
    <w:tbl>
      <w:tblPr>
        <w:tblStyle w:val="43"/>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4"/>
        <w:gridCol w:w="1794"/>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1034" w:type="dxa"/>
            <w:vAlign w:val="center"/>
          </w:tcPr>
          <w:p>
            <w:pPr>
              <w:tabs>
                <w:tab w:val="left" w:pos="1080"/>
              </w:tabs>
              <w:snapToGrid w:val="0"/>
              <w:jc w:val="center"/>
              <w:rPr>
                <w:rFonts w:ascii="宋体"/>
                <w:b/>
                <w:sz w:val="24"/>
              </w:rPr>
            </w:pPr>
            <w:bookmarkStart w:id="722" w:name="_Hlt487972895"/>
            <w:bookmarkEnd w:id="722"/>
            <w:r>
              <w:rPr>
                <w:rFonts w:hint="eastAsia" w:ascii="宋体" w:hAnsi="宋体"/>
                <w:b/>
                <w:sz w:val="24"/>
              </w:rPr>
              <w:t>序号</w:t>
            </w:r>
          </w:p>
        </w:tc>
        <w:tc>
          <w:tcPr>
            <w:tcW w:w="1794" w:type="dxa"/>
            <w:vAlign w:val="center"/>
          </w:tcPr>
          <w:p>
            <w:pPr>
              <w:tabs>
                <w:tab w:val="left" w:pos="1080"/>
              </w:tabs>
              <w:snapToGrid w:val="0"/>
              <w:jc w:val="center"/>
              <w:rPr>
                <w:rFonts w:ascii="宋体"/>
                <w:b/>
                <w:sz w:val="24"/>
              </w:rPr>
            </w:pPr>
            <w:r>
              <w:rPr>
                <w:rFonts w:hint="eastAsia" w:ascii="宋体" w:hAnsi="宋体"/>
                <w:b/>
                <w:sz w:val="24"/>
              </w:rPr>
              <w:t>审查因素</w:t>
            </w:r>
          </w:p>
        </w:tc>
        <w:tc>
          <w:tcPr>
            <w:tcW w:w="4822" w:type="dxa"/>
            <w:vAlign w:val="center"/>
          </w:tcPr>
          <w:p>
            <w:pPr>
              <w:tabs>
                <w:tab w:val="left" w:pos="1080"/>
              </w:tabs>
              <w:snapToGrid w:val="0"/>
              <w:jc w:val="center"/>
              <w:rPr>
                <w:rFonts w:ascii="宋体"/>
                <w:b/>
                <w:sz w:val="24"/>
              </w:rPr>
            </w:pPr>
            <w:r>
              <w:rPr>
                <w:rFonts w:hint="eastAsia" w:ascii="宋体" w:hAnsi="宋体"/>
                <w:b/>
                <w:sz w:val="24"/>
              </w:rPr>
              <w:t>审查内容</w:t>
            </w:r>
          </w:p>
        </w:tc>
        <w:tc>
          <w:tcPr>
            <w:tcW w:w="1638" w:type="dxa"/>
            <w:vAlign w:val="center"/>
          </w:tcPr>
          <w:p>
            <w:pPr>
              <w:tabs>
                <w:tab w:val="left" w:pos="1080"/>
              </w:tabs>
              <w:snapToGrid w:val="0"/>
              <w:jc w:val="center"/>
              <w:rPr>
                <w:rFonts w:ascii="宋体"/>
                <w:b/>
                <w:sz w:val="24"/>
              </w:rPr>
            </w:pPr>
            <w:r>
              <w:rPr>
                <w:rFonts w:hint="eastAsia" w:ascii="宋体" w:hAnsi="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r>
              <w:rPr>
                <w:rFonts w:ascii="宋体" w:hAnsi="宋体"/>
                <w:sz w:val="24"/>
              </w:rPr>
              <w:t>1</w:t>
            </w:r>
          </w:p>
        </w:tc>
        <w:tc>
          <w:tcPr>
            <w:tcW w:w="1794" w:type="dxa"/>
            <w:vAlign w:val="center"/>
          </w:tcPr>
          <w:p>
            <w:pPr>
              <w:tabs>
                <w:tab w:val="left" w:pos="1080"/>
              </w:tabs>
              <w:snapToGrid w:val="0"/>
              <w:rPr>
                <w:rFonts w:ascii="宋体"/>
                <w:sz w:val="24"/>
              </w:rPr>
            </w:pPr>
            <w:r>
              <w:rPr>
                <w:rFonts w:hint="eastAsia" w:ascii="宋体" w:hAnsi="宋体"/>
                <w:sz w:val="24"/>
              </w:rPr>
              <w:t>满足《中华人民共和国政府采购法》第二十二条规定及法律法规的其他规定</w:t>
            </w:r>
          </w:p>
        </w:tc>
        <w:tc>
          <w:tcPr>
            <w:tcW w:w="4822" w:type="dxa"/>
            <w:vAlign w:val="center"/>
          </w:tcPr>
          <w:p>
            <w:pPr>
              <w:tabs>
                <w:tab w:val="left" w:pos="1080"/>
              </w:tabs>
              <w:snapToGrid w:val="0"/>
              <w:rPr>
                <w:rFonts w:ascii="宋体"/>
                <w:sz w:val="24"/>
              </w:rPr>
            </w:pPr>
            <w:r>
              <w:rPr>
                <w:rFonts w:hint="eastAsia" w:ascii="宋体" w:hAnsi="宋体"/>
                <w:sz w:val="24"/>
              </w:rPr>
              <w:t>具体规定见第一章《投标邀请》</w:t>
            </w:r>
          </w:p>
        </w:tc>
        <w:tc>
          <w:tcPr>
            <w:tcW w:w="1638" w:type="dxa"/>
            <w:vAlign w:val="center"/>
          </w:tcPr>
          <w:p>
            <w:pPr>
              <w:tabs>
                <w:tab w:val="left" w:pos="1080"/>
              </w:tabs>
              <w:snapToGrid w:val="0"/>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r>
              <w:rPr>
                <w:rFonts w:ascii="宋体" w:hAnsi="宋体"/>
                <w:sz w:val="24"/>
              </w:rPr>
              <w:t>1-1</w:t>
            </w:r>
          </w:p>
        </w:tc>
        <w:tc>
          <w:tcPr>
            <w:tcW w:w="1794" w:type="dxa"/>
            <w:vAlign w:val="center"/>
          </w:tcPr>
          <w:p>
            <w:pPr>
              <w:tabs>
                <w:tab w:val="left" w:pos="1080"/>
              </w:tabs>
              <w:snapToGrid w:val="0"/>
              <w:rPr>
                <w:rFonts w:ascii="宋体"/>
                <w:sz w:val="24"/>
              </w:rPr>
            </w:pPr>
            <w:r>
              <w:rPr>
                <w:rFonts w:hint="eastAsia" w:ascii="宋体" w:hAnsi="宋体"/>
                <w:sz w:val="24"/>
              </w:rPr>
              <w:t>营业执照等证明文件</w:t>
            </w:r>
          </w:p>
        </w:tc>
        <w:tc>
          <w:tcPr>
            <w:tcW w:w="4822" w:type="dxa"/>
            <w:vAlign w:val="center"/>
          </w:tcPr>
          <w:p>
            <w:pPr>
              <w:tabs>
                <w:tab w:val="left" w:pos="1080"/>
              </w:tabs>
              <w:snapToGrid w:val="0"/>
              <w:rPr>
                <w:rFonts w:ascii="宋体"/>
                <w:sz w:val="24"/>
              </w:rPr>
            </w:pPr>
            <w:r>
              <w:rPr>
                <w:rFonts w:hint="eastAsia" w:ascii="宋体" w:hAnsi="宋体"/>
                <w:sz w:val="24"/>
              </w:rPr>
              <w:t>投标人为企业（包括合伙企业）的，应提供有效的</w:t>
            </w:r>
            <w:r>
              <w:rPr>
                <w:rFonts w:hint="eastAsia" w:ascii="宋体"/>
                <w:sz w:val="24"/>
              </w:rPr>
              <w:t>“</w:t>
            </w:r>
            <w:r>
              <w:rPr>
                <w:rFonts w:hint="eastAsia" w:ascii="宋体" w:hAnsi="宋体"/>
                <w:sz w:val="24"/>
              </w:rPr>
              <w:t>营业执照</w:t>
            </w:r>
            <w:r>
              <w:rPr>
                <w:rFonts w:hint="eastAsia" w:ascii="宋体"/>
                <w:sz w:val="24"/>
              </w:rPr>
              <w:t>”</w:t>
            </w:r>
            <w:r>
              <w:rPr>
                <w:rFonts w:hint="eastAsia" w:ascii="宋体" w:hAnsi="宋体"/>
                <w:sz w:val="24"/>
              </w:rPr>
              <w:t>；</w:t>
            </w:r>
          </w:p>
          <w:p>
            <w:pPr>
              <w:tabs>
                <w:tab w:val="left" w:pos="1080"/>
              </w:tabs>
              <w:snapToGrid w:val="0"/>
              <w:rPr>
                <w:rFonts w:ascii="宋体"/>
                <w:sz w:val="24"/>
              </w:rPr>
            </w:pPr>
            <w:r>
              <w:rPr>
                <w:rFonts w:hint="eastAsia" w:ascii="宋体" w:hAnsi="宋体"/>
                <w:sz w:val="24"/>
              </w:rPr>
              <w:t>投标人为事业单位的，应提供有效的</w:t>
            </w:r>
            <w:r>
              <w:rPr>
                <w:rFonts w:hint="eastAsia" w:ascii="宋体"/>
                <w:sz w:val="24"/>
              </w:rPr>
              <w:t>“</w:t>
            </w:r>
            <w:r>
              <w:rPr>
                <w:rFonts w:hint="eastAsia" w:ascii="宋体" w:hAnsi="宋体"/>
                <w:sz w:val="24"/>
              </w:rPr>
              <w:t>事业单位法人证书</w:t>
            </w:r>
            <w:r>
              <w:rPr>
                <w:rFonts w:hint="eastAsia" w:ascii="宋体"/>
                <w:sz w:val="24"/>
              </w:rPr>
              <w:t>”</w:t>
            </w:r>
            <w:r>
              <w:rPr>
                <w:rFonts w:hint="eastAsia" w:ascii="宋体" w:hAnsi="宋体"/>
                <w:sz w:val="24"/>
              </w:rPr>
              <w:t>；</w:t>
            </w:r>
          </w:p>
          <w:p>
            <w:pPr>
              <w:tabs>
                <w:tab w:val="left" w:pos="1080"/>
              </w:tabs>
              <w:snapToGrid w:val="0"/>
              <w:rPr>
                <w:rFonts w:ascii="宋体"/>
                <w:sz w:val="24"/>
              </w:rPr>
            </w:pPr>
            <w:r>
              <w:rPr>
                <w:rFonts w:hint="eastAsia" w:ascii="宋体" w:hAnsi="宋体"/>
                <w:sz w:val="24"/>
              </w:rPr>
              <w:t>投标人是非企业机构的，应提供有效的“执业许可证”、“登记证书”等证明文件；</w:t>
            </w:r>
          </w:p>
          <w:p>
            <w:pPr>
              <w:tabs>
                <w:tab w:val="left" w:pos="1080"/>
              </w:tabs>
              <w:snapToGrid w:val="0"/>
              <w:rPr>
                <w:rFonts w:ascii="宋体"/>
                <w:sz w:val="24"/>
              </w:rPr>
            </w:pPr>
            <w:r>
              <w:rPr>
                <w:rFonts w:hint="eastAsia" w:ascii="宋体" w:hAnsi="宋体"/>
                <w:sz w:val="24"/>
              </w:rPr>
              <w:t>投标人是个体工商户的，应提供有效的</w:t>
            </w:r>
            <w:r>
              <w:rPr>
                <w:rFonts w:hint="eastAsia" w:ascii="宋体"/>
                <w:sz w:val="24"/>
              </w:rPr>
              <w:t>“</w:t>
            </w:r>
            <w:r>
              <w:rPr>
                <w:rFonts w:hint="eastAsia" w:ascii="宋体" w:hAnsi="宋体"/>
                <w:sz w:val="24"/>
              </w:rPr>
              <w:t>个体工商户营业执照</w:t>
            </w:r>
            <w:r>
              <w:rPr>
                <w:rFonts w:hint="eastAsia" w:ascii="宋体"/>
                <w:sz w:val="24"/>
              </w:rPr>
              <w:t>”</w:t>
            </w:r>
            <w:r>
              <w:rPr>
                <w:rFonts w:hint="eastAsia" w:ascii="宋体" w:hAnsi="宋体"/>
                <w:sz w:val="24"/>
              </w:rPr>
              <w:t>；</w:t>
            </w:r>
          </w:p>
          <w:p>
            <w:pPr>
              <w:tabs>
                <w:tab w:val="left" w:pos="1080"/>
              </w:tabs>
              <w:snapToGrid w:val="0"/>
              <w:rPr>
                <w:rFonts w:ascii="宋体"/>
                <w:sz w:val="24"/>
              </w:rPr>
            </w:pPr>
            <w:r>
              <w:rPr>
                <w:rFonts w:hint="eastAsia" w:ascii="宋体" w:hAnsi="宋体"/>
                <w:sz w:val="24"/>
              </w:rPr>
              <w:t>投标人是自然人的，应提供有效的自然人身份证明。</w:t>
            </w:r>
          </w:p>
          <w:p>
            <w:pPr>
              <w:tabs>
                <w:tab w:val="left" w:pos="1080"/>
              </w:tabs>
              <w:snapToGrid w:val="0"/>
              <w:rPr>
                <w:rFonts w:ascii="宋体"/>
                <w:sz w:val="24"/>
              </w:rPr>
            </w:pPr>
            <w:r>
              <w:rPr>
                <w:rFonts w:hint="eastAsia" w:ascii="宋体" w:hAnsi="宋体"/>
                <w:sz w:val="24"/>
              </w:rPr>
              <w:t>若本项目允许分支机构参加投标，则分支机构参加投标的，此处可提供该分支机构或其所属法人或其他组织的相应证明文件。</w:t>
            </w:r>
          </w:p>
        </w:tc>
        <w:tc>
          <w:tcPr>
            <w:tcW w:w="1638" w:type="dxa"/>
            <w:vAlign w:val="center"/>
          </w:tcPr>
          <w:p>
            <w:pPr>
              <w:tabs>
                <w:tab w:val="left" w:pos="1080"/>
              </w:tabs>
              <w:snapToGrid w:val="0"/>
              <w:rPr>
                <w:rFonts w:ascii="宋体"/>
                <w:sz w:val="24"/>
              </w:rPr>
            </w:pPr>
            <w:r>
              <w:rPr>
                <w:rFonts w:hint="eastAsia" w:ascii="宋体" w:hAnsi="宋体"/>
                <w:sz w:val="24"/>
              </w:rPr>
              <w:t>提供复印件加盖投标人公章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2" w:hRule="atLeast"/>
          <w:jc w:val="center"/>
        </w:trPr>
        <w:tc>
          <w:tcPr>
            <w:tcW w:w="1034" w:type="dxa"/>
            <w:vAlign w:val="center"/>
          </w:tcPr>
          <w:p>
            <w:pPr>
              <w:tabs>
                <w:tab w:val="left" w:pos="1080"/>
              </w:tabs>
              <w:snapToGrid w:val="0"/>
              <w:jc w:val="center"/>
              <w:rPr>
                <w:rFonts w:ascii="宋体"/>
                <w:sz w:val="24"/>
              </w:rPr>
            </w:pPr>
            <w:r>
              <w:rPr>
                <w:rFonts w:ascii="宋体" w:hAnsi="宋体"/>
                <w:sz w:val="24"/>
              </w:rPr>
              <w:t>1-2</w:t>
            </w:r>
          </w:p>
        </w:tc>
        <w:tc>
          <w:tcPr>
            <w:tcW w:w="1794" w:type="dxa"/>
            <w:vAlign w:val="center"/>
          </w:tcPr>
          <w:p>
            <w:pPr>
              <w:tabs>
                <w:tab w:val="left" w:pos="1080"/>
              </w:tabs>
              <w:snapToGrid w:val="0"/>
              <w:rPr>
                <w:rFonts w:ascii="宋体"/>
                <w:sz w:val="24"/>
              </w:rPr>
            </w:pPr>
            <w:r>
              <w:rPr>
                <w:rFonts w:hint="eastAsia" w:ascii="宋体" w:hAnsi="宋体"/>
                <w:sz w:val="24"/>
              </w:rPr>
              <w:t>投标人资格声明书</w:t>
            </w:r>
          </w:p>
        </w:tc>
        <w:tc>
          <w:tcPr>
            <w:tcW w:w="4822" w:type="dxa"/>
            <w:vAlign w:val="center"/>
          </w:tcPr>
          <w:p>
            <w:pPr>
              <w:tabs>
                <w:tab w:val="left" w:pos="1080"/>
              </w:tabs>
              <w:snapToGrid w:val="0"/>
              <w:rPr>
                <w:rFonts w:ascii="宋体"/>
                <w:sz w:val="24"/>
              </w:rPr>
            </w:pPr>
            <w:r>
              <w:rPr>
                <w:rFonts w:hint="eastAsia" w:ascii="宋体" w:hAnsi="宋体"/>
                <w:sz w:val="24"/>
              </w:rPr>
              <w:t>提供了符合招标文件要求的《投标人资格声明书》。</w:t>
            </w:r>
          </w:p>
        </w:tc>
        <w:tc>
          <w:tcPr>
            <w:tcW w:w="1638" w:type="dxa"/>
            <w:vAlign w:val="center"/>
          </w:tcPr>
          <w:p>
            <w:pPr>
              <w:tabs>
                <w:tab w:val="left" w:pos="1080"/>
              </w:tabs>
              <w:snapToGrid w:val="0"/>
              <w:rPr>
                <w:rFonts w:ascii="宋体"/>
                <w:sz w:val="24"/>
              </w:rPr>
            </w:pPr>
            <w:r>
              <w:rPr>
                <w:rFonts w:hint="eastAsia"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r>
              <w:rPr>
                <w:rFonts w:ascii="宋体" w:hAnsi="宋体"/>
                <w:sz w:val="24"/>
              </w:rPr>
              <w:t>1-3</w:t>
            </w:r>
          </w:p>
        </w:tc>
        <w:tc>
          <w:tcPr>
            <w:tcW w:w="1794" w:type="dxa"/>
            <w:vAlign w:val="center"/>
          </w:tcPr>
          <w:p>
            <w:pPr>
              <w:tabs>
                <w:tab w:val="left" w:pos="1080"/>
              </w:tabs>
              <w:snapToGrid w:val="0"/>
              <w:rPr>
                <w:rFonts w:ascii="宋体"/>
                <w:sz w:val="24"/>
              </w:rPr>
            </w:pPr>
            <w:r>
              <w:rPr>
                <w:rFonts w:hint="eastAsia" w:ascii="宋体" w:hAnsi="宋体"/>
                <w:sz w:val="24"/>
              </w:rPr>
              <w:t>投标人信用记录</w:t>
            </w:r>
          </w:p>
        </w:tc>
        <w:tc>
          <w:tcPr>
            <w:tcW w:w="4822" w:type="dxa"/>
            <w:vAlign w:val="center"/>
          </w:tcPr>
          <w:p>
            <w:pPr>
              <w:tabs>
                <w:tab w:val="left" w:pos="1080"/>
              </w:tabs>
              <w:snapToGrid w:val="0"/>
              <w:rPr>
                <w:rFonts w:ascii="宋体"/>
                <w:sz w:val="24"/>
              </w:rPr>
            </w:pPr>
            <w:r>
              <w:rPr>
                <w:rFonts w:hint="eastAsia" w:ascii="宋体" w:hAnsi="宋体"/>
                <w:sz w:val="24"/>
              </w:rPr>
              <w:t>查询渠道：信用中国网站和中国政府采购网（</w:t>
            </w:r>
            <w:r>
              <w:rPr>
                <w:rFonts w:ascii="宋体" w:hAnsi="宋体"/>
              </w:rPr>
              <w:t>www.creditchina.gov.cn</w:t>
            </w:r>
            <w:r>
              <w:rPr>
                <w:rFonts w:hint="eastAsia" w:ascii="宋体" w:hAnsi="宋体"/>
                <w:sz w:val="24"/>
              </w:rPr>
              <w:t>、</w:t>
            </w:r>
            <w:r>
              <w:rPr>
                <w:rFonts w:ascii="宋体" w:hAnsi="宋体"/>
              </w:rPr>
              <w:t>www.ccgp.gov.cn</w:t>
            </w:r>
            <w:r>
              <w:rPr>
                <w:rFonts w:hint="eastAsia" w:ascii="宋体" w:hAnsi="宋体"/>
                <w:sz w:val="24"/>
              </w:rPr>
              <w:t>）；</w:t>
            </w:r>
          </w:p>
          <w:p>
            <w:pPr>
              <w:tabs>
                <w:tab w:val="left" w:pos="900"/>
                <w:tab w:val="left" w:pos="1980"/>
              </w:tabs>
              <w:snapToGrid w:val="0"/>
              <w:rPr>
                <w:rFonts w:ascii="宋体"/>
                <w:sz w:val="24"/>
              </w:rPr>
            </w:pPr>
            <w:r>
              <w:rPr>
                <w:rFonts w:hint="eastAsia" w:ascii="宋体" w:hAnsi="宋体"/>
                <w:sz w:val="24"/>
              </w:rPr>
              <w:t>截止时点：投标截止时间以后、资格审查阶段采购人或采购代理机构的实际查询时间；</w:t>
            </w:r>
          </w:p>
          <w:p>
            <w:pPr>
              <w:tabs>
                <w:tab w:val="left" w:pos="900"/>
                <w:tab w:val="left" w:pos="1980"/>
              </w:tabs>
              <w:snapToGrid w:val="0"/>
              <w:rPr>
                <w:rFonts w:ascii="宋体"/>
                <w:sz w:val="24"/>
              </w:rPr>
            </w:pPr>
            <w:r>
              <w:rPr>
                <w:rFonts w:hint="eastAsia" w:ascii="宋体" w:hAnsi="宋体"/>
                <w:sz w:val="24"/>
              </w:rPr>
              <w:t>信用信息查询记录和证据留存具体方式：查询结果网页打印页作为查询记录和证据，与其他采购文件一并保存；</w:t>
            </w:r>
          </w:p>
          <w:p>
            <w:pPr>
              <w:tabs>
                <w:tab w:val="left" w:pos="1080"/>
              </w:tabs>
              <w:snapToGrid w:val="0"/>
              <w:rPr>
                <w:rFonts w:ascii="宋体"/>
                <w:sz w:val="24"/>
              </w:rPr>
            </w:pPr>
            <w:r>
              <w:rPr>
                <w:rFonts w:hint="eastAsia" w:ascii="宋体" w:hAnsi="宋体"/>
                <w:sz w:val="24"/>
              </w:rPr>
              <w:t>信用信息的使用原则：经认定的被列入失信被执行人、重大税收违法案件当事人名单、政府采购严重违法失信行为记录名单的投标人，其</w:t>
            </w:r>
            <w:r>
              <w:rPr>
                <w:rFonts w:hint="eastAsia" w:ascii="宋体" w:hAnsi="宋体"/>
                <w:b/>
                <w:sz w:val="24"/>
              </w:rPr>
              <w:t>投标无效</w:t>
            </w:r>
            <w:r>
              <w:rPr>
                <w:rFonts w:hint="eastAsia" w:ascii="宋体" w:hAnsi="宋体"/>
                <w:sz w:val="24"/>
              </w:rPr>
              <w:t>。联合体形式投标的，联合体成员存在不良信用记录，视同联合体存在不良信用记录。</w:t>
            </w:r>
          </w:p>
        </w:tc>
        <w:tc>
          <w:tcPr>
            <w:tcW w:w="1638" w:type="dxa"/>
            <w:vAlign w:val="center"/>
          </w:tcPr>
          <w:p>
            <w:pPr>
              <w:tabs>
                <w:tab w:val="left" w:pos="1080"/>
              </w:tabs>
              <w:snapToGrid w:val="0"/>
              <w:rPr>
                <w:rFonts w:ascii="宋体"/>
                <w:sz w:val="24"/>
              </w:rPr>
            </w:pPr>
            <w:r>
              <w:rPr>
                <w:rFonts w:hint="eastAsia" w:ascii="宋体" w:hAnsi="宋体"/>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r>
              <w:rPr>
                <w:rFonts w:ascii="宋体" w:hAnsi="宋体"/>
                <w:sz w:val="24"/>
              </w:rPr>
              <w:t>2</w:t>
            </w:r>
          </w:p>
        </w:tc>
        <w:tc>
          <w:tcPr>
            <w:tcW w:w="1794" w:type="dxa"/>
            <w:vAlign w:val="center"/>
          </w:tcPr>
          <w:p>
            <w:pPr>
              <w:tabs>
                <w:tab w:val="left" w:pos="1080"/>
              </w:tabs>
              <w:snapToGrid w:val="0"/>
              <w:rPr>
                <w:rFonts w:ascii="宋体"/>
                <w:sz w:val="24"/>
              </w:rPr>
            </w:pPr>
            <w:r>
              <w:rPr>
                <w:rFonts w:hint="eastAsia" w:ascii="宋体" w:hAnsi="宋体"/>
                <w:sz w:val="24"/>
              </w:rPr>
              <w:t>落实政府采购政策需满足的资格要求</w:t>
            </w:r>
          </w:p>
        </w:tc>
        <w:tc>
          <w:tcPr>
            <w:tcW w:w="4822" w:type="dxa"/>
            <w:vAlign w:val="center"/>
          </w:tcPr>
          <w:p>
            <w:pPr>
              <w:tabs>
                <w:tab w:val="left" w:pos="1080"/>
              </w:tabs>
              <w:snapToGrid w:val="0"/>
              <w:rPr>
                <w:rFonts w:ascii="宋体"/>
                <w:sz w:val="24"/>
              </w:rPr>
            </w:pPr>
            <w:r>
              <w:rPr>
                <w:rFonts w:hint="eastAsia" w:ascii="宋体" w:hAnsi="宋体"/>
                <w:sz w:val="24"/>
              </w:rPr>
              <w:t>具体要求见第一章《投标邀请》</w:t>
            </w:r>
          </w:p>
        </w:tc>
        <w:tc>
          <w:tcPr>
            <w:tcW w:w="1638" w:type="dxa"/>
            <w:vAlign w:val="center"/>
          </w:tcPr>
          <w:p>
            <w:pPr>
              <w:tabs>
                <w:tab w:val="left" w:pos="1080"/>
              </w:tabs>
              <w:snapToGrid w:val="0"/>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hint="default" w:ascii="宋体" w:hAnsi="宋体" w:eastAsia="宋体"/>
                <w:sz w:val="24"/>
                <w:lang w:val="en-US" w:eastAsia="zh-CN"/>
              </w:rPr>
            </w:pPr>
            <w:r>
              <w:rPr>
                <w:rFonts w:hint="eastAsia" w:ascii="宋体" w:hAnsi="宋体"/>
                <w:sz w:val="24"/>
                <w:lang w:val="en-US" w:eastAsia="zh-CN"/>
              </w:rPr>
              <w:t>2-1</w:t>
            </w:r>
          </w:p>
        </w:tc>
        <w:tc>
          <w:tcPr>
            <w:tcW w:w="1794" w:type="dxa"/>
            <w:vAlign w:val="center"/>
          </w:tcPr>
          <w:p>
            <w:pPr>
              <w:tabs>
                <w:tab w:val="left" w:pos="1080"/>
              </w:tabs>
              <w:snapToGrid w:val="0"/>
              <w:rPr>
                <w:rFonts w:hint="eastAsia" w:ascii="宋体" w:hAnsi="宋体"/>
                <w:sz w:val="24"/>
              </w:rPr>
            </w:pPr>
            <w:r>
              <w:rPr>
                <w:rFonts w:ascii="宋体" w:hAnsi="宋体" w:eastAsia="宋体" w:cs="宋体"/>
                <w:spacing w:val="-5"/>
                <w:sz w:val="24"/>
                <w:szCs w:val="24"/>
              </w:rPr>
              <w:t>中小企业政策</w:t>
            </w:r>
          </w:p>
        </w:tc>
        <w:tc>
          <w:tcPr>
            <w:tcW w:w="4822" w:type="dxa"/>
            <w:vAlign w:val="center"/>
          </w:tcPr>
          <w:p>
            <w:pPr>
              <w:tabs>
                <w:tab w:val="left" w:pos="1080"/>
              </w:tabs>
              <w:snapToGrid w:val="0"/>
              <w:rPr>
                <w:rFonts w:hint="eastAsia" w:ascii="宋体" w:hAnsi="宋体"/>
                <w:sz w:val="24"/>
              </w:rPr>
            </w:pPr>
            <w:r>
              <w:rPr>
                <w:rFonts w:ascii="宋体" w:hAnsi="宋体" w:eastAsia="宋体" w:cs="宋体"/>
                <w:spacing w:val="-2"/>
                <w:sz w:val="24"/>
                <w:szCs w:val="24"/>
              </w:rPr>
              <w:t>具体要求见第一章《投标邀请》</w:t>
            </w:r>
          </w:p>
        </w:tc>
        <w:tc>
          <w:tcPr>
            <w:tcW w:w="1638" w:type="dxa"/>
            <w:vAlign w:val="center"/>
          </w:tcPr>
          <w:p>
            <w:pPr>
              <w:tabs>
                <w:tab w:val="left" w:pos="1080"/>
              </w:tabs>
              <w:snapToGrid w:val="0"/>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hint="default" w:ascii="宋体" w:eastAsia="宋体"/>
                <w:sz w:val="24"/>
                <w:lang w:val="en-US" w:eastAsia="zh-CN"/>
              </w:rPr>
            </w:pPr>
            <w:r>
              <w:rPr>
                <w:rFonts w:ascii="宋体" w:hAnsi="宋体"/>
                <w:sz w:val="24"/>
              </w:rPr>
              <w:t>2-1</w:t>
            </w:r>
            <w:r>
              <w:rPr>
                <w:rFonts w:hint="eastAsia" w:ascii="宋体" w:hAnsi="宋体"/>
                <w:sz w:val="24"/>
                <w:lang w:val="en-US" w:eastAsia="zh-CN"/>
              </w:rPr>
              <w:t>-1</w:t>
            </w:r>
          </w:p>
        </w:tc>
        <w:tc>
          <w:tcPr>
            <w:tcW w:w="1794" w:type="dxa"/>
            <w:vAlign w:val="center"/>
          </w:tcPr>
          <w:p>
            <w:pPr>
              <w:tabs>
                <w:tab w:val="left" w:pos="1080"/>
              </w:tabs>
              <w:snapToGrid w:val="0"/>
              <w:rPr>
                <w:rFonts w:ascii="宋体"/>
                <w:sz w:val="24"/>
              </w:rPr>
            </w:pPr>
            <w:r>
              <w:rPr>
                <w:rFonts w:ascii="宋体"/>
                <w:sz w:val="24"/>
              </w:rPr>
              <w:t>中小企业证明文件</w:t>
            </w:r>
          </w:p>
        </w:tc>
        <w:tc>
          <w:tcPr>
            <w:tcW w:w="4822" w:type="dxa"/>
            <w:vAlign w:val="center"/>
          </w:tcPr>
          <w:p>
            <w:pPr>
              <w:spacing w:before="37" w:line="233" w:lineRule="auto"/>
              <w:ind w:left="115" w:right="102" w:firstLine="14"/>
              <w:jc w:val="both"/>
              <w:rPr>
                <w:rFonts w:ascii="宋体" w:hAnsi="宋体" w:eastAsia="宋体" w:cs="宋体"/>
                <w:sz w:val="24"/>
                <w:szCs w:val="24"/>
              </w:rPr>
            </w:pPr>
            <w:r>
              <w:rPr>
                <w:rFonts w:ascii="宋体" w:hAnsi="宋体" w:eastAsia="宋体" w:cs="宋体"/>
                <w:spacing w:val="1"/>
                <w:sz w:val="24"/>
                <w:szCs w:val="24"/>
              </w:rPr>
              <w:t>当本项目（包）涉及预留份额专门面向中小 企业采购，此时建议在《资格证明文件》中</w:t>
            </w:r>
            <w:r>
              <w:rPr>
                <w:rFonts w:ascii="宋体" w:hAnsi="宋体" w:eastAsia="宋体" w:cs="宋体"/>
                <w:spacing w:val="15"/>
                <w:sz w:val="24"/>
                <w:szCs w:val="24"/>
              </w:rPr>
              <w:t xml:space="preserve"> </w:t>
            </w:r>
            <w:r>
              <w:rPr>
                <w:rFonts w:ascii="宋体" w:hAnsi="宋体" w:eastAsia="宋体" w:cs="宋体"/>
                <w:spacing w:val="-10"/>
                <w:sz w:val="24"/>
                <w:szCs w:val="24"/>
              </w:rPr>
              <w:t>提供。</w:t>
            </w:r>
          </w:p>
          <w:p>
            <w:pPr>
              <w:pStyle w:val="283"/>
              <w:spacing w:before="22" w:line="236" w:lineRule="auto"/>
              <w:ind w:left="116" w:right="102" w:firstLine="15"/>
              <w:rPr>
                <w:rFonts w:ascii="宋体" w:hAnsi="宋体" w:eastAsia="宋体" w:cs="宋体"/>
                <w:sz w:val="24"/>
                <w:szCs w:val="24"/>
              </w:rPr>
            </w:pPr>
            <w:r>
              <w:rPr>
                <w:spacing w:val="-6"/>
                <w:sz w:val="24"/>
                <w:szCs w:val="24"/>
              </w:rPr>
              <w:t>1</w:t>
            </w:r>
            <w:r>
              <w:rPr>
                <w:rFonts w:ascii="宋体" w:hAnsi="宋体" w:eastAsia="宋体" w:cs="宋体"/>
                <w:spacing w:val="-6"/>
                <w:sz w:val="24"/>
                <w:szCs w:val="24"/>
              </w:rPr>
              <w:t>、投标人单独投标的，应提供《中小企业声</w:t>
            </w:r>
            <w:r>
              <w:rPr>
                <w:rFonts w:ascii="宋体" w:hAnsi="宋体" w:eastAsia="宋体" w:cs="宋体"/>
                <w:spacing w:val="4"/>
                <w:sz w:val="24"/>
                <w:szCs w:val="24"/>
              </w:rPr>
              <w:t xml:space="preserve"> </w:t>
            </w:r>
            <w:r>
              <w:rPr>
                <w:rFonts w:ascii="宋体" w:hAnsi="宋体" w:eastAsia="宋体" w:cs="宋体"/>
                <w:spacing w:val="1"/>
                <w:sz w:val="24"/>
                <w:szCs w:val="24"/>
              </w:rPr>
              <w:t>明函》或《残疾人福利性单位声明函》或由</w:t>
            </w:r>
            <w:r>
              <w:rPr>
                <w:rFonts w:ascii="宋体" w:hAnsi="宋体" w:eastAsia="宋体" w:cs="宋体"/>
                <w:spacing w:val="14"/>
                <w:sz w:val="24"/>
                <w:szCs w:val="24"/>
              </w:rPr>
              <w:t xml:space="preserve"> </w:t>
            </w:r>
            <w:r>
              <w:rPr>
                <w:rFonts w:ascii="宋体" w:hAnsi="宋体" w:eastAsia="宋体" w:cs="宋体"/>
                <w:spacing w:val="1"/>
                <w:sz w:val="24"/>
                <w:szCs w:val="24"/>
              </w:rPr>
              <w:t>省级以上监狱管理局、戒毒管理局（含新疆</w:t>
            </w:r>
            <w:r>
              <w:rPr>
                <w:rFonts w:ascii="宋体" w:hAnsi="宋体" w:eastAsia="宋体" w:cs="宋体"/>
                <w:spacing w:val="14"/>
                <w:sz w:val="24"/>
                <w:szCs w:val="24"/>
              </w:rPr>
              <w:t xml:space="preserve"> </w:t>
            </w:r>
            <w:r>
              <w:rPr>
                <w:rFonts w:ascii="宋体" w:hAnsi="宋体" w:eastAsia="宋体" w:cs="宋体"/>
                <w:spacing w:val="1"/>
                <w:sz w:val="24"/>
                <w:szCs w:val="24"/>
              </w:rPr>
              <w:t>生产建设兵团）出具的属于监狱企业的证明</w:t>
            </w:r>
            <w:r>
              <w:rPr>
                <w:rFonts w:ascii="宋体" w:hAnsi="宋体" w:eastAsia="宋体" w:cs="宋体"/>
                <w:spacing w:val="14"/>
                <w:sz w:val="24"/>
                <w:szCs w:val="24"/>
              </w:rPr>
              <w:t xml:space="preserve"> </w:t>
            </w:r>
            <w:r>
              <w:rPr>
                <w:rFonts w:ascii="宋体" w:hAnsi="宋体" w:eastAsia="宋体" w:cs="宋体"/>
                <w:spacing w:val="-11"/>
                <w:sz w:val="24"/>
                <w:szCs w:val="24"/>
              </w:rPr>
              <w:t>文件。</w:t>
            </w:r>
          </w:p>
          <w:p>
            <w:pPr>
              <w:tabs>
                <w:tab w:val="left" w:pos="1080"/>
              </w:tabs>
              <w:snapToGrid w:val="0"/>
              <w:rPr>
                <w:rFonts w:ascii="宋体"/>
                <w:sz w:val="24"/>
              </w:rPr>
            </w:pPr>
            <w:r>
              <w:rPr>
                <w:spacing w:val="-6"/>
                <w:sz w:val="24"/>
                <w:szCs w:val="24"/>
              </w:rPr>
              <w:t>2</w:t>
            </w:r>
            <w:r>
              <w:rPr>
                <w:rFonts w:ascii="宋体" w:hAnsi="宋体" w:eastAsia="宋体" w:cs="宋体"/>
                <w:spacing w:val="-6"/>
                <w:sz w:val="24"/>
                <w:szCs w:val="24"/>
              </w:rPr>
              <w:t>、如招标文件要求以联合体形式参加或者要</w:t>
            </w:r>
            <w:r>
              <w:rPr>
                <w:rFonts w:ascii="宋体" w:hAnsi="宋体" w:eastAsia="宋体" w:cs="宋体"/>
                <w:spacing w:val="13"/>
                <w:sz w:val="24"/>
                <w:szCs w:val="24"/>
              </w:rPr>
              <w:t xml:space="preserve"> </w:t>
            </w:r>
            <w:r>
              <w:rPr>
                <w:rFonts w:ascii="宋体" w:hAnsi="宋体" w:eastAsia="宋体" w:cs="宋体"/>
                <w:spacing w:val="1"/>
                <w:sz w:val="24"/>
                <w:szCs w:val="24"/>
              </w:rPr>
              <w:t>求合同分包的，且投标人为联合体或拟进行</w:t>
            </w:r>
            <w:r>
              <w:rPr>
                <w:rFonts w:ascii="宋体" w:hAnsi="宋体" w:eastAsia="宋体" w:cs="宋体"/>
                <w:spacing w:val="17"/>
                <w:sz w:val="24"/>
                <w:szCs w:val="24"/>
              </w:rPr>
              <w:t xml:space="preserve"> </w:t>
            </w:r>
            <w:r>
              <w:rPr>
                <w:rFonts w:ascii="宋体" w:hAnsi="宋体" w:eastAsia="宋体" w:cs="宋体"/>
                <w:spacing w:val="1"/>
                <w:sz w:val="24"/>
                <w:szCs w:val="24"/>
              </w:rPr>
              <w:t>合同分包的，则联合体中的中小企业、签订</w:t>
            </w:r>
            <w:r>
              <w:rPr>
                <w:rFonts w:ascii="宋体" w:hAnsi="宋体" w:eastAsia="宋体" w:cs="宋体"/>
                <w:spacing w:val="17"/>
                <w:sz w:val="24"/>
                <w:szCs w:val="24"/>
              </w:rPr>
              <w:t xml:space="preserve"> </w:t>
            </w:r>
            <w:r>
              <w:rPr>
                <w:rFonts w:ascii="宋体" w:hAnsi="宋体" w:eastAsia="宋体" w:cs="宋体"/>
                <w:spacing w:val="1"/>
                <w:sz w:val="24"/>
                <w:szCs w:val="24"/>
              </w:rPr>
              <w:t>分包意向协议的中小企业具体情况须在《中</w:t>
            </w:r>
            <w:r>
              <w:rPr>
                <w:rFonts w:ascii="宋体" w:hAnsi="宋体" w:eastAsia="宋体" w:cs="宋体"/>
                <w:spacing w:val="17"/>
                <w:sz w:val="24"/>
                <w:szCs w:val="24"/>
              </w:rPr>
              <w:t xml:space="preserve"> </w:t>
            </w:r>
            <w:r>
              <w:rPr>
                <w:rFonts w:ascii="宋体" w:hAnsi="宋体" w:eastAsia="宋体" w:cs="宋体"/>
                <w:spacing w:val="1"/>
                <w:sz w:val="24"/>
                <w:szCs w:val="24"/>
              </w:rPr>
              <w:t>小企业声明函》或《残疾人福利性单位声明</w:t>
            </w:r>
            <w:r>
              <w:rPr>
                <w:rFonts w:ascii="宋体" w:hAnsi="宋体" w:eastAsia="宋体" w:cs="宋体"/>
                <w:spacing w:val="17"/>
                <w:sz w:val="24"/>
                <w:szCs w:val="24"/>
              </w:rPr>
              <w:t xml:space="preserve"> </w:t>
            </w:r>
            <w:r>
              <w:rPr>
                <w:rFonts w:ascii="宋体" w:hAnsi="宋体" w:eastAsia="宋体" w:cs="宋体"/>
                <w:spacing w:val="1"/>
                <w:sz w:val="24"/>
                <w:szCs w:val="24"/>
              </w:rPr>
              <w:t>函》或由省级以上监狱管理局、戒毒管理局</w:t>
            </w:r>
            <w:r>
              <w:rPr>
                <w:rFonts w:ascii="宋体" w:hAnsi="宋体" w:eastAsia="宋体" w:cs="宋体"/>
                <w:spacing w:val="17"/>
                <w:sz w:val="24"/>
                <w:szCs w:val="24"/>
              </w:rPr>
              <w:t xml:space="preserve"> </w:t>
            </w:r>
            <w:r>
              <w:rPr>
                <w:rFonts w:ascii="宋体" w:hAnsi="宋体" w:eastAsia="宋体" w:cs="宋体"/>
                <w:spacing w:val="1"/>
                <w:sz w:val="24"/>
                <w:szCs w:val="24"/>
              </w:rPr>
              <w:t>（含新疆生产建设兵团）出具的属于监狱企</w:t>
            </w:r>
            <w:r>
              <w:rPr>
                <w:rFonts w:ascii="宋体" w:hAnsi="宋体" w:eastAsia="宋体" w:cs="宋体"/>
                <w:spacing w:val="17"/>
                <w:sz w:val="24"/>
                <w:szCs w:val="24"/>
              </w:rPr>
              <w:t xml:space="preserve"> </w:t>
            </w:r>
            <w:r>
              <w:rPr>
                <w:rFonts w:ascii="宋体" w:hAnsi="宋体" w:eastAsia="宋体" w:cs="宋体"/>
                <w:spacing w:val="1"/>
                <w:sz w:val="24"/>
                <w:szCs w:val="24"/>
              </w:rPr>
              <w:t>业的证明文件中如实填报，且满足招标文件</w:t>
            </w:r>
            <w:r>
              <w:rPr>
                <w:rFonts w:ascii="宋体" w:hAnsi="宋体" w:eastAsia="宋体" w:cs="宋体"/>
                <w:spacing w:val="17"/>
                <w:sz w:val="24"/>
                <w:szCs w:val="24"/>
              </w:rPr>
              <w:t xml:space="preserve"> </w:t>
            </w:r>
            <w:r>
              <w:rPr>
                <w:rFonts w:ascii="宋体" w:hAnsi="宋体" w:eastAsia="宋体" w:cs="宋体"/>
                <w:spacing w:val="-4"/>
                <w:sz w:val="24"/>
                <w:szCs w:val="24"/>
              </w:rPr>
              <w:t>关于预留份额的要求。</w:t>
            </w:r>
          </w:p>
        </w:tc>
        <w:tc>
          <w:tcPr>
            <w:tcW w:w="1638" w:type="dxa"/>
            <w:vAlign w:val="center"/>
          </w:tcPr>
          <w:p>
            <w:pPr>
              <w:tabs>
                <w:tab w:val="left" w:pos="1080"/>
              </w:tabs>
              <w:snapToGrid w:val="0"/>
              <w:rPr>
                <w:rFonts w:ascii="宋体"/>
                <w:sz w:val="24"/>
              </w:rPr>
            </w:pPr>
            <w:r>
              <w:rPr>
                <w:rFonts w:hint="eastAsia"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p>
          <w:p>
            <w:pPr>
              <w:tabs>
                <w:tab w:val="left" w:pos="1080"/>
              </w:tabs>
              <w:snapToGrid w:val="0"/>
              <w:jc w:val="center"/>
              <w:rPr>
                <w:rFonts w:ascii="宋体"/>
                <w:sz w:val="24"/>
              </w:rPr>
            </w:pPr>
            <w:r>
              <w:rPr>
                <w:rFonts w:ascii="宋体"/>
                <w:sz w:val="24"/>
              </w:rPr>
              <w:t>2-1-</w:t>
            </w:r>
          </w:p>
          <w:p>
            <w:pPr>
              <w:tabs>
                <w:tab w:val="left" w:pos="1080"/>
              </w:tabs>
              <w:snapToGrid w:val="0"/>
              <w:jc w:val="center"/>
              <w:rPr>
                <w:rFonts w:ascii="宋体"/>
                <w:sz w:val="24"/>
              </w:rPr>
            </w:pPr>
            <w:r>
              <w:rPr>
                <w:rFonts w:ascii="宋体"/>
                <w:sz w:val="24"/>
              </w:rPr>
              <w:t>2</w:t>
            </w:r>
          </w:p>
        </w:tc>
        <w:tc>
          <w:tcPr>
            <w:tcW w:w="1794" w:type="dxa"/>
            <w:vAlign w:val="center"/>
          </w:tcPr>
          <w:p>
            <w:pPr>
              <w:tabs>
                <w:tab w:val="left" w:pos="1080"/>
              </w:tabs>
              <w:snapToGrid w:val="0"/>
              <w:rPr>
                <w:rFonts w:ascii="宋体"/>
                <w:sz w:val="24"/>
              </w:rPr>
            </w:pPr>
            <w:r>
              <w:rPr>
                <w:rFonts w:ascii="宋体" w:hAnsi="宋体" w:eastAsia="宋体" w:cs="宋体"/>
                <w:spacing w:val="11"/>
                <w:sz w:val="24"/>
                <w:szCs w:val="24"/>
              </w:rPr>
              <w:t>拟分包情况说明</w:t>
            </w:r>
            <w:r>
              <w:rPr>
                <w:rFonts w:ascii="宋体" w:hAnsi="宋体" w:eastAsia="宋体" w:cs="宋体"/>
                <w:spacing w:val="-2"/>
                <w:sz w:val="24"/>
                <w:szCs w:val="24"/>
              </w:rPr>
              <w:t>及分包意向协议</w:t>
            </w:r>
          </w:p>
        </w:tc>
        <w:tc>
          <w:tcPr>
            <w:tcW w:w="4822" w:type="dxa"/>
            <w:vAlign w:val="center"/>
          </w:tcPr>
          <w:p>
            <w:pPr>
              <w:tabs>
                <w:tab w:val="left" w:pos="1080"/>
              </w:tabs>
              <w:snapToGrid w:val="0"/>
              <w:rPr>
                <w:rFonts w:ascii="宋体"/>
                <w:sz w:val="24"/>
              </w:rPr>
            </w:pPr>
            <w:r>
              <w:rPr>
                <w:rFonts w:hint="eastAsia" w:ascii="宋体" w:hAnsi="宋体"/>
                <w:sz w:val="24"/>
              </w:rPr>
              <w:t>如本项目（包）要求通过分包措施预留部分采购份额面向中小企业采购、且投标人因落实政府采购政策拟进行分包的，必须提供；否则无须提供。</w:t>
            </w:r>
          </w:p>
          <w:p>
            <w:pPr>
              <w:tabs>
                <w:tab w:val="left" w:pos="1080"/>
              </w:tabs>
              <w:snapToGrid w:val="0"/>
              <w:rPr>
                <w:rFonts w:ascii="宋体"/>
                <w:b/>
                <w:sz w:val="24"/>
              </w:rPr>
            </w:pPr>
            <w:r>
              <w:rPr>
                <w:rFonts w:hint="eastAsia" w:ascii="宋体" w:hAnsi="宋体"/>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pPr>
              <w:tabs>
                <w:tab w:val="left" w:pos="1080"/>
              </w:tabs>
              <w:snapToGrid w:val="0"/>
              <w:rPr>
                <w:rFonts w:ascii="宋体"/>
                <w:sz w:val="24"/>
              </w:rPr>
            </w:pPr>
            <w:r>
              <w:rPr>
                <w:rFonts w:hint="eastAsia"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hint="eastAsia" w:ascii="宋体" w:eastAsia="宋体"/>
                <w:sz w:val="24"/>
                <w:lang w:eastAsia="zh-CN"/>
              </w:rPr>
            </w:pPr>
            <w:r>
              <w:rPr>
                <w:rFonts w:ascii="宋体" w:hAnsi="宋体"/>
                <w:sz w:val="24"/>
              </w:rPr>
              <w:t>2-</w:t>
            </w:r>
            <w:r>
              <w:rPr>
                <w:rFonts w:hint="eastAsia" w:ascii="宋体" w:hAnsi="宋体"/>
                <w:sz w:val="24"/>
                <w:lang w:val="en-US" w:eastAsia="zh-CN"/>
              </w:rPr>
              <w:t>2</w:t>
            </w:r>
          </w:p>
        </w:tc>
        <w:tc>
          <w:tcPr>
            <w:tcW w:w="1794" w:type="dxa"/>
            <w:vAlign w:val="center"/>
          </w:tcPr>
          <w:p>
            <w:pPr>
              <w:tabs>
                <w:tab w:val="left" w:pos="1080"/>
              </w:tabs>
              <w:snapToGrid w:val="0"/>
              <w:rPr>
                <w:rFonts w:ascii="宋体"/>
                <w:sz w:val="24"/>
              </w:rPr>
            </w:pPr>
            <w:r>
              <w:rPr>
                <w:rFonts w:hint="eastAsia" w:ascii="宋体" w:hAnsi="宋体"/>
                <w:sz w:val="24"/>
              </w:rPr>
              <w:t>其它落实政府采购政策的资格要求</w:t>
            </w:r>
          </w:p>
        </w:tc>
        <w:tc>
          <w:tcPr>
            <w:tcW w:w="4822" w:type="dxa"/>
            <w:vAlign w:val="center"/>
          </w:tcPr>
          <w:p>
            <w:pPr>
              <w:tabs>
                <w:tab w:val="left" w:pos="1080"/>
              </w:tabs>
              <w:snapToGrid w:val="0"/>
              <w:rPr>
                <w:rFonts w:ascii="宋体"/>
                <w:sz w:val="24"/>
              </w:rPr>
            </w:pPr>
            <w:r>
              <w:rPr>
                <w:rFonts w:hint="eastAsia" w:ascii="宋体" w:hAnsi="宋体"/>
                <w:sz w:val="24"/>
              </w:rPr>
              <w:t>如有，见第一章《投标邀请》</w:t>
            </w:r>
          </w:p>
        </w:tc>
        <w:tc>
          <w:tcPr>
            <w:tcW w:w="1638" w:type="dxa"/>
            <w:vAlign w:val="center"/>
          </w:tcPr>
          <w:p>
            <w:pPr>
              <w:tabs>
                <w:tab w:val="left" w:pos="1080"/>
              </w:tabs>
              <w:snapToGrid w:val="0"/>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r>
              <w:rPr>
                <w:rFonts w:ascii="宋体" w:hAnsi="宋体"/>
                <w:sz w:val="24"/>
              </w:rPr>
              <w:t>3</w:t>
            </w:r>
          </w:p>
        </w:tc>
        <w:tc>
          <w:tcPr>
            <w:tcW w:w="1794" w:type="dxa"/>
            <w:vAlign w:val="center"/>
          </w:tcPr>
          <w:p>
            <w:pPr>
              <w:tabs>
                <w:tab w:val="left" w:pos="1080"/>
              </w:tabs>
              <w:snapToGrid w:val="0"/>
              <w:rPr>
                <w:rFonts w:ascii="宋体"/>
                <w:sz w:val="24"/>
              </w:rPr>
            </w:pPr>
            <w:r>
              <w:rPr>
                <w:rFonts w:hint="eastAsia" w:ascii="宋体" w:hAnsi="宋体"/>
                <w:sz w:val="24"/>
              </w:rPr>
              <w:t>本项目的特定资格要求</w:t>
            </w:r>
          </w:p>
        </w:tc>
        <w:tc>
          <w:tcPr>
            <w:tcW w:w="4822" w:type="dxa"/>
            <w:vAlign w:val="center"/>
          </w:tcPr>
          <w:p>
            <w:pPr>
              <w:tabs>
                <w:tab w:val="left" w:pos="1080"/>
              </w:tabs>
              <w:snapToGrid w:val="0"/>
              <w:rPr>
                <w:rFonts w:ascii="宋体"/>
                <w:sz w:val="24"/>
              </w:rPr>
            </w:pPr>
            <w:r>
              <w:rPr>
                <w:rFonts w:hint="eastAsia" w:ascii="宋体" w:hAnsi="宋体"/>
                <w:sz w:val="24"/>
              </w:rPr>
              <w:t>见第一章《投标邀请》</w:t>
            </w:r>
          </w:p>
        </w:tc>
        <w:tc>
          <w:tcPr>
            <w:tcW w:w="1638" w:type="dxa"/>
            <w:vAlign w:val="center"/>
          </w:tcPr>
          <w:p>
            <w:pPr>
              <w:tabs>
                <w:tab w:val="left" w:pos="1080"/>
              </w:tabs>
              <w:snapToGrid w:val="0"/>
              <w:jc w:val="center"/>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1034" w:type="dxa"/>
            <w:vAlign w:val="center"/>
          </w:tcPr>
          <w:p>
            <w:pPr>
              <w:tabs>
                <w:tab w:val="left" w:pos="1080"/>
              </w:tabs>
              <w:snapToGrid w:val="0"/>
              <w:jc w:val="center"/>
              <w:rPr>
                <w:rFonts w:ascii="宋体"/>
                <w:sz w:val="24"/>
              </w:rPr>
            </w:pPr>
            <w:r>
              <w:rPr>
                <w:rFonts w:ascii="宋体" w:hAnsi="宋体"/>
                <w:sz w:val="24"/>
              </w:rPr>
              <w:t>3-1</w:t>
            </w:r>
          </w:p>
        </w:tc>
        <w:tc>
          <w:tcPr>
            <w:tcW w:w="1794" w:type="dxa"/>
            <w:vAlign w:val="center"/>
          </w:tcPr>
          <w:p>
            <w:pPr>
              <w:tabs>
                <w:tab w:val="left" w:pos="1080"/>
              </w:tabs>
              <w:snapToGrid w:val="0"/>
              <w:rPr>
                <w:rFonts w:ascii="宋体"/>
                <w:sz w:val="24"/>
              </w:rPr>
            </w:pPr>
            <w:r>
              <w:rPr>
                <w:rFonts w:hint="eastAsia" w:ascii="宋体" w:hAnsi="宋体"/>
                <w:sz w:val="24"/>
              </w:rPr>
              <w:t>是否接受联合体投标</w:t>
            </w:r>
          </w:p>
        </w:tc>
        <w:tc>
          <w:tcPr>
            <w:tcW w:w="4822" w:type="dxa"/>
            <w:vAlign w:val="center"/>
          </w:tcPr>
          <w:p>
            <w:pPr>
              <w:tabs>
                <w:tab w:val="left" w:pos="1080"/>
              </w:tabs>
              <w:snapToGrid w:val="0"/>
              <w:rPr>
                <w:rFonts w:ascii="宋体"/>
                <w:sz w:val="24"/>
              </w:rPr>
            </w:pPr>
            <w:r>
              <w:rPr>
                <w:rFonts w:ascii="宋体" w:hAnsi="宋体"/>
                <w:sz w:val="24"/>
              </w:rPr>
              <w:t>1</w:t>
            </w:r>
            <w:r>
              <w:rPr>
                <w:rFonts w:hint="eastAsia" w:ascii="宋体" w:hAnsi="宋体"/>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rFonts w:ascii="宋体"/>
                <w:sz w:val="24"/>
              </w:rPr>
            </w:pPr>
            <w:r>
              <w:rPr>
                <w:rFonts w:ascii="宋体" w:hAnsi="宋体"/>
                <w:sz w:val="24"/>
              </w:rPr>
              <w:t>2</w:t>
            </w:r>
            <w:r>
              <w:rPr>
                <w:rFonts w:hint="eastAsia" w:ascii="宋体" w:hAnsi="宋体"/>
                <w:sz w:val="24"/>
              </w:rPr>
              <w:t>、联合体各成员单位均须提供本表中序号</w:t>
            </w:r>
            <w:r>
              <w:rPr>
                <w:rFonts w:ascii="宋体" w:hAnsi="宋体"/>
                <w:sz w:val="24"/>
              </w:rPr>
              <w:t>1-1</w:t>
            </w:r>
            <w:r>
              <w:rPr>
                <w:rFonts w:hint="eastAsia" w:ascii="宋体" w:hAnsi="宋体"/>
                <w:sz w:val="24"/>
              </w:rPr>
              <w:t>、</w:t>
            </w:r>
            <w:r>
              <w:rPr>
                <w:rFonts w:ascii="宋体" w:hAnsi="宋体"/>
                <w:sz w:val="24"/>
              </w:rPr>
              <w:t>1-2</w:t>
            </w:r>
            <w:r>
              <w:rPr>
                <w:rFonts w:hint="eastAsia" w:ascii="宋体" w:hAnsi="宋体"/>
                <w:sz w:val="24"/>
              </w:rPr>
              <w:t>的证明文件。</w:t>
            </w:r>
          </w:p>
          <w:p>
            <w:pPr>
              <w:tabs>
                <w:tab w:val="left" w:pos="1080"/>
              </w:tabs>
              <w:snapToGrid w:val="0"/>
              <w:rPr>
                <w:rFonts w:ascii="宋体"/>
                <w:sz w:val="24"/>
              </w:rPr>
            </w:pPr>
            <w:r>
              <w:rPr>
                <w:rFonts w:ascii="宋体" w:hAnsi="宋体"/>
                <w:sz w:val="24"/>
              </w:rPr>
              <w:t>3</w:t>
            </w:r>
            <w:r>
              <w:rPr>
                <w:rFonts w:hint="eastAsia" w:ascii="宋体" w:hAnsi="宋体"/>
                <w:sz w:val="24"/>
              </w:rPr>
              <w:t>、本表序号</w:t>
            </w:r>
            <w:r>
              <w:rPr>
                <w:rFonts w:ascii="宋体" w:hAnsi="宋体"/>
                <w:sz w:val="24"/>
              </w:rPr>
              <w:t>3-2</w:t>
            </w:r>
            <w:r>
              <w:rPr>
                <w:rFonts w:hint="eastAsia" w:ascii="宋体" w:hAnsi="宋体"/>
                <w:sz w:val="24"/>
              </w:rPr>
              <w:t>项规定的其他特定资格要求中的每一小项要求，联合体各方中至少应当有一方符合本表中其他资格要求并提供证明文件。</w:t>
            </w:r>
          </w:p>
          <w:p>
            <w:pPr>
              <w:tabs>
                <w:tab w:val="left" w:pos="1080"/>
              </w:tabs>
              <w:snapToGrid w:val="0"/>
              <w:rPr>
                <w:rFonts w:ascii="宋体"/>
                <w:sz w:val="24"/>
              </w:rPr>
            </w:pPr>
            <w:r>
              <w:rPr>
                <w:rFonts w:ascii="宋体" w:hAnsi="宋体"/>
                <w:sz w:val="24"/>
              </w:rPr>
              <w:t>4</w:t>
            </w:r>
            <w:r>
              <w:rPr>
                <w:rFonts w:hint="eastAsia" w:ascii="宋体" w:hAnsi="宋体"/>
                <w:sz w:val="24"/>
              </w:rPr>
              <w:t>、联合体中有同类资质的供应商按照联合体分工承担相同工作的，应当按照资质等级较低的供应商确定资质等级。</w:t>
            </w:r>
          </w:p>
          <w:p>
            <w:pPr>
              <w:tabs>
                <w:tab w:val="left" w:pos="1080"/>
              </w:tabs>
              <w:snapToGrid w:val="0"/>
              <w:rPr>
                <w:rFonts w:ascii="宋体"/>
                <w:sz w:val="24"/>
              </w:rPr>
            </w:pPr>
            <w:r>
              <w:rPr>
                <w:rFonts w:ascii="宋体" w:hAnsi="宋体"/>
                <w:sz w:val="24"/>
              </w:rPr>
              <w:t>5</w:t>
            </w:r>
            <w:r>
              <w:rPr>
                <w:rFonts w:hint="eastAsia" w:ascii="宋体" w:hAnsi="宋体"/>
                <w:sz w:val="24"/>
              </w:rPr>
              <w:t>、以联合体形式参加政府采购活动的，联合体各方不得再单独参加或者与其他供应商另外组成联合体参加同一合同项下的政府采购活动。</w:t>
            </w:r>
          </w:p>
          <w:p>
            <w:pPr>
              <w:tabs>
                <w:tab w:val="left" w:pos="1080"/>
              </w:tabs>
              <w:snapToGrid w:val="0"/>
              <w:rPr>
                <w:rFonts w:ascii="宋体"/>
                <w:sz w:val="24"/>
              </w:rPr>
            </w:pPr>
            <w:r>
              <w:rPr>
                <w:rFonts w:ascii="宋体" w:hAnsi="宋体"/>
                <w:sz w:val="24"/>
              </w:rPr>
              <w:t>6</w:t>
            </w:r>
            <w:r>
              <w:rPr>
                <w:rFonts w:hint="eastAsia" w:ascii="宋体" w:hAnsi="宋体"/>
                <w:sz w:val="24"/>
              </w:rPr>
              <w:t>、若联合体中任一成员单位中途退出，则该联合体的</w:t>
            </w:r>
            <w:r>
              <w:rPr>
                <w:rFonts w:hint="eastAsia" w:ascii="宋体" w:hAnsi="宋体"/>
                <w:b/>
                <w:sz w:val="24"/>
              </w:rPr>
              <w:t>投标无效</w:t>
            </w:r>
            <w:r>
              <w:rPr>
                <w:rFonts w:hint="eastAsia" w:ascii="宋体" w:hAnsi="宋体"/>
                <w:sz w:val="24"/>
              </w:rPr>
              <w:t>。</w:t>
            </w:r>
          </w:p>
          <w:p>
            <w:pPr>
              <w:tabs>
                <w:tab w:val="left" w:pos="1080"/>
              </w:tabs>
              <w:snapToGrid w:val="0"/>
              <w:rPr>
                <w:rFonts w:ascii="宋体"/>
                <w:sz w:val="24"/>
              </w:rPr>
            </w:pPr>
            <w:r>
              <w:rPr>
                <w:rFonts w:ascii="宋体" w:hAnsi="宋体"/>
                <w:sz w:val="24"/>
              </w:rPr>
              <w:t>7</w:t>
            </w:r>
            <w:r>
              <w:rPr>
                <w:rFonts w:hint="eastAsia" w:ascii="宋体" w:hAnsi="宋体"/>
                <w:sz w:val="24"/>
              </w:rPr>
              <w:t>、本项目不接受联合体投标时，投标人不得为联合体。</w:t>
            </w:r>
          </w:p>
        </w:tc>
        <w:tc>
          <w:tcPr>
            <w:tcW w:w="1638" w:type="dxa"/>
            <w:vAlign w:val="center"/>
          </w:tcPr>
          <w:p>
            <w:pPr>
              <w:tabs>
                <w:tab w:val="left" w:pos="1080"/>
              </w:tabs>
              <w:snapToGrid w:val="0"/>
              <w:rPr>
                <w:rFonts w:ascii="宋体"/>
                <w:sz w:val="24"/>
              </w:rPr>
            </w:pPr>
            <w:r>
              <w:rPr>
                <w:rFonts w:hint="eastAsia" w:ascii="宋体" w:hAnsi="宋体"/>
                <w:sz w:val="24"/>
              </w:rPr>
              <w:t>提供《联合协议》原件</w:t>
            </w:r>
          </w:p>
          <w:p>
            <w:pPr>
              <w:tabs>
                <w:tab w:val="left" w:pos="1080"/>
              </w:tabs>
              <w:snapToGrid w:val="0"/>
              <w:rPr>
                <w:rFonts w:ascii="宋体"/>
                <w:sz w:val="24"/>
              </w:rPr>
            </w:pPr>
            <w:r>
              <w:rPr>
                <w:rFonts w:hint="eastAsia"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34" w:type="dxa"/>
            <w:vAlign w:val="center"/>
          </w:tcPr>
          <w:p>
            <w:pPr>
              <w:tabs>
                <w:tab w:val="left" w:pos="1080"/>
              </w:tabs>
              <w:snapToGrid w:val="0"/>
              <w:jc w:val="center"/>
              <w:rPr>
                <w:rFonts w:ascii="宋体"/>
                <w:sz w:val="24"/>
              </w:rPr>
            </w:pPr>
            <w:r>
              <w:rPr>
                <w:rFonts w:ascii="宋体" w:hAnsi="宋体"/>
                <w:sz w:val="24"/>
              </w:rPr>
              <w:t>4</w:t>
            </w:r>
          </w:p>
        </w:tc>
        <w:tc>
          <w:tcPr>
            <w:tcW w:w="1794" w:type="dxa"/>
            <w:vAlign w:val="center"/>
          </w:tcPr>
          <w:p>
            <w:pPr>
              <w:tabs>
                <w:tab w:val="left" w:pos="1080"/>
              </w:tabs>
              <w:snapToGrid w:val="0"/>
              <w:jc w:val="center"/>
              <w:rPr>
                <w:rFonts w:ascii="宋体"/>
                <w:sz w:val="24"/>
              </w:rPr>
            </w:pPr>
            <w:r>
              <w:rPr>
                <w:rFonts w:hint="eastAsia" w:ascii="宋体" w:hAnsi="宋体"/>
                <w:sz w:val="24"/>
              </w:rPr>
              <w:t>投标保证金</w:t>
            </w:r>
          </w:p>
        </w:tc>
        <w:tc>
          <w:tcPr>
            <w:tcW w:w="4822" w:type="dxa"/>
            <w:vAlign w:val="center"/>
          </w:tcPr>
          <w:p>
            <w:pPr>
              <w:tabs>
                <w:tab w:val="left" w:pos="1080"/>
              </w:tabs>
              <w:snapToGrid w:val="0"/>
              <w:rPr>
                <w:rFonts w:ascii="宋体"/>
                <w:sz w:val="24"/>
              </w:rPr>
            </w:pPr>
            <w:r>
              <w:rPr>
                <w:rFonts w:hint="eastAsia" w:ascii="宋体" w:hAnsi="宋体"/>
                <w:kern w:val="0"/>
                <w:sz w:val="24"/>
              </w:rPr>
              <w:t>按照招标文件的规定提交投标保证金。</w:t>
            </w:r>
          </w:p>
        </w:tc>
        <w:tc>
          <w:tcPr>
            <w:tcW w:w="1638" w:type="dxa"/>
            <w:vAlign w:val="center"/>
          </w:tcPr>
          <w:p>
            <w:pPr>
              <w:tabs>
                <w:tab w:val="left" w:pos="1080"/>
              </w:tabs>
              <w:snapToGrid w:val="0"/>
              <w:rPr>
                <w:rFonts w:ascii="宋体"/>
                <w:sz w:val="24"/>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0"/>
    </w:tbl>
    <w:p>
      <w:pPr>
        <w:rPr>
          <w:rFonts w:ascii="宋体" w:hAnsi="宋体"/>
          <w:b/>
          <w:sz w:val="36"/>
          <w:szCs w:val="36"/>
        </w:rPr>
      </w:pPr>
      <w:bookmarkStart w:id="723" w:name="_Toc127151779"/>
      <w:bookmarkStart w:id="724" w:name="_Toc353825550"/>
      <w:bookmarkStart w:id="725" w:name="_Toc226965858"/>
      <w:bookmarkStart w:id="726" w:name="_Toc127161490"/>
      <w:bookmarkStart w:id="727" w:name="_Toc353873940"/>
      <w:r>
        <w:rPr>
          <w:rFonts w:ascii="宋体" w:hAnsi="宋体"/>
          <w:b/>
          <w:sz w:val="36"/>
          <w:szCs w:val="36"/>
        </w:rPr>
        <w:br w:type="page"/>
      </w:r>
    </w:p>
    <w:p>
      <w:pPr>
        <w:pStyle w:val="2"/>
        <w:rPr>
          <w:sz w:val="36"/>
          <w:szCs w:val="36"/>
        </w:rPr>
      </w:pPr>
      <w:bookmarkStart w:id="728" w:name="_Toc14915"/>
      <w:r>
        <w:rPr>
          <w:rFonts w:hint="eastAsia" w:hAnsi="宋体"/>
          <w:sz w:val="36"/>
          <w:szCs w:val="36"/>
        </w:rPr>
        <w:t>第四章</w:t>
      </w:r>
      <w:r>
        <w:rPr>
          <w:rFonts w:hAnsi="宋体"/>
          <w:sz w:val="36"/>
          <w:szCs w:val="36"/>
        </w:rPr>
        <w:t xml:space="preserve">   </w:t>
      </w:r>
      <w:bookmarkEnd w:id="723"/>
      <w:bookmarkEnd w:id="724"/>
      <w:bookmarkEnd w:id="725"/>
      <w:bookmarkEnd w:id="726"/>
      <w:bookmarkEnd w:id="727"/>
      <w:bookmarkStart w:id="729" w:name="_Hlt164229061"/>
      <w:bookmarkEnd w:id="729"/>
      <w:r>
        <w:rPr>
          <w:rFonts w:hint="eastAsia" w:hAnsi="宋体"/>
          <w:sz w:val="36"/>
          <w:szCs w:val="36"/>
        </w:rPr>
        <w:t>评标程序、评标方法和评标标准</w:t>
      </w:r>
      <w:bookmarkEnd w:id="728"/>
    </w:p>
    <w:p>
      <w:pPr>
        <w:tabs>
          <w:tab w:val="left" w:pos="360"/>
          <w:tab w:val="left" w:pos="900"/>
        </w:tabs>
        <w:snapToGrid w:val="0"/>
        <w:spacing w:line="360" w:lineRule="auto"/>
        <w:jc w:val="center"/>
        <w:rPr>
          <w:rFonts w:ascii="宋体" w:hAnsi="宋体"/>
          <w:b/>
          <w:sz w:val="24"/>
        </w:rPr>
      </w:pPr>
    </w:p>
    <w:p>
      <w:pPr>
        <w:tabs>
          <w:tab w:val="left" w:pos="360"/>
          <w:tab w:val="left" w:pos="900"/>
        </w:tabs>
        <w:snapToGrid w:val="0"/>
        <w:spacing w:line="360" w:lineRule="auto"/>
        <w:jc w:val="center"/>
        <w:outlineLvl w:val="1"/>
        <w:rPr>
          <w:rFonts w:ascii="宋体"/>
          <w:b/>
        </w:rPr>
      </w:pPr>
      <w:r>
        <w:rPr>
          <w:rFonts w:hint="eastAsia" w:ascii="宋体" w:hAnsi="宋体"/>
          <w:b/>
          <w:sz w:val="24"/>
        </w:rPr>
        <w:t>一、评标方法</w:t>
      </w:r>
    </w:p>
    <w:p>
      <w:pPr>
        <w:numPr>
          <w:ilvl w:val="0"/>
          <w:numId w:val="14"/>
        </w:numPr>
        <w:tabs>
          <w:tab w:val="left" w:pos="360"/>
        </w:tabs>
        <w:snapToGrid w:val="0"/>
        <w:spacing w:line="360" w:lineRule="auto"/>
        <w:outlineLvl w:val="1"/>
        <w:rPr>
          <w:rFonts w:ascii="宋体"/>
          <w:sz w:val="24"/>
        </w:rPr>
      </w:pPr>
      <w:bookmarkStart w:id="730" w:name="_Toc151193855"/>
      <w:bookmarkStart w:id="731" w:name="_Toc164351635"/>
      <w:bookmarkStart w:id="732" w:name="_Toc150774746"/>
      <w:bookmarkStart w:id="733" w:name="_Toc226965814"/>
      <w:bookmarkStart w:id="734" w:name="_Toc305158809"/>
      <w:bookmarkStart w:id="735" w:name="_Toc151193929"/>
      <w:bookmarkStart w:id="736" w:name="_Toc149720834"/>
      <w:bookmarkStart w:id="737" w:name="_Toc305158883"/>
      <w:bookmarkStart w:id="738" w:name="_Toc226309785"/>
      <w:bookmarkStart w:id="739" w:name="_Toc195842906"/>
      <w:bookmarkStart w:id="740" w:name="_Toc226965731"/>
      <w:bookmarkStart w:id="741" w:name="_Toc164229382"/>
      <w:bookmarkStart w:id="742" w:name="_Toc127151742"/>
      <w:bookmarkStart w:id="743" w:name="_Toc142311043"/>
      <w:bookmarkStart w:id="744" w:name="_Toc151193783"/>
      <w:bookmarkStart w:id="745" w:name="_Toc150509292"/>
      <w:bookmarkStart w:id="746" w:name="_Toc151193711"/>
      <w:bookmarkStart w:id="747" w:name="_Toc127161455"/>
      <w:bookmarkStart w:id="748" w:name="_Toc265228379"/>
      <w:bookmarkStart w:id="749" w:name="_Toc164608655"/>
      <w:bookmarkStart w:id="750" w:name="_Toc127151541"/>
      <w:bookmarkStart w:id="751" w:name="_Toc151190168"/>
      <w:bookmarkStart w:id="752" w:name="_Toc164608810"/>
      <w:bookmarkStart w:id="753" w:name="_Toc264969231"/>
      <w:bookmarkStart w:id="754" w:name="_Toc150480779"/>
      <w:bookmarkStart w:id="755" w:name="_Toc164229236"/>
      <w:bookmarkStart w:id="756" w:name="_Toc150774641"/>
      <w:bookmarkStart w:id="757" w:name="_Toc226337237"/>
      <w:bookmarkStart w:id="758" w:name="_Toc151193639"/>
      <w:bookmarkStart w:id="759" w:name="_Toc353873941"/>
      <w:bookmarkStart w:id="760" w:name="_Toc353825551"/>
      <w:bookmarkStart w:id="761" w:name="_Toc226337251"/>
      <w:bookmarkStart w:id="762" w:name="_Toc150774760"/>
      <w:bookmarkStart w:id="763" w:name="_Toc127151555"/>
      <w:bookmarkStart w:id="764" w:name="_Toc353873935"/>
      <w:bookmarkStart w:id="765" w:name="_Toc264969245"/>
      <w:bookmarkStart w:id="766" w:name="_Toc305158823"/>
      <w:bookmarkStart w:id="767" w:name="_Toc226965828"/>
      <w:bookmarkStart w:id="768" w:name="_Toc305158897"/>
      <w:bookmarkStart w:id="769" w:name="_Toc265228393"/>
      <w:bookmarkStart w:id="770" w:name="_Toc353825545"/>
      <w:bookmarkStart w:id="771" w:name="_Toc195842920"/>
      <w:bookmarkStart w:id="772" w:name="_Toc150480793"/>
      <w:bookmarkStart w:id="773" w:name="_Toc142311057"/>
      <w:bookmarkStart w:id="774" w:name="_Toc353873665"/>
      <w:r>
        <w:rPr>
          <w:rFonts w:hint="eastAsia" w:ascii="宋体" w:hAnsi="宋体"/>
          <w:sz w:val="24"/>
        </w:rPr>
        <w:t>投标文件的符合性审查</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评标委员会对资格审查合格的投标人的投标文件进行符合性审查，以确定其是否满足招标文件的实质性要求。</w:t>
      </w:r>
      <w:bookmarkStart w:id="775" w:name="_Toc520356167"/>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5"/>
      <w:r>
        <w:rPr>
          <w:rFonts w:hint="eastAsia" w:ascii="宋体" w:hAnsi="宋体"/>
          <w:sz w:val="24"/>
        </w:rPr>
        <w:t>要求的，</w:t>
      </w:r>
      <w:r>
        <w:rPr>
          <w:rFonts w:hint="eastAsia" w:ascii="宋体" w:hAnsi="宋体"/>
          <w:b/>
          <w:sz w:val="24"/>
        </w:rPr>
        <w:t>投标无效</w:t>
      </w:r>
      <w:r>
        <w:rPr>
          <w:rFonts w:hint="eastAsia" w:ascii="宋体" w:hAnsi="宋体"/>
          <w:sz w:val="24"/>
        </w:rPr>
        <w:t>。</w:t>
      </w:r>
    </w:p>
    <w:p>
      <w:pPr>
        <w:tabs>
          <w:tab w:val="left" w:pos="900"/>
          <w:tab w:val="left" w:pos="1080"/>
          <w:tab w:val="left" w:pos="1589"/>
        </w:tabs>
        <w:snapToGrid w:val="0"/>
        <w:spacing w:line="360" w:lineRule="auto"/>
        <w:ind w:leftChars="-170" w:hanging="357" w:hangingChars="148"/>
        <w:jc w:val="center"/>
        <w:rPr>
          <w:rFonts w:ascii="宋体"/>
          <w:b/>
          <w:sz w:val="24"/>
        </w:rPr>
      </w:pPr>
      <w:r>
        <w:rPr>
          <w:rFonts w:hint="eastAsia" w:ascii="宋体" w:hAnsi="宋体"/>
          <w:b/>
          <w:sz w:val="24"/>
        </w:rPr>
        <w:t>符合性审查要求</w:t>
      </w:r>
    </w:p>
    <w:tbl>
      <w:tblPr>
        <w:tblStyle w:val="4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59"/>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04" w:type="dxa"/>
            <w:vAlign w:val="center"/>
          </w:tcPr>
          <w:p>
            <w:pPr>
              <w:widowControl/>
              <w:jc w:val="center"/>
              <w:rPr>
                <w:rFonts w:ascii="宋体"/>
                <w:b/>
                <w:kern w:val="0"/>
                <w:sz w:val="24"/>
              </w:rPr>
            </w:pPr>
            <w:r>
              <w:rPr>
                <w:rFonts w:hint="eastAsia" w:ascii="宋体" w:hAnsi="宋体"/>
                <w:b/>
                <w:kern w:val="0"/>
                <w:sz w:val="24"/>
              </w:rPr>
              <w:t>序号</w:t>
            </w:r>
          </w:p>
        </w:tc>
        <w:tc>
          <w:tcPr>
            <w:tcW w:w="1859" w:type="dxa"/>
            <w:vAlign w:val="center"/>
          </w:tcPr>
          <w:p>
            <w:pPr>
              <w:widowControl/>
              <w:jc w:val="center"/>
              <w:rPr>
                <w:rFonts w:ascii="宋体"/>
                <w:b/>
                <w:kern w:val="0"/>
                <w:sz w:val="24"/>
              </w:rPr>
            </w:pPr>
            <w:r>
              <w:rPr>
                <w:rFonts w:hint="eastAsia" w:ascii="宋体" w:hAnsi="宋体"/>
                <w:b/>
                <w:kern w:val="0"/>
                <w:sz w:val="24"/>
              </w:rPr>
              <w:t>审查因素</w:t>
            </w:r>
          </w:p>
        </w:tc>
        <w:tc>
          <w:tcPr>
            <w:tcW w:w="6725" w:type="dxa"/>
            <w:vAlign w:val="center"/>
          </w:tcPr>
          <w:p>
            <w:pPr>
              <w:widowControl/>
              <w:jc w:val="center"/>
              <w:rPr>
                <w:rFonts w:ascii="宋体"/>
                <w:b/>
                <w:kern w:val="0"/>
                <w:sz w:val="24"/>
              </w:rPr>
            </w:pPr>
            <w:r>
              <w:rPr>
                <w:rFonts w:hint="eastAsia" w:ascii="宋体" w:hAnsi="宋体"/>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1</w:t>
            </w:r>
          </w:p>
        </w:tc>
        <w:tc>
          <w:tcPr>
            <w:tcW w:w="1859" w:type="dxa"/>
            <w:vAlign w:val="center"/>
          </w:tcPr>
          <w:p>
            <w:pPr>
              <w:widowControl/>
              <w:jc w:val="left"/>
              <w:rPr>
                <w:rFonts w:ascii="宋体"/>
                <w:kern w:val="0"/>
                <w:sz w:val="24"/>
              </w:rPr>
            </w:pPr>
            <w:r>
              <w:rPr>
                <w:rFonts w:hint="eastAsia" w:ascii="宋体" w:hAnsi="宋体"/>
                <w:kern w:val="0"/>
                <w:sz w:val="24"/>
              </w:rPr>
              <w:t>授权委托书</w:t>
            </w:r>
          </w:p>
        </w:tc>
        <w:tc>
          <w:tcPr>
            <w:tcW w:w="6725" w:type="dxa"/>
            <w:vAlign w:val="center"/>
          </w:tcPr>
          <w:p>
            <w:pPr>
              <w:widowControl/>
              <w:jc w:val="left"/>
              <w:rPr>
                <w:rFonts w:ascii="宋体"/>
                <w:kern w:val="0"/>
                <w:sz w:val="24"/>
              </w:rPr>
            </w:pPr>
            <w:r>
              <w:rPr>
                <w:rFonts w:hint="eastAsia" w:ascii="宋体" w:hAnsi="宋体"/>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04" w:type="dxa"/>
            <w:vAlign w:val="center"/>
          </w:tcPr>
          <w:p>
            <w:pPr>
              <w:widowControl/>
              <w:jc w:val="center"/>
              <w:rPr>
                <w:rFonts w:ascii="宋体"/>
                <w:kern w:val="0"/>
                <w:sz w:val="24"/>
              </w:rPr>
            </w:pPr>
            <w:r>
              <w:rPr>
                <w:rFonts w:ascii="宋体" w:hAnsi="宋体"/>
                <w:kern w:val="0"/>
                <w:sz w:val="24"/>
              </w:rPr>
              <w:t>2</w:t>
            </w:r>
          </w:p>
        </w:tc>
        <w:tc>
          <w:tcPr>
            <w:tcW w:w="1859" w:type="dxa"/>
            <w:vAlign w:val="center"/>
          </w:tcPr>
          <w:p>
            <w:pPr>
              <w:widowControl/>
              <w:jc w:val="left"/>
              <w:rPr>
                <w:rFonts w:ascii="宋体"/>
                <w:kern w:val="0"/>
                <w:sz w:val="24"/>
              </w:rPr>
            </w:pPr>
            <w:r>
              <w:rPr>
                <w:rFonts w:hint="eastAsia" w:ascii="宋体" w:hAnsi="宋体"/>
                <w:kern w:val="0"/>
                <w:sz w:val="24"/>
              </w:rPr>
              <w:t>投标完整性</w:t>
            </w:r>
          </w:p>
        </w:tc>
        <w:tc>
          <w:tcPr>
            <w:tcW w:w="6725" w:type="dxa"/>
            <w:vAlign w:val="center"/>
          </w:tcPr>
          <w:p>
            <w:pPr>
              <w:widowControl/>
              <w:jc w:val="left"/>
              <w:rPr>
                <w:rFonts w:ascii="宋体"/>
                <w:kern w:val="0"/>
                <w:sz w:val="24"/>
              </w:rPr>
            </w:pPr>
            <w:r>
              <w:rPr>
                <w:rFonts w:hint="eastAsia" w:ascii="宋体" w:hAnsi="宋体"/>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3</w:t>
            </w:r>
          </w:p>
        </w:tc>
        <w:tc>
          <w:tcPr>
            <w:tcW w:w="1859" w:type="dxa"/>
            <w:vAlign w:val="center"/>
          </w:tcPr>
          <w:p>
            <w:pPr>
              <w:widowControl/>
              <w:jc w:val="left"/>
              <w:rPr>
                <w:rFonts w:ascii="宋体"/>
                <w:kern w:val="0"/>
                <w:sz w:val="24"/>
              </w:rPr>
            </w:pPr>
            <w:r>
              <w:rPr>
                <w:rFonts w:hint="eastAsia" w:ascii="宋体" w:hAnsi="宋体"/>
                <w:kern w:val="0"/>
                <w:sz w:val="24"/>
              </w:rPr>
              <w:t>投标报价</w:t>
            </w:r>
          </w:p>
        </w:tc>
        <w:tc>
          <w:tcPr>
            <w:tcW w:w="6725" w:type="dxa"/>
            <w:vAlign w:val="center"/>
          </w:tcPr>
          <w:p>
            <w:pPr>
              <w:widowControl/>
              <w:jc w:val="left"/>
              <w:rPr>
                <w:rFonts w:ascii="宋体"/>
                <w:kern w:val="0"/>
                <w:sz w:val="24"/>
              </w:rPr>
            </w:pPr>
            <w:r>
              <w:rPr>
                <w:rFonts w:hint="eastAsia" w:ascii="宋体" w:hAnsi="宋体"/>
                <w:kern w:val="0"/>
                <w:sz w:val="24"/>
              </w:rPr>
              <w:t>投标报价未</w:t>
            </w:r>
            <w:r>
              <w:rPr>
                <w:rFonts w:hint="eastAsia" w:ascii="宋体" w:hAnsi="宋体"/>
                <w:sz w:val="24"/>
              </w:rPr>
              <w:t>超过招标文件中规定的项目</w:t>
            </w:r>
            <w:r>
              <w:rPr>
                <w:rFonts w:ascii="宋体" w:hAnsi="宋体"/>
                <w:sz w:val="24"/>
              </w:rPr>
              <w:t>/</w:t>
            </w:r>
            <w:r>
              <w:rPr>
                <w:rFonts w:hint="eastAsia" w:ascii="宋体" w:hAnsi="宋体"/>
                <w:sz w:val="24"/>
              </w:rPr>
              <w:t>采购包预算金额或者项目</w:t>
            </w:r>
            <w:r>
              <w:rPr>
                <w:rFonts w:ascii="宋体" w:hAnsi="宋体"/>
                <w:sz w:val="24"/>
              </w:rPr>
              <w:t>/</w:t>
            </w:r>
            <w:r>
              <w:rPr>
                <w:rFonts w:hint="eastAsia" w:ascii="宋体" w:hAnsi="宋体"/>
                <w:sz w:val="24"/>
              </w:rPr>
              <w:t>采购包最高限价及控制单价</w:t>
            </w:r>
            <w:r>
              <w:rPr>
                <w:rFonts w:hint="eastAsia"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4" w:type="dxa"/>
            <w:vAlign w:val="center"/>
          </w:tcPr>
          <w:p>
            <w:pPr>
              <w:widowControl/>
              <w:jc w:val="center"/>
              <w:rPr>
                <w:rFonts w:ascii="宋体"/>
                <w:kern w:val="0"/>
                <w:sz w:val="24"/>
              </w:rPr>
            </w:pPr>
            <w:r>
              <w:rPr>
                <w:rFonts w:ascii="宋体" w:hAnsi="宋体"/>
                <w:kern w:val="0"/>
                <w:sz w:val="24"/>
              </w:rPr>
              <w:t>4</w:t>
            </w:r>
          </w:p>
        </w:tc>
        <w:tc>
          <w:tcPr>
            <w:tcW w:w="1859" w:type="dxa"/>
            <w:vAlign w:val="center"/>
          </w:tcPr>
          <w:p>
            <w:pPr>
              <w:widowControl/>
              <w:jc w:val="left"/>
              <w:rPr>
                <w:rFonts w:ascii="宋体"/>
                <w:kern w:val="0"/>
                <w:sz w:val="24"/>
              </w:rPr>
            </w:pPr>
            <w:r>
              <w:rPr>
                <w:rFonts w:hint="eastAsia" w:ascii="宋体" w:hAnsi="宋体"/>
                <w:kern w:val="0"/>
                <w:sz w:val="24"/>
              </w:rPr>
              <w:t>报价唯一性</w:t>
            </w:r>
          </w:p>
        </w:tc>
        <w:tc>
          <w:tcPr>
            <w:tcW w:w="6725" w:type="dxa"/>
            <w:vAlign w:val="center"/>
          </w:tcPr>
          <w:p>
            <w:pPr>
              <w:widowControl/>
              <w:jc w:val="left"/>
              <w:rPr>
                <w:rFonts w:ascii="宋体"/>
                <w:kern w:val="0"/>
                <w:sz w:val="24"/>
              </w:rPr>
            </w:pPr>
            <w:r>
              <w:rPr>
                <w:rFonts w:hint="eastAsia" w:ascii="宋体" w:hAnsi="宋体"/>
                <w:kern w:val="0"/>
                <w:sz w:val="24"/>
              </w:rPr>
              <w:t>投标文件未</w:t>
            </w:r>
            <w:r>
              <w:rPr>
                <w:rFonts w:hint="eastAsia" w:ascii="宋体" w:hAnsi="宋体"/>
                <w:sz w:val="24"/>
              </w:rPr>
              <w:t>出现可选择性或可调整的报价（招标文件另有规定的除外）</w:t>
            </w:r>
            <w:r>
              <w:rPr>
                <w:rFonts w:hint="eastAsia"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4" w:type="dxa"/>
            <w:vAlign w:val="center"/>
          </w:tcPr>
          <w:p>
            <w:pPr>
              <w:widowControl/>
              <w:jc w:val="center"/>
              <w:rPr>
                <w:rFonts w:ascii="宋体"/>
                <w:kern w:val="0"/>
                <w:sz w:val="24"/>
              </w:rPr>
            </w:pPr>
            <w:r>
              <w:rPr>
                <w:rFonts w:ascii="宋体" w:hAnsi="宋体"/>
                <w:kern w:val="0"/>
                <w:sz w:val="24"/>
              </w:rPr>
              <w:t>5</w:t>
            </w:r>
          </w:p>
        </w:tc>
        <w:tc>
          <w:tcPr>
            <w:tcW w:w="1859" w:type="dxa"/>
            <w:vAlign w:val="center"/>
          </w:tcPr>
          <w:p>
            <w:pPr>
              <w:widowControl/>
              <w:jc w:val="left"/>
              <w:rPr>
                <w:rFonts w:ascii="宋体"/>
                <w:kern w:val="0"/>
                <w:sz w:val="24"/>
              </w:rPr>
            </w:pPr>
            <w:r>
              <w:rPr>
                <w:rFonts w:hint="eastAsia" w:ascii="宋体" w:hAnsi="宋体"/>
                <w:kern w:val="0"/>
                <w:sz w:val="24"/>
              </w:rPr>
              <w:t>投标有效期</w:t>
            </w:r>
          </w:p>
        </w:tc>
        <w:tc>
          <w:tcPr>
            <w:tcW w:w="6725" w:type="dxa"/>
            <w:vAlign w:val="center"/>
          </w:tcPr>
          <w:p>
            <w:pPr>
              <w:widowControl/>
              <w:jc w:val="left"/>
              <w:rPr>
                <w:rFonts w:ascii="宋体"/>
                <w:kern w:val="0"/>
                <w:sz w:val="24"/>
              </w:rPr>
            </w:pPr>
            <w:r>
              <w:rPr>
                <w:rFonts w:hint="eastAsia" w:ascii="宋体" w:hAnsi="宋体"/>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6</w:t>
            </w:r>
          </w:p>
        </w:tc>
        <w:tc>
          <w:tcPr>
            <w:tcW w:w="1859" w:type="dxa"/>
            <w:vAlign w:val="center"/>
          </w:tcPr>
          <w:p>
            <w:pPr>
              <w:widowControl/>
              <w:jc w:val="left"/>
              <w:rPr>
                <w:rFonts w:ascii="宋体"/>
                <w:kern w:val="0"/>
                <w:sz w:val="24"/>
              </w:rPr>
            </w:pPr>
            <w:r>
              <w:rPr>
                <w:rFonts w:hint="eastAsia" w:ascii="宋体" w:hAnsi="宋体"/>
                <w:kern w:val="0"/>
                <w:sz w:val="24"/>
              </w:rPr>
              <w:t>签署、盖章</w:t>
            </w:r>
          </w:p>
        </w:tc>
        <w:tc>
          <w:tcPr>
            <w:tcW w:w="6725" w:type="dxa"/>
            <w:vAlign w:val="center"/>
          </w:tcPr>
          <w:p>
            <w:pPr>
              <w:widowControl/>
              <w:jc w:val="left"/>
              <w:rPr>
                <w:rFonts w:ascii="宋体"/>
                <w:kern w:val="0"/>
                <w:sz w:val="24"/>
              </w:rPr>
            </w:pPr>
            <w:r>
              <w:rPr>
                <w:rFonts w:hint="eastAsia" w:ascii="宋体" w:hAnsi="宋体"/>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7</w:t>
            </w:r>
          </w:p>
        </w:tc>
        <w:tc>
          <w:tcPr>
            <w:tcW w:w="1859" w:type="dxa"/>
            <w:vAlign w:val="center"/>
          </w:tcPr>
          <w:p>
            <w:pPr>
              <w:widowControl/>
              <w:jc w:val="left"/>
              <w:rPr>
                <w:rFonts w:ascii="宋体"/>
                <w:kern w:val="0"/>
                <w:sz w:val="24"/>
              </w:rPr>
            </w:pPr>
            <w:r>
              <w:rPr>
                <w:rFonts w:hint="eastAsia" w:ascii="宋体" w:hAnsi="宋体"/>
                <w:kern w:val="0"/>
                <w:sz w:val="24"/>
              </w:rPr>
              <w:t>实质性格式</w:t>
            </w:r>
          </w:p>
        </w:tc>
        <w:tc>
          <w:tcPr>
            <w:tcW w:w="6725" w:type="dxa"/>
            <w:vAlign w:val="center"/>
          </w:tcPr>
          <w:p>
            <w:pPr>
              <w:widowControl/>
              <w:jc w:val="left"/>
              <w:rPr>
                <w:rFonts w:ascii="宋体"/>
                <w:kern w:val="0"/>
                <w:sz w:val="24"/>
              </w:rPr>
            </w:pPr>
            <w:r>
              <w:rPr>
                <w:rFonts w:hint="eastAsia" w:ascii="宋体" w:hAnsi="宋体"/>
                <w:kern w:val="0"/>
                <w:sz w:val="24"/>
              </w:rPr>
              <w:t>标记为</w:t>
            </w:r>
            <w:r>
              <w:rPr>
                <w:rFonts w:hint="eastAsia" w:ascii="宋体"/>
                <w:kern w:val="0"/>
                <w:sz w:val="24"/>
              </w:rPr>
              <w:t>“</w:t>
            </w:r>
            <w:r>
              <w:rPr>
                <w:rFonts w:hint="eastAsia" w:ascii="宋体" w:hAnsi="宋体"/>
                <w:kern w:val="0"/>
                <w:sz w:val="24"/>
              </w:rPr>
              <w:t>实质性格式</w:t>
            </w:r>
            <w:r>
              <w:rPr>
                <w:rFonts w:hint="eastAsia" w:ascii="宋体"/>
                <w:kern w:val="0"/>
                <w:sz w:val="24"/>
              </w:rPr>
              <w:t>”</w:t>
            </w:r>
            <w:r>
              <w:rPr>
                <w:rFonts w:hint="eastAsia" w:ascii="宋体" w:hAnsi="宋体"/>
                <w:kern w:val="0"/>
                <w:sz w:val="24"/>
              </w:rPr>
              <w:t>的文件均按招标文件要求提供；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8</w:t>
            </w:r>
          </w:p>
        </w:tc>
        <w:tc>
          <w:tcPr>
            <w:tcW w:w="1859" w:type="dxa"/>
            <w:vAlign w:val="center"/>
          </w:tcPr>
          <w:p>
            <w:pPr>
              <w:widowControl/>
              <w:jc w:val="left"/>
              <w:rPr>
                <w:rFonts w:ascii="宋体"/>
                <w:kern w:val="0"/>
                <w:sz w:val="24"/>
              </w:rPr>
            </w:pPr>
            <w:r>
              <w:rPr>
                <w:rFonts w:hint="eastAsia" w:ascii="宋体" w:hAnsi="宋体"/>
                <w:kern w:val="0"/>
                <w:sz w:val="24"/>
              </w:rPr>
              <w:t>报价的修正（如有）</w:t>
            </w:r>
          </w:p>
        </w:tc>
        <w:tc>
          <w:tcPr>
            <w:tcW w:w="6725" w:type="dxa"/>
            <w:vAlign w:val="center"/>
          </w:tcPr>
          <w:p>
            <w:pPr>
              <w:widowControl/>
              <w:jc w:val="left"/>
              <w:rPr>
                <w:rFonts w:ascii="宋体"/>
                <w:kern w:val="0"/>
                <w:sz w:val="24"/>
              </w:rPr>
            </w:pPr>
            <w:r>
              <w:rPr>
                <w:rFonts w:hint="eastAsia" w:ascii="宋体" w:hAnsi="宋体"/>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color w:val="000000"/>
                <w:kern w:val="0"/>
                <w:sz w:val="24"/>
              </w:rPr>
            </w:pPr>
            <w:r>
              <w:rPr>
                <w:color w:val="000000"/>
                <w:kern w:val="0"/>
                <w:sz w:val="24"/>
              </w:rPr>
              <w:t>9</w:t>
            </w:r>
          </w:p>
        </w:tc>
        <w:tc>
          <w:tcPr>
            <w:tcW w:w="1859" w:type="dxa"/>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10</w:t>
            </w:r>
          </w:p>
        </w:tc>
        <w:tc>
          <w:tcPr>
            <w:tcW w:w="1859" w:type="dxa"/>
            <w:vAlign w:val="center"/>
          </w:tcPr>
          <w:p>
            <w:pPr>
              <w:widowControl/>
              <w:jc w:val="left"/>
              <w:rPr>
                <w:rFonts w:ascii="宋体"/>
                <w:kern w:val="0"/>
                <w:sz w:val="24"/>
              </w:rPr>
            </w:pPr>
            <w:r>
              <w:rPr>
                <w:rFonts w:hint="eastAsia" w:ascii="宋体" w:hAnsi="宋体"/>
                <w:kern w:val="0"/>
                <w:sz w:val="24"/>
              </w:rPr>
              <w:t>报价合理性</w:t>
            </w:r>
          </w:p>
        </w:tc>
        <w:tc>
          <w:tcPr>
            <w:tcW w:w="6725" w:type="dxa"/>
            <w:vAlign w:val="center"/>
          </w:tcPr>
          <w:p>
            <w:pPr>
              <w:widowControl/>
              <w:jc w:val="left"/>
              <w:rPr>
                <w:rFonts w:ascii="宋体"/>
                <w:kern w:val="0"/>
                <w:sz w:val="24"/>
              </w:rPr>
            </w:pPr>
            <w:r>
              <w:rPr>
                <w:rFonts w:hint="eastAsia" w:ascii="宋体" w:hAnsi="宋体"/>
                <w:kern w:val="0"/>
                <w:sz w:val="24"/>
              </w:rPr>
              <w:t>报价合理，或</w:t>
            </w:r>
            <w:r>
              <w:rPr>
                <w:rFonts w:hint="eastAsia" w:ascii="宋体" w:hAnsi="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11</w:t>
            </w:r>
          </w:p>
        </w:tc>
        <w:tc>
          <w:tcPr>
            <w:tcW w:w="1859" w:type="dxa"/>
            <w:vAlign w:val="center"/>
          </w:tcPr>
          <w:p>
            <w:pPr>
              <w:widowControl/>
              <w:jc w:val="left"/>
              <w:rPr>
                <w:rFonts w:ascii="宋体"/>
                <w:kern w:val="0"/>
                <w:sz w:val="24"/>
              </w:rPr>
            </w:pPr>
            <w:r>
              <w:rPr>
                <w:rFonts w:hint="eastAsia" w:ascii="宋体" w:hAnsi="宋体"/>
                <w:kern w:val="0"/>
                <w:sz w:val="24"/>
              </w:rPr>
              <w:t>公平竞争</w:t>
            </w:r>
          </w:p>
        </w:tc>
        <w:tc>
          <w:tcPr>
            <w:tcW w:w="6725" w:type="dxa"/>
            <w:vAlign w:val="center"/>
          </w:tcPr>
          <w:p>
            <w:pPr>
              <w:widowControl/>
              <w:jc w:val="left"/>
              <w:rPr>
                <w:rFonts w:ascii="宋体"/>
                <w:kern w:val="0"/>
                <w:sz w:val="24"/>
              </w:rPr>
            </w:pPr>
            <w:r>
              <w:rPr>
                <w:rFonts w:hint="eastAsia" w:ascii="宋体" w:hAnsi="宋体"/>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12</w:t>
            </w:r>
          </w:p>
        </w:tc>
        <w:tc>
          <w:tcPr>
            <w:tcW w:w="1859" w:type="dxa"/>
            <w:vAlign w:val="center"/>
          </w:tcPr>
          <w:p>
            <w:pPr>
              <w:widowControl/>
              <w:jc w:val="left"/>
              <w:rPr>
                <w:rFonts w:ascii="宋体"/>
                <w:kern w:val="0"/>
                <w:sz w:val="24"/>
              </w:rPr>
            </w:pPr>
            <w:r>
              <w:rPr>
                <w:rFonts w:hint="eastAsia" w:ascii="宋体" w:hAnsi="宋体"/>
                <w:kern w:val="0"/>
                <w:sz w:val="24"/>
              </w:rPr>
              <w:t>串通投标</w:t>
            </w:r>
          </w:p>
        </w:tc>
        <w:tc>
          <w:tcPr>
            <w:tcW w:w="6725" w:type="dxa"/>
            <w:vAlign w:val="center"/>
          </w:tcPr>
          <w:p>
            <w:pPr>
              <w:widowControl/>
              <w:jc w:val="left"/>
              <w:rPr>
                <w:rFonts w:ascii="宋体"/>
                <w:kern w:val="0"/>
                <w:sz w:val="24"/>
              </w:rPr>
            </w:pPr>
            <w:r>
              <w:rPr>
                <w:rFonts w:hint="eastAsia" w:ascii="宋体" w:hAnsi="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hAnsi="宋体"/>
                <w:kern w:val="0"/>
                <w:sz w:val="24"/>
              </w:rPr>
            </w:pPr>
            <w:r>
              <w:rPr>
                <w:rFonts w:ascii="宋体" w:hAnsi="宋体"/>
                <w:kern w:val="0"/>
                <w:sz w:val="24"/>
              </w:rPr>
              <w:t>13</w:t>
            </w:r>
          </w:p>
        </w:tc>
        <w:tc>
          <w:tcPr>
            <w:tcW w:w="1859" w:type="dxa"/>
            <w:vAlign w:val="center"/>
          </w:tcPr>
          <w:p>
            <w:pPr>
              <w:widowControl/>
              <w:jc w:val="left"/>
              <w:rPr>
                <w:rFonts w:ascii="宋体" w:hAnsi="宋体"/>
                <w:kern w:val="0"/>
                <w:sz w:val="24"/>
              </w:rPr>
            </w:pPr>
            <w:r>
              <w:rPr>
                <w:rFonts w:hint="eastAsia" w:ascii="宋体" w:hAnsi="宋体"/>
                <w:kern w:val="0"/>
                <w:sz w:val="24"/>
              </w:rPr>
              <w:t>国家有关部门对投标人的投标产品有强制性规定或要求的</w:t>
            </w:r>
          </w:p>
        </w:tc>
        <w:tc>
          <w:tcPr>
            <w:tcW w:w="6725" w:type="dxa"/>
            <w:vAlign w:val="center"/>
          </w:tcPr>
          <w:p>
            <w:pPr>
              <w:widowControl/>
              <w:jc w:val="left"/>
              <w:rPr>
                <w:rFonts w:ascii="宋体" w:hAnsi="宋体"/>
                <w:sz w:val="24"/>
              </w:rPr>
            </w:pPr>
            <w:r>
              <w:rPr>
                <w:rFonts w:hint="eastAsia" w:ascii="宋体" w:hAnsi="宋体"/>
                <w:sz w:val="24"/>
              </w:rPr>
              <w:t>国家有关部门对投标人的投标产品有强制性规定或要求的（如相应技术、安全、节能和环保等），投标人的投标产品应符合相应规定或要求，并</w:t>
            </w:r>
            <w:r>
              <w:rPr>
                <w:rFonts w:hint="eastAsia" w:ascii="宋体" w:hAnsi="宋体" w:cs="宋体"/>
                <w:sz w:val="24"/>
              </w:rPr>
              <w:t>提</w:t>
            </w:r>
            <w:r>
              <w:rPr>
                <w:rFonts w:hint="eastAsia" w:ascii="宋体" w:hAnsi="宋体"/>
                <w:sz w:val="24"/>
              </w:rPr>
              <w:t>供证明文件电子件：</w:t>
            </w:r>
            <w:r>
              <w:rPr>
                <w:rFonts w:ascii="宋体" w:hAnsi="宋体"/>
                <w:sz w:val="24"/>
              </w:rPr>
              <w:t>1</w:t>
            </w:r>
            <w:r>
              <w:rPr>
                <w:rFonts w:hint="eastAsia" w:ascii="宋体" w:hAnsi="宋体"/>
                <w:sz w:val="24"/>
              </w:rPr>
              <w:t>）采购的产品若属于《节能产品政府采购品目清单》范围中政府强制采购产品，则投标人所报产品必须获得国家确定的认证机构出具的、处于有效期之内的节能产品认证证书；</w:t>
            </w:r>
            <w:r>
              <w:rPr>
                <w:rFonts w:ascii="宋体" w:hAnsi="宋体"/>
                <w:sz w:val="24"/>
              </w:rPr>
              <w:t>2</w:t>
            </w:r>
            <w:r>
              <w:rPr>
                <w:rFonts w:hint="eastAsia"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14</w:t>
            </w:r>
          </w:p>
        </w:tc>
        <w:tc>
          <w:tcPr>
            <w:tcW w:w="1859" w:type="dxa"/>
            <w:vAlign w:val="center"/>
          </w:tcPr>
          <w:p>
            <w:pPr>
              <w:widowControl/>
              <w:jc w:val="left"/>
              <w:rPr>
                <w:rFonts w:ascii="宋体"/>
                <w:kern w:val="0"/>
                <w:sz w:val="24"/>
              </w:rPr>
            </w:pPr>
            <w:r>
              <w:rPr>
                <w:rFonts w:hint="eastAsia" w:ascii="宋体" w:hAnsi="宋体"/>
                <w:kern w:val="0"/>
                <w:sz w:val="24"/>
              </w:rPr>
              <w:t>附加条件</w:t>
            </w:r>
          </w:p>
        </w:tc>
        <w:tc>
          <w:tcPr>
            <w:tcW w:w="6725" w:type="dxa"/>
            <w:vAlign w:val="center"/>
          </w:tcPr>
          <w:p>
            <w:pPr>
              <w:widowControl/>
              <w:jc w:val="left"/>
              <w:rPr>
                <w:rFonts w:ascii="宋体"/>
                <w:kern w:val="0"/>
                <w:sz w:val="24"/>
              </w:rPr>
            </w:pPr>
            <w:r>
              <w:rPr>
                <w:rFonts w:hint="eastAsia" w:ascii="宋体" w:hAnsi="宋体"/>
                <w:kern w:val="0"/>
                <w:sz w:val="24"/>
              </w:rPr>
              <w:t>投标文件未含有采购人不能接受的附加条件</w:t>
            </w:r>
            <w:r>
              <w:rPr>
                <w:rFonts w:hint="eastAsia" w:ascii="宋体" w:hAnsi="宋体"/>
                <w:kern w:val="0"/>
                <w:sz w:val="24"/>
                <w:lang w:eastAsia="zh-CN"/>
              </w:rPr>
              <w:t>。</w:t>
            </w:r>
            <w:r>
              <w:rPr>
                <w:rFonts w:ascii="宋体" w:hAnsi="宋体"/>
                <w:kern w:val="0"/>
                <w:sz w:val="24"/>
              </w:rPr>
              <w:t xml:space="preserve">           </w:t>
            </w:r>
            <w:r>
              <w:rPr>
                <w:rFonts w:ascii="宋体"/>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04" w:type="dxa"/>
            <w:vAlign w:val="center"/>
          </w:tcPr>
          <w:p>
            <w:pPr>
              <w:widowControl/>
              <w:jc w:val="center"/>
              <w:rPr>
                <w:rFonts w:ascii="宋体"/>
                <w:kern w:val="0"/>
                <w:sz w:val="24"/>
              </w:rPr>
            </w:pPr>
            <w:r>
              <w:rPr>
                <w:rFonts w:ascii="宋体" w:hAnsi="宋体"/>
                <w:kern w:val="0"/>
                <w:sz w:val="24"/>
              </w:rPr>
              <w:t>15</w:t>
            </w:r>
          </w:p>
        </w:tc>
        <w:tc>
          <w:tcPr>
            <w:tcW w:w="1859" w:type="dxa"/>
            <w:vAlign w:val="center"/>
          </w:tcPr>
          <w:p>
            <w:pPr>
              <w:widowControl/>
              <w:jc w:val="left"/>
              <w:rPr>
                <w:rFonts w:ascii="宋体"/>
                <w:kern w:val="0"/>
                <w:sz w:val="24"/>
              </w:rPr>
            </w:pPr>
            <w:r>
              <w:rPr>
                <w:rFonts w:hint="eastAsia" w:ascii="宋体" w:hAnsi="宋体"/>
                <w:kern w:val="0"/>
                <w:sz w:val="24"/>
              </w:rPr>
              <w:t>其他无效情形</w:t>
            </w:r>
          </w:p>
        </w:tc>
        <w:tc>
          <w:tcPr>
            <w:tcW w:w="6725" w:type="dxa"/>
            <w:vAlign w:val="center"/>
          </w:tcPr>
          <w:p>
            <w:pPr>
              <w:widowControl/>
              <w:jc w:val="left"/>
              <w:rPr>
                <w:rFonts w:ascii="宋体"/>
                <w:kern w:val="0"/>
                <w:sz w:val="24"/>
              </w:rPr>
            </w:pPr>
            <w:r>
              <w:rPr>
                <w:rFonts w:hint="eastAsia" w:ascii="宋体" w:hAnsi="宋体"/>
                <w:sz w:val="24"/>
              </w:rPr>
              <w:t>投标人、投标文件不存在不符合法律、法规和招标文件规定的其他无效情形。</w:t>
            </w:r>
          </w:p>
        </w:tc>
      </w:tr>
    </w:tbl>
    <w:p>
      <w:pPr>
        <w:tabs>
          <w:tab w:val="left" w:pos="900"/>
          <w:tab w:val="left" w:pos="1080"/>
          <w:tab w:val="left" w:pos="1589"/>
        </w:tabs>
        <w:snapToGrid w:val="0"/>
        <w:spacing w:line="360" w:lineRule="auto"/>
        <w:rPr>
          <w:rFonts w:ascii="宋体"/>
          <w:sz w:val="24"/>
        </w:rPr>
        <w:sectPr>
          <w:headerReference r:id="rId7" w:type="first"/>
          <w:footerReference r:id="rId9" w:type="first"/>
          <w:headerReference r:id="rId6" w:type="even"/>
          <w:footerReference r:id="rId8" w:type="even"/>
          <w:pgSz w:w="11907" w:h="16840"/>
          <w:pgMar w:top="1418" w:right="567" w:bottom="1418" w:left="709" w:header="851" w:footer="851" w:gutter="0"/>
          <w:cols w:space="720" w:num="1"/>
          <w:docGrid w:linePitch="462" w:charSpace="0"/>
        </w:sectPr>
      </w:pPr>
    </w:p>
    <w:p>
      <w:pPr>
        <w:numPr>
          <w:ilvl w:val="0"/>
          <w:numId w:val="14"/>
        </w:numPr>
        <w:tabs>
          <w:tab w:val="left" w:pos="360"/>
        </w:tabs>
        <w:snapToGrid w:val="0"/>
        <w:spacing w:line="360" w:lineRule="auto"/>
        <w:outlineLvl w:val="1"/>
        <w:rPr>
          <w:rFonts w:ascii="宋体"/>
          <w:sz w:val="24"/>
        </w:rPr>
      </w:pPr>
      <w:r>
        <w:rPr>
          <w:rFonts w:hint="eastAsia" w:ascii="宋体" w:hAnsi="宋体"/>
          <w:sz w:val="24"/>
        </w:rPr>
        <w:t>投标文件有关事项的澄清或者说明</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b/>
          <w:sz w:val="24"/>
        </w:rPr>
        <w:t>无效投标处理</w:t>
      </w:r>
      <w:r>
        <w:rPr>
          <w:rFonts w:hint="eastAsia" w:ascii="宋体" w:hAnsi="宋体"/>
          <w:sz w:val="24"/>
        </w:rPr>
        <w:t>。</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b/>
          <w:sz w:val="24"/>
        </w:rPr>
        <w:t>投标无效</w:t>
      </w:r>
      <w:r>
        <w:rPr>
          <w:rFonts w:hint="eastAsia" w:ascii="宋体" w:hAnsi="宋体"/>
          <w:sz w:val="24"/>
        </w:rPr>
        <w:t>。</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rFonts w:ascii="宋体"/>
          <w:sz w:val="24"/>
        </w:rPr>
      </w:pPr>
      <w:r>
        <w:rPr>
          <w:rFonts w:hint="eastAsia" w:ascii="宋体" w:hAnsi="宋体"/>
          <w:sz w:val="24"/>
        </w:rPr>
        <w:t>招标文件对于报价修正是否另有规定：</w:t>
      </w:r>
    </w:p>
    <w:p>
      <w:pPr>
        <w:tabs>
          <w:tab w:val="left" w:pos="1080"/>
          <w:tab w:val="left" w:pos="1589"/>
          <w:tab w:val="left" w:pos="2035"/>
          <w:tab w:val="left" w:pos="2114"/>
        </w:tabs>
        <w:snapToGrid w:val="0"/>
        <w:spacing w:line="360" w:lineRule="auto"/>
        <w:ind w:left="2035"/>
        <w:rPr>
          <w:rFonts w:ascii="宋体"/>
          <w:sz w:val="24"/>
          <w:u w:val="single"/>
        </w:rPr>
      </w:pPr>
      <w:r>
        <w:rPr>
          <w:rFonts w:hint="eastAsia" w:ascii="宋体"/>
          <w:sz w:val="24"/>
        </w:rPr>
        <w:t>□</w:t>
      </w:r>
      <w:r>
        <w:rPr>
          <w:rFonts w:hint="eastAsia" w:ascii="宋体" w:hAnsi="宋体"/>
          <w:sz w:val="24"/>
        </w:rPr>
        <w:t>有，具体规定为：</w:t>
      </w:r>
      <w:r>
        <w:rPr>
          <w:rFonts w:ascii="宋体" w:hAnsi="宋体"/>
          <w:sz w:val="24"/>
        </w:rPr>
        <w:t>______________</w:t>
      </w:r>
    </w:p>
    <w:p>
      <w:pPr>
        <w:tabs>
          <w:tab w:val="left" w:pos="1080"/>
          <w:tab w:val="left" w:pos="1589"/>
          <w:tab w:val="left" w:pos="2035"/>
          <w:tab w:val="left" w:pos="2114"/>
        </w:tabs>
        <w:snapToGrid w:val="0"/>
        <w:spacing w:line="360" w:lineRule="auto"/>
        <w:ind w:left="2035"/>
        <w:rPr>
          <w:rFonts w:ascii="宋体"/>
          <w:sz w:val="24"/>
        </w:rPr>
      </w:pPr>
      <w:r>
        <w:rPr>
          <w:rFonts w:hint="eastAsia" w:ascii="宋体"/>
          <w:b/>
          <w:sz w:val="24"/>
        </w:rPr>
        <w:t>■</w:t>
      </w:r>
      <w:r>
        <w:rPr>
          <w:rFonts w:hint="eastAsia" w:ascii="宋体" w:hAnsi="宋体"/>
          <w:sz w:val="24"/>
        </w:rPr>
        <w:t>无，按下述</w:t>
      </w:r>
      <w:r>
        <w:rPr>
          <w:rFonts w:ascii="宋体" w:hAnsi="宋体"/>
          <w:sz w:val="24"/>
        </w:rPr>
        <w:t>2.4.2-2.4.7</w:t>
      </w:r>
      <w:r>
        <w:rPr>
          <w:rFonts w:hint="eastAsia" w:ascii="宋体" w:hAnsi="宋体"/>
          <w:sz w:val="24"/>
        </w:rPr>
        <w:t>项规定修正。</w:t>
      </w:r>
    </w:p>
    <w:p>
      <w:pPr>
        <w:numPr>
          <w:ilvl w:val="2"/>
          <w:numId w:val="14"/>
        </w:numPr>
        <w:tabs>
          <w:tab w:val="left" w:pos="2035"/>
          <w:tab w:val="left" w:pos="2114"/>
          <w:tab w:val="left" w:pos="2977"/>
        </w:tabs>
        <w:snapToGrid w:val="0"/>
        <w:spacing w:line="360" w:lineRule="auto"/>
        <w:ind w:left="2035"/>
        <w:rPr>
          <w:rFonts w:ascii="宋体"/>
          <w:sz w:val="24"/>
        </w:rPr>
      </w:pPr>
      <w:r>
        <w:rPr>
          <w:rFonts w:hint="eastAsia" w:ascii="宋体" w:hAnsi="宋体"/>
          <w:sz w:val="24"/>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rFonts w:ascii="宋体"/>
          <w:sz w:val="24"/>
        </w:rPr>
      </w:pPr>
      <w:r>
        <w:rPr>
          <w:rFonts w:hint="eastAsia" w:ascii="宋体" w:hAnsi="宋体"/>
          <w:sz w:val="24"/>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rFonts w:ascii="宋体"/>
          <w:sz w:val="24"/>
        </w:rPr>
      </w:pPr>
      <w:r>
        <w:rPr>
          <w:rFonts w:hint="eastAsia" w:ascii="宋体" w:hAnsi="宋体"/>
          <w:sz w:val="24"/>
        </w:rPr>
        <w:t>大写金额和小写金额不一致的，以大写金额为准；</w:t>
      </w:r>
    </w:p>
    <w:p>
      <w:pPr>
        <w:numPr>
          <w:ilvl w:val="2"/>
          <w:numId w:val="14"/>
        </w:numPr>
        <w:tabs>
          <w:tab w:val="left" w:pos="2035"/>
          <w:tab w:val="left" w:pos="2114"/>
          <w:tab w:val="left" w:pos="2977"/>
        </w:tabs>
        <w:snapToGrid w:val="0"/>
        <w:spacing w:line="360" w:lineRule="auto"/>
        <w:ind w:left="2035"/>
        <w:rPr>
          <w:rFonts w:ascii="宋体"/>
          <w:sz w:val="24"/>
        </w:rPr>
      </w:pPr>
      <w:r>
        <w:rPr>
          <w:rFonts w:hint="eastAsia" w:ascii="宋体" w:hAnsi="宋体"/>
          <w:sz w:val="24"/>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rFonts w:ascii="宋体"/>
          <w:sz w:val="24"/>
        </w:rPr>
      </w:pPr>
      <w:r>
        <w:rPr>
          <w:rFonts w:hint="eastAsia" w:ascii="宋体" w:hAnsi="宋体"/>
          <w:sz w:val="24"/>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rFonts w:ascii="宋体"/>
          <w:sz w:val="24"/>
        </w:rPr>
      </w:pPr>
      <w:r>
        <w:rPr>
          <w:rFonts w:hint="eastAsia" w:ascii="宋体" w:hAnsi="宋体"/>
          <w:sz w:val="24"/>
        </w:rPr>
        <w:t>同时出现两种以上不一致的，按照前款规定的顺序修正。修正后的报价经投标人书面确认后产生约束力，投标人不确认的，其</w:t>
      </w:r>
      <w:r>
        <w:rPr>
          <w:rFonts w:hint="eastAsia" w:ascii="宋体" w:hAnsi="宋体"/>
          <w:b/>
          <w:sz w:val="24"/>
        </w:rPr>
        <w:t>投标无效</w:t>
      </w:r>
      <w:r>
        <w:rPr>
          <w:rFonts w:hint="eastAsia" w:ascii="宋体" w:hAnsi="宋体"/>
          <w:sz w:val="24"/>
        </w:rPr>
        <w:t>。</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落实政府采购政策的价格调整：只有符合第二章《投标人须知》</w:t>
      </w:r>
      <w:r>
        <w:rPr>
          <w:rFonts w:ascii="宋体" w:hAnsi="宋体"/>
          <w:sz w:val="24"/>
        </w:rPr>
        <w:t>5.2</w:t>
      </w:r>
      <w:r>
        <w:rPr>
          <w:rFonts w:hint="eastAsia" w:ascii="宋体" w:hAnsi="宋体"/>
          <w:sz w:val="24"/>
        </w:rPr>
        <w:t>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对于未预留份额专门面向中小企业采购的采购项目，以及预留份额项目中的非预留部分采购包，对小微企业报价给予</w:t>
      </w:r>
      <w:r>
        <w:rPr>
          <w:rFonts w:ascii="宋体" w:hAnsi="宋体"/>
          <w:b/>
          <w:sz w:val="24"/>
          <w:u w:val="single"/>
        </w:rPr>
        <w:t>10</w:t>
      </w:r>
      <w:r>
        <w:rPr>
          <w:rFonts w:ascii="宋体" w:hAnsi="宋体"/>
          <w:b/>
          <w:sz w:val="24"/>
        </w:rPr>
        <w:t>%</w:t>
      </w:r>
      <w:r>
        <w:rPr>
          <w:rFonts w:hint="eastAsia" w:ascii="宋体" w:hAnsi="宋体"/>
          <w:sz w:val="24"/>
        </w:rPr>
        <w:t>的扣除，用扣除后的价格参加评审。</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sz w:val="24"/>
        </w:rPr>
        <w:t xml:space="preserve"> 30%</w:t>
      </w:r>
      <w:r>
        <w:rPr>
          <w:rFonts w:hint="eastAsia" w:ascii="宋体" w:hAnsi="宋体"/>
          <w:sz w:val="24"/>
        </w:rPr>
        <w:t>以上的联合体或者大中型企业的报价给予</w:t>
      </w:r>
      <w:r>
        <w:rPr>
          <w:rFonts w:ascii="宋体" w:hAnsi="宋体"/>
          <w:b/>
          <w:sz w:val="24"/>
          <w:u w:val="single"/>
        </w:rPr>
        <w:t>4</w:t>
      </w:r>
      <w:r>
        <w:rPr>
          <w:rFonts w:ascii="宋体" w:hAnsi="宋体"/>
          <w:b/>
          <w:sz w:val="24"/>
        </w:rPr>
        <w:t>%</w:t>
      </w:r>
      <w:r>
        <w:rPr>
          <w:rFonts w:hint="eastAsia" w:ascii="宋体" w:hAnsi="宋体"/>
          <w:sz w:val="24"/>
        </w:rPr>
        <w:t>的扣除，用扣除后的价格参加评审。</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rFonts w:ascii="宋体"/>
          <w:sz w:val="24"/>
        </w:rPr>
      </w:pPr>
      <w:r>
        <w:rPr>
          <w:rFonts w:hint="eastAsia" w:ascii="宋体" w:hAnsi="宋体"/>
          <w:sz w:val="24"/>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rFonts w:ascii="宋体"/>
          <w:sz w:val="24"/>
        </w:rPr>
      </w:pPr>
      <w:r>
        <w:rPr>
          <w:rFonts w:hint="eastAsia" w:ascii="宋体" w:hAnsi="宋体"/>
          <w:sz w:val="24"/>
        </w:rPr>
        <w:t>投标文件的比较和评价</w:t>
      </w:r>
      <w:bookmarkEnd w:id="759"/>
      <w:bookmarkEnd w:id="760"/>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评标方法和评标标准</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本项目采用的评标方法为：</w:t>
      </w:r>
    </w:p>
    <w:p>
      <w:pPr>
        <w:tabs>
          <w:tab w:val="left" w:pos="900"/>
          <w:tab w:val="left" w:pos="1589"/>
          <w:tab w:val="left" w:pos="1701"/>
        </w:tabs>
        <w:snapToGrid w:val="0"/>
        <w:spacing w:line="360" w:lineRule="auto"/>
        <w:ind w:left="1985"/>
        <w:rPr>
          <w:rFonts w:ascii="宋体"/>
          <w:sz w:val="24"/>
        </w:rPr>
      </w:pPr>
      <w:r>
        <w:rPr>
          <w:rFonts w:hint="eastAsia" w:ascii="宋体"/>
          <w:b/>
          <w:sz w:val="24"/>
        </w:rPr>
        <w:t>■</w:t>
      </w:r>
      <w:r>
        <w:rPr>
          <w:rFonts w:hint="eastAsia"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ascii="宋体"/>
          <w:sz w:val="24"/>
        </w:rPr>
      </w:pPr>
      <w:r>
        <w:rPr>
          <w:rFonts w:hint="eastAsia" w:ascii="宋体"/>
          <w:sz w:val="24"/>
        </w:rPr>
        <w:t>□</w:t>
      </w:r>
      <w:r>
        <w:rPr>
          <w:rFonts w:hint="eastAsia" w:ascii="宋体" w:hAnsi="宋体"/>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b/>
          <w:sz w:val="24"/>
        </w:rPr>
        <w:t>投标无效</w:t>
      </w:r>
      <w:r>
        <w:rPr>
          <w:rFonts w:hint="eastAsia" w:ascii="宋体" w:hAnsi="宋体"/>
          <w:sz w:val="24"/>
        </w:rPr>
        <w:t>。</w:t>
      </w:r>
    </w:p>
    <w:p>
      <w:pPr>
        <w:tabs>
          <w:tab w:val="left" w:pos="1080"/>
          <w:tab w:val="left" w:pos="1589"/>
          <w:tab w:val="left" w:pos="2035"/>
        </w:tabs>
        <w:snapToGrid w:val="0"/>
        <w:spacing w:line="360" w:lineRule="auto"/>
        <w:ind w:left="2035"/>
        <w:rPr>
          <w:rFonts w:ascii="宋体"/>
          <w:sz w:val="24"/>
        </w:rPr>
      </w:pPr>
      <w:r>
        <w:rPr>
          <w:rFonts w:hint="eastAsia" w:ascii="宋体"/>
          <w:sz w:val="24"/>
        </w:rPr>
        <w:t>□</w:t>
      </w:r>
      <w:r>
        <w:rPr>
          <w:rFonts w:hint="eastAsia" w:ascii="宋体" w:hAnsi="宋体"/>
          <w:sz w:val="24"/>
        </w:rPr>
        <w:t>随机抽取</w:t>
      </w:r>
    </w:p>
    <w:p>
      <w:pPr>
        <w:tabs>
          <w:tab w:val="left" w:pos="1080"/>
          <w:tab w:val="left" w:pos="1589"/>
          <w:tab w:val="left" w:pos="2035"/>
        </w:tabs>
        <w:snapToGrid w:val="0"/>
        <w:spacing w:line="360" w:lineRule="auto"/>
        <w:ind w:left="2035"/>
        <w:rPr>
          <w:rFonts w:ascii="宋体"/>
          <w:sz w:val="24"/>
          <w:u w:val="single"/>
        </w:rPr>
      </w:pPr>
      <w:bookmarkStart w:id="776" w:name="_Hlk100576601"/>
      <w:r>
        <w:rPr>
          <w:rFonts w:hint="eastAsia" w:ascii="宋体"/>
          <w:sz w:val="24"/>
        </w:rPr>
        <w:t>□</w:t>
      </w:r>
      <w:bookmarkEnd w:id="776"/>
      <w:r>
        <w:rPr>
          <w:rFonts w:hint="eastAsia" w:ascii="宋体" w:hAnsi="宋体"/>
          <w:sz w:val="24"/>
        </w:rPr>
        <w:t>其他方式，具体要求：</w:t>
      </w:r>
      <w:r>
        <w:rPr>
          <w:rFonts w:ascii="宋体" w:hAnsi="宋体"/>
          <w:sz w:val="24"/>
        </w:rPr>
        <w:t>_____</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非政府强制采购的节能产品或环境标志产品，依据品目清单和认证证书实施政府优先采购。优先采购的具体规定（如涉及）</w:t>
      </w:r>
      <w:r>
        <w:rPr>
          <w:rFonts w:ascii="宋体" w:hAnsi="宋体"/>
          <w:sz w:val="24"/>
          <w:u w:val="single"/>
        </w:rPr>
        <w:t xml:space="preserve"> / </w:t>
      </w:r>
      <w:r>
        <w:rPr>
          <w:rFonts w:hint="eastAsia" w:ascii="宋体" w:hAnsi="宋体"/>
          <w:sz w:val="24"/>
        </w:rPr>
        <w:t>。</w:t>
      </w:r>
    </w:p>
    <w:p>
      <w:pPr>
        <w:numPr>
          <w:ilvl w:val="2"/>
          <w:numId w:val="14"/>
        </w:numPr>
        <w:tabs>
          <w:tab w:val="left" w:pos="1080"/>
          <w:tab w:val="left" w:pos="1589"/>
          <w:tab w:val="left" w:pos="2035"/>
        </w:tabs>
        <w:snapToGrid w:val="0"/>
        <w:spacing w:line="360" w:lineRule="auto"/>
        <w:ind w:left="2035"/>
        <w:rPr>
          <w:rFonts w:ascii="宋体"/>
          <w:sz w:val="24"/>
        </w:rPr>
      </w:pPr>
      <w:r>
        <w:rPr>
          <w:rFonts w:hint="eastAsia" w:ascii="宋体" w:hAnsi="宋体"/>
          <w:sz w:val="24"/>
        </w:rPr>
        <w:t>关于无线局域网认证产品政府采购清单中的产品，优先采购的具体规定（如涉及）</w:t>
      </w:r>
      <w:r>
        <w:rPr>
          <w:rFonts w:ascii="宋体" w:hAnsi="宋体"/>
          <w:sz w:val="24"/>
          <w:u w:val="single"/>
        </w:rPr>
        <w:t xml:space="preserve"> / </w:t>
      </w:r>
      <w:r>
        <w:rPr>
          <w:rFonts w:hint="eastAsia" w:ascii="宋体" w:hAnsi="宋体"/>
          <w:sz w:val="24"/>
        </w:rPr>
        <w:t>。</w:t>
      </w:r>
    </w:p>
    <w:p>
      <w:pPr>
        <w:numPr>
          <w:ilvl w:val="0"/>
          <w:numId w:val="14"/>
        </w:numPr>
        <w:tabs>
          <w:tab w:val="left" w:pos="360"/>
        </w:tabs>
        <w:snapToGrid w:val="0"/>
        <w:spacing w:line="360" w:lineRule="auto"/>
        <w:outlineLvl w:val="1"/>
        <w:rPr>
          <w:rFonts w:ascii="宋体"/>
          <w:sz w:val="24"/>
        </w:rPr>
      </w:pPr>
      <w:r>
        <w:rPr>
          <w:rFonts w:hint="eastAsia" w:ascii="宋体" w:hAnsi="宋体"/>
          <w:sz w:val="24"/>
        </w:rPr>
        <w:t>确定</w:t>
      </w:r>
      <w:bookmarkStart w:id="777" w:name="_Toc226309790"/>
      <w:bookmarkStart w:id="778" w:name="_Toc127151747"/>
      <w:bookmarkStart w:id="779" w:name="_Toc150774751"/>
      <w:bookmarkStart w:id="780" w:name="_Toc226965819"/>
      <w:bookmarkStart w:id="781" w:name="_Toc149720839"/>
      <w:bookmarkStart w:id="782" w:name="_Toc164229241"/>
      <w:bookmarkStart w:id="783" w:name="_Toc151193934"/>
      <w:bookmarkStart w:id="784" w:name="_Toc150480784"/>
      <w:bookmarkStart w:id="785" w:name="_Toc520356170"/>
      <w:bookmarkStart w:id="786" w:name="_Toc127161460"/>
      <w:bookmarkStart w:id="787" w:name="_Toc142311048"/>
      <w:bookmarkStart w:id="788" w:name="_Toc151193644"/>
      <w:bookmarkStart w:id="789" w:name="_Toc164351640"/>
      <w:bookmarkStart w:id="790" w:name="_Toc164608660"/>
      <w:bookmarkStart w:id="791" w:name="_Toc151193716"/>
      <w:bookmarkStart w:id="792" w:name="_Toc195842911"/>
      <w:bookmarkStart w:id="793" w:name="_Toc151193788"/>
      <w:bookmarkStart w:id="794" w:name="_Toc265228384"/>
      <w:bookmarkStart w:id="795" w:name="_Toc150774646"/>
      <w:bookmarkStart w:id="796" w:name="_Ref467307010"/>
      <w:bookmarkStart w:id="797" w:name="_Toc305158888"/>
      <w:bookmarkStart w:id="798" w:name="_Toc264969236"/>
      <w:bookmarkStart w:id="799" w:name="_Toc226337242"/>
      <w:bookmarkStart w:id="800" w:name="_Toc226965736"/>
      <w:bookmarkStart w:id="801" w:name="_Toc151193860"/>
      <w:bookmarkStart w:id="802" w:name="_Toc150509297"/>
      <w:bookmarkStart w:id="803" w:name="_Toc164608815"/>
      <w:bookmarkStart w:id="804" w:name="_Toc127151546"/>
      <w:bookmarkStart w:id="805" w:name="_Toc151190173"/>
      <w:bookmarkStart w:id="806" w:name="_Toc305158814"/>
      <w:bookmarkStart w:id="807" w:name="_Toc164229387"/>
      <w:r>
        <w:rPr>
          <w:rFonts w:hint="eastAsia" w:ascii="宋体" w:hAnsi="宋体"/>
          <w:sz w:val="24"/>
        </w:rPr>
        <w:t>中标候选人名单</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left="993" w:firstLine="136" w:firstLineChars="57"/>
        <w:rPr>
          <w:rFonts w:hAnsi="宋体"/>
          <w:sz w:val="24"/>
          <w:szCs w:val="24"/>
        </w:rPr>
      </w:pPr>
      <w:r>
        <w:rPr>
          <w:rFonts w:hint="eastAsia" w:hAnsi="宋体"/>
          <w:sz w:val="24"/>
          <w:szCs w:val="24"/>
        </w:rPr>
        <w:t>□随机抽取</w:t>
      </w:r>
    </w:p>
    <w:p>
      <w:pPr>
        <w:pStyle w:val="23"/>
        <w:tabs>
          <w:tab w:val="left" w:pos="900"/>
          <w:tab w:val="left" w:pos="2127"/>
        </w:tabs>
        <w:adjustRightInd w:val="0"/>
        <w:snapToGrid w:val="0"/>
        <w:spacing w:line="360" w:lineRule="auto"/>
        <w:ind w:left="993" w:firstLine="136" w:firstLineChars="57"/>
        <w:rPr>
          <w:rFonts w:hAnsi="宋体"/>
          <w:sz w:val="24"/>
          <w:szCs w:val="24"/>
          <w:u w:val="single"/>
        </w:rPr>
      </w:pPr>
      <w:r>
        <w:rPr>
          <w:rFonts w:hint="eastAsia" w:hAnsi="宋体"/>
          <w:sz w:val="24"/>
          <w:szCs w:val="24"/>
        </w:rPr>
        <w:t>■其他方式，具体要求：</w:t>
      </w:r>
      <w:r>
        <w:rPr>
          <w:rFonts w:hint="eastAsia" w:hAnsi="宋体"/>
          <w:sz w:val="24"/>
          <w:szCs w:val="24"/>
          <w:u w:val="single"/>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采用最低评标价法时，评标结果按本章</w:t>
      </w:r>
      <w:r>
        <w:rPr>
          <w:rFonts w:ascii="宋体" w:hAnsi="宋体"/>
          <w:sz w:val="24"/>
        </w:rPr>
        <w:t>2.4</w:t>
      </w:r>
      <w:r>
        <w:rPr>
          <w:rFonts w:hint="eastAsia" w:ascii="宋体" w:hAnsi="宋体"/>
          <w:sz w:val="24"/>
        </w:rPr>
        <w:t>、</w:t>
      </w:r>
      <w:r>
        <w:rPr>
          <w:rFonts w:ascii="宋体" w:hAnsi="宋体"/>
          <w:sz w:val="24"/>
        </w:rPr>
        <w:t>2.5</w:t>
      </w:r>
      <w:r>
        <w:rPr>
          <w:rFonts w:hint="eastAsia" w:ascii="宋体" w:hAnsi="宋体"/>
          <w:sz w:val="24"/>
        </w:rPr>
        <w:t>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评标委员会要对评分汇总情况进行复核，特别是对排名第一的、报价最低的、投标或响应文件被认定为无效的情形进行重点复核。</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评标委员会将根据各投标人的评标排序，依次推荐本项目（各采购包）的中标候选人，起草并签署评标报告。本项目（各采购包）评标委员会共（各）推荐</w:t>
      </w:r>
      <w:r>
        <w:rPr>
          <w:rFonts w:ascii="宋体" w:hAnsi="宋体"/>
          <w:sz w:val="24"/>
          <w:u w:val="single"/>
        </w:rPr>
        <w:t xml:space="preserve"> 3 </w:t>
      </w:r>
      <w:r>
        <w:rPr>
          <w:rFonts w:hint="eastAsia" w:ascii="宋体" w:hAnsi="宋体"/>
          <w:sz w:val="24"/>
        </w:rPr>
        <w:t>名中标候选人。</w:t>
      </w:r>
    </w:p>
    <w:p>
      <w:pPr>
        <w:numPr>
          <w:ilvl w:val="0"/>
          <w:numId w:val="14"/>
        </w:numPr>
        <w:tabs>
          <w:tab w:val="left" w:pos="360"/>
        </w:tabs>
        <w:snapToGrid w:val="0"/>
        <w:spacing w:line="360" w:lineRule="auto"/>
        <w:outlineLvl w:val="1"/>
        <w:rPr>
          <w:rFonts w:ascii="宋体"/>
          <w:sz w:val="24"/>
        </w:rPr>
      </w:pPr>
      <w:r>
        <w:rPr>
          <w:rFonts w:hint="eastAsia" w:ascii="宋体" w:hAnsi="宋体"/>
          <w:sz w:val="24"/>
        </w:rPr>
        <w:t>报告违法行为</w:t>
      </w:r>
    </w:p>
    <w:p>
      <w:pPr>
        <w:numPr>
          <w:ilvl w:val="1"/>
          <w:numId w:val="14"/>
        </w:numPr>
        <w:tabs>
          <w:tab w:val="left" w:pos="1080"/>
        </w:tabs>
        <w:snapToGrid w:val="0"/>
        <w:spacing w:line="360" w:lineRule="auto"/>
        <w:ind w:left="1077" w:hanging="720"/>
        <w:rPr>
          <w:rFonts w:ascii="宋体"/>
          <w:sz w:val="24"/>
        </w:rPr>
      </w:pPr>
      <w:r>
        <w:rPr>
          <w:rFonts w:hint="eastAsia" w:ascii="宋体" w:hAnsi="宋体"/>
          <w:sz w:val="24"/>
        </w:rPr>
        <w:t>评标委员会在评标过程中发现投标人有行贿、提供虚假材料或者串通等违法行为时，有向采购人、采购代理机构或者有关部门报告的职责。</w:t>
      </w:r>
    </w:p>
    <w:p>
      <w:pPr>
        <w:pStyle w:val="37"/>
      </w:pPr>
      <w:r>
        <w:rPr>
          <w:b/>
        </w:rPr>
        <w:br w:type="page"/>
      </w:r>
    </w:p>
    <w:p>
      <w:pPr>
        <w:spacing w:line="360" w:lineRule="auto"/>
        <w:jc w:val="center"/>
        <w:rPr>
          <w:rFonts w:ascii="宋体"/>
          <w:b/>
          <w:sz w:val="36"/>
          <w:szCs w:val="36"/>
        </w:rPr>
      </w:pPr>
      <w:r>
        <w:rPr>
          <w:rFonts w:hint="eastAsia" w:ascii="宋体" w:hAnsi="宋体"/>
          <w:b/>
          <w:sz w:val="24"/>
        </w:rPr>
        <w:t>评标标准</w:t>
      </w:r>
    </w:p>
    <w:tbl>
      <w:tblPr>
        <w:tblStyle w:val="43"/>
        <w:tblpPr w:leftFromText="180" w:rightFromText="180" w:vertAnchor="text" w:horzAnchor="page" w:tblpX="1733" w:tblpY="1213"/>
        <w:tblOverlap w:val="never"/>
        <w:tblW w:w="8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58"/>
        <w:gridCol w:w="1222"/>
        <w:gridCol w:w="5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0" w:type="dxa"/>
            <w:vAlign w:val="center"/>
          </w:tcPr>
          <w:p>
            <w:pPr>
              <w:jc w:val="center"/>
              <w:rPr>
                <w:rFonts w:ascii="宋体" w:hAnsi="宋体" w:cs="宋体"/>
                <w:b/>
                <w:sz w:val="24"/>
              </w:rPr>
            </w:pPr>
            <w:r>
              <w:rPr>
                <w:rFonts w:hint="eastAsia" w:ascii="宋体" w:hAnsi="宋体" w:cs="宋体"/>
                <w:b/>
                <w:sz w:val="24"/>
              </w:rPr>
              <w:t>序号</w:t>
            </w:r>
          </w:p>
        </w:tc>
        <w:tc>
          <w:tcPr>
            <w:tcW w:w="1058" w:type="dxa"/>
            <w:vAlign w:val="center"/>
          </w:tcPr>
          <w:p>
            <w:pPr>
              <w:jc w:val="center"/>
              <w:rPr>
                <w:rFonts w:ascii="宋体" w:hAnsi="宋体" w:cs="宋体"/>
                <w:b/>
                <w:sz w:val="24"/>
              </w:rPr>
            </w:pPr>
            <w:r>
              <w:rPr>
                <w:rFonts w:hint="eastAsia" w:ascii="宋体" w:hAnsi="宋体" w:cs="宋体"/>
                <w:b/>
                <w:sz w:val="24"/>
              </w:rPr>
              <w:t>评审</w:t>
            </w:r>
          </w:p>
          <w:p>
            <w:pPr>
              <w:jc w:val="center"/>
              <w:rPr>
                <w:rFonts w:ascii="宋体" w:hAnsi="宋体" w:cs="宋体"/>
                <w:b/>
                <w:sz w:val="24"/>
              </w:rPr>
            </w:pPr>
            <w:r>
              <w:rPr>
                <w:rFonts w:hint="eastAsia" w:ascii="宋体" w:hAnsi="宋体" w:cs="宋体"/>
                <w:b/>
                <w:sz w:val="24"/>
              </w:rPr>
              <w:t>条款</w:t>
            </w:r>
          </w:p>
        </w:tc>
        <w:tc>
          <w:tcPr>
            <w:tcW w:w="1222" w:type="dxa"/>
            <w:vAlign w:val="center"/>
          </w:tcPr>
          <w:p>
            <w:pPr>
              <w:jc w:val="center"/>
              <w:rPr>
                <w:rFonts w:ascii="宋体" w:hAnsi="宋体" w:cs="宋体"/>
                <w:b/>
                <w:sz w:val="24"/>
              </w:rPr>
            </w:pPr>
            <w:r>
              <w:rPr>
                <w:rFonts w:hint="eastAsia" w:ascii="宋体" w:hAnsi="宋体" w:cs="宋体"/>
                <w:b/>
                <w:sz w:val="24"/>
              </w:rPr>
              <w:t>评审项</w:t>
            </w:r>
          </w:p>
        </w:tc>
        <w:tc>
          <w:tcPr>
            <w:tcW w:w="5965" w:type="dxa"/>
            <w:vAlign w:val="center"/>
          </w:tcPr>
          <w:p>
            <w:pPr>
              <w:jc w:val="center"/>
              <w:rPr>
                <w:rFonts w:ascii="宋体" w:hAnsi="宋体" w:cs="宋体"/>
                <w:b/>
                <w:sz w:val="24"/>
              </w:rPr>
            </w:pPr>
            <w:r>
              <w:rPr>
                <w:rFonts w:hint="eastAsia" w:ascii="宋体" w:hAnsi="宋体" w:cs="宋体"/>
                <w:b/>
                <w:sz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40" w:type="dxa"/>
            <w:vAlign w:val="center"/>
          </w:tcPr>
          <w:p>
            <w:pPr>
              <w:jc w:val="center"/>
              <w:rPr>
                <w:rFonts w:ascii="宋体" w:hAnsi="宋体" w:cs="宋体"/>
                <w:b/>
                <w:sz w:val="24"/>
              </w:rPr>
            </w:pPr>
            <w:r>
              <w:rPr>
                <w:rFonts w:hint="eastAsia" w:ascii="宋体" w:hAnsi="宋体" w:cs="宋体"/>
                <w:b/>
                <w:sz w:val="24"/>
              </w:rPr>
              <w:t>1</w:t>
            </w:r>
          </w:p>
        </w:tc>
        <w:tc>
          <w:tcPr>
            <w:tcW w:w="1058" w:type="dxa"/>
            <w:vAlign w:val="center"/>
          </w:tcPr>
          <w:p>
            <w:pPr>
              <w:jc w:val="center"/>
              <w:rPr>
                <w:rFonts w:ascii="宋体" w:hAnsi="宋体" w:cs="宋体"/>
                <w:sz w:val="24"/>
              </w:rPr>
            </w:pPr>
            <w:r>
              <w:rPr>
                <w:rFonts w:hint="eastAsia" w:ascii="宋体" w:hAnsi="宋体" w:cs="宋体"/>
                <w:sz w:val="24"/>
              </w:rPr>
              <w:t>价格</w:t>
            </w:r>
          </w:p>
          <w:p>
            <w:pPr>
              <w:jc w:val="center"/>
              <w:rPr>
                <w:rFonts w:ascii="宋体" w:hAnsi="宋体" w:cs="宋体"/>
                <w:sz w:val="24"/>
              </w:rPr>
            </w:pPr>
            <w:r>
              <w:rPr>
                <w:rFonts w:hint="eastAsia" w:ascii="宋体" w:hAnsi="宋体" w:cs="宋体"/>
                <w:sz w:val="24"/>
              </w:rPr>
              <w:t>部分</w:t>
            </w:r>
          </w:p>
          <w:p>
            <w:pPr>
              <w:jc w:val="center"/>
              <w:rPr>
                <w:rFonts w:ascii="宋体" w:hAnsi="宋体" w:cs="宋体"/>
                <w:sz w:val="24"/>
              </w:rPr>
            </w:pPr>
            <w:r>
              <w:rPr>
                <w:rFonts w:hint="eastAsia" w:ascii="宋体" w:hAnsi="宋体" w:cs="宋体"/>
                <w:sz w:val="24"/>
              </w:rPr>
              <w:t>(30分)</w:t>
            </w:r>
          </w:p>
        </w:tc>
        <w:tc>
          <w:tcPr>
            <w:tcW w:w="1222" w:type="dxa"/>
            <w:vAlign w:val="center"/>
          </w:tcPr>
          <w:p>
            <w:pPr>
              <w:jc w:val="center"/>
              <w:rPr>
                <w:rFonts w:ascii="宋体" w:hAnsi="宋体" w:cs="宋体"/>
                <w:sz w:val="24"/>
              </w:rPr>
            </w:pPr>
            <w:r>
              <w:rPr>
                <w:rFonts w:hint="eastAsia" w:ascii="宋体" w:hAnsi="宋体" w:cs="宋体"/>
                <w:sz w:val="24"/>
              </w:rPr>
              <w:t>价格</w:t>
            </w:r>
          </w:p>
          <w:p>
            <w:pPr>
              <w:jc w:val="center"/>
              <w:rPr>
                <w:rFonts w:ascii="宋体" w:hAnsi="宋体" w:cs="宋体"/>
                <w:sz w:val="24"/>
              </w:rPr>
            </w:pPr>
            <w:r>
              <w:rPr>
                <w:rFonts w:hint="eastAsia" w:ascii="宋体" w:hAnsi="宋体" w:cs="宋体"/>
                <w:sz w:val="24"/>
              </w:rPr>
              <w:t>(30分)</w:t>
            </w:r>
          </w:p>
        </w:tc>
        <w:tc>
          <w:tcPr>
            <w:tcW w:w="5965" w:type="dxa"/>
            <w:vAlign w:val="center"/>
          </w:tcPr>
          <w:p>
            <w:pPr>
              <w:widowControl/>
              <w:jc w:val="left"/>
              <w:rPr>
                <w:rFonts w:hint="eastAsia" w:ascii="宋体" w:hAnsi="宋体" w:cs="宋体"/>
                <w:color w:val="000000"/>
                <w:sz w:val="24"/>
              </w:rPr>
            </w:pPr>
            <w:r>
              <w:rPr>
                <w:rFonts w:hint="eastAsia" w:ascii="宋体" w:hAnsi="宋体" w:cs="宋体"/>
                <w:color w:val="000000"/>
                <w:sz w:val="24"/>
              </w:rPr>
              <w:t>即满足招标文件要求且报价最低的投标报价为评标基准价，其价格分为满分。</w:t>
            </w:r>
          </w:p>
          <w:p>
            <w:pPr>
              <w:widowControl/>
              <w:jc w:val="left"/>
              <w:rPr>
                <w:rFonts w:hint="default" w:ascii="宋体" w:hAnsi="宋体" w:cs="宋体"/>
                <w:color w:val="000000"/>
                <w:sz w:val="24"/>
                <w:lang w:val="en-US"/>
              </w:rPr>
            </w:pPr>
            <w:r>
              <w:rPr>
                <w:rFonts w:hint="eastAsia" w:ascii="宋体" w:hAnsi="宋体" w:cs="宋体"/>
                <w:color w:val="000000"/>
                <w:sz w:val="24"/>
              </w:rPr>
              <w:t>报价得分=（评标基准价 / 投标报价）×</w:t>
            </w:r>
            <w:r>
              <w:rPr>
                <w:rFonts w:hint="eastAsia" w:ascii="宋体" w:hAnsi="宋体" w:cs="宋体"/>
                <w:color w:val="000000"/>
                <w:sz w:val="24"/>
                <w:lang w:val="en-US" w:eastAsia="zh-CN"/>
              </w:rPr>
              <w:t>30</w:t>
            </w:r>
          </w:p>
          <w:p>
            <w:pPr>
              <w:widowControl/>
              <w:jc w:val="left"/>
              <w:rPr>
                <w:rFonts w:ascii="宋体" w:hAnsi="宋体" w:cs="宋体"/>
                <w:kern w:val="0"/>
                <w:sz w:val="24"/>
              </w:rPr>
            </w:pPr>
            <w:r>
              <w:rPr>
                <w:rFonts w:hint="eastAsia" w:ascii="宋体" w:hAnsi="宋体" w:cs="宋体"/>
                <w:kern w:val="0"/>
                <w:sz w:val="24"/>
              </w:rPr>
              <w:t>报价明显低于其他通过符合性审查投标人的报价，有可能影响产品质量或者不能诚信履约的，不能按评审委员会要求时间提交相关证明材料证明其报价合理性的视为无效投标。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640" w:type="dxa"/>
            <w:vMerge w:val="restart"/>
            <w:vAlign w:val="center"/>
          </w:tcPr>
          <w:p>
            <w:pPr>
              <w:jc w:val="center"/>
              <w:rPr>
                <w:rFonts w:ascii="宋体" w:hAnsi="宋体" w:cs="宋体"/>
                <w:b/>
                <w:sz w:val="24"/>
              </w:rPr>
            </w:pPr>
            <w:r>
              <w:rPr>
                <w:rFonts w:hint="eastAsia" w:ascii="宋体" w:hAnsi="宋体" w:cs="宋体"/>
                <w:b/>
                <w:sz w:val="24"/>
              </w:rPr>
              <w:t>2</w:t>
            </w:r>
          </w:p>
        </w:tc>
        <w:tc>
          <w:tcPr>
            <w:tcW w:w="1058" w:type="dxa"/>
            <w:vMerge w:val="restart"/>
            <w:vAlign w:val="center"/>
          </w:tcPr>
          <w:p>
            <w:pPr>
              <w:jc w:val="center"/>
              <w:rPr>
                <w:rFonts w:ascii="宋体" w:hAnsi="宋体" w:cs="宋体"/>
                <w:sz w:val="24"/>
              </w:rPr>
            </w:pPr>
            <w:r>
              <w:rPr>
                <w:rFonts w:hint="eastAsia" w:ascii="宋体" w:hAnsi="宋体" w:cs="宋体"/>
                <w:sz w:val="24"/>
              </w:rPr>
              <w:t>技术</w:t>
            </w:r>
          </w:p>
          <w:p>
            <w:pPr>
              <w:jc w:val="center"/>
              <w:rPr>
                <w:rFonts w:ascii="宋体" w:hAnsi="宋体" w:cs="宋体"/>
                <w:sz w:val="24"/>
              </w:rPr>
            </w:pPr>
            <w:r>
              <w:rPr>
                <w:rFonts w:hint="eastAsia" w:ascii="宋体" w:hAnsi="宋体" w:cs="宋体"/>
                <w:sz w:val="24"/>
              </w:rPr>
              <w:t>部分</w:t>
            </w:r>
          </w:p>
          <w:p>
            <w:pPr>
              <w:jc w:val="center"/>
              <w:rPr>
                <w:rFonts w:ascii="宋体" w:hAnsi="宋体" w:cs="宋体"/>
                <w:sz w:val="24"/>
              </w:rPr>
            </w:pPr>
            <w:r>
              <w:rPr>
                <w:rFonts w:hint="eastAsia" w:ascii="宋体" w:hAnsi="宋体" w:cs="宋体"/>
                <w:sz w:val="24"/>
              </w:rPr>
              <w:t>(63分)</w:t>
            </w:r>
          </w:p>
        </w:tc>
        <w:tc>
          <w:tcPr>
            <w:tcW w:w="1222" w:type="dxa"/>
            <w:vAlign w:val="center"/>
          </w:tcPr>
          <w:p>
            <w:pPr>
              <w:widowControl/>
              <w:jc w:val="center"/>
              <w:rPr>
                <w:rFonts w:ascii="宋体" w:hAnsi="宋体" w:cs="宋体"/>
                <w:kern w:val="0"/>
                <w:sz w:val="24"/>
              </w:rPr>
            </w:pPr>
            <w:r>
              <w:rPr>
                <w:rFonts w:hint="eastAsia" w:ascii="宋体" w:hAnsi="宋体" w:cs="宋体"/>
                <w:kern w:val="0"/>
                <w:sz w:val="24"/>
              </w:rPr>
              <w:t>技术</w:t>
            </w:r>
          </w:p>
          <w:p>
            <w:pPr>
              <w:widowControl/>
              <w:jc w:val="center"/>
              <w:rPr>
                <w:rFonts w:ascii="宋体" w:hAnsi="宋体" w:cs="宋体"/>
                <w:kern w:val="0"/>
                <w:sz w:val="24"/>
              </w:rPr>
            </w:pPr>
            <w:r>
              <w:rPr>
                <w:rFonts w:hint="eastAsia" w:ascii="宋体" w:hAnsi="宋体" w:cs="宋体"/>
                <w:kern w:val="0"/>
                <w:sz w:val="24"/>
              </w:rPr>
              <w:t>指标响应</w:t>
            </w:r>
          </w:p>
          <w:p>
            <w:pPr>
              <w:widowControl/>
              <w:jc w:val="center"/>
              <w:rPr>
                <w:rFonts w:ascii="宋体" w:hAnsi="宋体" w:cs="宋体"/>
                <w:kern w:val="0"/>
                <w:sz w:val="24"/>
              </w:rPr>
            </w:pPr>
            <w:r>
              <w:rPr>
                <w:rFonts w:hint="eastAsia" w:ascii="宋体" w:hAnsi="宋体" w:cs="宋体"/>
                <w:kern w:val="0"/>
                <w:sz w:val="24"/>
              </w:rPr>
              <w:t>(5分)</w:t>
            </w:r>
          </w:p>
        </w:tc>
        <w:tc>
          <w:tcPr>
            <w:tcW w:w="5965" w:type="dxa"/>
            <w:vAlign w:val="center"/>
          </w:tcPr>
          <w:p>
            <w:pPr>
              <w:widowControl/>
              <w:jc w:val="left"/>
              <w:rPr>
                <w:rFonts w:ascii="宋体" w:hAnsi="宋体" w:cs="宋体"/>
                <w:kern w:val="0"/>
                <w:sz w:val="24"/>
              </w:rPr>
            </w:pPr>
            <w:r>
              <w:rPr>
                <w:rFonts w:hint="eastAsia" w:ascii="宋体" w:hAnsi="宋体" w:cs="宋体"/>
                <w:kern w:val="0"/>
                <w:sz w:val="24"/>
              </w:rPr>
              <w:t>评委根据投标人的投标文件打分:全部满足招标文件要求得5分；≤5个负偏离得3分；＞5个≤10个负偏离得1分；＞10个负偏离得0分。(#项条款除外)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640" w:type="dxa"/>
            <w:vMerge w:val="continue"/>
            <w:vAlign w:val="center"/>
          </w:tcPr>
          <w:p>
            <w:pPr>
              <w:jc w:val="center"/>
              <w:rPr>
                <w:rFonts w:ascii="宋体" w:hAnsi="宋体" w:cs="宋体"/>
                <w:b/>
                <w:sz w:val="24"/>
              </w:rPr>
            </w:pPr>
          </w:p>
        </w:tc>
        <w:tc>
          <w:tcPr>
            <w:tcW w:w="1058" w:type="dxa"/>
            <w:vMerge w:val="continue"/>
            <w:vAlign w:val="center"/>
          </w:tcPr>
          <w:p>
            <w:pPr>
              <w:jc w:val="center"/>
              <w:rPr>
                <w:rFonts w:ascii="宋体" w:hAnsi="宋体" w:cs="宋体"/>
                <w:sz w:val="24"/>
              </w:rPr>
            </w:pPr>
          </w:p>
        </w:tc>
        <w:tc>
          <w:tcPr>
            <w:tcW w:w="1222" w:type="dxa"/>
            <w:vAlign w:val="center"/>
          </w:tcPr>
          <w:p>
            <w:pPr>
              <w:widowControl/>
              <w:jc w:val="center"/>
              <w:rPr>
                <w:rFonts w:ascii="宋体" w:hAnsi="宋体" w:cs="宋体"/>
                <w:kern w:val="0"/>
                <w:sz w:val="24"/>
              </w:rPr>
            </w:pPr>
            <w:r>
              <w:rPr>
                <w:rFonts w:hint="eastAsia" w:ascii="宋体" w:hAnsi="宋体" w:cs="宋体"/>
                <w:kern w:val="0"/>
                <w:sz w:val="24"/>
              </w:rPr>
              <w:t>#项条款响应</w:t>
            </w:r>
          </w:p>
          <w:p>
            <w:pPr>
              <w:widowControl/>
              <w:jc w:val="center"/>
              <w:rPr>
                <w:rFonts w:ascii="宋体" w:hAnsi="宋体" w:cs="宋体"/>
                <w:kern w:val="0"/>
                <w:sz w:val="24"/>
              </w:rPr>
            </w:pPr>
            <w:r>
              <w:rPr>
                <w:rFonts w:hint="eastAsia" w:ascii="宋体" w:hAnsi="宋体" w:cs="宋体"/>
                <w:kern w:val="0"/>
                <w:sz w:val="24"/>
                <w:lang w:val="zh-CN"/>
              </w:rPr>
              <w:t>(</w:t>
            </w:r>
            <w:r>
              <w:rPr>
                <w:rFonts w:hint="eastAsia" w:ascii="宋体" w:hAnsi="宋体" w:cs="宋体"/>
                <w:kern w:val="0"/>
                <w:sz w:val="24"/>
              </w:rPr>
              <w:t>20</w:t>
            </w:r>
            <w:r>
              <w:rPr>
                <w:rFonts w:hint="eastAsia" w:ascii="宋体" w:hAnsi="宋体" w:cs="宋体"/>
                <w:kern w:val="0"/>
                <w:sz w:val="24"/>
                <w:lang w:val="zh-CN"/>
              </w:rPr>
              <w:t>分)</w:t>
            </w:r>
          </w:p>
        </w:tc>
        <w:tc>
          <w:tcPr>
            <w:tcW w:w="5965" w:type="dxa"/>
            <w:vAlign w:val="center"/>
          </w:tcPr>
          <w:p>
            <w:pPr>
              <w:widowControl/>
              <w:jc w:val="left"/>
              <w:rPr>
                <w:rFonts w:ascii="宋体" w:hAnsi="宋体" w:cs="宋体"/>
                <w:kern w:val="0"/>
                <w:sz w:val="24"/>
              </w:rPr>
            </w:pPr>
            <w:r>
              <w:rPr>
                <w:rFonts w:hint="eastAsia" w:ascii="宋体" w:hAnsi="宋体" w:cs="宋体"/>
                <w:kern w:val="0"/>
                <w:sz w:val="24"/>
              </w:rPr>
              <w:t>评委根据投标人的投标文件打分:全部满足招标文件要求得20分；每有一项不满足扣减0.5分。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6" w:hRule="atLeast"/>
        </w:trPr>
        <w:tc>
          <w:tcPr>
            <w:tcW w:w="640" w:type="dxa"/>
            <w:vMerge w:val="continue"/>
            <w:vAlign w:val="center"/>
          </w:tcPr>
          <w:p>
            <w:pPr>
              <w:jc w:val="center"/>
              <w:rPr>
                <w:rFonts w:ascii="宋体" w:hAnsi="宋体" w:cs="宋体"/>
                <w:b/>
                <w:sz w:val="24"/>
              </w:rPr>
            </w:pPr>
          </w:p>
        </w:tc>
        <w:tc>
          <w:tcPr>
            <w:tcW w:w="1058" w:type="dxa"/>
            <w:vMerge w:val="continue"/>
            <w:vAlign w:val="center"/>
          </w:tcPr>
          <w:p>
            <w:pPr>
              <w:jc w:val="center"/>
              <w:rPr>
                <w:rFonts w:ascii="宋体" w:hAnsi="宋体" w:cs="宋体"/>
                <w:sz w:val="24"/>
              </w:rPr>
            </w:pPr>
          </w:p>
        </w:tc>
        <w:tc>
          <w:tcPr>
            <w:tcW w:w="1222" w:type="dxa"/>
            <w:vAlign w:val="center"/>
          </w:tcPr>
          <w:p>
            <w:pPr>
              <w:jc w:val="center"/>
              <w:rPr>
                <w:rFonts w:ascii="宋体" w:hAnsi="宋体" w:cs="宋体"/>
                <w:kern w:val="0"/>
                <w:sz w:val="24"/>
              </w:rPr>
            </w:pPr>
            <w:r>
              <w:rPr>
                <w:rFonts w:hint="eastAsia" w:ascii="宋体" w:hAnsi="宋体" w:cs="宋体"/>
                <w:kern w:val="0"/>
                <w:sz w:val="24"/>
              </w:rPr>
              <w:t>设备功能兼容性响应程度</w:t>
            </w:r>
          </w:p>
          <w:p>
            <w:pPr>
              <w:jc w:val="center"/>
              <w:rPr>
                <w:rFonts w:ascii="宋体" w:hAnsi="宋体" w:cs="宋体"/>
                <w:kern w:val="0"/>
                <w:sz w:val="24"/>
              </w:rPr>
            </w:pPr>
            <w:r>
              <w:rPr>
                <w:rFonts w:hint="eastAsia" w:ascii="宋体" w:hAnsi="宋体" w:cs="宋体"/>
                <w:kern w:val="0"/>
                <w:sz w:val="24"/>
              </w:rPr>
              <w:t>（6分）</w:t>
            </w:r>
          </w:p>
        </w:tc>
        <w:tc>
          <w:tcPr>
            <w:tcW w:w="5965" w:type="dxa"/>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根据投标人按照采购需求</w:t>
            </w:r>
            <w:r>
              <w:rPr>
                <w:rFonts w:hint="eastAsia" w:ascii="宋体" w:hAnsi="宋体" w:cs="宋体"/>
                <w:kern w:val="0"/>
                <w:sz w:val="24"/>
              </w:rPr>
              <w:t>“货物需求及技术规格要求”</w:t>
            </w:r>
            <w:r>
              <w:rPr>
                <w:rFonts w:hint="eastAsia" w:ascii="宋体" w:hAnsi="宋体" w:cs="宋体"/>
                <w:color w:val="000000"/>
                <w:kern w:val="0"/>
                <w:sz w:val="24"/>
                <w:lang w:bidi="ar"/>
              </w:rPr>
              <w:t>设备兼容性的具体要求针对以下功能要求提供所投产品无缝兼容性测试的演示视频文件进行打分（提供演示测试视频文件载体为U盘，随投标文件一起单独密封提交），采购需求中</w:t>
            </w:r>
            <w:r>
              <w:rPr>
                <w:rFonts w:hint="eastAsia" w:ascii="宋体" w:hAnsi="宋体" w:cs="宋体"/>
                <w:kern w:val="0"/>
                <w:sz w:val="24"/>
              </w:rPr>
              <w:t>◆</w:t>
            </w:r>
            <w:r>
              <w:rPr>
                <w:rFonts w:hint="eastAsia" w:ascii="宋体" w:hAnsi="宋体" w:cs="宋体"/>
                <w:color w:val="000000"/>
                <w:kern w:val="0"/>
                <w:sz w:val="24"/>
                <w:lang w:bidi="ar"/>
              </w:rPr>
              <w:t>号条款为设备功能兼容性要求的重要条款，演示视频中以下功能每有一个功能满足兼容性要求的得1分，本项最高6分：</w:t>
            </w:r>
          </w:p>
          <w:p>
            <w:pPr>
              <w:widowControl/>
              <w:jc w:val="left"/>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多媒体教学中心设备-编辑主机：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（1）所投产品直接无缝兼容接入学校现有录播管理平台后，通过所投产品在现有录播管理平台实现视频直播和保存视频自动上传到学校现有录播管理平台；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（2）所投产品直接无缝兼容接入学校现有录播管理平台后，通过所投产品在现有录播管理平台实现通过网络同步监听与监看</w:t>
            </w:r>
            <w:r>
              <w:rPr>
                <w:rFonts w:hint="eastAsia" w:ascii="宋体" w:hAnsi="宋体" w:cs="宋体"/>
                <w:color w:val="000000"/>
                <w:kern w:val="0"/>
                <w:sz w:val="24"/>
                <w:lang w:val="en-US" w:eastAsia="zh-CN" w:bidi="ar"/>
              </w:rPr>
              <w:t>此设备</w:t>
            </w:r>
            <w:r>
              <w:rPr>
                <w:rFonts w:hint="eastAsia" w:ascii="宋体" w:hAnsi="宋体" w:cs="宋体"/>
                <w:color w:val="000000"/>
                <w:kern w:val="0"/>
                <w:sz w:val="24"/>
                <w:lang w:bidi="ar"/>
              </w:rPr>
              <w:t>教师授课声音、图像及电脑屏幕画面；</w:t>
            </w:r>
          </w:p>
          <w:p>
            <w:pPr>
              <w:widowControl/>
              <w:jc w:val="left"/>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教室扩声设备-麦克风：</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（1）所投产品无缝接入学校现有网络中央控制器，实现网络中央控制器控制面板对蓝牙麦克风的音量控制及音量大小反馈；</w:t>
            </w:r>
          </w:p>
          <w:p>
            <w:pPr>
              <w:widowControl/>
              <w:jc w:val="left"/>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教室扩声设备-音箱：</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（1）所投产品无缝接入学校现有网络中央控制器，实现网络中央控制器控制面板对音箱的音量控制及音量大小反馈；</w:t>
            </w:r>
          </w:p>
          <w:p>
            <w:pPr>
              <w:widowControl/>
              <w:jc w:val="left"/>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教室扩声设备-对讲终端：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（1）所投产品直接无缝兼容接入学校现有多媒体集控管理平台后，通过所投产品在现有多媒体集控管理平台实现语音可视对讲功能，查询历史通话记录；</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所投产品直接无缝兼容接入学校现有多媒体集控管理平台后，通过所投产品在现有多媒体集控管理平台实现当有电话呼入时，系统自动在管理平台或电视墙上弹出对应教室的视频监控画面，便于实时了解教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 w:hRule="atLeast"/>
        </w:trPr>
        <w:tc>
          <w:tcPr>
            <w:tcW w:w="640" w:type="dxa"/>
            <w:vMerge w:val="continue"/>
            <w:vAlign w:val="center"/>
          </w:tcPr>
          <w:p>
            <w:pPr>
              <w:widowControl/>
              <w:jc w:val="left"/>
              <w:rPr>
                <w:rFonts w:ascii="宋体" w:hAnsi="宋体" w:cs="宋体"/>
                <w:b/>
                <w:sz w:val="24"/>
              </w:rPr>
            </w:pPr>
          </w:p>
        </w:tc>
        <w:tc>
          <w:tcPr>
            <w:tcW w:w="1058" w:type="dxa"/>
            <w:vMerge w:val="continue"/>
            <w:vAlign w:val="center"/>
          </w:tcPr>
          <w:p>
            <w:pPr>
              <w:widowControl/>
              <w:jc w:val="left"/>
              <w:rPr>
                <w:rFonts w:ascii="宋体" w:hAnsi="宋体" w:cs="宋体"/>
                <w:sz w:val="24"/>
              </w:rPr>
            </w:pPr>
          </w:p>
        </w:tc>
        <w:tc>
          <w:tcPr>
            <w:tcW w:w="1222" w:type="dxa"/>
            <w:vAlign w:val="center"/>
          </w:tcPr>
          <w:p>
            <w:pPr>
              <w:jc w:val="center"/>
              <w:rPr>
                <w:rFonts w:ascii="宋体" w:hAnsi="宋体" w:cs="宋体"/>
                <w:kern w:val="0"/>
                <w:sz w:val="24"/>
              </w:rPr>
            </w:pPr>
            <w:r>
              <w:rPr>
                <w:rFonts w:hint="eastAsia" w:ascii="宋体" w:hAnsi="宋体" w:cs="宋体"/>
                <w:kern w:val="0"/>
                <w:sz w:val="24"/>
              </w:rPr>
              <w:t>技术方案</w:t>
            </w:r>
          </w:p>
          <w:p>
            <w:pPr>
              <w:jc w:val="center"/>
              <w:rPr>
                <w:rFonts w:ascii="宋体" w:hAnsi="宋体" w:cs="宋体"/>
                <w:kern w:val="0"/>
                <w:sz w:val="24"/>
              </w:rPr>
            </w:pPr>
            <w:r>
              <w:rPr>
                <w:rFonts w:hint="eastAsia" w:ascii="宋体" w:hAnsi="宋体" w:cs="宋体"/>
                <w:kern w:val="0"/>
                <w:sz w:val="24"/>
              </w:rPr>
              <w:t>（15分）</w:t>
            </w:r>
          </w:p>
        </w:tc>
        <w:tc>
          <w:tcPr>
            <w:tcW w:w="5965" w:type="dxa"/>
            <w:vAlign w:val="center"/>
          </w:tcPr>
          <w:p>
            <w:pPr>
              <w:widowControl/>
              <w:jc w:val="left"/>
              <w:rPr>
                <w:rFonts w:ascii="宋体" w:hAnsi="宋体" w:cs="宋体"/>
                <w:kern w:val="0"/>
                <w:sz w:val="24"/>
              </w:rPr>
            </w:pPr>
            <w:r>
              <w:rPr>
                <w:rFonts w:hint="eastAsia" w:ascii="宋体" w:hAnsi="宋体" w:cs="宋体"/>
                <w:kern w:val="0"/>
                <w:sz w:val="24"/>
              </w:rPr>
              <w:t>评委根据投标人提供的整体技术方案评分 :</w:t>
            </w:r>
          </w:p>
          <w:p>
            <w:pPr>
              <w:widowControl/>
              <w:jc w:val="left"/>
              <w:rPr>
                <w:rFonts w:ascii="宋体" w:hAnsi="宋体" w:cs="宋体"/>
                <w:kern w:val="0"/>
                <w:sz w:val="24"/>
              </w:rPr>
            </w:pPr>
            <w:r>
              <w:rPr>
                <w:rFonts w:hint="eastAsia" w:ascii="宋体" w:hAnsi="宋体" w:cs="宋体"/>
                <w:kern w:val="0"/>
                <w:sz w:val="24"/>
              </w:rPr>
              <w:t>投标人所提供的技术方案内容充实合理，系统兼容性好，针对性强，能够贴合实际教学，智能信息化水平高，得15分；</w:t>
            </w:r>
          </w:p>
          <w:p>
            <w:pPr>
              <w:widowControl/>
              <w:jc w:val="left"/>
              <w:rPr>
                <w:rFonts w:ascii="宋体" w:hAnsi="宋体" w:cs="宋体"/>
                <w:kern w:val="0"/>
                <w:sz w:val="24"/>
              </w:rPr>
            </w:pPr>
            <w:r>
              <w:rPr>
                <w:rFonts w:hint="eastAsia" w:ascii="宋体" w:hAnsi="宋体" w:cs="宋体"/>
                <w:kern w:val="0"/>
                <w:sz w:val="24"/>
              </w:rPr>
              <w:t>投标人所提供的技术方案内容较充实合理，系统兼容性较好，针对性较强，基本贴合实际教学，智能信息化水平较高，得10分；</w:t>
            </w:r>
          </w:p>
          <w:p>
            <w:pPr>
              <w:widowControl/>
              <w:jc w:val="left"/>
              <w:rPr>
                <w:rFonts w:ascii="宋体" w:hAnsi="宋体" w:cs="宋体"/>
                <w:kern w:val="0"/>
                <w:sz w:val="24"/>
              </w:rPr>
            </w:pPr>
            <w:r>
              <w:rPr>
                <w:rFonts w:hint="eastAsia" w:ascii="宋体" w:hAnsi="宋体" w:cs="宋体"/>
                <w:kern w:val="0"/>
                <w:sz w:val="24"/>
              </w:rPr>
              <w:t>投标人所提供的技术方案内容基本充实合理，系统兼容性一般，针对性略有不足，教学贴合差，智能信息化水平一般，得5分；</w:t>
            </w:r>
          </w:p>
          <w:p>
            <w:pPr>
              <w:widowControl/>
              <w:jc w:val="left"/>
              <w:rPr>
                <w:rFonts w:ascii="宋体" w:hAnsi="宋体" w:cs="宋体"/>
                <w:kern w:val="0"/>
                <w:sz w:val="24"/>
              </w:rPr>
            </w:pPr>
            <w:r>
              <w:rPr>
                <w:rFonts w:hint="eastAsia" w:ascii="宋体" w:hAnsi="宋体" w:cs="宋体"/>
                <w:kern w:val="0"/>
                <w:sz w:val="24"/>
              </w:rPr>
              <w:t>投标人所提供的技术方案不能满足本项目需求得0分。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640" w:type="dxa"/>
            <w:vMerge w:val="continue"/>
            <w:vAlign w:val="center"/>
          </w:tcPr>
          <w:p>
            <w:pPr>
              <w:widowControl/>
              <w:jc w:val="left"/>
              <w:rPr>
                <w:rFonts w:ascii="宋体" w:hAnsi="宋体" w:cs="宋体"/>
                <w:b/>
                <w:sz w:val="24"/>
              </w:rPr>
            </w:pPr>
          </w:p>
        </w:tc>
        <w:tc>
          <w:tcPr>
            <w:tcW w:w="1058" w:type="dxa"/>
            <w:vMerge w:val="continue"/>
            <w:vAlign w:val="center"/>
          </w:tcPr>
          <w:p>
            <w:pPr>
              <w:widowControl/>
              <w:jc w:val="left"/>
              <w:rPr>
                <w:rFonts w:ascii="宋体" w:hAnsi="宋体" w:cs="宋体"/>
                <w:sz w:val="24"/>
              </w:rPr>
            </w:pPr>
          </w:p>
        </w:tc>
        <w:tc>
          <w:tcPr>
            <w:tcW w:w="1222" w:type="dxa"/>
            <w:vAlign w:val="center"/>
          </w:tcPr>
          <w:p>
            <w:pPr>
              <w:jc w:val="center"/>
              <w:rPr>
                <w:rFonts w:ascii="宋体" w:hAnsi="宋体" w:cs="宋体"/>
                <w:sz w:val="24"/>
              </w:rPr>
            </w:pPr>
            <w:r>
              <w:rPr>
                <w:rFonts w:hint="eastAsia" w:ascii="宋体" w:hAnsi="宋体" w:cs="宋体"/>
                <w:sz w:val="24"/>
              </w:rPr>
              <w:t>项目</w:t>
            </w:r>
          </w:p>
          <w:p>
            <w:pPr>
              <w:jc w:val="center"/>
              <w:rPr>
                <w:rFonts w:ascii="宋体" w:hAnsi="宋体" w:cs="宋体"/>
                <w:sz w:val="24"/>
              </w:rPr>
            </w:pPr>
            <w:r>
              <w:rPr>
                <w:rFonts w:hint="eastAsia" w:ascii="宋体" w:hAnsi="宋体" w:cs="宋体"/>
                <w:sz w:val="24"/>
              </w:rPr>
              <w:t>实施方案</w:t>
            </w:r>
          </w:p>
          <w:p>
            <w:pPr>
              <w:jc w:val="center"/>
              <w:rPr>
                <w:rFonts w:ascii="宋体" w:hAnsi="宋体" w:cs="宋体"/>
                <w:sz w:val="24"/>
              </w:rPr>
            </w:pPr>
            <w:r>
              <w:rPr>
                <w:rFonts w:hint="eastAsia" w:ascii="宋体" w:hAnsi="宋体" w:cs="宋体"/>
                <w:sz w:val="24"/>
              </w:rPr>
              <w:t>(10分)</w:t>
            </w:r>
          </w:p>
        </w:tc>
        <w:tc>
          <w:tcPr>
            <w:tcW w:w="5965" w:type="dxa"/>
            <w:vAlign w:val="center"/>
          </w:tcPr>
          <w:p>
            <w:pPr>
              <w:jc w:val="left"/>
              <w:rPr>
                <w:rFonts w:ascii="宋体" w:hAnsi="宋体" w:cs="宋体"/>
                <w:sz w:val="24"/>
              </w:rPr>
            </w:pPr>
            <w:r>
              <w:rPr>
                <w:rFonts w:hint="eastAsia" w:ascii="宋体" w:hAnsi="宋体" w:cs="宋体"/>
                <w:sz w:val="24"/>
              </w:rPr>
              <w:t>实施方案(即从合同签订之日起至完成全部交付):</w:t>
            </w:r>
          </w:p>
          <w:p>
            <w:pPr>
              <w:jc w:val="left"/>
              <w:rPr>
                <w:rFonts w:ascii="宋体" w:hAnsi="宋体" w:cs="宋体"/>
                <w:sz w:val="24"/>
              </w:rPr>
            </w:pPr>
            <w:r>
              <w:rPr>
                <w:rFonts w:hint="eastAsia" w:ascii="宋体" w:hAnsi="宋体" w:cs="宋体"/>
                <w:sz w:val="24"/>
              </w:rPr>
              <w:t>1.方案合理且量化可控，完全针对本项目需求，各阶段时间节点清晰；各阶段进度保障措施全面得当、各阶段人员分工安排科学，完全符合且能够保障本项目交货期:10分；</w:t>
            </w:r>
          </w:p>
          <w:p>
            <w:pPr>
              <w:jc w:val="left"/>
              <w:rPr>
                <w:rFonts w:ascii="宋体" w:hAnsi="宋体" w:cs="宋体"/>
                <w:sz w:val="24"/>
              </w:rPr>
            </w:pPr>
            <w:r>
              <w:rPr>
                <w:rFonts w:hint="eastAsia" w:ascii="宋体" w:hAnsi="宋体" w:cs="宋体"/>
                <w:sz w:val="24"/>
              </w:rPr>
              <w:t>2.方案基本合理，重要阶段时间节点基本明确；有基本的进度保障措施和各阶段人员分工安排，基本符合本项目交货期:7分；</w:t>
            </w:r>
          </w:p>
          <w:p>
            <w:pPr>
              <w:jc w:val="left"/>
              <w:rPr>
                <w:rFonts w:ascii="宋体" w:hAnsi="宋体" w:cs="宋体"/>
                <w:sz w:val="24"/>
              </w:rPr>
            </w:pPr>
            <w:r>
              <w:rPr>
                <w:rFonts w:hint="eastAsia" w:ascii="宋体" w:hAnsi="宋体" w:cs="宋体"/>
                <w:sz w:val="24"/>
              </w:rPr>
              <w:t>3.方案较为简略，各阶段时间节点模糊；进度保障措施和各阶段人员分工安排没有针对性，不确定是否符合本项目交货期:4分；</w:t>
            </w:r>
          </w:p>
          <w:p>
            <w:pPr>
              <w:jc w:val="left"/>
              <w:rPr>
                <w:rFonts w:ascii="宋体" w:hAnsi="宋体" w:cs="宋体"/>
                <w:sz w:val="24"/>
              </w:rPr>
            </w:pPr>
            <w:r>
              <w:rPr>
                <w:rFonts w:hint="eastAsia" w:ascii="宋体" w:hAnsi="宋体" w:cs="宋体"/>
                <w:sz w:val="24"/>
              </w:rPr>
              <w:t>4.方案粗略，各阶段时间节点模糊或缺乏明确时间节点，进度保障措施和各阶段人员分工有所欠缺或不符合实际情况，不确定是否符合本项目交货期:1分；</w:t>
            </w:r>
          </w:p>
          <w:p>
            <w:pPr>
              <w:jc w:val="left"/>
              <w:rPr>
                <w:rFonts w:ascii="宋体" w:hAnsi="宋体" w:cs="宋体"/>
                <w:sz w:val="24"/>
              </w:rPr>
            </w:pPr>
            <w:r>
              <w:rPr>
                <w:rFonts w:hint="eastAsia" w:ascii="宋体" w:hAnsi="宋体" w:cs="宋体"/>
                <w:sz w:val="24"/>
              </w:rPr>
              <w:t>5.方案完全不合理或未提出具体计划的:0分。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640" w:type="dxa"/>
            <w:vMerge w:val="continue"/>
            <w:vAlign w:val="center"/>
          </w:tcPr>
          <w:p>
            <w:pPr>
              <w:widowControl/>
              <w:jc w:val="left"/>
              <w:rPr>
                <w:rFonts w:ascii="宋体" w:hAnsi="宋体" w:cs="宋体"/>
                <w:b/>
                <w:sz w:val="24"/>
              </w:rPr>
            </w:pPr>
          </w:p>
        </w:tc>
        <w:tc>
          <w:tcPr>
            <w:tcW w:w="1058" w:type="dxa"/>
            <w:vMerge w:val="continue"/>
            <w:vAlign w:val="center"/>
          </w:tcPr>
          <w:p>
            <w:pPr>
              <w:widowControl/>
              <w:jc w:val="left"/>
              <w:rPr>
                <w:rFonts w:ascii="宋体" w:hAnsi="宋体" w:cs="宋体"/>
                <w:sz w:val="24"/>
              </w:rPr>
            </w:pPr>
          </w:p>
        </w:tc>
        <w:tc>
          <w:tcPr>
            <w:tcW w:w="1222" w:type="dxa"/>
            <w:vAlign w:val="center"/>
          </w:tcPr>
          <w:p>
            <w:pPr>
              <w:jc w:val="center"/>
              <w:rPr>
                <w:rFonts w:ascii="宋体" w:hAnsi="宋体" w:cs="宋体"/>
                <w:sz w:val="24"/>
              </w:rPr>
            </w:pPr>
            <w:r>
              <w:rPr>
                <w:rFonts w:hint="eastAsia" w:ascii="宋体" w:hAnsi="宋体" w:cs="宋体"/>
                <w:sz w:val="24"/>
              </w:rPr>
              <w:t>培训方案</w:t>
            </w:r>
          </w:p>
          <w:p>
            <w:pPr>
              <w:jc w:val="center"/>
              <w:rPr>
                <w:rFonts w:ascii="宋体" w:hAnsi="宋体" w:cs="宋体"/>
                <w:sz w:val="24"/>
              </w:rPr>
            </w:pPr>
            <w:r>
              <w:rPr>
                <w:rFonts w:hint="eastAsia" w:ascii="宋体" w:hAnsi="宋体" w:cs="宋体"/>
                <w:sz w:val="24"/>
              </w:rPr>
              <w:t>(3分)</w:t>
            </w:r>
          </w:p>
        </w:tc>
        <w:tc>
          <w:tcPr>
            <w:tcW w:w="5965" w:type="dxa"/>
            <w:vAlign w:val="center"/>
          </w:tcPr>
          <w:p>
            <w:pPr>
              <w:rPr>
                <w:rFonts w:ascii="宋体" w:hAnsi="宋体" w:cs="宋体"/>
                <w:color w:val="000000"/>
                <w:kern w:val="0"/>
                <w:sz w:val="24"/>
              </w:rPr>
            </w:pPr>
            <w:r>
              <w:rPr>
                <w:rFonts w:hint="eastAsia" w:ascii="宋体" w:hAnsi="宋体" w:cs="宋体"/>
                <w:color w:val="000000"/>
                <w:kern w:val="0"/>
                <w:sz w:val="24"/>
              </w:rPr>
              <w:t>评委根据投标人提供的培训方案评分：</w:t>
            </w:r>
          </w:p>
          <w:p>
            <w:pPr>
              <w:jc w:val="left"/>
              <w:rPr>
                <w:rFonts w:ascii="宋体" w:hAnsi="宋体" w:cs="宋体"/>
                <w:sz w:val="24"/>
              </w:rPr>
            </w:pPr>
            <w:r>
              <w:rPr>
                <w:rFonts w:hint="eastAsia" w:ascii="宋体" w:hAnsi="宋体" w:cs="宋体"/>
                <w:sz w:val="24"/>
              </w:rPr>
              <w:t>培训方案科学、合理、实际，措施到位，针对性强，能够满足项目需要，得3分；</w:t>
            </w:r>
          </w:p>
          <w:p>
            <w:pPr>
              <w:jc w:val="left"/>
              <w:rPr>
                <w:rFonts w:ascii="宋体" w:hAnsi="宋体" w:cs="宋体"/>
                <w:sz w:val="24"/>
              </w:rPr>
            </w:pPr>
            <w:r>
              <w:rPr>
                <w:rFonts w:hint="eastAsia" w:ascii="宋体" w:hAnsi="宋体" w:cs="宋体"/>
                <w:sz w:val="24"/>
              </w:rPr>
              <w:t>培训方案比较科学、合理、实际，措施比较到位，针对性较强，基本满足项目需要，得2分；</w:t>
            </w:r>
          </w:p>
          <w:p>
            <w:pPr>
              <w:jc w:val="left"/>
              <w:rPr>
                <w:rFonts w:ascii="宋体" w:hAnsi="宋体" w:cs="宋体"/>
                <w:sz w:val="24"/>
              </w:rPr>
            </w:pPr>
            <w:r>
              <w:rPr>
                <w:rFonts w:hint="eastAsia" w:ascii="宋体" w:hAnsi="宋体" w:cs="宋体"/>
                <w:sz w:val="24"/>
              </w:rPr>
              <w:t>培训方案不科学、不合理、不实际，措施不到位，针对性不强，不能满足项目需要，得1分；</w:t>
            </w:r>
          </w:p>
          <w:p>
            <w:pPr>
              <w:widowControl/>
              <w:rPr>
                <w:rFonts w:ascii="宋体" w:hAnsi="宋体" w:cs="宋体"/>
                <w:sz w:val="24"/>
              </w:rPr>
            </w:pPr>
            <w:r>
              <w:rPr>
                <w:rFonts w:hint="eastAsia" w:ascii="宋体" w:hAnsi="宋体" w:cs="宋体"/>
                <w:sz w:val="24"/>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640" w:type="dxa"/>
            <w:vMerge w:val="continue"/>
            <w:vAlign w:val="center"/>
          </w:tcPr>
          <w:p>
            <w:pPr>
              <w:widowControl/>
              <w:jc w:val="left"/>
              <w:rPr>
                <w:rFonts w:ascii="宋体" w:hAnsi="宋体" w:cs="宋体"/>
                <w:b/>
                <w:sz w:val="24"/>
              </w:rPr>
            </w:pPr>
          </w:p>
        </w:tc>
        <w:tc>
          <w:tcPr>
            <w:tcW w:w="1058" w:type="dxa"/>
            <w:vMerge w:val="continue"/>
            <w:vAlign w:val="center"/>
          </w:tcPr>
          <w:p>
            <w:pPr>
              <w:widowControl/>
              <w:jc w:val="left"/>
              <w:rPr>
                <w:rFonts w:ascii="宋体" w:hAnsi="宋体" w:cs="宋体"/>
                <w:sz w:val="24"/>
              </w:rPr>
            </w:pPr>
          </w:p>
        </w:tc>
        <w:tc>
          <w:tcPr>
            <w:tcW w:w="1222" w:type="dxa"/>
            <w:vAlign w:val="center"/>
          </w:tcPr>
          <w:p>
            <w:pPr>
              <w:jc w:val="center"/>
              <w:rPr>
                <w:rFonts w:ascii="宋体" w:hAnsi="宋体" w:cs="宋体"/>
                <w:sz w:val="24"/>
              </w:rPr>
            </w:pPr>
            <w:r>
              <w:rPr>
                <w:rFonts w:hint="eastAsia" w:ascii="宋体" w:hAnsi="宋体" w:cs="宋体"/>
                <w:sz w:val="24"/>
              </w:rPr>
              <w:t>质量保障措施</w:t>
            </w:r>
          </w:p>
          <w:p>
            <w:pPr>
              <w:jc w:val="center"/>
              <w:rPr>
                <w:rFonts w:ascii="宋体" w:hAnsi="宋体" w:cs="宋体"/>
                <w:sz w:val="24"/>
              </w:rPr>
            </w:pPr>
            <w:r>
              <w:rPr>
                <w:rFonts w:hint="eastAsia" w:ascii="宋体" w:hAnsi="宋体" w:cs="宋体"/>
                <w:sz w:val="24"/>
              </w:rPr>
              <w:t>（4分）</w:t>
            </w:r>
          </w:p>
        </w:tc>
        <w:tc>
          <w:tcPr>
            <w:tcW w:w="5965" w:type="dxa"/>
            <w:vAlign w:val="center"/>
          </w:tcPr>
          <w:p>
            <w:pPr>
              <w:jc w:val="left"/>
              <w:rPr>
                <w:rFonts w:ascii="宋体" w:hAnsi="宋体" w:cs="宋体"/>
                <w:sz w:val="24"/>
              </w:rPr>
            </w:pPr>
            <w:r>
              <w:rPr>
                <w:rFonts w:hint="eastAsia" w:ascii="宋体" w:hAnsi="宋体" w:cs="宋体"/>
                <w:sz w:val="24"/>
              </w:rPr>
              <w:t>综合考虑投标人的质量保障措施进行打分：</w:t>
            </w:r>
          </w:p>
          <w:p>
            <w:pPr>
              <w:jc w:val="left"/>
              <w:rPr>
                <w:rFonts w:ascii="宋体" w:hAnsi="宋体" w:cs="宋体"/>
                <w:sz w:val="24"/>
              </w:rPr>
            </w:pPr>
            <w:r>
              <w:rPr>
                <w:rFonts w:hint="eastAsia" w:ascii="宋体" w:hAnsi="宋体" w:cs="宋体"/>
                <w:sz w:val="24"/>
              </w:rPr>
              <w:t>质量保障措施合理完善，切实可行，得4分；</w:t>
            </w:r>
          </w:p>
          <w:p>
            <w:pPr>
              <w:jc w:val="left"/>
              <w:rPr>
                <w:rFonts w:ascii="宋体" w:hAnsi="宋体" w:cs="宋体"/>
                <w:sz w:val="24"/>
              </w:rPr>
            </w:pPr>
            <w:r>
              <w:rPr>
                <w:rFonts w:hint="eastAsia" w:ascii="宋体" w:hAnsi="宋体" w:cs="宋体"/>
                <w:sz w:val="24"/>
              </w:rPr>
              <w:t>质量保障措施基本合理基本完善，基本切实可行，得2分；</w:t>
            </w:r>
          </w:p>
          <w:p>
            <w:pPr>
              <w:jc w:val="left"/>
              <w:rPr>
                <w:rFonts w:ascii="宋体" w:hAnsi="宋体" w:cs="宋体"/>
                <w:sz w:val="24"/>
              </w:rPr>
            </w:pPr>
            <w:r>
              <w:rPr>
                <w:rFonts w:hint="eastAsia" w:ascii="宋体" w:hAnsi="宋体" w:cs="宋体"/>
                <w:sz w:val="24"/>
              </w:rPr>
              <w:t>未提供质量保障措施，或提供的质量保障措施不合理不完整，不切实不可行，得0分；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40" w:type="dxa"/>
            <w:vMerge w:val="restart"/>
            <w:vAlign w:val="center"/>
          </w:tcPr>
          <w:p>
            <w:pPr>
              <w:jc w:val="center"/>
              <w:rPr>
                <w:rFonts w:ascii="宋体" w:hAnsi="宋体" w:cs="宋体"/>
                <w:b/>
                <w:sz w:val="24"/>
              </w:rPr>
            </w:pPr>
            <w:r>
              <w:rPr>
                <w:rFonts w:hint="eastAsia" w:ascii="宋体" w:hAnsi="宋体" w:cs="宋体"/>
                <w:b/>
                <w:sz w:val="24"/>
              </w:rPr>
              <w:t>3</w:t>
            </w:r>
          </w:p>
        </w:tc>
        <w:tc>
          <w:tcPr>
            <w:tcW w:w="1058" w:type="dxa"/>
            <w:vMerge w:val="restart"/>
            <w:vAlign w:val="center"/>
          </w:tcPr>
          <w:p>
            <w:pPr>
              <w:jc w:val="center"/>
              <w:rPr>
                <w:rFonts w:ascii="宋体" w:hAnsi="宋体" w:cs="宋体"/>
                <w:sz w:val="24"/>
              </w:rPr>
            </w:pPr>
            <w:r>
              <w:rPr>
                <w:rFonts w:hint="eastAsia" w:ascii="宋体" w:hAnsi="宋体" w:cs="宋体"/>
                <w:sz w:val="24"/>
              </w:rPr>
              <w:t>商务部分</w:t>
            </w:r>
          </w:p>
          <w:p>
            <w:pPr>
              <w:jc w:val="center"/>
              <w:rPr>
                <w:rFonts w:ascii="宋体" w:hAnsi="宋体" w:cs="宋体"/>
                <w:sz w:val="24"/>
              </w:rPr>
            </w:pPr>
            <w:r>
              <w:rPr>
                <w:rFonts w:hint="eastAsia" w:ascii="宋体" w:hAnsi="宋体" w:cs="宋体"/>
                <w:sz w:val="24"/>
              </w:rPr>
              <w:t>(5分)</w:t>
            </w:r>
          </w:p>
        </w:tc>
        <w:tc>
          <w:tcPr>
            <w:tcW w:w="1222" w:type="dxa"/>
            <w:vAlign w:val="center"/>
          </w:tcPr>
          <w:p>
            <w:pPr>
              <w:jc w:val="center"/>
              <w:rPr>
                <w:rFonts w:ascii="宋体" w:hAnsi="宋体" w:cs="宋体"/>
                <w:sz w:val="24"/>
              </w:rPr>
            </w:pPr>
            <w:r>
              <w:rPr>
                <w:rFonts w:hint="eastAsia" w:ascii="宋体" w:hAnsi="宋体" w:cs="宋体"/>
                <w:sz w:val="24"/>
              </w:rPr>
              <w:t>项目人员安排</w:t>
            </w:r>
          </w:p>
          <w:p>
            <w:pPr>
              <w:jc w:val="center"/>
              <w:rPr>
                <w:rFonts w:ascii="宋体" w:hAnsi="宋体" w:cs="宋体"/>
                <w:sz w:val="24"/>
              </w:rPr>
            </w:pPr>
            <w:r>
              <w:rPr>
                <w:rFonts w:hint="eastAsia" w:ascii="宋体" w:hAnsi="宋体" w:cs="宋体"/>
                <w:sz w:val="24"/>
              </w:rPr>
              <w:t>(3分)</w:t>
            </w:r>
          </w:p>
        </w:tc>
        <w:tc>
          <w:tcPr>
            <w:tcW w:w="5965" w:type="dxa"/>
            <w:vAlign w:val="center"/>
          </w:tcPr>
          <w:p>
            <w:pPr>
              <w:widowControl/>
              <w:rPr>
                <w:rFonts w:ascii="宋体" w:hAnsi="宋体" w:cs="宋体"/>
                <w:sz w:val="24"/>
              </w:rPr>
            </w:pPr>
            <w:r>
              <w:rPr>
                <w:rFonts w:hint="eastAsia" w:ascii="宋体" w:hAnsi="宋体" w:cs="宋体"/>
                <w:sz w:val="24"/>
              </w:rPr>
              <w:t>拟投入项目组人员配置分工合理，专业技术水平证明材料齐全，得3分；</w:t>
            </w:r>
          </w:p>
          <w:p>
            <w:pPr>
              <w:widowControl/>
              <w:rPr>
                <w:rFonts w:ascii="宋体" w:hAnsi="宋体" w:cs="宋体"/>
                <w:sz w:val="24"/>
              </w:rPr>
            </w:pPr>
            <w:r>
              <w:rPr>
                <w:rFonts w:hint="eastAsia" w:ascii="宋体" w:hAnsi="宋体" w:cs="宋体"/>
                <w:sz w:val="24"/>
              </w:rPr>
              <w:t>项目组人员配置分工不够明确或人员明显偏少，或专业技术水平相对一般，得2分；</w:t>
            </w:r>
          </w:p>
          <w:p>
            <w:pPr>
              <w:widowControl/>
              <w:rPr>
                <w:rFonts w:ascii="宋体" w:hAnsi="宋体" w:cs="宋体"/>
                <w:sz w:val="24"/>
              </w:rPr>
            </w:pPr>
            <w:r>
              <w:rPr>
                <w:rFonts w:hint="eastAsia" w:ascii="宋体" w:hAnsi="宋体" w:cs="宋体"/>
                <w:sz w:val="24"/>
              </w:rPr>
              <w:t>未明确项目组人员配置分工，或专业技术水平证明材料不齐全，得1分；</w:t>
            </w:r>
          </w:p>
          <w:p>
            <w:pPr>
              <w:widowControl/>
              <w:rPr>
                <w:rFonts w:ascii="宋体" w:hAnsi="宋体" w:cs="宋体"/>
                <w:sz w:val="24"/>
              </w:rPr>
            </w:pPr>
            <w:r>
              <w:rPr>
                <w:rFonts w:hint="eastAsia" w:ascii="宋体" w:hAnsi="宋体" w:cs="宋体"/>
                <w:sz w:val="24"/>
              </w:rPr>
              <w:t>未提供项目人员安排的不得分。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40" w:type="dxa"/>
            <w:vMerge w:val="continue"/>
            <w:vAlign w:val="center"/>
          </w:tcPr>
          <w:p>
            <w:pPr>
              <w:widowControl/>
              <w:jc w:val="left"/>
              <w:rPr>
                <w:rFonts w:ascii="宋体" w:hAnsi="宋体" w:cs="宋体"/>
                <w:b/>
                <w:sz w:val="24"/>
              </w:rPr>
            </w:pPr>
          </w:p>
        </w:tc>
        <w:tc>
          <w:tcPr>
            <w:tcW w:w="1058" w:type="dxa"/>
            <w:vMerge w:val="continue"/>
            <w:vAlign w:val="center"/>
          </w:tcPr>
          <w:p>
            <w:pPr>
              <w:widowControl/>
              <w:jc w:val="left"/>
              <w:rPr>
                <w:rFonts w:ascii="宋体" w:hAnsi="宋体" w:cs="宋体"/>
                <w:sz w:val="24"/>
              </w:rPr>
            </w:pPr>
          </w:p>
        </w:tc>
        <w:tc>
          <w:tcPr>
            <w:tcW w:w="1222" w:type="dxa"/>
            <w:vAlign w:val="center"/>
          </w:tcPr>
          <w:p>
            <w:pPr>
              <w:jc w:val="center"/>
              <w:rPr>
                <w:rFonts w:ascii="宋体" w:hAnsi="宋体" w:cs="宋体"/>
                <w:sz w:val="24"/>
              </w:rPr>
            </w:pPr>
            <w:r>
              <w:rPr>
                <w:rFonts w:hint="eastAsia" w:ascii="宋体" w:hAnsi="宋体" w:cs="宋体"/>
                <w:sz w:val="24"/>
              </w:rPr>
              <w:t>同类项目实施业绩  (2分)</w:t>
            </w:r>
          </w:p>
        </w:tc>
        <w:tc>
          <w:tcPr>
            <w:tcW w:w="5965" w:type="dxa"/>
            <w:vAlign w:val="center"/>
          </w:tcPr>
          <w:p>
            <w:pPr>
              <w:jc w:val="left"/>
              <w:rPr>
                <w:rFonts w:ascii="宋体" w:hAnsi="宋体" w:cs="宋体"/>
                <w:sz w:val="24"/>
              </w:rPr>
            </w:pPr>
            <w:r>
              <w:rPr>
                <w:rFonts w:hint="eastAsia" w:ascii="宋体" w:hAnsi="宋体" w:cs="宋体"/>
                <w:sz w:val="24"/>
              </w:rPr>
              <w:t>评委根据投标人近三年类似项目业绩评分（202</w:t>
            </w:r>
            <w:r>
              <w:rPr>
                <w:rFonts w:hint="eastAsia" w:ascii="宋体" w:hAnsi="宋体" w:cs="宋体"/>
                <w:sz w:val="24"/>
                <w:lang w:val="en-US" w:eastAsia="zh-CN"/>
              </w:rPr>
              <w:t>1</w:t>
            </w:r>
            <w:r>
              <w:rPr>
                <w:rFonts w:hint="eastAsia" w:ascii="宋体" w:hAnsi="宋体" w:cs="宋体"/>
                <w:sz w:val="24"/>
              </w:rPr>
              <w:t>年7月1日起至投标截止日止，以合同签订日期为准），每提供一个有效业绩得1分，最多得2分。（须提供合同复印件首页、金额页、盖章页等关键页）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40" w:type="dxa"/>
            <w:vMerge w:val="restart"/>
            <w:vAlign w:val="center"/>
          </w:tcPr>
          <w:p>
            <w:pPr>
              <w:jc w:val="center"/>
              <w:rPr>
                <w:rFonts w:ascii="宋体" w:hAnsi="宋体" w:cs="宋体"/>
                <w:b/>
                <w:sz w:val="24"/>
              </w:rPr>
            </w:pPr>
            <w:r>
              <w:rPr>
                <w:rFonts w:hint="eastAsia" w:ascii="宋体" w:hAnsi="宋体" w:cs="宋体"/>
                <w:b/>
                <w:sz w:val="24"/>
              </w:rPr>
              <w:t>4</w:t>
            </w:r>
          </w:p>
        </w:tc>
        <w:tc>
          <w:tcPr>
            <w:tcW w:w="1058" w:type="dxa"/>
            <w:vMerge w:val="restart"/>
            <w:vAlign w:val="center"/>
          </w:tcPr>
          <w:p>
            <w:pPr>
              <w:jc w:val="center"/>
              <w:rPr>
                <w:rFonts w:ascii="宋体" w:hAnsi="宋体" w:cs="宋体"/>
                <w:sz w:val="24"/>
              </w:rPr>
            </w:pPr>
            <w:r>
              <w:rPr>
                <w:rFonts w:hint="eastAsia" w:ascii="宋体" w:hAnsi="宋体" w:cs="宋体"/>
                <w:sz w:val="24"/>
              </w:rPr>
              <w:t>政策</w:t>
            </w:r>
          </w:p>
          <w:p>
            <w:pPr>
              <w:jc w:val="center"/>
              <w:rPr>
                <w:rFonts w:ascii="宋体" w:hAnsi="宋体" w:cs="宋体"/>
                <w:sz w:val="24"/>
              </w:rPr>
            </w:pPr>
            <w:r>
              <w:rPr>
                <w:rFonts w:hint="eastAsia" w:ascii="宋体" w:hAnsi="宋体" w:cs="宋体"/>
                <w:sz w:val="24"/>
              </w:rPr>
              <w:t>功能</w:t>
            </w:r>
          </w:p>
          <w:p>
            <w:pPr>
              <w:jc w:val="center"/>
              <w:rPr>
                <w:rFonts w:ascii="宋体" w:hAnsi="宋体" w:cs="宋体"/>
                <w:sz w:val="24"/>
              </w:rPr>
            </w:pPr>
            <w:r>
              <w:rPr>
                <w:rFonts w:hint="eastAsia" w:ascii="宋体" w:hAnsi="宋体" w:cs="宋体"/>
                <w:sz w:val="24"/>
              </w:rPr>
              <w:t>(2分)</w:t>
            </w:r>
          </w:p>
        </w:tc>
        <w:tc>
          <w:tcPr>
            <w:tcW w:w="1222" w:type="dxa"/>
            <w:vAlign w:val="center"/>
          </w:tcPr>
          <w:p>
            <w:pPr>
              <w:jc w:val="center"/>
              <w:rPr>
                <w:rFonts w:ascii="宋体" w:hAnsi="宋体" w:cs="宋体"/>
                <w:sz w:val="24"/>
              </w:rPr>
            </w:pPr>
            <w:r>
              <w:rPr>
                <w:rFonts w:hint="eastAsia" w:ascii="宋体" w:hAnsi="宋体" w:cs="宋体"/>
                <w:sz w:val="24"/>
              </w:rPr>
              <w:t>环境</w:t>
            </w:r>
          </w:p>
          <w:p>
            <w:pPr>
              <w:jc w:val="center"/>
              <w:rPr>
                <w:rFonts w:ascii="宋体" w:hAnsi="宋体" w:cs="宋体"/>
                <w:sz w:val="24"/>
              </w:rPr>
            </w:pPr>
            <w:r>
              <w:rPr>
                <w:rFonts w:hint="eastAsia" w:ascii="宋体" w:hAnsi="宋体" w:cs="宋体"/>
                <w:sz w:val="24"/>
              </w:rPr>
              <w:t>标志产品  (1分)</w:t>
            </w:r>
          </w:p>
        </w:tc>
        <w:tc>
          <w:tcPr>
            <w:tcW w:w="5965" w:type="dxa"/>
            <w:vAlign w:val="center"/>
          </w:tcPr>
          <w:p>
            <w:pPr>
              <w:jc w:val="left"/>
              <w:rPr>
                <w:rFonts w:ascii="宋体" w:hAnsi="宋体" w:cs="宋体"/>
                <w:sz w:val="24"/>
              </w:rPr>
            </w:pPr>
            <w:r>
              <w:rPr>
                <w:rFonts w:hint="eastAsia" w:ascii="宋体" w:hAnsi="宋体" w:cs="宋体"/>
                <w:sz w:val="24"/>
              </w:rPr>
              <w:t>投标人所投货物具有中国环境标志产品认证证书，且认证证书在有效截止日期内，得1分(提供复印件并加盖投标人公章，未提供不得分)。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640" w:type="dxa"/>
            <w:vMerge w:val="continue"/>
            <w:vAlign w:val="center"/>
          </w:tcPr>
          <w:p>
            <w:pPr>
              <w:widowControl/>
              <w:jc w:val="left"/>
              <w:rPr>
                <w:rFonts w:ascii="宋体" w:hAnsi="宋体" w:cs="宋体"/>
                <w:b/>
                <w:sz w:val="24"/>
              </w:rPr>
            </w:pPr>
          </w:p>
        </w:tc>
        <w:tc>
          <w:tcPr>
            <w:tcW w:w="1058" w:type="dxa"/>
            <w:vMerge w:val="continue"/>
            <w:vAlign w:val="center"/>
          </w:tcPr>
          <w:p>
            <w:pPr>
              <w:widowControl/>
              <w:jc w:val="left"/>
              <w:rPr>
                <w:rFonts w:ascii="宋体" w:hAnsi="宋体" w:cs="宋体"/>
                <w:sz w:val="24"/>
              </w:rPr>
            </w:pPr>
          </w:p>
        </w:tc>
        <w:tc>
          <w:tcPr>
            <w:tcW w:w="1222" w:type="dxa"/>
            <w:vAlign w:val="center"/>
          </w:tcPr>
          <w:p>
            <w:pPr>
              <w:jc w:val="center"/>
              <w:rPr>
                <w:rFonts w:ascii="宋体" w:hAnsi="宋体" w:cs="宋体"/>
                <w:sz w:val="24"/>
              </w:rPr>
            </w:pPr>
            <w:r>
              <w:rPr>
                <w:rFonts w:hint="eastAsia" w:ascii="宋体" w:hAnsi="宋体" w:cs="宋体"/>
                <w:sz w:val="24"/>
              </w:rPr>
              <w:t>节能产品(1分)</w:t>
            </w:r>
          </w:p>
        </w:tc>
        <w:tc>
          <w:tcPr>
            <w:tcW w:w="5965" w:type="dxa"/>
            <w:vAlign w:val="center"/>
          </w:tcPr>
          <w:p>
            <w:pPr>
              <w:widowControl/>
              <w:jc w:val="left"/>
              <w:rPr>
                <w:rFonts w:ascii="宋体" w:hAnsi="宋体" w:cs="宋体"/>
                <w:spacing w:val="-4"/>
                <w:sz w:val="24"/>
              </w:rPr>
            </w:pPr>
            <w:r>
              <w:rPr>
                <w:rFonts w:hint="eastAsia" w:ascii="宋体" w:hAnsi="宋体" w:cs="宋体"/>
                <w:spacing w:val="-4"/>
                <w:sz w:val="24"/>
              </w:rPr>
              <w:t>投标人所投货物具有中国节能产品认证证书，且认证证书在有效截止日期内，</w:t>
            </w:r>
            <w:r>
              <w:rPr>
                <w:rFonts w:hint="eastAsia" w:ascii="宋体" w:hAnsi="宋体" w:cs="宋体"/>
                <w:sz w:val="24"/>
              </w:rPr>
              <w:t>得1分</w:t>
            </w:r>
            <w:r>
              <w:rPr>
                <w:rFonts w:hint="eastAsia" w:ascii="宋体" w:hAnsi="宋体" w:cs="宋体"/>
                <w:spacing w:val="-4"/>
                <w:sz w:val="24"/>
              </w:rPr>
              <w:t>(提供复印件并加盖投标人公章，未提供不得分)(</w:t>
            </w:r>
            <w:r>
              <w:rPr>
                <w:rFonts w:hint="eastAsia" w:ascii="宋体" w:hAnsi="宋体" w:cs="宋体"/>
                <w:sz w:val="24"/>
              </w:rPr>
              <w:t>强制节能产品除外</w:t>
            </w:r>
            <w:r>
              <w:rPr>
                <w:rFonts w:hint="eastAsia" w:ascii="宋体" w:hAnsi="宋体" w:cs="宋体"/>
                <w:spacing w:val="-4"/>
                <w:sz w:val="24"/>
              </w:rPr>
              <w:t>)</w:t>
            </w:r>
          </w:p>
          <w:p>
            <w:pPr>
              <w:widowControl/>
              <w:jc w:val="left"/>
              <w:rPr>
                <w:rFonts w:ascii="宋体" w:hAnsi="宋体" w:cs="宋体"/>
                <w:spacing w:val="-4"/>
                <w:sz w:val="24"/>
              </w:rPr>
            </w:pPr>
            <w:r>
              <w:rPr>
                <w:rFonts w:hint="eastAsia" w:ascii="宋体" w:hAnsi="宋体" w:cs="宋体"/>
                <w:sz w:val="24"/>
              </w:rPr>
              <w:t>注:如采购货物为强制采购的节能产品，则投标人所投产品需具有中国节能产品认证证书，</w:t>
            </w:r>
            <w:r>
              <w:rPr>
                <w:rFonts w:hint="eastAsia" w:ascii="宋体" w:hAnsi="宋体" w:cs="宋体"/>
                <w:spacing w:val="-4"/>
                <w:sz w:val="24"/>
              </w:rPr>
              <w:t>且认证证书在有效截止日期内</w:t>
            </w:r>
            <w:r>
              <w:rPr>
                <w:rFonts w:hint="eastAsia" w:ascii="宋体" w:hAnsi="宋体" w:cs="宋体"/>
                <w:sz w:val="24"/>
              </w:rPr>
              <w:t>(提供复印件并加盖投标人公章)，未提供视为无效投标。</w:t>
            </w:r>
          </w:p>
        </w:tc>
      </w:tr>
    </w:tbl>
    <w:p>
      <w:pPr>
        <w:tabs>
          <w:tab w:val="left" w:pos="360"/>
          <w:tab w:val="left" w:pos="900"/>
        </w:tabs>
        <w:snapToGrid w:val="0"/>
        <w:spacing w:line="360" w:lineRule="auto"/>
        <w:rPr>
          <w:rFonts w:ascii="宋体"/>
          <w:b/>
          <w:sz w:val="36"/>
          <w:szCs w:val="36"/>
        </w:rPr>
      </w:pPr>
      <w:r>
        <w:rPr>
          <w:rFonts w:ascii="宋体"/>
          <w:b/>
          <w:sz w:val="36"/>
          <w:szCs w:val="36"/>
        </w:rPr>
        <w:br w:type="page"/>
      </w:r>
    </w:p>
    <w:p>
      <w:pPr>
        <w:spacing w:line="360" w:lineRule="auto"/>
        <w:jc w:val="center"/>
        <w:outlineLvl w:val="0"/>
        <w:rPr>
          <w:rFonts w:ascii="宋体" w:hAnsi="宋体"/>
          <w:b/>
          <w:sz w:val="36"/>
          <w:szCs w:val="36"/>
        </w:rPr>
      </w:pPr>
      <w:bookmarkStart w:id="808" w:name="_Toc14940"/>
      <w:r>
        <w:rPr>
          <w:rFonts w:ascii="宋体"/>
          <w:b/>
          <w:sz w:val="36"/>
          <w:szCs w:val="36"/>
        </w:rPr>
        <w:t>第五章</w:t>
      </w:r>
      <w:r>
        <w:rPr>
          <w:rFonts w:ascii="宋体" w:hAnsi="宋体"/>
          <w:b/>
          <w:sz w:val="36"/>
          <w:szCs w:val="36"/>
        </w:rPr>
        <w:t xml:space="preserve"> </w:t>
      </w:r>
      <w:bookmarkStart w:id="809" w:name="_Toc3743"/>
      <w:r>
        <w:rPr>
          <w:rFonts w:hint="eastAsia" w:ascii="宋体" w:hAnsi="宋体"/>
          <w:b/>
          <w:sz w:val="36"/>
          <w:szCs w:val="36"/>
        </w:rPr>
        <w:t>采购需求</w:t>
      </w:r>
      <w:bookmarkEnd w:id="808"/>
      <w:bookmarkEnd w:id="809"/>
    </w:p>
    <w:p>
      <w:pPr>
        <w:spacing w:line="360" w:lineRule="auto"/>
        <w:rPr>
          <w:rFonts w:ascii="宋体" w:hAnsi="宋体" w:cs="宋体"/>
          <w:sz w:val="24"/>
        </w:rPr>
      </w:pPr>
      <w:r>
        <w:rPr>
          <w:rFonts w:hint="eastAsia" w:ascii="宋体" w:hAnsi="宋体" w:cs="宋体"/>
          <w:sz w:val="24"/>
        </w:rPr>
        <w:t>一、总体要求</w:t>
      </w:r>
    </w:p>
    <w:p>
      <w:pPr>
        <w:spacing w:line="360" w:lineRule="auto"/>
        <w:ind w:firstLine="480" w:firstLineChars="200"/>
        <w:jc w:val="left"/>
        <w:rPr>
          <w:rFonts w:ascii="宋体" w:hAnsi="宋体" w:cs="宋体"/>
          <w:sz w:val="24"/>
        </w:rPr>
      </w:pPr>
      <w:r>
        <w:rPr>
          <w:rFonts w:hint="eastAsia" w:ascii="宋体" w:hAnsi="宋体" w:cs="宋体"/>
          <w:sz w:val="24"/>
        </w:rPr>
        <w:t>标注“▲”项设备为本项目核心产品，多家投标人提供的核心产品品牌均相同时，通过资格审查、符合性审查的投标人按一家投标人计算，评审后得分最高的同品牌投标人获得中标人推荐资格，其他同品牌投标人不作为中标候选人。</w:t>
      </w:r>
    </w:p>
    <w:p>
      <w:pPr>
        <w:spacing w:line="360" w:lineRule="auto"/>
        <w:ind w:firstLine="480" w:firstLineChars="200"/>
        <w:rPr>
          <w:rFonts w:ascii="宋体" w:hAnsi="宋体" w:cs="宋体"/>
          <w:sz w:val="24"/>
        </w:rPr>
      </w:pPr>
      <w:r>
        <w:rPr>
          <w:rFonts w:hint="eastAsia" w:ascii="宋体" w:hAnsi="宋体" w:cs="宋体"/>
          <w:sz w:val="24"/>
        </w:rPr>
        <w:t>以下条款中打“#” 号条款标注的内容为该设备重点技术指标项，将作为重要评分指标；打“</w:t>
      </w:r>
      <w:r>
        <w:rPr>
          <w:rFonts w:hint="eastAsia" w:ascii="宋体" w:hAnsi="宋体" w:cs="宋体"/>
          <w:kern w:val="0"/>
          <w:sz w:val="24"/>
        </w:rPr>
        <w:t>◆</w:t>
      </w:r>
      <w:r>
        <w:rPr>
          <w:rFonts w:hint="eastAsia" w:ascii="宋体" w:hAnsi="宋体" w:cs="宋体"/>
          <w:sz w:val="24"/>
        </w:rPr>
        <w:t>”号条款为设备功能兼容性要求的重要条款，须按照要求提供演示视频。</w:t>
      </w:r>
    </w:p>
    <w:p>
      <w:pPr>
        <w:spacing w:line="360" w:lineRule="auto"/>
        <w:jc w:val="left"/>
        <w:rPr>
          <w:rFonts w:ascii="宋体" w:hAnsi="宋体" w:cs="宋体"/>
          <w:b/>
          <w:bCs/>
          <w:sz w:val="24"/>
        </w:rPr>
      </w:pPr>
      <w:r>
        <w:rPr>
          <w:rFonts w:hint="eastAsia" w:ascii="宋体" w:hAnsi="宋体" w:cs="宋体"/>
          <w:b/>
          <w:bCs/>
          <w:sz w:val="24"/>
        </w:rPr>
        <w:t>二、项目基本信息</w:t>
      </w:r>
    </w:p>
    <w:p>
      <w:pPr>
        <w:spacing w:line="360" w:lineRule="auto"/>
        <w:ind w:firstLine="480" w:firstLineChars="200"/>
        <w:rPr>
          <w:rFonts w:ascii="宋体" w:hAnsi="宋体" w:cs="宋体"/>
          <w:sz w:val="24"/>
        </w:rPr>
      </w:pPr>
      <w:r>
        <w:rPr>
          <w:rFonts w:hint="eastAsia" w:ascii="宋体" w:hAnsi="宋体" w:cs="宋体"/>
          <w:sz w:val="24"/>
        </w:rPr>
        <w:t>1、项目预算：</w:t>
      </w:r>
      <w:r>
        <w:rPr>
          <w:rFonts w:hint="eastAsia" w:ascii="宋体" w:hAnsi="宋体" w:cs="宋体"/>
          <w:color w:val="000000"/>
          <w:kern w:val="0"/>
          <w:sz w:val="24"/>
          <w:lang w:bidi="ar"/>
        </w:rPr>
        <w:t xml:space="preserve"> 593.138658 </w:t>
      </w:r>
      <w:r>
        <w:rPr>
          <w:rFonts w:hint="eastAsia" w:ascii="宋体" w:hAnsi="宋体" w:cs="宋体"/>
          <w:sz w:val="24"/>
        </w:rPr>
        <w:t>万元；</w:t>
      </w:r>
    </w:p>
    <w:p>
      <w:pPr>
        <w:spacing w:line="360" w:lineRule="auto"/>
        <w:ind w:firstLine="480" w:firstLineChars="200"/>
        <w:rPr>
          <w:rFonts w:ascii="宋体" w:hAnsi="宋体" w:cs="宋体"/>
          <w:sz w:val="24"/>
        </w:rPr>
      </w:pPr>
      <w:r>
        <w:rPr>
          <w:rFonts w:hint="eastAsia" w:ascii="宋体" w:hAnsi="宋体" w:cs="宋体"/>
          <w:sz w:val="24"/>
        </w:rPr>
        <w:t>2、交货期：合同签订后30日内完成系统安装调试、试运行。</w:t>
      </w:r>
    </w:p>
    <w:p>
      <w:pPr>
        <w:spacing w:line="360" w:lineRule="auto"/>
        <w:ind w:firstLine="480" w:firstLineChars="200"/>
        <w:rPr>
          <w:rFonts w:ascii="宋体" w:hAnsi="宋体" w:cs="宋体"/>
          <w:sz w:val="24"/>
        </w:rPr>
      </w:pPr>
      <w:r>
        <w:rPr>
          <w:rFonts w:hint="eastAsia" w:ascii="宋体" w:hAnsi="宋体" w:cs="宋体"/>
          <w:sz w:val="24"/>
        </w:rPr>
        <w:t>3、交货地点：采购人指定地点；</w:t>
      </w:r>
    </w:p>
    <w:p>
      <w:pPr>
        <w:spacing w:line="360" w:lineRule="auto"/>
        <w:rPr>
          <w:rFonts w:ascii="宋体" w:hAnsi="宋体" w:cs="宋体"/>
          <w:b/>
          <w:bCs/>
          <w:sz w:val="24"/>
        </w:rPr>
      </w:pPr>
      <w:r>
        <w:rPr>
          <w:rFonts w:hint="eastAsia" w:ascii="宋体" w:hAnsi="宋体" w:cs="宋体"/>
          <w:b/>
          <w:bCs/>
          <w:sz w:val="24"/>
        </w:rPr>
        <w:t>三、项目概述</w:t>
      </w:r>
    </w:p>
    <w:p>
      <w:pPr>
        <w:spacing w:line="360" w:lineRule="auto"/>
        <w:ind w:firstLine="480" w:firstLineChars="200"/>
        <w:rPr>
          <w:rFonts w:ascii="宋体" w:hAnsi="宋体" w:cs="宋体"/>
          <w:sz w:val="24"/>
        </w:rPr>
      </w:pPr>
      <w:r>
        <w:rPr>
          <w:rFonts w:hint="eastAsia" w:ascii="宋体" w:hAnsi="宋体" w:cs="宋体"/>
          <w:sz w:val="24"/>
        </w:rPr>
        <w:t xml:space="preserve"> 本项目主要采购</w:t>
      </w:r>
      <w:r>
        <w:rPr>
          <w:rFonts w:hint="eastAsia" w:ascii="宋体" w:hAnsi="宋体" w:cs="宋体"/>
          <w:color w:val="000000"/>
          <w:kern w:val="0"/>
          <w:sz w:val="24"/>
          <w:lang w:bidi="ar"/>
        </w:rPr>
        <w:t>多媒体教学中心设备、教室扩声设备及报告厅设备</w:t>
      </w:r>
      <w:r>
        <w:rPr>
          <w:rFonts w:hint="eastAsia" w:ascii="宋体" w:hAnsi="宋体" w:cs="宋体"/>
          <w:sz w:val="24"/>
        </w:rPr>
        <w:t>；旨在满足人大附中亦庄新城学校基础教育教学工作开展，保障未来新增师生正常教学，保证学生能享受国家统筹办学带来的优质教学资源；为在学校学习及工作的学生、老师提供一个学习、教学、办公、管理的良好环境。</w:t>
      </w:r>
    </w:p>
    <w:p>
      <w:pPr>
        <w:spacing w:line="360" w:lineRule="auto"/>
        <w:ind w:firstLine="480" w:firstLineChars="200"/>
        <w:rPr>
          <w:rFonts w:ascii="宋体" w:hAnsi="宋体" w:cs="宋体"/>
          <w:sz w:val="24"/>
        </w:rPr>
      </w:pPr>
      <w:r>
        <w:rPr>
          <w:rFonts w:hint="eastAsia" w:ascii="宋体" w:hAnsi="宋体" w:cs="宋体"/>
          <w:sz w:val="24"/>
        </w:rPr>
        <w:t>学校现有录播管理平台为翰博尔云录播系统V2.0，为实现本项目建设目标，避免重复投资，实现学校录播管理平台集中统一管理，运行稳定可靠，易操作易维护的目的，本项目中“多媒体教学中心设备-编辑主机”要求无缝兼容接入学校现有录播管理平台。</w:t>
      </w:r>
    </w:p>
    <w:p>
      <w:pPr>
        <w:spacing w:line="360" w:lineRule="auto"/>
        <w:ind w:firstLine="480" w:firstLineChars="200"/>
        <w:rPr>
          <w:rFonts w:ascii="宋体" w:hAnsi="宋体" w:cs="宋体"/>
          <w:sz w:val="24"/>
        </w:rPr>
      </w:pPr>
      <w:r>
        <w:rPr>
          <w:rFonts w:hint="eastAsia" w:ascii="宋体" w:hAnsi="宋体" w:cs="宋体"/>
          <w:sz w:val="24"/>
        </w:rPr>
        <w:t>学校现有网络中央控制器为华璨HC-1000（S），为保证设备使用的便利性及安全性，本项目中“教室扩声设备-麦克风”“教室扩声设备-音箱”能无缝兼容接入到学校现有网络中央控制器，实现中控对设备的实时控制。</w:t>
      </w:r>
    </w:p>
    <w:p>
      <w:pPr>
        <w:spacing w:line="360" w:lineRule="auto"/>
        <w:ind w:firstLine="480" w:firstLineChars="200"/>
        <w:rPr>
          <w:rFonts w:ascii="宋体" w:hAnsi="宋体" w:cs="宋体"/>
          <w:sz w:val="24"/>
        </w:rPr>
      </w:pPr>
      <w:r>
        <w:rPr>
          <w:rFonts w:hint="eastAsia" w:ascii="宋体" w:hAnsi="宋体" w:cs="宋体"/>
          <w:sz w:val="24"/>
        </w:rPr>
        <w:t>学校现有多媒体集控管理平台品牌型号为“华璨多媒体集中管理系统V2.0”，为实现本项目建设目标，避免重复投资，实现学校多媒体设备统一管理，运行稳定可靠，易操作易维护的目的，本项目中“教室扩声设备-对讲终端”要</w:t>
      </w:r>
      <w:r>
        <w:rPr>
          <w:rFonts w:hint="eastAsia" w:ascii="宋体" w:hAnsi="宋体" w:cs="宋体"/>
          <w:color w:val="000000"/>
          <w:kern w:val="0"/>
          <w:sz w:val="24"/>
          <w:lang w:bidi="ar"/>
        </w:rPr>
        <w:t>求无缝兼容接入学校现有</w:t>
      </w:r>
      <w:r>
        <w:rPr>
          <w:rFonts w:hint="eastAsia" w:ascii="宋体" w:hAnsi="宋体" w:cs="宋体"/>
          <w:sz w:val="24"/>
        </w:rPr>
        <w:t>多媒体集控管理平台。</w:t>
      </w:r>
    </w:p>
    <w:p>
      <w:pPr>
        <w:pStyle w:val="285"/>
        <w:ind w:firstLine="0"/>
        <w:rPr>
          <w:rFonts w:ascii="宋体" w:hAnsi="宋体" w:cs="宋体"/>
          <w:b/>
          <w:bCs/>
          <w:kern w:val="0"/>
        </w:rPr>
      </w:pPr>
      <w:r>
        <w:rPr>
          <w:rFonts w:hint="eastAsia" w:ascii="宋体" w:hAnsi="宋体" w:cs="宋体"/>
          <w:b/>
          <w:bCs/>
        </w:rPr>
        <w:t>四、</w:t>
      </w:r>
      <w:r>
        <w:rPr>
          <w:rFonts w:hint="eastAsia" w:ascii="宋体" w:hAnsi="宋体" w:cs="宋体"/>
          <w:b/>
          <w:bCs/>
          <w:kern w:val="0"/>
        </w:rPr>
        <w:t>售后服务要求</w:t>
      </w:r>
    </w:p>
    <w:p>
      <w:pPr>
        <w:spacing w:line="360" w:lineRule="auto"/>
        <w:ind w:firstLine="480" w:firstLineChars="200"/>
        <w:jc w:val="left"/>
        <w:rPr>
          <w:rFonts w:ascii="宋体" w:hAnsi="宋体" w:cs="宋体"/>
          <w:sz w:val="24"/>
        </w:rPr>
      </w:pPr>
      <w:r>
        <w:rPr>
          <w:rFonts w:hint="eastAsia" w:ascii="宋体" w:hAnsi="宋体" w:cs="宋体"/>
          <w:sz w:val="24"/>
        </w:rPr>
        <w:t>免费质保期：三年；</w:t>
      </w:r>
    </w:p>
    <w:p>
      <w:pPr>
        <w:spacing w:line="360" w:lineRule="auto"/>
        <w:ind w:firstLine="480" w:firstLineChars="200"/>
        <w:jc w:val="left"/>
        <w:rPr>
          <w:rFonts w:ascii="宋体" w:hAnsi="宋体" w:cs="宋体"/>
          <w:sz w:val="24"/>
        </w:rPr>
      </w:pPr>
      <w:r>
        <w:rPr>
          <w:rFonts w:hint="eastAsia" w:ascii="宋体" w:hAnsi="宋体" w:cs="宋体"/>
          <w:sz w:val="24"/>
        </w:rPr>
        <w:t>项目验收合格后全面进入质保期，质保期内除自然不可抗力和明确的校方人员使用、管理不善引发的设备遗失、破损、非正常损耗意外，所有涉及设备、线路的故障和损耗，均由建设方实施全面免费质保，实施无偿更换或维修；</w:t>
      </w:r>
    </w:p>
    <w:p>
      <w:pPr>
        <w:spacing w:line="360" w:lineRule="auto"/>
        <w:ind w:firstLine="480" w:firstLineChars="200"/>
        <w:jc w:val="left"/>
        <w:rPr>
          <w:rFonts w:ascii="宋体" w:hAnsi="宋体" w:cs="宋体"/>
          <w:sz w:val="24"/>
        </w:rPr>
      </w:pPr>
      <w:r>
        <w:rPr>
          <w:rFonts w:hint="eastAsia" w:ascii="宋体" w:hAnsi="宋体" w:cs="宋体"/>
          <w:sz w:val="24"/>
        </w:rPr>
        <w:t>得到校方任何形式的报修请求后，4小时内电话响应、8小时内现场响应，48小时内排除故障（无法排除故障的需要提供与原有设备性能相当的备用设备），对于由于超出上述时间限定引发的维修、设备租借等费用，由承建商负担。</w:t>
      </w:r>
    </w:p>
    <w:p>
      <w:pPr>
        <w:spacing w:line="360" w:lineRule="auto"/>
        <w:jc w:val="left"/>
        <w:rPr>
          <w:rFonts w:ascii="宋体" w:hAnsi="宋体" w:cs="宋体"/>
          <w:b/>
          <w:bCs/>
          <w:sz w:val="24"/>
        </w:rPr>
      </w:pPr>
      <w:r>
        <w:rPr>
          <w:rFonts w:hint="eastAsia" w:ascii="宋体" w:hAnsi="宋体" w:cs="宋体"/>
          <w:b/>
          <w:bCs/>
          <w:sz w:val="24"/>
        </w:rPr>
        <w:t>五、无缝兼容性测试的演示视频文件要求</w:t>
      </w:r>
    </w:p>
    <w:p>
      <w:pPr>
        <w:spacing w:line="360" w:lineRule="auto"/>
        <w:ind w:firstLine="480" w:firstLineChars="200"/>
        <w:jc w:val="left"/>
        <w:rPr>
          <w:rFonts w:ascii="宋体" w:hAnsi="宋体" w:cs="宋体"/>
          <w:sz w:val="24"/>
        </w:rPr>
      </w:pPr>
      <w:r>
        <w:rPr>
          <w:rFonts w:hint="eastAsia" w:ascii="宋体" w:hAnsi="宋体" w:cs="宋体"/>
          <w:sz w:val="24"/>
        </w:rPr>
        <w:t>本项目中针对“多媒体教学中心设备-编辑主机”“教室扩声设备-麦克风”“教室扩声设备-音箱”“教室扩声设备-对讲终端”所投产品的无缝兼容性要求，投标人须按照招标采购需求要求提供所投产品无缝兼容性测试的演示视频文件，提供演示测试视频文件载体为U盘，随投标文件一起密封提交。</w:t>
      </w:r>
    </w:p>
    <w:p>
      <w:pPr>
        <w:spacing w:line="360" w:lineRule="auto"/>
        <w:ind w:firstLine="480" w:firstLineChars="200"/>
        <w:jc w:val="left"/>
        <w:rPr>
          <w:rFonts w:ascii="宋体" w:hAnsi="宋体" w:cs="宋体"/>
          <w:sz w:val="24"/>
        </w:rPr>
      </w:pPr>
      <w:r>
        <w:rPr>
          <w:rFonts w:hint="eastAsia" w:ascii="宋体" w:hAnsi="宋体" w:cs="宋体"/>
          <w:sz w:val="24"/>
        </w:rPr>
        <w:t>投标人可自行寻找上述学校已有设备型号相同的设备上录制演示视频，也可以到采购人免费提供测试环境供投标人测试录制视频，投标人可自行联系采购人进行设备兼容性测试。测试时间为购买招标文件截止后5个工作日内，学校正常教学时间以外。投标人测试过程不得损坏学校设备，不得影响设备后续正常教学使用，如有违反，采购人有权利停止提供测试，造成学校财产损失的投标人须照价赔偿。</w:t>
      </w:r>
    </w:p>
    <w:p>
      <w:pPr>
        <w:pStyle w:val="285"/>
        <w:ind w:firstLine="0"/>
        <w:rPr>
          <w:rFonts w:ascii="宋体" w:hAnsi="宋体" w:cs="宋体"/>
          <w:b/>
          <w:kern w:val="0"/>
        </w:rPr>
      </w:pPr>
      <w:r>
        <w:rPr>
          <w:rFonts w:hint="eastAsia" w:ascii="宋体" w:hAnsi="宋体" w:cs="宋体"/>
          <w:b/>
          <w:kern w:val="0"/>
        </w:rPr>
        <w:t>六、其他补充条款</w:t>
      </w:r>
    </w:p>
    <w:p>
      <w:pPr>
        <w:spacing w:line="360" w:lineRule="auto"/>
        <w:ind w:firstLine="480" w:firstLineChars="200"/>
        <w:jc w:val="left"/>
        <w:rPr>
          <w:rFonts w:ascii="宋体" w:hAnsi="宋体" w:cs="宋体"/>
          <w:sz w:val="24"/>
        </w:rPr>
      </w:pPr>
      <w:r>
        <w:rPr>
          <w:rFonts w:hint="eastAsia" w:ascii="宋体" w:hAnsi="宋体" w:cs="宋体"/>
          <w:sz w:val="24"/>
        </w:rPr>
        <w:t>针对项目涉及产品，开展面向管理人员培训不少于2次，培训人数、地点和时间由校方制定；</w:t>
      </w:r>
    </w:p>
    <w:p>
      <w:pPr>
        <w:spacing w:line="360" w:lineRule="auto"/>
        <w:ind w:firstLine="480" w:firstLineChars="200"/>
        <w:jc w:val="left"/>
        <w:rPr>
          <w:rFonts w:ascii="宋体" w:hAnsi="宋体" w:cs="宋体"/>
          <w:sz w:val="24"/>
        </w:rPr>
      </w:pPr>
      <w:r>
        <w:rPr>
          <w:rFonts w:hint="eastAsia" w:ascii="宋体" w:hAnsi="宋体" w:cs="宋体"/>
          <w:sz w:val="24"/>
        </w:rPr>
        <w:t>项目正式开始一周内制作完成项目开工书，内容涉及项目清单、施工申请单、各部门入场手续、相关财务单据、施工人员信息、施工进度表、施工管理制度以及进场后为避免施工引起对原有设施、场地的破损做出明确预案及赔偿说明等信息，装订成册；</w:t>
      </w:r>
    </w:p>
    <w:p>
      <w:pPr>
        <w:spacing w:line="360" w:lineRule="auto"/>
        <w:ind w:firstLine="480" w:firstLineChars="200"/>
        <w:jc w:val="left"/>
        <w:rPr>
          <w:rFonts w:ascii="宋体" w:hAnsi="宋体" w:cs="宋体"/>
          <w:sz w:val="24"/>
        </w:rPr>
      </w:pPr>
      <w:r>
        <w:rPr>
          <w:rFonts w:hint="eastAsia" w:ascii="宋体" w:hAnsi="宋体" w:cs="宋体"/>
          <w:sz w:val="24"/>
        </w:rPr>
        <w:t>验收报告须在验收合格后的一周内提交项目负责单位，内容涉及变更清单(如有)、物品分布清单、物品入场确认单、系统布线图、各主要设备使用说明、售后条款及联系方式、资产办理手续、财务结算手续、验收单和验收报告等，装订成册。</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jc w:val="left"/>
        <w:rPr>
          <w:rFonts w:ascii="宋体" w:hAnsi="宋体" w:cs="宋体"/>
          <w:sz w:val="24"/>
        </w:rPr>
      </w:pPr>
    </w:p>
    <w:p>
      <w:pPr>
        <w:numPr>
          <w:ilvl w:val="0"/>
          <w:numId w:val="15"/>
        </w:numPr>
        <w:spacing w:line="480" w:lineRule="auto"/>
        <w:ind w:firstLine="482" w:firstLineChars="200"/>
        <w:rPr>
          <w:rFonts w:ascii="宋体" w:hAnsi="宋体" w:cs="宋体"/>
          <w:b/>
          <w:bCs/>
          <w:sz w:val="24"/>
        </w:rPr>
      </w:pPr>
      <w:r>
        <w:rPr>
          <w:rFonts w:hint="eastAsia" w:ascii="宋体" w:hAnsi="宋体" w:cs="宋体"/>
          <w:b/>
          <w:bCs/>
          <w:sz w:val="24"/>
        </w:rPr>
        <w:t>货物一览表</w:t>
      </w:r>
    </w:p>
    <w:tbl>
      <w:tblPr>
        <w:tblStyle w:val="43"/>
        <w:tblW w:w="5126" w:type="pct"/>
        <w:tblInd w:w="0" w:type="dxa"/>
        <w:tblLayout w:type="autofit"/>
        <w:tblCellMar>
          <w:top w:w="0" w:type="dxa"/>
          <w:left w:w="108" w:type="dxa"/>
          <w:bottom w:w="0" w:type="dxa"/>
          <w:right w:w="108" w:type="dxa"/>
        </w:tblCellMar>
      </w:tblPr>
      <w:tblGrid>
        <w:gridCol w:w="1141"/>
        <w:gridCol w:w="3438"/>
        <w:gridCol w:w="1033"/>
        <w:gridCol w:w="1066"/>
        <w:gridCol w:w="3571"/>
      </w:tblGrid>
      <w:tr>
        <w:tblPrEx>
          <w:tblCellMar>
            <w:top w:w="0" w:type="dxa"/>
            <w:left w:w="108" w:type="dxa"/>
            <w:bottom w:w="0" w:type="dxa"/>
            <w:right w:w="108" w:type="dxa"/>
          </w:tblCellMar>
        </w:tblPrEx>
        <w:trPr>
          <w:trHeight w:val="322"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数量</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单位</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中小企业划分标准所属行业</w:t>
            </w:r>
          </w:p>
        </w:tc>
      </w:tr>
      <w:tr>
        <w:tblPrEx>
          <w:tblCellMar>
            <w:top w:w="0" w:type="dxa"/>
            <w:left w:w="108" w:type="dxa"/>
            <w:bottom w:w="0" w:type="dxa"/>
            <w:right w:w="108" w:type="dxa"/>
          </w:tblCellMar>
        </w:tblPrEx>
        <w:trPr>
          <w:trHeight w:val="322"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一、多媒体教学中心设备</w:t>
            </w:r>
          </w:p>
        </w:tc>
      </w:tr>
      <w:tr>
        <w:tblPrEx>
          <w:tblCellMar>
            <w:top w:w="0" w:type="dxa"/>
            <w:left w:w="108" w:type="dxa"/>
            <w:bottom w:w="0" w:type="dxa"/>
            <w:right w:w="108" w:type="dxa"/>
          </w:tblCellMar>
        </w:tblPrEx>
        <w:trPr>
          <w:trHeight w:val="243"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sz w:val="24"/>
              </w:rPr>
              <w:t>▲</w:t>
            </w:r>
            <w:r>
              <w:rPr>
                <w:rFonts w:hint="eastAsia" w:ascii="宋体" w:hAnsi="宋体" w:cs="宋体"/>
                <w:color w:val="000000"/>
                <w:kern w:val="0"/>
                <w:sz w:val="24"/>
                <w:lang w:bidi="ar"/>
              </w:rPr>
              <w:t>LED全彩色显示屏</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视频处理器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发送系统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接收系统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配电系统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结构支架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系统专用工作站</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主扩声功率放大器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吸顶扬声器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模拟调音台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话筒（数字单通道）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监听耳机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数据大屏端口软件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主控室改造</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其他未列明行业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监控画面解码器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分布式输入节点</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分布式输出节点</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分布式音视频控制软件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中控单元</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触摸平板</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路由器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交换机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41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编辑主机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22"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二、教室扩声设备</w:t>
            </w:r>
          </w:p>
        </w:tc>
      </w:tr>
      <w:tr>
        <w:tblPrEx>
          <w:tblCellMar>
            <w:top w:w="0" w:type="dxa"/>
            <w:left w:w="108" w:type="dxa"/>
            <w:bottom w:w="0" w:type="dxa"/>
            <w:right w:w="108" w:type="dxa"/>
          </w:tblCellMar>
        </w:tblPrEx>
        <w:trPr>
          <w:trHeight w:val="322"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22"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磁吸充电座</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22"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22"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对讲终端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22"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对讲服务系统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90"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线材辅料施工</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其他未列明行业</w:t>
            </w:r>
          </w:p>
        </w:tc>
      </w:tr>
      <w:tr>
        <w:tblPrEx>
          <w:tblCellMar>
            <w:top w:w="0" w:type="dxa"/>
            <w:left w:w="108" w:type="dxa"/>
            <w:bottom w:w="0" w:type="dxa"/>
            <w:right w:w="108" w:type="dxa"/>
          </w:tblCellMar>
        </w:tblPrEx>
        <w:trPr>
          <w:trHeight w:val="282"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三、报告厅1新增设备</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（1）显示系统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LED显示屏</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视频发送系统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接收系统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视频图像处理器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播放软件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配电系统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结构支架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（2）扩声系统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超低音箱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中置音箱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台唇拉声像音箱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返送音箱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后场补声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拉声像功放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主扩/中置/低音功放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返送功放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补声功放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数字调音台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音频输入输出扩展器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数字音频扩展器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音频图形化处理器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音频工作站</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音频接口</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虚拟声卡</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音频制作软件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无线路由器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无线数字会议系统主机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无线数字会议主席单元</w:t>
            </w:r>
          </w:p>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（内置锂电）</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无线数字会议代表单元</w:t>
            </w:r>
          </w:p>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（内置锂电）</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专业级八口USB阵列话筒充电器           </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无线接收放大器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手持话筒（数字双通道）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头戴话筒（数字单通道）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微型领夹（头戴）咪头</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鹅颈麦克无线接收机（数字单通道）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鹅颈话筒发射机（不含话筒）</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鹅颈话筒杆</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天线分配器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天线</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监听耳机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环境声拾音话筒</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音频隔离DI盒</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（3）灯光系统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摇头灯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数字LED聚光灯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数字LED平板柔光灯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染色灯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电脑灯控台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电源直通箱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信号放大器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灯钩</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保险绳</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条</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固定灯杆</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道</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（4）中控系统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会议中控</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高清编码器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传感解码器 </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环境传感器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触摸屏编辑控制软件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电源控制器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扩展主机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无缝混合矩阵（机箱）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超高清无缝输入板卡</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超高清无缝输出板卡</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移动触控平板</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软件编程</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（5）其他</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机柜</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演讲台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线材辅料</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系统集成</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其他未列明行业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四、报告厅2新增设备</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（1）显示系统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LED显示屏</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视频发送系统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接收系统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视频图像处理器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播放软件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配电系统</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结构支架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（2）扩声系统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超低音箱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中置音箱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台唇拉声像音箱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返送音箱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后场补声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拉声像功放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主扩/中置/低音功放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返送功放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补声功放</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数字调音台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音频输入输出扩展器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数字音频扩展器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音频图形化处理器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音频工作站</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音频接口</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虚拟声卡</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音频制作软件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软件和信息技术服务业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无线路由器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无线数字会议系统主机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无线数字会议主席单元</w:t>
            </w:r>
          </w:p>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（内置锂电）</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无线数字会议代表单元</w:t>
            </w:r>
          </w:p>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（内置锂电）</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专业级八口USB阵列话筒充电器           </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无线接收放大器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手持话筒（数字双通道）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头戴话筒（数字单通道）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微型领夹（头戴）咪头</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94"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鹅颈麦克无线接收机（数字单通道）</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鹅颈话筒发射机（不含话筒）</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鹅颈话筒杆</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天线分配器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天线</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监听耳机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监听音箱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环境声拾音话筒</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音频隔离DI盒</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（3）灯光系统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摇头灯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数字LED聚光灯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数字LED平板柔光灯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染色灯</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电脑灯控台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电源直通箱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信号放大器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灯钩</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保险绳</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条</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固定灯杆</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道</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（4）中控系统</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会议中控</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高清编码器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传感解码器 </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环境传感器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触摸屏编辑控制软件</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电源控制器</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扩展主机</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无缝混合矩阵（机箱）</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超高清无缝输入板卡</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超高清无缝输出板卡</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移动触控平板</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软件编程</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其他未列明行业</w:t>
            </w:r>
          </w:p>
        </w:tc>
      </w:tr>
      <w:tr>
        <w:tblPrEx>
          <w:tblCellMar>
            <w:top w:w="0" w:type="dxa"/>
            <w:left w:w="108" w:type="dxa"/>
            <w:bottom w:w="0" w:type="dxa"/>
            <w:right w:w="108" w:type="dxa"/>
          </w:tblCellMar>
        </w:tblPrEx>
        <w:trPr>
          <w:trHeight w:val="331"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（5）其他</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机柜</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演讲台</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工业</w:t>
            </w:r>
          </w:p>
        </w:tc>
      </w:tr>
      <w:tr>
        <w:tblPrEx>
          <w:tblCellMar>
            <w:top w:w="0" w:type="dxa"/>
            <w:left w:w="108" w:type="dxa"/>
            <w:bottom w:w="0" w:type="dxa"/>
            <w:right w:w="108" w:type="dxa"/>
          </w:tblCellMar>
        </w:tblPrEx>
        <w:trPr>
          <w:trHeight w:val="331"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线材辅料</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其他未列明行业</w:t>
            </w:r>
          </w:p>
        </w:tc>
      </w:tr>
      <w:tr>
        <w:tblPrEx>
          <w:tblCellMar>
            <w:top w:w="0" w:type="dxa"/>
            <w:left w:w="108" w:type="dxa"/>
            <w:bottom w:w="0" w:type="dxa"/>
            <w:right w:w="108" w:type="dxa"/>
          </w:tblCellMar>
        </w:tblPrEx>
        <w:trPr>
          <w:trHeight w:val="343" w:hRule="atLeast"/>
        </w:trPr>
        <w:tc>
          <w:tcPr>
            <w:tcW w:w="55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6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系统集成</w:t>
            </w:r>
          </w:p>
        </w:tc>
        <w:tc>
          <w:tcPr>
            <w:tcW w:w="5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5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74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其他未列明行业</w:t>
            </w:r>
          </w:p>
        </w:tc>
      </w:tr>
    </w:tbl>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b/>
          <w:bCs/>
          <w:sz w:val="24"/>
        </w:rPr>
      </w:pPr>
      <w:r>
        <w:rPr>
          <w:rFonts w:hint="eastAsia" w:ascii="宋体" w:hAnsi="宋体" w:cs="宋体"/>
          <w:b/>
          <w:bCs/>
          <w:sz w:val="24"/>
        </w:rPr>
        <w:t>八、采购需求</w:t>
      </w:r>
    </w:p>
    <w:p>
      <w:pPr>
        <w:rPr>
          <w:rFonts w:ascii="宋体" w:hAnsi="宋体" w:cs="宋体"/>
          <w:sz w:val="24"/>
        </w:rPr>
      </w:pPr>
    </w:p>
    <w:tbl>
      <w:tblPr>
        <w:tblStyle w:val="43"/>
        <w:tblW w:w="5120" w:type="pct"/>
        <w:tblInd w:w="0" w:type="dxa"/>
        <w:tblLayout w:type="autofit"/>
        <w:tblCellMar>
          <w:top w:w="0" w:type="dxa"/>
          <w:left w:w="108" w:type="dxa"/>
          <w:bottom w:w="0" w:type="dxa"/>
          <w:right w:w="108" w:type="dxa"/>
        </w:tblCellMar>
      </w:tblPr>
      <w:tblGrid>
        <w:gridCol w:w="894"/>
        <w:gridCol w:w="2103"/>
        <w:gridCol w:w="5385"/>
        <w:gridCol w:w="985"/>
        <w:gridCol w:w="870"/>
      </w:tblGrid>
      <w:tr>
        <w:tblPrEx>
          <w:tblCellMar>
            <w:top w:w="0" w:type="dxa"/>
            <w:left w:w="108" w:type="dxa"/>
            <w:bottom w:w="0" w:type="dxa"/>
            <w:right w:w="108" w:type="dxa"/>
          </w:tblCellMar>
        </w:tblPrEx>
        <w:trPr>
          <w:trHeight w:val="60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名称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招标参数</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数量</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单位</w:t>
            </w:r>
          </w:p>
        </w:tc>
      </w:tr>
      <w:tr>
        <w:tblPrEx>
          <w:tblCellMar>
            <w:top w:w="0" w:type="dxa"/>
            <w:left w:w="108" w:type="dxa"/>
            <w:bottom w:w="0" w:type="dxa"/>
            <w:right w:w="108" w:type="dxa"/>
          </w:tblCellMar>
        </w:tblPrEx>
        <w:trPr>
          <w:trHeight w:val="9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一、多媒体教学中心设备</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sz w:val="24"/>
              </w:rPr>
              <w:t>▲</w:t>
            </w:r>
            <w:r>
              <w:rPr>
                <w:rFonts w:hint="eastAsia" w:ascii="宋体" w:hAnsi="宋体" w:cs="宋体"/>
                <w:color w:val="000000"/>
                <w:kern w:val="0"/>
                <w:sz w:val="24"/>
                <w:lang w:bidi="ar"/>
              </w:rPr>
              <w:t>LED全彩色显示屏</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1、像素构成：LED灯珠采用表贴三合一，1R1G1B 封装；</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2、像素间距：≤1.57mm；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3、亮度（校正后）：≥850nits,支持通过配套软件 0-100%无级调节；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4、刷新频率：≥3900Hz；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单元尺寸</w:t>
            </w:r>
            <w:r>
              <w:rPr>
                <w:rFonts w:hint="eastAsia" w:ascii="宋体" w:hAnsi="宋体" w:cs="宋体"/>
                <w:color w:val="000000"/>
                <w:kern w:val="0"/>
                <w:sz w:val="24"/>
                <w:lang w:bidi="ar"/>
              </w:rPr>
              <w:t>：≥600×337.5×72，单元分辩率：≥384×216；</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6、色温：≥2000-15000K 可调，色温误差：色温为 6500K 时，100%，75%，50%， 25%四档电平白场调节色温误差≤200K；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7、水平视角：≥175°、垂直视角：≥175°；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8、发光点中心距偏差：≤1%；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9、显示单元平整度偏差：≤0.05mm(垂直偏差 JX≤5%；水平偏差：CS≤5%)；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10、亮度均匀性：≥98%；</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11、色度均匀性：≥±0.002Cx，Cy；</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12、最大对比度：≥12000:1(全白/全黑，环境照度 0.05lux)；</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#13、智能节电功能：具备智能（黑屏）节电功能，开启智能节电功能比和没有开启节能 50%以上；LED 显示屏符合GB21520-2015,能效一级；（须提供第三方检测机构出具的检测报告（具备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14、亮度调节：手动或自动 16 级亮度调节，色温不变。要求具有光感探头，显示屏亮度随着外界环境亮度自动调整亮度；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15、色彩和亮度自动调整：支持色彩和亮度自动调整，对色彩及亮度自动调整，保持色彩亮度一致性；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16、故障告警：LED 显示屏可实时监控显示屏工作状态，具有计时功能及信号运行监测功能，具有坏点检测系统，具体故障自动告警功能，发生故障立即发消息到指定邮箱及时处理；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17、监控功能：可监控到工作电压幅度、接收卡工作状态、发送卡工作状态，具有实时运行状态监控、温度监控，具有过温或者故障报警功能；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#18、温度自控：LED 显示屏具有多点测温自控系统，均衡散热，防止局部温度过高造成色彩漂移，并提高显示屏寿命；（须提供第三方检测机构出具的检测报告（具备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19、电路板设计：采用多层 PCB 设计，一体化驱动控制，PCB 表面沉金处理，采用抗消隐设计，无“毛毛虫”和“鬼影”跟随现象；</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#20、观看舒适度：“人眼视觉舒适度 (VICO)”指数低于 2.0（符中国国家标准委的“人眼视觉舒适度 (VICO)”）；去除 100%紫外线，消除 80%摩尔纹，基本无疲劳感1级；（须提供第三方检测机构出具的检测报告（具备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21、像素失控率：LED 像素失控率：≤0.000001，区域像素失控率≤0.000003，无连续失控点，出厂时为 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22、系统稳定抗干扰选用的产品：≥9层PCB板结构设计，同时采用≥35μ镀金接插件；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23、反光率：屏体亚黑处理，反光率 0.7%；</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24、屏体精度控制：LED 箱体支持 X/Y/Z 六向调节；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25、传输方式：显示产品单元模组电源、信号传输采用一体化传输；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26、自检技术：LED 显示屏支持单电自检、通讯检测、电源检测、温度监控；实现故障快速自诊断及排查功能；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#27、蓝光安全：蓝光对皮肤和眼睛紫外线危害、宽波段的光源对视网膜危害、蓝光对皮肤表面及角膜和视网膜的曝辐射值检测；（须提供第三方检测机构出具的检测报告（具备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28、盐雾：盐溶液采用氯化钠和蒸馏水配制，其浓度为（5±0.1）%；盐雾工作试验空间内的温度：35°C；PH 值：6.5~7.2；盐雾工作试验空间内放置时间：48H；试验结束后，检查样品表面应无起泡、裂纹、毛刺、锈蚀现象,符合10级要求；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29、须提供所投产品的3C认证证书； </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30、须提供制造商针对本项目的售后服务承诺函并加盖公章。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9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1、具备方便直观的中文界面，可实现多用户操作管理，网络远程控制管理，并能与集中控制系统一起实现一体化操作管理；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2、系统能将多类型信号源输入多视频控制器并在显示设备上显示（信号源包括VGA、DVI、HDMI、DP、BNC、SDI、DL-DVI、IP、HDBaseT、光纤等）的功能；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3、系统接入并在显示设备上显示4K分辨率（3840*2160）信号源的功能；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4、系统在显示设备上同时显示多类型素材（素材包括视频、图片、底图、字幕等）的功能；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5、系统按照当前选定的显示屏建立相同分辨率的场景，以图形化编辑方式对窗口的开窗参数、窗口比例、窗口位置和大小等参数进行设置，以鼠标拖动方式将视频源、视频文件、字幕或图片等加载到场景中指定播放窗口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6、系统支持简体中文、英文等多种语言界面和菜单的功能；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7、系统对多个显示屏进行独立控制，支持信号源在多个显示屏中共享的功能；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8、系统通过网络信号传输实现Windows操作系统桌面在显示设备上显示的功能；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9、有完整的软件接口，可提供二次开发的API接口，为第三方系统提供支持；</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11、为保证系统兼容性，所投产品须与LED全彩色显示屏为同一品牌。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视频处理器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整机规格要求：整机输入/输出板卡数量≥4张，最大视频输入/输出数量≥16路，最大千兆网口输出数量≥支持40路千兆网口，最大带载≥2621万像素，最大5G网口输出数量≥支持8主8备5G网口，最大带载≥2359万像素，最大光口输出数量≥支持4主4备万兆光口，最大带载≥2621万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设备具有≥7寸触摸式液晶屏，可查看设备名称、设备固件信息、设备信号源接口连接状态、网线通讯在线/离线状态、运行状态、预监回显画面；可设置IP地址、设备输出画面亮度、返回主页时间、屏幕保护时间、设备输出画面调整、测试模式、场景切换，可进行固件/镜像升级、恢复出厂设置等；（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3、支持单信号源多次裁剪,可以通过裁剪形成新的信号源,用于去掉信号源的黑边或实现图像重点区域的放大显示，支持输入像素点进行精确裁剪，也可支持鼠标拖拽方式进行可视化裁剪，可最小裁剪至64x64 单元像素；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屏幕非规则建屏，单卡单接口建屏，4K子板单路接口带载宽度可达8192像素，高度可达8188像素，2K子板单路接口带载宽度或高度可达4096像素，各接口之间可以实现自由拼接，支持独立拖开、重叠；（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5、输入板卡要求：一卡一路：≥1路HDMI2.0、≥1路DP1.2、≥1路12G-SDI。 一卡两路：≥1路HDMI2.0+1路DP1.2、≥2路IP解码。一卡四路：≥4路DVI、≥4路HDMI1.4、≥4路3G-SDI、≥4路VGA、≥2路VGA+2路CVBS；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输出板卡要求:一卡一路视频输出:≥1路HDMI2.0、≥1路DP1.2、一卡四路视频输出:≥4路HDMI1.4、≥4路DVI、一卡十路集成发送卡:≥10路RJ45、一卡两路集成发送卡:≥2路光纤接口(一主一备)、一卡四路集成发送卡:≥4路RJ45 5G网口(两主两备)、一卡十八路集成发送卡:≥16路RJ45+2路光纤接口；（须提供第三方检测机构出具的检测报告（具备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设备支持输入输出多种帧率，可以灵活适配不同信号源，支持30/48/50/60Hz常规帧率、支持23.976/29.97147.95/59.94Hz非整数帧率、支持100/120/144/240Hz高帧率，支持自定义帧率，支持全链路高帧率处理技术，有效避免高速画面的拖影，提供流畅的高画质显示；（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8、设备开窗不受输出板卡影响，整机可任意开窗、叠加、漫游，整机可达≥32信号源画面同时显示，单张HDMI/DVI/10网口输出板卡可开窗≥32 个信号源画面同时显示。开窗响应时间≤2ms,同时可对信号源进行拖拽上屏方便快捷高效。支持窗口吸附功能，提升修改窗口位置的精准度，方便快速调整窗口在屏幕上的位置；（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#9、支持IP流媒体解码，采用H.265/H.264/MEPG-4AVC解码技术，单卡支持≥64路IPC同时解码，最高分辨率可达8K@60Hz IPC可以直接接入设备，无需其他解码器，即可完成解码上屏；（须提供第三方检测机构出具的检测报告（具备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多画面拼接能力，可支持≥16路拼接，支持任意信号在单屏和拼接屏的任意位置开多个窗口，每个窗口可任意漫游、叠加、缩放、拉伸、画中画显示等，提供灵活的应用；（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11、支持保存≥2000个场景，场景调用的响应时间≤40ms,场景切换无暗场，支持保存屏幕颜色和亮度参数；（须提供第三方检测机构出具的检测报告（具备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OSD，字幕:可自由设置字体样式、调节滚动方向和速度。字幕不占用窗口数量。支持多组字幕。字幕可与底图自由叠加，可设置文字字体、大小、颜色、背景颜色，支持位置自由调节，可进行标语口号、通知消息发布。底图:支持上传多张底图，单张底图支持最大8Kx8K分辨率，可以设置填充、等比缩放、拉伸等多种显示模式。多屏组底图共享。底图不占用窗口数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13、≥2路5G网口+2路5G备份网口。单卡最大支持带载≥589万像素；（须提供第三方检测机构出具的检测报告（具备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14、输出网口区域位置任意设置，不受输出子板板卡范围限制。极大的提高了网口利用率；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15、支持网口输出时，分组调节不同网口亮度，满足不同屏幕混用时亮度调试功能；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#16、通过设置，自定义输出顿率，实现30HZ变成60HZ的帧率倍频输出功能；（须提供第三方检测机构出具的检测报告（具备 CMA 或 CNAS 标志）复印件加盖厂家公章)</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17、为保证系统兼容性，所投产品须与LED全彩色显示屏为同一品牌。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3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发送系统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1、带载≥最宽或最高16384像素；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2、单图层带载≥最宽16384像素，最高16384像素；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3、2K和4K视频输出板混用：2K支持分辨率≥1920×1080@60Hz，4K支持分辨率≥3840×2160@60Hz支持特殊固件；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4、输入信号数量要求：可同时支持≥16路1080P或≥4路4K；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5、最大支持≥32路图层开窗，无板卡数量限制，支持窗口漫游、自由拼接等；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6、3D显示要求：可搭配主动式3D发射器及3D眼镜，以实现3D显示效果；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7、自定义帧率：可选择输出29.97/30/50/59.94/60/120/144/240Hz帧率，支持自定义23.98~240Hz内任意帧率；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8、支持输入信号源独立色彩调节，即可调节亮度、色温、RGB的增益；</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9、支持电脑及中控设备通过LAN、RS232等多种方式连接；</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27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接收系统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1、采用DDR2 SODIMM金手指接口，配合LED转接板供电使用；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2、支持8bit色深视频源输入输出；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3、支持最多32组并行RGB全彩数据或32组串行RGB（特殊扩展可达128组）；</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4、支持市面主流芯片最大带载512x384像素；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5、支持低亮高灰，色温调节；</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98</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配电系统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1、保护措施：具备过压、过流、欠压、短路、断路以及漏电保护措施；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2、配电柜功率：≥20KW；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3、电压要求：≥380V；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4、为保证智能化控制功能，配电柜内需含PLC智能控制单元；</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5、为保证系统兼容性，所投产品须与LED全彩色显示屏为同一品牌。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结构支架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1、安全结构要求：采用专业、定制的纯钢性结构，自重较轻，具有良好的抗振（震）性、抗冲击性好，可以准确快速地装配；用于支撑、固定大屏幕用。整体材质为钢架配件；</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采用优质冷轧钢板盒板，板厚根据各部分承重情况具体而定，主要结构部件材料厚：2.5mm-1.5mm；生产采用数控冲床，数控折弯、数控较平等最先进的生产工艺，加工精度在正负20微米以内；金属部件表面采用静电喷塑粉和内部零件镀彩锌的工艺，都经过脱脂、酸洗、喷砂、防锈磷化、静电喷塑、高温固化等工艺；以保证机柜表面涂层的牢固可靠，耐酸碱、耐腐蚀；箱体安装支架，须采用定制铝型材结构，与箱体安装孔位保持完全一致。</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控制台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定制钢制双工位导控台，采用钢制结构，用于电脑显示器等设备设施，可根据现场定制。</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系统专用工作站</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1、CPU≥16核；</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2、GPU显存≥24GB；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3、硬盘容量≥512GB固态+2TB机械；</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4、内存容量≥64GB。</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主扩声功率放大器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1、立体声功率4Ω≥350W；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2、立体声功率8Ω≥260W；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 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 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8、电压增益≥29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 ≥ 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 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14、保护：防止短路、空载、开/关机噪音、无线电干扰保护电路。</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吸顶扬声器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1、功率：连续功率≥50W，节目功率≥100W，峰值功率≥200W；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2、连接特性：支持定阻或定压两种连接方式，定阻 16Ω定压 60-30-15-7.5W@70V60-30-15W@100V；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3、频率响应不劣于50Hz-20kHz (-10dB)和70Hz-20kHz(±3dB)；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4、灵敏度≥88dB/1Ｗ/1Ｍ；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5、最大声压级≥111dB；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6、指向性不劣于110×90（覆盖角度）；3.10（Q 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7、低音单元：不小于6" 两段式、双阻抗线圈锥形驱动器；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8、高音单元：不小于1" 软球顶驱动器；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9、形式：两分音带谐振箱体镶嵌扬声器；</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10、音箱物理材料：ABS 与金属网罩组成的面板，经防锈喷涂处理，一次性冲压成型的金属音箱腔体。</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27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模拟调音台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1、不少于10路单+2组立,极低的失真，很宽的增益演范围的无噪声前置放大器；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2、不少于3段均衡器，中频为参量均衡器，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支持立体声的USB录放接口，可以直接接驳PC/MAC，进行录音盒重放；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3、MP3播放/录音器，兼容多音频格式，SD/USB接口；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4、不少于16种参数可调的24BIT的DSP效果处理器，每种参数可由用户设定并自动记忆；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5、采用微型单片（MCU）控制的15段电平显示表条，配合强大的监听系统，极其方便监控到每一个输入输出的信号电平；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6、峰值保留技术，可以灵敏地捕捉音乐的每一个动态的瞬间，从而对整个音响系统的信号强度，有更精准更安全的掌控。</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话筒（数字单通道）</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1、一键式频率选择可快速查找最佳开放频率；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2、每个频带不少于12个兼容系统；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3、XLR和¼英寸输出接口；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4、微处理器控制的内部天线分集；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5、双色音频状态LED指示灯，绿色：正常音频电平，红色：过高音频电平（过载/衰减）；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6、增益调节范围不小于10 dB；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7、射频发射机输出≥10 mW。</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监听耳机</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1、发声单元尺寸：≥40 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2、灵敏度（1 kHz）：≥105 dB/mW；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3、阻抗（1 kHz）：44 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4、最大输入功率（1 kHz）：≥500mW；</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5、频率范围不劣于10 Hz - 22 kHz。</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1、有源监听音箱；</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2、频率响应不劣于50Hz-24KHz(±3dB)；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3、功率：低音≥60W 高音≥40W；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4、最大声压级≥106dB；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5、低音单元不小于5";高音单元不小于1"；</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6、输入端口：1/4"/XLR端口平衡接头，1×RCA非平衡接头。</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数据大屏端口软件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1、可与智慧安防系统进行对接：实时获取数据，包括视频流、报警信息等并有效整合展示；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2、可与录播系统进行对接：接入获取课程录制、直播相关数据；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3、可与课程资源管理系统进行对接：无缝对接，提取课程资源相关数据；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4、对接协议：遵循标准协议，确保数据传输准确可靠；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5、数据传输具有稳定性：采用先进技术和机制，应对高并发和大数据量，进行测试优化；</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6、软件具有安全性：支持多种认证方式，数据加密，定期扫描评估安全漏洞；</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7、软件具有扩展性：采用模块化分层架构，提供 API 和扩展点，具备兼容性；</w:t>
            </w:r>
          </w:p>
          <w:p>
            <w:pPr>
              <w:widowControl/>
              <w:jc w:val="left"/>
              <w:textAlignment w:val="center"/>
              <w:rPr>
                <w:rFonts w:ascii="宋体" w:hAnsi="宋体" w:cs="宋体"/>
                <w:sz w:val="24"/>
              </w:rPr>
            </w:pPr>
            <w:r>
              <w:rPr>
                <w:rFonts w:hint="eastAsia" w:ascii="宋体" w:hAnsi="宋体" w:cs="宋体"/>
                <w:color w:val="000000"/>
                <w:kern w:val="0"/>
                <w:sz w:val="24"/>
                <w:lang w:bidi="ar"/>
              </w:rPr>
              <w:t>#8、该软件作为辅助教学使用，要求所投产品采用成熟软件，须提供</w:t>
            </w:r>
            <w:r>
              <w:rPr>
                <w:rFonts w:hint="eastAsia" w:ascii="宋体" w:hAnsi="宋体" w:cs="宋体"/>
                <w:sz w:val="24"/>
              </w:rPr>
              <w:t>教学辅助系统相关软件著作权证书</w:t>
            </w:r>
            <w:r>
              <w:rPr>
                <w:rFonts w:hint="eastAsia" w:ascii="宋体" w:hAnsi="宋体" w:cs="宋体"/>
                <w:color w:val="000000"/>
                <w:kern w:val="0"/>
                <w:sz w:val="24"/>
                <w:lang w:bidi="ar"/>
              </w:rPr>
              <w:t>并加盖厂家公章</w:t>
            </w:r>
            <w:r>
              <w:rPr>
                <w:rFonts w:hint="eastAsia" w:ascii="宋体" w:hAnsi="宋体" w:cs="宋体"/>
                <w:sz w:val="24"/>
              </w:rPr>
              <w:t>；</w:t>
            </w:r>
          </w:p>
          <w:p>
            <w:pPr>
              <w:widowControl/>
              <w:jc w:val="left"/>
              <w:textAlignment w:val="center"/>
              <w:rPr>
                <w:rFonts w:ascii="宋体" w:hAnsi="宋体" w:cs="宋体"/>
                <w:sz w:val="24"/>
              </w:rPr>
            </w:pPr>
            <w:r>
              <w:rPr>
                <w:rFonts w:hint="eastAsia" w:ascii="宋体" w:hAnsi="宋体" w:cs="宋体"/>
                <w:color w:val="000000"/>
                <w:kern w:val="0"/>
                <w:sz w:val="24"/>
                <w:lang w:bidi="ar"/>
              </w:rPr>
              <w:t>9、须提供制造商针对本项目的售后服务承诺函并加盖厂家公章。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主控室改造</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sz w:val="24"/>
              </w:rPr>
              <w:t>地板采用专业防静电地板，面积：</w:t>
            </w:r>
            <w:r>
              <w:rPr>
                <w:rFonts w:hint="eastAsia" w:ascii="宋体" w:hAnsi="宋体" w:cs="宋体"/>
                <w:color w:val="000000"/>
                <w:sz w:val="24"/>
                <w:lang w:val="en-US" w:eastAsia="zh-CN"/>
              </w:rPr>
              <w:t>不少于</w:t>
            </w:r>
            <w:r>
              <w:rPr>
                <w:rFonts w:hint="eastAsia" w:ascii="宋体" w:hAnsi="宋体" w:cs="宋体"/>
                <w:color w:val="000000"/>
                <w:sz w:val="24"/>
              </w:rPr>
              <w:t>60平米</w:t>
            </w:r>
            <w:r>
              <w:rPr>
                <w:rFonts w:hint="eastAsia" w:ascii="宋体" w:hAnsi="宋体" w:cs="宋体"/>
                <w:color w:val="000000"/>
                <w:sz w:val="24"/>
                <w:lang w:eastAsia="zh-CN"/>
              </w:rPr>
              <w:t>，</w:t>
            </w:r>
            <w:r>
              <w:rPr>
                <w:rFonts w:hint="eastAsia" w:ascii="宋体" w:hAnsi="宋体" w:cs="宋体"/>
                <w:color w:val="000000"/>
                <w:sz w:val="24"/>
                <w:lang w:val="en-US" w:eastAsia="zh-CN"/>
              </w:rPr>
              <w:t>最终大小根据现场情况</w:t>
            </w:r>
            <w:r>
              <w:rPr>
                <w:rFonts w:hint="eastAsia" w:ascii="宋体" w:hAnsi="宋体" w:cs="宋体"/>
                <w:color w:val="000000"/>
                <w:sz w:val="24"/>
              </w:rPr>
              <w:t>。</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监控画面解码器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numPr>
                <w:ilvl w:val="-1"/>
                <w:numId w:val="0"/>
              </w:numPr>
              <w:jc w:val="left"/>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一、技术参数要求：</w:t>
            </w:r>
          </w:p>
          <w:p>
            <w:pPr>
              <w:widowControl/>
              <w:numPr>
                <w:ilvl w:val="0"/>
                <w:numId w:val="16"/>
              </w:numPr>
              <w:jc w:val="left"/>
              <w:textAlignment w:val="center"/>
              <w:rPr>
                <w:rFonts w:ascii="宋体" w:hAnsi="宋体" w:cs="宋体"/>
                <w:color w:val="000000"/>
                <w:sz w:val="24"/>
              </w:rPr>
            </w:pPr>
            <w:r>
              <w:rPr>
                <w:rFonts w:hint="eastAsia" w:ascii="宋体" w:hAnsi="宋体" w:cs="宋体"/>
                <w:color w:val="000000"/>
                <w:sz w:val="24"/>
              </w:rPr>
              <w:t>内置6组24个风扇，可自动调整转速；</w:t>
            </w:r>
          </w:p>
          <w:p>
            <w:pPr>
              <w:widowControl/>
              <w:numPr>
                <w:ilvl w:val="0"/>
                <w:numId w:val="16"/>
              </w:numPr>
              <w:jc w:val="left"/>
              <w:textAlignment w:val="center"/>
              <w:rPr>
                <w:rFonts w:ascii="宋体" w:hAnsi="宋体" w:cs="宋体"/>
                <w:color w:val="000000"/>
                <w:sz w:val="24"/>
              </w:rPr>
            </w:pPr>
            <w:r>
              <w:rPr>
                <w:rFonts w:hint="eastAsia" w:ascii="宋体" w:hAnsi="宋体" w:cs="宋体"/>
                <w:color w:val="000000"/>
                <w:sz w:val="24"/>
              </w:rPr>
              <w:t>可通过网络与NTP服务器进行校时；</w:t>
            </w:r>
          </w:p>
          <w:p>
            <w:pPr>
              <w:widowControl/>
              <w:numPr>
                <w:ilvl w:val="0"/>
                <w:numId w:val="16"/>
              </w:numPr>
              <w:jc w:val="left"/>
              <w:textAlignment w:val="center"/>
              <w:rPr>
                <w:rFonts w:ascii="宋体" w:hAnsi="宋体" w:cs="宋体"/>
                <w:color w:val="000000"/>
                <w:sz w:val="24"/>
              </w:rPr>
            </w:pPr>
            <w:r>
              <w:rPr>
                <w:rFonts w:hint="eastAsia" w:ascii="宋体" w:hAnsi="宋体" w:cs="宋体"/>
                <w:color w:val="000000"/>
                <w:sz w:val="24"/>
              </w:rPr>
              <w:t>支持将选定的视频输入切换到选定的视频输出，画面切换时不出现黑屏；</w:t>
            </w:r>
          </w:p>
          <w:p>
            <w:pPr>
              <w:widowControl/>
              <w:jc w:val="left"/>
              <w:textAlignment w:val="center"/>
              <w:rPr>
                <w:rFonts w:ascii="宋体" w:hAnsi="宋体" w:cs="宋体"/>
                <w:color w:val="000000"/>
                <w:sz w:val="24"/>
              </w:rPr>
            </w:pPr>
            <w:r>
              <w:rPr>
                <w:rFonts w:hint="eastAsia" w:ascii="宋体" w:hAnsi="宋体" w:cs="宋体"/>
                <w:color w:val="000000"/>
                <w:sz w:val="24"/>
              </w:rPr>
              <w:t>4、支持将一组视频信号按设定顺序在选定的视频输出上逐一显示，可支持多组轮巡同步切换；</w:t>
            </w:r>
          </w:p>
          <w:p>
            <w:pPr>
              <w:widowControl/>
              <w:jc w:val="left"/>
              <w:textAlignment w:val="center"/>
              <w:rPr>
                <w:rFonts w:ascii="宋体" w:hAnsi="宋体" w:cs="宋体"/>
                <w:color w:val="000000"/>
                <w:sz w:val="24"/>
              </w:rPr>
            </w:pPr>
            <w:r>
              <w:rPr>
                <w:rFonts w:hint="eastAsia" w:ascii="宋体" w:hAnsi="宋体" w:cs="宋体"/>
                <w:color w:val="000000"/>
                <w:sz w:val="24"/>
              </w:rPr>
              <w:t>5、输入分辨率支持不少于704×576、704×480、960×576、960×480、1024×768、1280×720、1280×1024、1280×800、1280×960、1366×768、1440×900、1400×1050、1680×1050、1920×1080、1600×1200、1920×1200；</w:t>
            </w:r>
          </w:p>
          <w:p>
            <w:pPr>
              <w:widowControl/>
              <w:jc w:val="left"/>
              <w:textAlignment w:val="center"/>
              <w:rPr>
                <w:rFonts w:ascii="宋体" w:hAnsi="宋体" w:cs="宋体"/>
                <w:color w:val="000000"/>
                <w:sz w:val="24"/>
              </w:rPr>
            </w:pPr>
            <w:r>
              <w:rPr>
                <w:rFonts w:hint="eastAsia" w:ascii="宋体" w:hAnsi="宋体" w:cs="宋体"/>
                <w:color w:val="000000"/>
                <w:sz w:val="24"/>
              </w:rPr>
              <w:t>6、可设置视频码率为128Kbps~16384Kbps；</w:t>
            </w:r>
          </w:p>
          <w:p>
            <w:pPr>
              <w:widowControl/>
              <w:jc w:val="left"/>
              <w:textAlignment w:val="center"/>
              <w:rPr>
                <w:rFonts w:ascii="宋体" w:hAnsi="宋体" w:cs="宋体"/>
                <w:color w:val="000000"/>
                <w:sz w:val="24"/>
              </w:rPr>
            </w:pPr>
            <w:r>
              <w:rPr>
                <w:rFonts w:hint="eastAsia" w:ascii="宋体" w:hAnsi="宋体" w:cs="宋体"/>
                <w:color w:val="000000"/>
                <w:sz w:val="24"/>
              </w:rPr>
              <w:t>7、支持视频图像的水平、垂直手动调校及自动微调；</w:t>
            </w:r>
          </w:p>
          <w:p>
            <w:pPr>
              <w:widowControl/>
              <w:jc w:val="left"/>
              <w:textAlignment w:val="center"/>
              <w:rPr>
                <w:rFonts w:ascii="宋体" w:hAnsi="宋体" w:cs="宋体"/>
                <w:color w:val="000000"/>
                <w:sz w:val="24"/>
              </w:rPr>
            </w:pPr>
            <w:r>
              <w:rPr>
                <w:rFonts w:hint="eastAsia" w:ascii="宋体" w:hAnsi="宋体" w:cs="宋体"/>
                <w:color w:val="000000"/>
                <w:sz w:val="24"/>
              </w:rPr>
              <w:t>8、可对单个视频输入通道进行分辨率、帧率、码率、亮度、对比度、饱和度、色调、去噪等参数设置，图像显示模式可设定标准、室内、室外、弱光等显示模式进行设置；</w:t>
            </w:r>
          </w:p>
          <w:p>
            <w:pPr>
              <w:widowControl/>
              <w:jc w:val="left"/>
              <w:textAlignment w:val="center"/>
              <w:rPr>
                <w:rFonts w:ascii="宋体" w:hAnsi="宋体" w:cs="宋体"/>
                <w:color w:val="000000"/>
                <w:sz w:val="24"/>
              </w:rPr>
            </w:pPr>
            <w:r>
              <w:rPr>
                <w:rFonts w:hint="eastAsia" w:ascii="宋体" w:hAnsi="宋体" w:cs="宋体"/>
                <w:color w:val="000000"/>
                <w:sz w:val="24"/>
              </w:rPr>
              <w:t>9、可对接入的云台进行8个方向旋转、自动扫描、控制光圈、变焦、速度调节、置点、花样扫描、巡航等控制操作；</w:t>
            </w:r>
          </w:p>
          <w:p>
            <w:pPr>
              <w:widowControl/>
              <w:jc w:val="left"/>
              <w:textAlignment w:val="center"/>
              <w:rPr>
                <w:rFonts w:ascii="宋体" w:hAnsi="宋体" w:cs="宋体"/>
                <w:color w:val="000000"/>
                <w:sz w:val="24"/>
              </w:rPr>
            </w:pPr>
            <w:r>
              <w:rPr>
                <w:rFonts w:hint="eastAsia" w:ascii="宋体" w:hAnsi="宋体" w:cs="宋体"/>
                <w:color w:val="000000"/>
                <w:sz w:val="24"/>
              </w:rPr>
              <w:t>10、解码板输出支持H.265、H.264、MJPEG格式；</w:t>
            </w:r>
          </w:p>
          <w:p>
            <w:pPr>
              <w:widowControl/>
              <w:jc w:val="left"/>
              <w:textAlignment w:val="center"/>
              <w:rPr>
                <w:rFonts w:ascii="宋体" w:hAnsi="宋体" w:cs="宋体"/>
                <w:color w:val="000000"/>
                <w:sz w:val="24"/>
              </w:rPr>
            </w:pPr>
            <w:r>
              <w:rPr>
                <w:rFonts w:hint="eastAsia" w:ascii="宋体" w:hAnsi="宋体" w:cs="宋体"/>
                <w:color w:val="000000"/>
                <w:sz w:val="24"/>
              </w:rPr>
              <w:t>11、最大支持解码7680X 4320、25fps的视频图像；</w:t>
            </w:r>
          </w:p>
          <w:p>
            <w:pPr>
              <w:widowControl/>
              <w:jc w:val="left"/>
              <w:textAlignment w:val="center"/>
              <w:rPr>
                <w:rFonts w:ascii="宋体" w:hAnsi="宋体" w:cs="宋体"/>
                <w:color w:val="000000"/>
                <w:sz w:val="24"/>
              </w:rPr>
            </w:pPr>
            <w:r>
              <w:rPr>
                <w:rFonts w:hint="eastAsia" w:ascii="宋体" w:hAnsi="宋体" w:cs="宋体"/>
                <w:color w:val="000000"/>
                <w:sz w:val="24"/>
              </w:rPr>
              <w:t>12、单块输出板卡具备8路4096×2160或10路3072×2048或10路2592×2048或20路2048×1536或32路1920×1080或64路1280×720的视频解码能力；</w:t>
            </w:r>
          </w:p>
          <w:p>
            <w:pPr>
              <w:widowControl/>
              <w:jc w:val="left"/>
              <w:textAlignment w:val="center"/>
              <w:rPr>
                <w:rFonts w:ascii="宋体" w:hAnsi="宋体" w:cs="宋体"/>
                <w:color w:val="000000"/>
                <w:sz w:val="24"/>
              </w:rPr>
            </w:pPr>
            <w:r>
              <w:rPr>
                <w:rFonts w:hint="eastAsia" w:ascii="宋体" w:hAnsi="宋体" w:cs="宋体"/>
                <w:color w:val="000000"/>
                <w:sz w:val="24"/>
              </w:rPr>
              <w:t>13、支持“主动解码”和“被动解码”；</w:t>
            </w:r>
          </w:p>
          <w:p>
            <w:pPr>
              <w:widowControl/>
              <w:jc w:val="left"/>
              <w:textAlignment w:val="center"/>
              <w:rPr>
                <w:rFonts w:ascii="宋体" w:hAnsi="宋体" w:cs="宋体"/>
                <w:color w:val="000000"/>
                <w:sz w:val="24"/>
              </w:rPr>
            </w:pPr>
            <w:r>
              <w:rPr>
                <w:rFonts w:hint="eastAsia" w:ascii="宋体" w:hAnsi="宋体" w:cs="宋体"/>
                <w:color w:val="000000"/>
                <w:sz w:val="24"/>
              </w:rPr>
              <w:t>14、支持计算机桌面解码输出显示，可通过网络把远端计算机桌面的整屏投影输出显示；</w:t>
            </w:r>
          </w:p>
          <w:p>
            <w:pPr>
              <w:widowControl/>
              <w:jc w:val="left"/>
              <w:textAlignment w:val="center"/>
              <w:rPr>
                <w:rFonts w:ascii="宋体" w:hAnsi="宋体" w:cs="宋体"/>
                <w:color w:val="000000"/>
                <w:sz w:val="24"/>
              </w:rPr>
            </w:pPr>
            <w:r>
              <w:rPr>
                <w:rFonts w:hint="eastAsia" w:ascii="宋体" w:hAnsi="宋体" w:cs="宋体"/>
                <w:color w:val="000000"/>
                <w:sz w:val="24"/>
              </w:rPr>
              <w:t>15、支持对电视墙进行回显功能，每个电视墙都支持独立回显，回显内容和大屏内容同步，每路录屏图像支持编码存储；</w:t>
            </w:r>
          </w:p>
          <w:p>
            <w:pPr>
              <w:widowControl/>
              <w:jc w:val="left"/>
              <w:textAlignment w:val="center"/>
              <w:rPr>
                <w:rFonts w:ascii="宋体" w:hAnsi="宋体" w:cs="宋体"/>
                <w:color w:val="000000"/>
                <w:sz w:val="24"/>
              </w:rPr>
            </w:pPr>
            <w:r>
              <w:rPr>
                <w:rFonts w:hint="eastAsia" w:ascii="宋体" w:hAnsi="宋体" w:cs="宋体"/>
                <w:color w:val="000000"/>
                <w:sz w:val="24"/>
              </w:rPr>
              <w:t>16、可对解码通道选择设置最短延时、实时性好、均衡、流畅性较好、流畅性好等5种解码延时；</w:t>
            </w:r>
          </w:p>
          <w:p>
            <w:pPr>
              <w:widowControl/>
              <w:jc w:val="left"/>
              <w:textAlignment w:val="center"/>
              <w:rPr>
                <w:rFonts w:ascii="宋体" w:hAnsi="宋体" w:cs="宋体"/>
                <w:color w:val="000000"/>
                <w:sz w:val="24"/>
              </w:rPr>
            </w:pPr>
            <w:r>
              <w:rPr>
                <w:rFonts w:hint="eastAsia" w:ascii="宋体" w:hAnsi="宋体" w:cs="宋体"/>
                <w:color w:val="000000"/>
                <w:sz w:val="24"/>
              </w:rPr>
              <w:t>#17、网络前端信号解码输出延时时间应≤650ms；</w:t>
            </w:r>
          </w:p>
          <w:p>
            <w:pPr>
              <w:widowControl/>
              <w:jc w:val="left"/>
              <w:textAlignment w:val="center"/>
              <w:rPr>
                <w:rFonts w:ascii="宋体" w:hAnsi="宋体" w:cs="宋体"/>
                <w:color w:val="000000"/>
                <w:sz w:val="24"/>
              </w:rPr>
            </w:pPr>
            <w:r>
              <w:rPr>
                <w:rFonts w:hint="eastAsia" w:ascii="宋体" w:hAnsi="宋体" w:cs="宋体"/>
                <w:color w:val="000000"/>
                <w:sz w:val="24"/>
              </w:rPr>
              <w:t>18、支持1/4/6/8/9/16画面分割显示；</w:t>
            </w:r>
          </w:p>
          <w:p>
            <w:pPr>
              <w:widowControl/>
              <w:jc w:val="left"/>
              <w:textAlignment w:val="center"/>
              <w:rPr>
                <w:rFonts w:ascii="宋体" w:hAnsi="宋体" w:cs="宋体"/>
                <w:color w:val="000000"/>
                <w:sz w:val="24"/>
              </w:rPr>
            </w:pPr>
            <w:r>
              <w:rPr>
                <w:rFonts w:hint="eastAsia" w:ascii="宋体" w:hAnsi="宋体" w:cs="宋体"/>
                <w:color w:val="000000"/>
                <w:sz w:val="24"/>
              </w:rPr>
              <w:t>19、可将同一视频内容拖动到多个拼接大屏上漫游显示；</w:t>
            </w:r>
          </w:p>
          <w:p>
            <w:pPr>
              <w:widowControl/>
              <w:jc w:val="left"/>
              <w:textAlignment w:val="center"/>
              <w:rPr>
                <w:rFonts w:ascii="宋体" w:hAnsi="宋体" w:cs="宋体"/>
                <w:color w:val="000000"/>
                <w:sz w:val="24"/>
              </w:rPr>
            </w:pPr>
            <w:r>
              <w:rPr>
                <w:rFonts w:hint="eastAsia" w:ascii="宋体" w:hAnsi="宋体" w:cs="宋体"/>
                <w:color w:val="000000"/>
                <w:sz w:val="24"/>
              </w:rPr>
              <w:t>20、支持叠加显示窗口，窗口透明度可设置；显示窗口上的字符信息可编辑，字符颜色、背景色、移动方向及文字字体大小可设置；</w:t>
            </w:r>
          </w:p>
          <w:p>
            <w:pPr>
              <w:widowControl/>
              <w:jc w:val="left"/>
              <w:textAlignment w:val="center"/>
              <w:rPr>
                <w:rFonts w:ascii="宋体" w:hAnsi="宋体" w:cs="宋体"/>
                <w:color w:val="000000"/>
                <w:sz w:val="24"/>
              </w:rPr>
            </w:pPr>
            <w:r>
              <w:rPr>
                <w:rFonts w:hint="eastAsia" w:ascii="宋体" w:hAnsi="宋体" w:cs="宋体"/>
                <w:color w:val="000000"/>
                <w:sz w:val="24"/>
              </w:rPr>
              <w:t>21、可通过多个视频输出组合显示任意指定的视频输入图像，支持矩阵内任意输出板卡之间的拼接或跨矩阵任意输出口拼接；</w:t>
            </w:r>
          </w:p>
          <w:p>
            <w:pPr>
              <w:widowControl/>
              <w:jc w:val="left"/>
              <w:textAlignment w:val="center"/>
              <w:rPr>
                <w:rFonts w:ascii="宋体" w:hAnsi="宋体" w:cs="宋体"/>
                <w:color w:val="000000"/>
                <w:sz w:val="24"/>
              </w:rPr>
            </w:pPr>
            <w:r>
              <w:rPr>
                <w:rFonts w:hint="eastAsia" w:ascii="宋体" w:hAnsi="宋体" w:cs="宋体"/>
                <w:color w:val="000000"/>
                <w:sz w:val="24"/>
              </w:rPr>
              <w:t>22、可将样机的视频输出状态保存为场景，可设置多个场景，并可对每个场景进行配置、清空、复制、修改、切换等操作，可实现多个场景轮巡切换，预案场景数量不小于128个切换中间无延时，切换过程中无黑屏、花屏、蓝屏；</w:t>
            </w:r>
          </w:p>
          <w:p>
            <w:pPr>
              <w:widowControl/>
              <w:jc w:val="left"/>
              <w:textAlignment w:val="center"/>
              <w:rPr>
                <w:rFonts w:ascii="宋体" w:hAnsi="宋体" w:cs="宋体"/>
                <w:color w:val="000000"/>
                <w:sz w:val="24"/>
              </w:rPr>
            </w:pPr>
            <w:r>
              <w:rPr>
                <w:rFonts w:hint="eastAsia" w:ascii="宋体" w:hAnsi="宋体" w:cs="宋体"/>
                <w:color w:val="000000"/>
                <w:sz w:val="24"/>
              </w:rPr>
              <w:t>23、出现前端取流异常时，上墙图像会有提示；</w:t>
            </w:r>
          </w:p>
          <w:p>
            <w:pPr>
              <w:widowControl/>
              <w:jc w:val="left"/>
              <w:textAlignment w:val="center"/>
              <w:rPr>
                <w:rFonts w:ascii="宋体" w:hAnsi="宋体" w:cs="宋体"/>
                <w:color w:val="000000"/>
                <w:sz w:val="24"/>
              </w:rPr>
            </w:pPr>
            <w:r>
              <w:rPr>
                <w:rFonts w:hint="eastAsia" w:ascii="宋体" w:hAnsi="宋体" w:cs="宋体"/>
                <w:color w:val="000000"/>
                <w:sz w:val="24"/>
              </w:rPr>
              <w:t>24、可以实现一台设备进行多个电视墙独立配置以及场景的独立管理，同时支持场景复制，不同规格电视墙之间场景复制可以实现自动比例调整；</w:t>
            </w:r>
          </w:p>
          <w:p>
            <w:pPr>
              <w:widowControl/>
              <w:jc w:val="left"/>
              <w:textAlignment w:val="center"/>
              <w:rPr>
                <w:rFonts w:ascii="宋体" w:hAnsi="宋体" w:cs="宋体"/>
                <w:color w:val="000000"/>
                <w:sz w:val="24"/>
              </w:rPr>
            </w:pPr>
            <w:r>
              <w:rPr>
                <w:rFonts w:hint="eastAsia" w:ascii="宋体" w:hAnsi="宋体" w:cs="宋体"/>
                <w:color w:val="000000"/>
                <w:sz w:val="24"/>
              </w:rPr>
              <w:t>25、多块解码板的资源可以相互借用，实现资源统一管理；</w:t>
            </w:r>
          </w:p>
          <w:p>
            <w:pPr>
              <w:widowControl/>
              <w:jc w:val="left"/>
              <w:textAlignment w:val="center"/>
              <w:rPr>
                <w:rFonts w:ascii="宋体" w:hAnsi="宋体" w:cs="宋体"/>
                <w:color w:val="000000"/>
                <w:sz w:val="24"/>
              </w:rPr>
            </w:pPr>
            <w:r>
              <w:rPr>
                <w:rFonts w:hint="eastAsia" w:ascii="宋体" w:hAnsi="宋体" w:cs="宋体"/>
                <w:color w:val="000000"/>
                <w:sz w:val="24"/>
              </w:rPr>
              <w:t>26、支持输出帧率设置为50Hz或60Hz；</w:t>
            </w:r>
          </w:p>
          <w:p>
            <w:pPr>
              <w:widowControl/>
              <w:jc w:val="left"/>
              <w:textAlignment w:val="center"/>
              <w:rPr>
                <w:rFonts w:ascii="宋体" w:hAnsi="宋体" w:cs="宋体"/>
                <w:color w:val="000000"/>
                <w:sz w:val="24"/>
              </w:rPr>
            </w:pPr>
            <w:r>
              <w:rPr>
                <w:rFonts w:hint="eastAsia" w:ascii="宋体" w:hAnsi="宋体" w:cs="宋体"/>
                <w:color w:val="000000"/>
                <w:sz w:val="24"/>
              </w:rPr>
              <w:t>#27、支持BMP、JPEG等格式的底图上传， 支持底图轮巡，底图数量及轮巡时间可设置；并支持在底图上拼接、漫游、开窗显示，底图分辨率可达7680×4320；</w:t>
            </w:r>
          </w:p>
          <w:p>
            <w:pPr>
              <w:widowControl/>
              <w:jc w:val="left"/>
              <w:textAlignment w:val="center"/>
              <w:rPr>
                <w:rFonts w:ascii="宋体" w:hAnsi="宋体" w:cs="宋体"/>
                <w:color w:val="000000"/>
                <w:sz w:val="24"/>
              </w:rPr>
            </w:pPr>
            <w:r>
              <w:rPr>
                <w:rFonts w:hint="eastAsia" w:ascii="宋体" w:hAnsi="宋体" w:cs="宋体"/>
                <w:color w:val="000000"/>
                <w:sz w:val="24"/>
              </w:rPr>
              <w:t>28、将多个内网地址映射为一个外网地址，实现一个IP地址完成多个输入板卡视频接入、转发、存储操作；</w:t>
            </w:r>
          </w:p>
          <w:p>
            <w:pPr>
              <w:widowControl/>
              <w:jc w:val="left"/>
              <w:textAlignment w:val="center"/>
              <w:rPr>
                <w:rFonts w:ascii="宋体" w:hAnsi="宋体" w:cs="宋体"/>
                <w:color w:val="000000"/>
                <w:sz w:val="24"/>
              </w:rPr>
            </w:pPr>
            <w:r>
              <w:rPr>
                <w:rFonts w:hint="eastAsia" w:ascii="宋体" w:hAnsi="宋体" w:cs="宋体"/>
                <w:color w:val="000000"/>
                <w:sz w:val="24"/>
              </w:rPr>
              <w:t>29、同一输入通道的视频图像在不同输出端口显示的失步误差小于1ms；</w:t>
            </w:r>
          </w:p>
          <w:p>
            <w:pPr>
              <w:widowControl/>
              <w:jc w:val="left"/>
              <w:textAlignment w:val="center"/>
              <w:rPr>
                <w:rFonts w:ascii="宋体" w:hAnsi="宋体" w:cs="宋体"/>
                <w:color w:val="000000"/>
                <w:sz w:val="24"/>
              </w:rPr>
            </w:pPr>
            <w:r>
              <w:rPr>
                <w:rFonts w:hint="eastAsia" w:ascii="宋体" w:hAnsi="宋体" w:cs="宋体"/>
                <w:color w:val="000000"/>
                <w:sz w:val="24"/>
              </w:rPr>
              <w:t>30、支持默认配置恢复功能；</w:t>
            </w:r>
          </w:p>
          <w:p>
            <w:pPr>
              <w:widowControl/>
              <w:jc w:val="left"/>
              <w:textAlignment w:val="center"/>
              <w:rPr>
                <w:rFonts w:ascii="宋体" w:hAnsi="宋体" w:cs="宋体"/>
                <w:color w:val="000000"/>
                <w:sz w:val="24"/>
              </w:rPr>
            </w:pPr>
            <w:r>
              <w:rPr>
                <w:rFonts w:hint="eastAsia" w:ascii="宋体" w:hAnsi="宋体" w:cs="宋体"/>
                <w:color w:val="000000"/>
                <w:sz w:val="24"/>
              </w:rPr>
              <w:t>31、机箱具备开关按键，可进行开机、关机，同时支持软件重启操作；</w:t>
            </w:r>
          </w:p>
          <w:p>
            <w:pPr>
              <w:widowControl/>
              <w:jc w:val="left"/>
              <w:textAlignment w:val="center"/>
              <w:rPr>
                <w:rFonts w:ascii="宋体" w:hAnsi="宋体" w:cs="宋体"/>
                <w:color w:val="000000"/>
                <w:sz w:val="24"/>
              </w:rPr>
            </w:pPr>
            <w:r>
              <w:rPr>
                <w:rFonts w:hint="eastAsia" w:ascii="宋体" w:hAnsi="宋体" w:cs="宋体"/>
                <w:color w:val="000000"/>
                <w:sz w:val="24"/>
              </w:rPr>
              <w:t>32、支持系统配置备份、恢复功能，可导入、导出配置文件， 配置文件可为.bin等格式；</w:t>
            </w:r>
          </w:p>
          <w:p>
            <w:pPr>
              <w:widowControl/>
              <w:jc w:val="left"/>
              <w:textAlignment w:val="center"/>
              <w:rPr>
                <w:rFonts w:ascii="宋体" w:hAnsi="宋体" w:cs="宋体"/>
                <w:color w:val="000000"/>
                <w:sz w:val="24"/>
              </w:rPr>
            </w:pPr>
            <w:r>
              <w:rPr>
                <w:rFonts w:hint="eastAsia" w:ascii="宋体" w:hAnsi="宋体" w:cs="宋体"/>
                <w:color w:val="000000"/>
                <w:sz w:val="24"/>
              </w:rPr>
              <w:t>33、显控系统设备间支持信息交互功能，可通过平台/客户端界面查看屏幕运维信息，包括使用时长、序列号、温度、亮度、显示模式日支持下发配置屏幕参数；</w:t>
            </w:r>
          </w:p>
          <w:p>
            <w:pPr>
              <w:widowControl/>
              <w:jc w:val="left"/>
              <w:textAlignment w:val="center"/>
              <w:rPr>
                <w:rFonts w:ascii="宋体" w:hAnsi="宋体" w:cs="宋体"/>
                <w:color w:val="000000"/>
                <w:sz w:val="24"/>
              </w:rPr>
            </w:pPr>
            <w:r>
              <w:rPr>
                <w:rFonts w:hint="eastAsia" w:ascii="宋体" w:hAnsi="宋体" w:cs="宋体"/>
                <w:color w:val="000000"/>
                <w:sz w:val="24"/>
              </w:rPr>
              <w:t>34、显控系统支持通过自动识别屏幕的行列号信息，并能根据行列号信息，自动生成对应的电视墙规模和绑定输出口关系，避免手动一对一设置输出口和LCD屏幕的对应关系；</w:t>
            </w:r>
          </w:p>
          <w:p>
            <w:pPr>
              <w:widowControl/>
              <w:jc w:val="left"/>
              <w:textAlignment w:val="center"/>
              <w:rPr>
                <w:rFonts w:ascii="宋体" w:hAnsi="宋体" w:cs="宋体"/>
                <w:color w:val="000000"/>
                <w:sz w:val="24"/>
              </w:rPr>
            </w:pPr>
            <w:r>
              <w:rPr>
                <w:rFonts w:hint="eastAsia" w:ascii="宋体" w:hAnsi="宋体" w:cs="宋体"/>
                <w:color w:val="000000"/>
                <w:sz w:val="24"/>
              </w:rPr>
              <w:t>35、显控系统支持自动检测输入源的信号类型，根据信号源类型和显示位置，自动配置信号源所在屏幕的显示场景模式；</w:t>
            </w:r>
          </w:p>
          <w:p>
            <w:pPr>
              <w:widowControl/>
              <w:jc w:val="left"/>
              <w:textAlignment w:val="center"/>
              <w:rPr>
                <w:rFonts w:ascii="宋体" w:hAnsi="宋体" w:cs="宋体"/>
                <w:color w:val="000000"/>
                <w:sz w:val="24"/>
              </w:rPr>
            </w:pPr>
            <w:r>
              <w:rPr>
                <w:rFonts w:hint="eastAsia" w:ascii="宋体" w:hAnsi="宋体" w:cs="宋体"/>
                <w:color w:val="000000"/>
                <w:sz w:val="24"/>
              </w:rPr>
              <w:t>36、显控系统支持远程开关机控制，实现拼接墙整墙的开关机，定时开关机操作；</w:t>
            </w:r>
          </w:p>
          <w:p>
            <w:pPr>
              <w:widowControl/>
              <w:jc w:val="left"/>
              <w:textAlignment w:val="center"/>
              <w:rPr>
                <w:rFonts w:ascii="宋体" w:hAnsi="宋体" w:cs="宋体"/>
                <w:color w:val="000000"/>
                <w:kern w:val="0"/>
                <w:sz w:val="24"/>
                <w:lang w:bidi="ar"/>
              </w:rPr>
            </w:pPr>
            <w:r>
              <w:rPr>
                <w:rFonts w:hint="eastAsia" w:ascii="宋体" w:hAnsi="宋体" w:cs="宋体"/>
                <w:color w:val="000000"/>
                <w:sz w:val="24"/>
              </w:rPr>
              <w:t>以上技术参数须</w:t>
            </w:r>
            <w:r>
              <w:rPr>
                <w:rFonts w:hint="eastAsia" w:ascii="宋体" w:hAnsi="宋体" w:cs="宋体"/>
                <w:color w:val="000000"/>
                <w:kern w:val="0"/>
                <w:sz w:val="24"/>
                <w:lang w:bidi="ar"/>
              </w:rPr>
              <w:t>提供第三方检测机构出具的检测报告（具备 CMA 或 CNAS 标志）复印件加盖厂家公章证明，报告内容须体现相应功能，否则视为不满足；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二、其他要求</w:t>
            </w:r>
          </w:p>
          <w:p>
            <w:pPr>
              <w:widowControl/>
              <w:jc w:val="left"/>
              <w:textAlignment w:val="center"/>
              <w:rPr>
                <w:rFonts w:ascii="宋体" w:hAnsi="宋体" w:cs="宋体"/>
                <w:color w:val="000000"/>
                <w:sz w:val="24"/>
              </w:rPr>
            </w:pPr>
            <w:r>
              <w:rPr>
                <w:rFonts w:hint="eastAsia" w:ascii="宋体" w:hAnsi="宋体" w:cs="宋体"/>
                <w:color w:val="000000"/>
                <w:sz w:val="24"/>
              </w:rPr>
              <w:t>1、须提供制造商针对本项目的售后服务承诺函并加盖公章。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分布式输入节点</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1、采用完全分布式架构，系统不得依赖服务器或者相当于服务器的工作站，或者安装于其他计算机上充当服务器角色的软硬件；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2路HDMI输入接口、≥1路HDMI环出接口、≥1路音频输入接口、≥1路音频输出接口、≥1路3.5mmMIC接口、支持≥1路RJ45接口带POE、≥1路RS232、≥1路RS485、≥3组IO/IR接口组合、≥3路继电器接口、≥1路安全可靠模块通讯接口；（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#3、电源接口：带螺纹锁定防脱落电源适配器接口≥1个(5-12V 输入)，防误动作功能的按键≥1个，可实现一键恢复出厂设置；（须提供第三方检测机构出具的检测报告（具备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4、支持3840×2160分辨率输入并向下兼容；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5、采用H.265/H.264协议，自动适应编解码方式，码率1-40Mbps可调；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#6、信号编码后网络码流支持在1条千兆网线上传输内容各不相同的≥45路1080P@60视频流、或者≥15路4K@30视频流；（须提供第三方检测机构出具的检测报告（具备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7、提供无压缩的音视频流或AAC、G.711a、G.711u、PCM编码音频流，音频采样频率不低于48K24位；</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#8、支持软件点名，通过软件选中节点时，节点以声、光、电中的一种或者多种方式示意，便于快速查找定位节点，加快排查故障的效率；（须提供第三方检测机构出具的检测报告（具备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#9、支持任意个4K输入节点组合并整体上墙，分辨率为n*3840×m*2160(n，m均≥20)；图像清晰流畅、无卡顿和撕裂现象；（须提供第三方检测机构出具的检测报告（具备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10、支持输入信号故障检测功能，方便对故障信号进行异常排查、处理，恢复正常后具备正常信号提示功能；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11、须提供所投产品的3C认证证书；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12、为保证系统兼容性，所投产品须与中控单元为同一品牌；</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分布式输出节点</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1、采用完全分布式架构，图控系统不得依赖服务器或者相当于服务器的工作站，或者安装于其他计算机上充当服务器角色的软硬件；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1路HDMI输出接口、≥1路DVI输出接口、≥1路VGA接口、≥1路AUDIOIN、≥1路AUDIOOUT、≥1路3.5mmMIC接口、支持≥1路RJ45接口带POE、≥3路RS232、≥2路RS485、≥4组IO/IR接口；（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#3、电源接口：带螺纹锁定防脱落电源适配器接口≥1个(5-12V 输入)；防误动作功能的按键≥1个，可实现一键恢复出厂设置；HDMI输出接口带 HDMI 线锁扣装置；（须提供第三方检测机构出具的检测报告（具备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4、支持3840×2160@60Hz分辨率输出并向下兼容；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5、支持H.264/H.265混合解码，单路输出支持3个4K或者14路1080P解码同时输出14个分辨率都为1920*1080的不同视频画面；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6、支持LED、LCD、DLP等拼接大屏拼接功能，支持大屏开窗、漫游、叠加、等功能；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7、可多人同时对同一个屏幕进行交互批注；批注具备最少4种快捷笔触选择，任意笔触粗细可调整，可选择不少于15个颜色；（须提供第三方检测机构出具的检测报告（具备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#8、支持同屏功能，可通过客户端软件将电视墙A的场景，一键比例镜像至显示设备B，实现本地/异地同屏功能；（须提供第三方检测机构出具的检测报告（具备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#9、支持画质调整功能，支持对输出视频画面亮度、对比度、色彩、饱和度、增益进行调整；（须提供第三方检测机构出具的检测报告（具备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10、画面切换过程无黑屏、闪屏、画面静止等过渡状态，切换时间≤16ms；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11、音视频可同步，可异步切换，自带混音功能，混音≥16路，可在控制终端调整音量；可视化操作界面，多操作终端实时界面同步，控制界面可支持多点触控，方便操作；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12、支持对接标准RTSP等标准流媒体协议，可直接解IPC画面并输出到显示大屏；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为方便用户后期维护及故障查询，节点应支持支持视频丢失检测、音频丢失检测、电平信号检测等，可自动反馈检测信息并生成系统文档，节点支持记录≥15万条底层操作动作和错误情况；（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#14、平均无故障时间：MTBF≥200000小时；（须提供产品MTBF检测报告并加盖厂家公章证明）</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15、须提供所投产品的3C认证证书；</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16、为保证系统兼容性，所投产品须与中控单元为同一品牌。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分布式音视频控制软件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1、节点基础软件层，主要用于提供基础软件服务，包括标准化的系统功能以及功能接口，由一系列的基础服务组件构成，包括系统服务、内存服务、通信服务等；</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2、为保证系统兼容性，所投产品须与中控单元为同一品牌。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中控单元</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1、需具备不低于32位嵌入式CPU，不低于1G主频，不低于4G内存；</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#2、需具备不少于10路串口，8路IR接口，8路弱继电器接口，8路IO接口，4路模拟输入接口，1路模拟输出接口，2路.NET接口；（须提供第三方检测机构出具的检测报告（具备 CMA或CNAS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3、需采用开放式类C语言编程语言，以便于灵活编写各种通讯协议，适应各种控制设备；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4、需具备不少于1路HDMI高清调试监控接口；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5、需支持跨平台多操作终端实时同步界面反馈；</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6、设备是通过接受触摸屏的控制指令，执行内置的用户程序，然后给各个分布式单元通过UDP协议发送卡控制代码；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7、需支持定时控制，自定义个性化设置控制的时间，系统会根据当前设定的时间为基础做控制；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8、可视化HDMI高清输出接口，接上显示屏可实时显示运行状态；（须提供第三方检测机构出具的检测报告（具备 CMA或CNAS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9、为保证系统兼容性，所投产品须与分布式输入节点、分布式输出节点、分布式音视频控制软件为同一品牌；</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触摸平板</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1、运行内存（RAM）：≥4GB；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2、存储容量（ROM）：≥64GB；</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路由器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1、LAN口数量≥2个；</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2、支持IPV6。</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交换机</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1、≥48个千兆电口；</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2、支持POE。</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78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编辑主机</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val="en-US" w:eastAsia="zh-CN" w:bidi="ar"/>
              </w:rPr>
              <w:t>一、</w:t>
            </w:r>
            <w:r>
              <w:rPr>
                <w:rFonts w:hint="eastAsia" w:ascii="宋体" w:hAnsi="宋体" w:cs="宋体"/>
                <w:color w:val="000000"/>
                <w:kern w:val="0"/>
                <w:sz w:val="24"/>
                <w:lang w:bidi="ar"/>
              </w:rPr>
              <w:t>硬件功能技术指标</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主机：</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1、主机采用全铝合金制作；</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2、主机具备不小于15.6吋显示屏，通过操控画面可直接观看操作界面；</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3、具备不少于40+功能按键，实现各种功能快速调用；</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4、具备4维摇杆，可实现摄像机的控制；</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5、具备T型推杆，实现主备播的画面切换；</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6、具备音频推杆，实现接口声音音量大小调节，以及总音量的大小调节；</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视频接口：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1、支持≥4路本地SDI高清视频采集，分辨率达1080-30P；</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2、支持≥2路HDMI高清信号采集，分辨率达1080-30P；</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3、2根天线设计，支持≥</w:t>
            </w:r>
            <w:r>
              <w:rPr>
                <w:rFonts w:hint="eastAsia" w:ascii="宋体" w:hAnsi="宋体" w:cs="宋体"/>
                <w:color w:val="000000"/>
                <w:kern w:val="0"/>
                <w:sz w:val="24"/>
                <w:lang w:val="en-US" w:eastAsia="zh-CN" w:bidi="ar"/>
              </w:rPr>
              <w:t>4</w:t>
            </w:r>
            <w:r>
              <w:rPr>
                <w:rFonts w:hint="eastAsia" w:ascii="宋体" w:hAnsi="宋体" w:cs="宋体"/>
                <w:color w:val="000000"/>
                <w:kern w:val="0"/>
                <w:sz w:val="24"/>
                <w:lang w:bidi="ar"/>
              </w:rPr>
              <w:t>路网络视频信号采集；</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4、支持≥4路本地HDMI视频输出接口；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音频接口: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1、支持≥2路本地音频信号采集接口， 3.5耳机插座，</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2、支持≥2路卡农输入接口，并具备不少于2个48V幻象供电开关；</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3、支持≥2路音频信号输出接口，3.5耳机插座，</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其他接口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1、支持≥2个USB接口；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2、支持≥1路RJ45接口；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3、支持≥1路调试口；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二、软件功能技术指标：</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1、系统采用Linux操作系统，可支持录播教室、礼堂、校园电视台、户外等多种应用场景进行录制和直播使用；并且支持校园电视台建设和互动教学使用；</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2、系统支持一键录制、一键直播、一键互动、一键抠图，快速实现各种功能应用；</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本系统需支持不少于12路通道信号加载，具备主备播预监功能；信号可加载本地接口设备信号、无线网络信号、图片等；通道信号可自由切换至主备播；（须提供软件功能界面截图证明或国家认可的第三方检测机构出具的检测报</w:t>
            </w:r>
            <w:r>
              <w:rPr>
                <w:rFonts w:hint="eastAsia" w:ascii="宋体" w:hAnsi="宋体" w:cs="宋体"/>
                <w:kern w:val="0"/>
                <w:sz w:val="24"/>
                <w:lang w:bidi="ar"/>
              </w:rPr>
              <w:t>告</w:t>
            </w:r>
            <w:r>
              <w:rPr>
                <w:rFonts w:hint="eastAsia" w:ascii="宋体" w:hAnsi="宋体" w:cs="宋体"/>
                <w:color w:val="000000"/>
                <w:kern w:val="0"/>
                <w:sz w:val="24"/>
                <w:lang w:bidi="ar"/>
              </w:rPr>
              <w:t>并加盖厂家公章）</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4、视频切换时可具有多种转场特，实现主备播通道画面进行特效特效转场；</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5、系统支持画面叠加效果，可一建式实现画中画、对话模式、三分屏、四分屏叠加特效；</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6、支持自动加载片头和片尾，并且可对片头和片尾视频进行设置；</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7、支持双录制机制；主播通道进行录制时，还可以同时进行≥3路通道信号录制；</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8、可自定义位置添加≥2个logo图片；</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9、内嵌导播规则，可自定义设置自动导播策略；配合定位系统使用可以实现全自动跟踪切换；</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10、配合定位系统具备定位系统的手自动设置切换，可快速开启定位和关闭定位；</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#11、支持蓝绿背景抠图功能，通过叠加不同场景，快速实现校园电视台节目制作；（须提供软件功能界面截图证明或国家认可的第三方检测机构出具的检测报</w:t>
            </w:r>
            <w:r>
              <w:rPr>
                <w:rFonts w:hint="eastAsia" w:ascii="宋体" w:hAnsi="宋体" w:cs="宋体"/>
                <w:kern w:val="0"/>
                <w:sz w:val="24"/>
                <w:lang w:bidi="ar"/>
              </w:rPr>
              <w:t>告</w:t>
            </w:r>
            <w:r>
              <w:rPr>
                <w:rFonts w:hint="eastAsia" w:ascii="宋体" w:hAnsi="宋体" w:cs="宋体"/>
                <w:color w:val="000000"/>
                <w:kern w:val="0"/>
                <w:sz w:val="24"/>
                <w:lang w:bidi="ar"/>
              </w:rPr>
              <w:t>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12、支持不少于8个虚拟场景的叠加，包含软采笔记本信号和硬采笔记本信号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13、支持抠图区域的框选，支持抠图人物位置和大小设置；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14、支持PPT与人物结合实现微课录制；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15、支持一对一或者一对多点互动教学应用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16、支持双流互动，主讲端可把教师信号和PPT信号同时推送给听课端，实现沉浸式教学；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17、支持不少于5路无线摄像机信号接入；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18、无线摄像机距离主机可达到不少于200米；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19、无线信号进行自动匹配，设备通电后自动加载摄像机信号；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20、支持四维摇杆，可实现摄像机的转动和推拉焦距；并且具备锁定焦距按键，防止误操作；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21、支持预制位可实现摄像机的设置和调用，通过预制位按键长按进行设置，短按进行调研，快速实现摄像机预制位的操作；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22、支持音量调节，可对各输入音量进行单独调节，并且可对总音量进行调节；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23、支持自动混音和降噪功能；可对多路输入音频进行自动混音和自动降噪；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24、支持监听功能，可对设备进行实时监听；</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25、主机卡农输入口支持48V供电，吊麦插上即可进行使用；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26、具有互动模块，支持互动服务器连接，可实现与远端教室的互动教学；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27、支持回声抑制功能，无需外接音频处理器即可实现回声消除功能；</w:t>
            </w:r>
          </w:p>
          <w:p>
            <w:pPr>
              <w:widowControl/>
              <w:jc w:val="left"/>
              <w:textAlignment w:val="center"/>
              <w:rPr>
                <w:rFonts w:ascii="宋体" w:hAnsi="宋体" w:cs="宋体"/>
                <w:color w:val="000000"/>
                <w:kern w:val="0"/>
                <w:sz w:val="24"/>
                <w:lang w:bidi="ar"/>
              </w:rPr>
            </w:pPr>
            <w:r>
              <w:rPr>
                <w:rFonts w:hint="eastAsia" w:ascii="宋体" w:hAnsi="宋体" w:cs="宋体"/>
                <w:kern w:val="0"/>
                <w:sz w:val="24"/>
              </w:rPr>
              <w:t>◆28、设备兼容性要求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要求所投产品无缝接入学校现有录播管理平台，能够在学校现有录播管理平台中实现以下功能：（学校现有录播管理平台已具备以下功能，投标人须针对以下功能要求提供所投产品与学校现有录播管理平台无缝兼容性测试的演示视频文件，否则视为不满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（1）所投产品直接无缝兼容接入学校现有录播管理平台后，通过所投产品在现有录播管理平台实现视频直播和保存视频自动上传到学校现有录播管理平台；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（2）所投产品直接无缝兼容接入学校现有录播管理平台后，通过所投产品在现有录播管理平台实现通过网络同步监听与监看</w:t>
            </w:r>
            <w:r>
              <w:rPr>
                <w:rFonts w:hint="eastAsia" w:ascii="宋体" w:hAnsi="宋体" w:cs="宋体"/>
                <w:color w:val="000000"/>
                <w:kern w:val="0"/>
                <w:sz w:val="24"/>
                <w:lang w:val="en-US" w:eastAsia="zh-CN" w:bidi="ar"/>
              </w:rPr>
              <w:t>此设备的</w:t>
            </w:r>
            <w:r>
              <w:rPr>
                <w:rFonts w:hint="eastAsia" w:ascii="宋体" w:hAnsi="宋体" w:cs="宋体"/>
                <w:color w:val="000000"/>
                <w:kern w:val="0"/>
                <w:sz w:val="24"/>
                <w:lang w:bidi="ar"/>
              </w:rPr>
              <w:t>教师授课声音、图像及电脑屏幕画面辑；</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29、须提供制造商针对本项目的售后服务承诺函并加盖公章。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0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二、教室扩声设备</w:t>
            </w:r>
          </w:p>
        </w:tc>
      </w:tr>
      <w:tr>
        <w:tblPrEx>
          <w:tblCellMar>
            <w:top w:w="0" w:type="dxa"/>
            <w:left w:w="108" w:type="dxa"/>
            <w:bottom w:w="0" w:type="dxa"/>
            <w:right w:w="108" w:type="dxa"/>
          </w:tblCellMar>
        </w:tblPrEx>
        <w:trPr>
          <w:trHeight w:val="60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麦克风</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1、设备需具备麦克风、翻页器、激光教鞭功能；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2、采用蓝牙技术，可与接收设备自动对频、任意匹配，具有同频设备避让机制，能有效解决同频设备干扰问题，可与WIFI共存；</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3、具备近距离联接机制以及信号强度筛选功能，5米内自动对频，隔墙不联，防止教室之间误联现象；连接成功后15米范围内无遮挡及干扰情况下无噪音、断音、无死角；</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4、采用充电式锂电池，标配充电器充电时长≤3小时，满电状态下可连续使用时间≥15小时；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5、具有闲置静音功能，在不使用且不关机的情况下平放，自动静音，防止啸叫，敲击键盘等杂音，不会带入音箱；</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6、具有内置咪头，支持手持扩声， 也支持外接咪头实现领夹扩声，需含外接咪头一只及挂绳一根，支持颈挂扩声，挂绳和麦克通过磁吸方式连接；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7、使用翻页器功能时，只需麦克风与接收设备成功对频即可使用，无需另外安装翻页接收器；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8、剩余电量显示功能，发射器具有低电提示功能，提示使用者及时充电，防止设备因电量不足影响使用，在出现低电提示后仍可使用2小时以上；</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9、支持USB口充电和磁吸接口两种充电方式，支持座式充电；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10、技术指标 :发射使用频率 :2402-2480 MHz；调制方法 :GFSK，BT=0.5Gaussian；拾音范围 :60度夹角，心型指向；供电方式 :聚合物锂电池；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#11、设备的使用频率、发射功率等指标符合国家规定，所投产品通过国家工信部无线电管理局权威认证（SRMC），认证的设备名称为蓝牙设备；须提供无线电管理局权威认证（SRMC）证书复印件并加盖公章；</w:t>
            </w:r>
          </w:p>
          <w:p>
            <w:pPr>
              <w:widowControl/>
              <w:jc w:val="left"/>
              <w:textAlignment w:val="center"/>
              <w:rPr>
                <w:rFonts w:ascii="宋体" w:hAnsi="宋体" w:cs="宋体"/>
                <w:color w:val="000000"/>
                <w:kern w:val="0"/>
                <w:sz w:val="24"/>
                <w:lang w:bidi="ar"/>
              </w:rPr>
            </w:pPr>
            <w:r>
              <w:rPr>
                <w:rFonts w:hint="eastAsia" w:ascii="宋体" w:hAnsi="宋体" w:cs="宋体"/>
                <w:kern w:val="0"/>
                <w:sz w:val="24"/>
              </w:rPr>
              <w:t>◆</w:t>
            </w:r>
            <w:r>
              <w:rPr>
                <w:rFonts w:hint="eastAsia" w:ascii="宋体" w:hAnsi="宋体" w:cs="宋体"/>
                <w:color w:val="000000"/>
                <w:kern w:val="0"/>
                <w:sz w:val="24"/>
                <w:lang w:bidi="ar"/>
              </w:rPr>
              <w:t>12、设备兼容性要求：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要求所投产品无缝接入学校现有网络中央控制器，能够在学校现有网络中央控制器上实现以下功能：（投标人须针对以下功能要求提供所投产品与学校现有网络中央控制器无缝兼容性测试的演示视频文件，否则视为不满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（1）所投产品无缝接入学校现有网络中央控制器，实现网络中央控制器控制面板对蓝牙麦克风的音量控制及音量大小反馈；</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13、提供制造商出具的针对本项目的原厂售后服务承诺函并加盖公章。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0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磁吸充电座</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1、麦克风配套磁吸式充电器，充电接口需采用强磁吸附方式，即放即充，方便拿取，避免充电接口反复插拔；</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2、具有充电状态指示灯显示，充电饱和后可自动停止充电；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3、支持麦克风在位检测，支持麦克风充电状态反馈，方便智课终端在线监测麦克充电状态和电量情况；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3、磁吸接口吸附距离：不大于2cm；</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4、电源接口：Mini-USB接口。</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333"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1、采用蓝牙技术，可与蓝牙麦克风自动对频、任意匹配；</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2、具备语音处理功能，具备麦克风音量调节、音频音量调节、高低音调节功能，消除回音、杂音，增加清晰度处理；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3、具备近距离联接机制以及信号强度筛选功能，5米内自动对频，隔墙不联，防止教室之间误联现象；连接成功后15米范围内无遮挡及干扰情况下无噪音、断音、无死角；</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4、具有USB信号反控功能，与蓝牙麦克风连接后，可通过蓝牙麦克风实现对电脑翻页控制；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5、技术指标：功率≥80W×2；频率响应：50 Hz ~ 18 KHz；灵敏度≥90 dBm (1% BER)；RCA音频输入接口≥1，麦克风输入接口≥1；RCA音频输出接口≥1；全功率音频输出接口≥1；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6、为保证系统兼容性，要求所投产品与麦克风为同一品牌。</w:t>
            </w:r>
          </w:p>
          <w:p>
            <w:pPr>
              <w:widowControl/>
              <w:jc w:val="left"/>
              <w:textAlignment w:val="center"/>
              <w:rPr>
                <w:rFonts w:ascii="宋体" w:hAnsi="宋体" w:cs="宋体"/>
                <w:color w:val="000000"/>
                <w:kern w:val="0"/>
                <w:sz w:val="24"/>
                <w:lang w:bidi="ar"/>
              </w:rPr>
            </w:pPr>
            <w:r>
              <w:rPr>
                <w:rFonts w:hint="eastAsia" w:ascii="宋体" w:hAnsi="宋体" w:cs="宋体"/>
                <w:kern w:val="0"/>
                <w:sz w:val="24"/>
              </w:rPr>
              <w:t>◆</w:t>
            </w:r>
            <w:r>
              <w:rPr>
                <w:rFonts w:hint="eastAsia" w:ascii="宋体" w:hAnsi="宋体" w:cs="宋体"/>
                <w:color w:val="000000"/>
                <w:kern w:val="0"/>
                <w:sz w:val="24"/>
                <w:lang w:bidi="ar"/>
              </w:rPr>
              <w:t>7、设备兼容性要求：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要求所投产品无缝接入学校现有网络中央控制器，能够在学校现有网络中央控制器上实现以下功能：（投标人须针对以下功能要求提供所投产品与学校现有网络中央控制器无缝兼容性测试的演示视频文件，否则视为不满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（1）所投产品无缝接入学校现有网络中央控制器，实现网络中央控制器控制面板对音箱的音量控制及音量大小反馈。</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268</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0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对讲终端</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具备至少1路模拟话机接口（FXS），标配1台模拟电话设备；</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2、支持常用语音编码，G.711(aLaw/uLaw)、G.722、G.729A/B等；支持SIP开放协议；</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3、设备具有回声抵消，动态语音防抖等功能；</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4、支持三方通话、IP直拨、热线功能、来电显示、呼叫转移、呼叫前转、呼叫等待、免打扰、速拨等功能；</w:t>
            </w:r>
          </w:p>
          <w:p>
            <w:pPr>
              <w:widowControl/>
              <w:jc w:val="left"/>
              <w:textAlignment w:val="center"/>
              <w:rPr>
                <w:rFonts w:ascii="宋体" w:hAnsi="宋体" w:cs="宋体"/>
                <w:color w:val="000000"/>
                <w:kern w:val="0"/>
                <w:sz w:val="24"/>
                <w:lang w:bidi="ar"/>
              </w:rPr>
            </w:pPr>
            <w:r>
              <w:rPr>
                <w:rFonts w:hint="eastAsia" w:ascii="宋体" w:hAnsi="宋体" w:cs="宋体"/>
                <w:kern w:val="0"/>
                <w:sz w:val="24"/>
              </w:rPr>
              <w:t>◆</w:t>
            </w:r>
            <w:r>
              <w:rPr>
                <w:rFonts w:hint="eastAsia" w:ascii="宋体" w:hAnsi="宋体" w:cs="宋体"/>
                <w:color w:val="000000"/>
                <w:kern w:val="0"/>
                <w:sz w:val="24"/>
                <w:lang w:bidi="ar"/>
              </w:rPr>
              <w:t>5、设备兼容性要求：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要求所投产品直接无缝兼容接入学校现有多媒体集控管理平台，能够在学校现有多媒体集控管理平台中实现以下功能：（学校现有多媒体集控管理平台已具备以下功能，投标人须针对以下功能要求提供所投产品与学校现有多媒体集控管理平台无缝兼容性测试的演示视频文件，否则视为不满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（1）所投产品直接无缝兼容接入学校现有多媒体集控管理平台后，通过所投产品在现有多媒体集控管理平台实现语音可视对讲功能，查询历史通话记录；</w:t>
            </w:r>
          </w:p>
          <w:p>
            <w:pPr>
              <w:widowControl/>
              <w:jc w:val="left"/>
              <w:textAlignment w:val="center"/>
              <w:rPr>
                <w:rFonts w:ascii="宋体" w:hAnsi="宋体" w:cs="宋体"/>
                <w:color w:val="000000"/>
                <w:kern w:val="0"/>
                <w:sz w:val="24"/>
                <w:highlight w:val="yellow"/>
                <w:lang w:bidi="ar"/>
              </w:rPr>
            </w:pPr>
            <w:r>
              <w:rPr>
                <w:rFonts w:hint="eastAsia" w:ascii="宋体" w:hAnsi="宋体" w:cs="宋体"/>
                <w:color w:val="000000"/>
                <w:kern w:val="0"/>
                <w:sz w:val="24"/>
                <w:lang w:bidi="ar"/>
              </w:rPr>
              <w:t>（2）所投产品直接无缝兼容接入学校现有多媒体集控管理平台后，通过所投产品在现有多媒体集控管理平台实现当有电话呼入时，系统自动在管理平台或电视墙上弹出对应教室的视频监控画面，便于实时了解教室情况。</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0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对讲服务系统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1、支持IP语音设备运行状况的监听（如通话状况、录音、故障信息等），支持运行信息实时上传到管理平台，实现联动控制功能；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2、支持G.711, G.722, G.729 A等多种语音编码；支持SIP 协议；可兼容多种 IP 语音网关；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3、支持WEB配置管理，支持网络远程管理；支持通话录音管理，支持通话记录保存及自动录音，录音可回放、音频可下载；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4、具备RJ45网络接口，具备LAN、WAN网络接口，具备外置USB接口，可接U盘、移动硬盘，方便录音存储；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5、支持来电显示功能；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6、支持呼叫队列、呼叫转移、呼叫等待等功能；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7、支持设备实时状态监测功能，实时了解设备状态；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8、支持不少于300点用户管理，支持并发数量不少于60个；</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9、支持扩展接入外线模块，可以接入市话，实现内外线联通。</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0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线材辅料施工</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系统安装调试所需要的线材辅料等</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r>
      <w:tr>
        <w:tblPrEx>
          <w:tblCellMar>
            <w:top w:w="0" w:type="dxa"/>
            <w:left w:w="108" w:type="dxa"/>
            <w:bottom w:w="0" w:type="dxa"/>
            <w:right w:w="108" w:type="dxa"/>
          </w:tblCellMar>
        </w:tblPrEx>
        <w:trPr>
          <w:trHeight w:val="525"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三、报告厅1新增设备</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（1）显示系统</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LED显示屏</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1、像素构成：LED灯珠采用表贴三合一，1R1G1B 封装；</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2、像素间距：≤1.57mm；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3、亮度（校正后）：≥850nits,支持通过配套软件 0-100%无级调节；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4、刷新频率：≥3900Hz；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单元</w:t>
            </w:r>
            <w:r>
              <w:rPr>
                <w:rFonts w:hint="eastAsia" w:ascii="宋体" w:hAnsi="宋体" w:cs="宋体"/>
                <w:color w:val="000000"/>
                <w:kern w:val="0"/>
                <w:sz w:val="24"/>
                <w:lang w:bidi="ar"/>
              </w:rPr>
              <w:t>尺寸：≥600×337.5×72，单元分辩率：≥384×216；</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6、色温：≥2000-15000K 可调，色温误差：色温为 6500K 时，100%，75%，50%， 25%四档电平白场调节色温误差≤200K；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7、水平视角：≥175°、垂直视角：≥175°；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8、发光点中心距偏差：≤1%；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9、显示单元平整度偏差：≤0.05mm(垂直偏差 JX≤5%；水平偏差：CS≤5%)；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10、亮度均匀性：≥98%；</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11、色度均匀性：≥±0.002Cx，Cy；</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12、最大对比度：≥12000:1(全白/全黑，环境照度 0.05lux)；</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13、智能节电功能：具备智能（黑屏）节电功能，开启智能节电功能比和没有开启节能 50%以上；LED 显示屏符合GB21520-2015,能效一级；（须提供第三方检测机构出具的检测报告（具备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14、亮度调节：手动或自动 16 级亮度调节，色温不变。要求具有光感探头，显示屏亮度随着外界环境亮度自动调整亮度；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15、色彩和亮度自动调整：支持色彩和亮度自动调整，对色彩及亮度自动调整，保持色彩亮度一致性；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16、故障告警：LED 显示屏可实时监控显示屏工作状态，具有计时功能及信号运行监测功能，具有坏点检测系统，具体故障自动告警功能，发生故障立即发消息到指定邮箱及时处理；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17、监控功能：可监控到工作电压幅度、接收卡工作状态、发送卡工作状态，具有实时运行状态监控、温度监控，具有过温或者故障报警功能；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18、温度自控：LED 显示屏具有多点测温自控系统，均衡散热，防止局部温度过高造成色彩漂移，并提高显示屏寿命；（须提供第三方检测机构出具的检测报告（具备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19、电路板设计：采用多层 PCB 设计，一体化驱动控制，PCB 表面沉金处理，采用抗消隐设计，无“毛毛虫”和“鬼影”跟随现象；</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20、观看舒适度：“人眼视觉舒适度 (VICO)”指数低于 2.0（符中国国家标准委的“人眼视觉舒适度 (VICO)”）；去除 100%紫外线，消除 80%摩尔纹，基本无疲劳感1级；（须提供第三方检测机构出具的检测报告（具备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21、像素失控率：LED 像素失控率：≤0.000001，区域像素失控率≤0.000003，无连续失控点，出厂时为 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22、系统稳定抗干扰选用的产品：≥9层PCB板结构设计，同时采用≥35μ镀金接插件；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23、反光率：屏体亚黑处理，反光率 0.7%；</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24、屏体精度控制：LED 箱体支持 X/Y/Z 六向调节；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25、传输方式：显示产品单元模组电源、信号传输采用一体化传输；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26、自检技术：LED 显示屏支持单电自检、通讯检测、电源检测、温度监控；实现故障快速自诊断及排查功能；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27、蓝光安全：蓝光对皮肤和眼睛紫外线危害、宽波段的光源对视网膜危害、蓝光对皮肤表面及角膜和视网膜的曝辐射值检测；（须提供第三方检测机构出具的检测报告（具备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28、盐雾：盐溶液采用氯化钠和蒸馏水配制，其浓度为（5±0.1）%；盐雾工作试验空间内的温度：35°C；PH 值：6.5~7.2；盐雾工作试验空间内放置时间：48H；试验结束后，检查样品表面应无起泡、裂纹、毛刺、锈蚀现象,符合10级要求；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29、须提供所投产品的3C认证证书； </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30、须提供制造商针对本项目的售后服务承诺函并加盖公章。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19.85</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视频发送系统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1、支持最大带载≥1048万像素，最宽16384像素或最高8192像素；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2、支持6画面显示，位置，大小可自由调节；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3、支持最小64x64像素点裁剪，支持最宽16384像素点或者最高8192像素点裁剪，可裁剪任意画面位置，支持裁剪后缩放；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4、支持最小64x64像素点最小缩放，支持任意信号缩放，支持缩放最宽16384像素点:最高8192像素点:支持裁剪后缩放;支持画中画缩放；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5、可输出≥6路视频图像，并可通过客户端软件对输出图像进行叠加、缩放、设置输出位置和图层等操作。多画面最大带载≥16588800像素点，支持≥2路3840X2160信号同时上屏；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6、支持软件调节显示画面的亮度补偿、色调、饱和度、对比度，提升画面显示效果；</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7、为保证系统兼容性，所投产品须与LED显示屏为同一品牌。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接收系统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1、采用DDR2 SODIMM金手指接口，配合LED转接板供电使用；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2、支持8bit色深视频源输入输出；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3、支持最多32组并行RGB全彩数据或32组串行RGB（特殊扩展可达128组）；</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4、支持市面主流芯片最大带载512x384像素；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5、支持低亮高灰，色温调节；</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98</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视频图像处理器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1、输入端口要求：≥1路DP接口，≥3路HDMI接口，≥2路DVI接口；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2、支持输入分辨率≥4096×2160@60Hz，支持自定义分辨率设置；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3、≥16路千兆网口输出，支持独立音频输入输出，HDMI和DP音频解析输出；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4、设备支持通过USB直接连接，支持≥16台设备同时调节亮度、色温和设备间的同步，符合大规模高标准活动的低延迟要求；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5、内部Vsync：支持产生固定的帧率，支持设备内部生成Vsync同步锁定信号避免视频信号Vsync不稳定导致的画面异常，以及锁定输出60/100/120Hz高倾率高画质画面；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6、≥1路标准3</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5mm接口，支持独立音频输入输出，支持HDMI,DP音频解析；</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7、为保证系统兼容性，所投产品须与LED显示屏为同一品牌。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播放软件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1、具备方便直观的中文界面，可实现多用户操作管理，网络远程控制管理，并能与集中控制系统一起实现一体化操作管理；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2、系统能将多类型信号源输入多视频控制器并在显示设备上显示（信号源包括VGA、DVI、HDMI、DP、BNC、SDI、DL-DVI、IP、HDBaseT、光纤等）的功能；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3、系统接入并在显示设备上显示4K分辨率（3840*2160）信号源的功能；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4、系统在显示设备上同时显示多类型素材（素材包括视频、图片、底图、字幕等）的功能；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5、系统按照当前选定的显示屏建立相同分辨率的场景，以图形化编辑方式对窗口的开窗参数、窗口比例、窗口位置和大小等参数进行设置，以鼠标拖动方式将视频源、视频文件、字幕或图片等加载到场景中指定播放窗口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6、系统支持简体中文、英文等多种语言界面和菜单的功能；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7、系统对多个显示屏进行独立控制，支持信号源在多个显示屏中共享的功能；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8、系统通过网络信号传输实现操作系统桌面在显示设备上显示的功能；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9、有完整的软件接口，可提供二次开发的API接口，为第三方系统提供支持；</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配电系统</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1、保护措施：具备过压、过流、欠压、短路、断路以及漏电保护措施；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2、配电柜功率：≥20KW；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3、电压要求：≥380V；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4、为保证智能化控制功能，配电柜内需含PLC智能控制单元；</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5、为保证系统兼容性，所投产品须与LED全彩色显示屏为同一品牌。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结构支架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1、安全结构要求：采用专业、定制的纯钢性结构，自重较轻，具有良好的抗振（震）性、抗冲击性好，可以准确快速地装配。用于支撑、固定大屏幕用。整体材质为钢架配件；</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采用优质冷轧钢板盒板，板厚根据各部分承重情况具体而定，主要结构部件材料厚：2.5mm-1.5mm；生产采用数控冲床，数控折弯、数控较平等最先进的生产工艺，加工精度在正负20微米以内；金属部件表面采用静电喷塑粉和内部零件镀彩锌的工艺，都经过脱脂、酸洗、喷砂、防锈磷化、静电喷塑、高温固化等工艺；以保证机柜表面涂层的牢固可靠，耐酸碱、耐腐蚀；箱体安装支架，须采用定制铝型材结构，与箱体安装孔位保持完全一致。</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19.85</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274"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（2）扩声系统</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1、频率响应不劣于60Hz-20KHz（±3dB）；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2、灵敏度≥98dB；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3、指向性不劣于90°×45°椭圆形导；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4、功率≥持续450W/节目900W/峰值1600W；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5、最大声压级≥130dB；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7、不少于一个12"低音单元，音圈≥76.2mm；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8、不少于一个2”高音单元，出口≥35.6mm；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9、分频方式：内置/外置切换开关；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10、分频点：1.8KHz。</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超低音箱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1、频率响应(外置分频)不劣于38Hz-1.5KHz（±3dB）；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2、频率响应(内置分频)不劣于42Hz-150Hz（±3dB）；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3、灵敏度≥100dB；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4、功率≥持续850W/节目1700W/峰值3200W；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7、不少于一个18"低音单元，音圈≥101.6mm；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8、分频方式：内置/外置切换开关；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9、分频点：120Hz。</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中置音箱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1、频率响应不劣于45Hz -20KHz(±3dB)；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2、灵敏度（1W@1M）≥99dB；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3、指向性（HXV）不劣于90°×60°；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4、功率≥持续700W/节目1400W/峰值2800W；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5、最大声压级（@1m）≥133dB；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7、不少于一个18"低音单元，音圈≥4.0"(100mm)铁氧体；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8、不小于3.2" （82mm）高音单元钛膜钕铁硼磁钢压缩高音；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9、分频点：1.9KHz； </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10、悬吊点不少于12个M10。</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台唇拉声像音箱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1、单元≥4" 同轴球顶封闭箱体；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2、滤波器支持无源1路DSP控制；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3、额定功率≥100W；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4、峰值功率≥200W；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6、灵敏度≥91dBWm；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7、节目SPL≥114dB 1m；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8、声压级≥120dB 1m；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9、频率范围不劣于100-18000 Hz；</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10、辐射角度不劣于100°锥形。</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返送音箱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1、频率响应不劣于60Hz-20KHz（±3dB）；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2、灵敏度≥98dB；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3、指向性不劣于90°×45°椭圆形导；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4、功率≥持续450W/节目900W/峰值1600W；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5、最大声压级≥130dB；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7、不少于一个12"低音单元，音圈≥76.2mm；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8、不少于一个2”高音单元，出口≥35.6mm；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9、分频方式：内置/外置切换开关；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10、分频点：1.8KHz。</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后场补声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1、频率响应不劣于60Hz-20KHz（±3dB）；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2、灵敏度≥91dB；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3、指向性不劣于60 ×60°；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4、功率≥持续200W/峰值600W；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5、最大声压级≥118dB；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7、不少于一个8”低音单元；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8、不少于一个1”高音单元；</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9、分频点：2.3KHz。</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拉声像功放</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1、立体声功率4Ω≥1100W；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3、桥接模式8Ω≥2000W；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 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 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14、保护：防止短路、空载、开/关机噪音、无线电干扰保护电路。</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主扩/中置/低音功放</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1、立体声功率4Ω≥1100W；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3、桥接模式8Ω≥2000W；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11、串扰：-75dB（1kHz），-59dB（20kHz）；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14、保护：防止短路、空载、开/关机噪音、无线电干扰保护电路。</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返送功放</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1、立体声功率4Ω≥1100W；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3、桥接模式8Ω≥2000W；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14、保护：防止短路、空载、开/关机噪音、无线电干扰保护电路。</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补声功放</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2、立体声功率8Ω≥550W；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3、桥接模式8Ω≥1500W；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8、电压增益≥33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14、保护：防止短路、空载、开/关机噪音、无线电干扰保护电路。</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数字调音台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1、输入通道全处理≥48 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2、推子≥25个，6 层，可分配的通道条≥96个；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3、本地话筒输入≥24路（XLR）；</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4、总线≥36 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5、立体声混音（AUX 或编组）+主左右输出≥12 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6、可分配的本地输出≥16路；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7、AES 数字输出；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8、静音编组≥8 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9、DCA 编组≥8 个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10、立体声 FX，带专有 FX 返回≥8 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11、彩色触摸屏≥7英寸；</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12、可分配软按键≥16个；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13、可分配旋钮≥4个；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14、物理控制按键用于通道处理（增益、高通滤波器、噪声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门、压缩器、声像、均衡器增益/频率/带宽）；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15、输入处理——前置放大器、高通滤波器、噪声门、参量均衡器、压缩器、延时；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16、混音输出处理——参量均衡器、图示均衡器、压缩器、延时；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17、内置自动话筒混音；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18、≥31 段实时分析仪；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19、用户权限设置；</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20、USB 硬盘的立体声和多轨录音/播放。</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音频输入输出扩展器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1、≥24路XLR话筒或线路输入；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2、≥12路XLR线路输出；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3、网络音频监听口；</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4、扩展音频端口，可扩展一台音频机架。</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数字音频扩展器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1、不少于64×64通道音频和网络控制；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2、支持96kHz或48kHz；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3、利用虚拟声卡进行多通道录音/播放；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4、两个冗余接口可无缝切换；</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5、内置控制网络桥接。</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音频图形化处理器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1、模拟音频输入≥16路,支持 48V 幻象电源供给/或选择线路输入；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2、模拟音频输出≥16路；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3、DSP芯片不劣于 ADI SC589双核处理器；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4、采样率≥96kHz；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5、RJ45 接口用于连接到局域网进行集中管理,软件设计系统为全开放式架构，自由拖拉DSP模块，可自定义控制界面；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6、拥有2.7G FLOPS且支持32/40/64位浮点运算的超强算力及低于2瓦超低功耗；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7、可选择设置96kHz采样率；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8、可选择数字音频处理模块；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9、混音器:标准式混音台、矩阵选择式混音器、立体声混音器,左中右立体声混音器,自动门限混音器,AGC自动增益共享混音器(底噪补偿),优先选择混音器,加法器,动态均衡，FIR, CUSTOM FIR；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10、均衡器:GEQ图示均衡器、PEQ参量均衡器、AFC自动反馈抑制器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11、滤波器:高通滤波器、低通滤波器、高频带通滤波器、低频带通滤波器、相位校正滤波器；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12、分频器:包含不限于2分频, 3分频和4分频；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13、动态处理器:噪声门,自动电平控制器、压缩器、限幅器、扩展器、闪避器(自动背景音乐衰减)；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14、路由分配器:1x1 ~ 64x64；</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15、延时器:0 ~ 2s；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16、控制器:音量控制器、≥70个模式调用、逻辑控制模块；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17、电平表:信号电平表、峰值电平、RMS； </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18、信号发生器:正弦波发生器、粉红噪声发生器、白噪声发生器。</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音频工作站</w:t>
            </w:r>
          </w:p>
        </w:tc>
        <w:tc>
          <w:tcPr>
            <w:tcW w:w="2630" w:type="pct"/>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用于连接麦克风、乐器和线路电平设备；</w:t>
            </w:r>
          </w:p>
          <w:p>
            <w:pPr>
              <w:jc w:val="left"/>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kern w:val="0"/>
                <w:sz w:val="24"/>
                <w:lang w:bidi="ar"/>
              </w:rPr>
              <w:t>≥</w:t>
            </w:r>
            <w:r>
              <w:rPr>
                <w:rFonts w:hint="eastAsia" w:ascii="宋体" w:hAnsi="宋体" w:cs="宋体"/>
                <w:color w:val="000000"/>
                <w:sz w:val="24"/>
              </w:rPr>
              <w:t>9个可单独分配的通道，带有</w:t>
            </w:r>
            <w:r>
              <w:rPr>
                <w:rFonts w:hint="eastAsia" w:ascii="宋体" w:hAnsi="宋体" w:cs="宋体"/>
                <w:color w:val="000000"/>
                <w:kern w:val="0"/>
                <w:sz w:val="24"/>
                <w:lang w:bidi="ar"/>
              </w:rPr>
              <w:t>≥</w:t>
            </w:r>
            <w:r>
              <w:rPr>
                <w:rFonts w:hint="eastAsia" w:ascii="宋体" w:hAnsi="宋体" w:cs="宋体"/>
                <w:color w:val="000000"/>
                <w:sz w:val="24"/>
              </w:rPr>
              <w:t>6个广播级质量物理推子和</w:t>
            </w:r>
            <w:r>
              <w:rPr>
                <w:rFonts w:hint="eastAsia" w:ascii="宋体" w:hAnsi="宋体" w:cs="宋体"/>
                <w:color w:val="000000"/>
                <w:kern w:val="0"/>
                <w:sz w:val="24"/>
                <w:lang w:bidi="ar"/>
              </w:rPr>
              <w:t>≥</w:t>
            </w:r>
            <w:r>
              <w:rPr>
                <w:rFonts w:hint="eastAsia" w:ascii="宋体" w:hAnsi="宋体" w:cs="宋体"/>
                <w:color w:val="000000"/>
                <w:sz w:val="24"/>
              </w:rPr>
              <w:t>3个虚拟推子；</w:t>
            </w:r>
          </w:p>
          <w:p>
            <w:pPr>
              <w:jc w:val="left"/>
              <w:rPr>
                <w:rFonts w:hint="eastAsia"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高性能四核音频引擎；</w:t>
            </w:r>
          </w:p>
          <w:p>
            <w:pPr>
              <w:jc w:val="left"/>
              <w:rPr>
                <w:rFonts w:hint="eastAsia" w:ascii="宋体" w:hAnsi="宋体" w:cs="宋体"/>
                <w:color w:val="000000"/>
                <w:sz w:val="24"/>
              </w:rPr>
            </w:pPr>
            <w:r>
              <w:rPr>
                <w:rFonts w:hint="eastAsia" w:ascii="宋体" w:hAnsi="宋体" w:cs="宋体"/>
                <w:color w:val="000000"/>
                <w:sz w:val="24"/>
                <w:lang w:val="en-US" w:eastAsia="zh-CN"/>
              </w:rPr>
              <w:t>4、</w:t>
            </w:r>
            <w:r>
              <w:rPr>
                <w:rFonts w:hint="eastAsia" w:ascii="宋体" w:hAnsi="宋体" w:cs="宋体"/>
                <w:color w:val="000000"/>
                <w:sz w:val="24"/>
              </w:rPr>
              <w:t>录音室级音频处理和板载效果；</w:t>
            </w:r>
          </w:p>
          <w:p>
            <w:pPr>
              <w:jc w:val="left"/>
              <w:rPr>
                <w:rFonts w:hint="eastAsia" w:ascii="宋体" w:hAnsi="宋体" w:cs="宋体"/>
                <w:color w:val="000000"/>
                <w:sz w:val="24"/>
              </w:rPr>
            </w:pPr>
            <w:r>
              <w:rPr>
                <w:rFonts w:hint="eastAsia" w:ascii="宋体" w:hAnsi="宋体" w:cs="宋体"/>
                <w:color w:val="000000"/>
                <w:sz w:val="24"/>
                <w:lang w:val="en-US" w:eastAsia="zh-CN"/>
              </w:rPr>
              <w:t>5、</w:t>
            </w:r>
            <w:r>
              <w:rPr>
                <w:rFonts w:hint="eastAsia" w:ascii="宋体" w:hAnsi="宋体" w:cs="宋体"/>
                <w:color w:val="000000"/>
                <w:kern w:val="0"/>
                <w:sz w:val="24"/>
                <w:lang w:bidi="ar"/>
              </w:rPr>
              <w:t>≥</w:t>
            </w:r>
            <w:r>
              <w:rPr>
                <w:rFonts w:hint="eastAsia" w:ascii="宋体" w:hAnsi="宋体" w:cs="宋体"/>
                <w:color w:val="000000"/>
                <w:sz w:val="24"/>
                <w:lang w:val="en-US" w:eastAsia="zh-CN"/>
              </w:rPr>
              <w:t>8</w:t>
            </w:r>
            <w:r>
              <w:rPr>
                <w:rFonts w:hint="eastAsia" w:ascii="宋体" w:hAnsi="宋体" w:cs="宋体"/>
                <w:color w:val="000000"/>
                <w:sz w:val="24"/>
              </w:rPr>
              <w:t>个完全可编程的智能焊盘，带组切换功能；</w:t>
            </w:r>
          </w:p>
          <w:p>
            <w:pPr>
              <w:jc w:val="left"/>
              <w:rPr>
                <w:rFonts w:hint="eastAsia" w:ascii="宋体" w:hAnsi="宋体" w:cs="宋体"/>
                <w:color w:val="000000"/>
                <w:sz w:val="24"/>
              </w:rPr>
            </w:pPr>
            <w:r>
              <w:rPr>
                <w:rFonts w:hint="eastAsia" w:ascii="宋体" w:hAnsi="宋体" w:cs="宋体"/>
                <w:color w:val="000000"/>
                <w:sz w:val="24"/>
                <w:lang w:val="en-US" w:eastAsia="zh-CN"/>
              </w:rPr>
              <w:t>6、</w:t>
            </w:r>
            <w:r>
              <w:rPr>
                <w:rFonts w:hint="eastAsia" w:ascii="宋体" w:hAnsi="宋体" w:cs="宋体"/>
                <w:color w:val="000000"/>
                <w:kern w:val="0"/>
                <w:sz w:val="24"/>
                <w:lang w:bidi="ar"/>
              </w:rPr>
              <w:t>≥</w:t>
            </w:r>
            <w:r>
              <w:rPr>
                <w:rFonts w:hint="eastAsia" w:ascii="宋体" w:hAnsi="宋体" w:cs="宋体"/>
                <w:color w:val="000000"/>
                <w:sz w:val="24"/>
                <w:lang w:val="en-US" w:eastAsia="zh-CN"/>
              </w:rPr>
              <w:t>2个</w:t>
            </w:r>
            <w:r>
              <w:rPr>
                <w:rFonts w:hint="eastAsia" w:ascii="宋体" w:hAnsi="宋体" w:cs="宋体"/>
                <w:color w:val="000000"/>
                <w:sz w:val="24"/>
              </w:rPr>
              <w:t>USB-C接口，用于连接两台计算机或移动设备；</w:t>
            </w:r>
          </w:p>
          <w:p>
            <w:pPr>
              <w:jc w:val="left"/>
              <w:rPr>
                <w:rFonts w:hint="eastAsia" w:ascii="宋体" w:hAnsi="宋体" w:cs="宋体"/>
                <w:color w:val="000000"/>
                <w:sz w:val="24"/>
              </w:rPr>
            </w:pPr>
            <w:r>
              <w:rPr>
                <w:rFonts w:hint="eastAsia" w:ascii="宋体" w:hAnsi="宋体" w:cs="宋体"/>
                <w:color w:val="000000"/>
                <w:sz w:val="24"/>
                <w:lang w:val="en-US" w:eastAsia="zh-CN"/>
              </w:rPr>
              <w:t>7、支持</w:t>
            </w:r>
            <w:r>
              <w:rPr>
                <w:rFonts w:hint="eastAsia" w:ascii="宋体" w:hAnsi="宋体" w:cs="宋体"/>
                <w:color w:val="000000"/>
                <w:sz w:val="24"/>
              </w:rPr>
              <w:t>多轨或立体声录制到microSD卡，USB存储设备或计算机；</w:t>
            </w:r>
          </w:p>
          <w:p>
            <w:pPr>
              <w:jc w:val="left"/>
              <w:rPr>
                <w:rFonts w:ascii="宋体" w:hAnsi="宋体" w:cs="宋体"/>
                <w:color w:val="000000"/>
                <w:sz w:val="24"/>
              </w:rPr>
            </w:pPr>
            <w:r>
              <w:rPr>
                <w:rFonts w:hint="eastAsia" w:ascii="宋体" w:hAnsi="宋体" w:cs="宋体"/>
                <w:color w:val="000000"/>
                <w:sz w:val="24"/>
                <w:lang w:val="en-US" w:eastAsia="zh-CN"/>
              </w:rPr>
              <w:t>8、</w:t>
            </w:r>
            <w:r>
              <w:rPr>
                <w:rFonts w:hint="eastAsia" w:ascii="宋体" w:hAnsi="宋体" w:cs="宋体"/>
                <w:color w:val="000000"/>
                <w:kern w:val="0"/>
                <w:sz w:val="24"/>
                <w:lang w:bidi="ar"/>
              </w:rPr>
              <w:t>≥</w:t>
            </w:r>
            <w:r>
              <w:rPr>
                <w:rFonts w:hint="eastAsia" w:ascii="宋体" w:hAnsi="宋体" w:cs="宋体"/>
                <w:color w:val="000000"/>
                <w:sz w:val="24"/>
              </w:rPr>
              <w:t>5英寸高清触摸屏，带触觉反馈和旋转编码器，便于导航和控制。</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音频接口</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1、≥4进4出 USB 3.0音频接口；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2、≥24bit/192kHz的品质；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3、≥4个A级D-PRE话放；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4、带48V幻相供电；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5、与绝大多数录音软件兼容；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6、MIDI输入和输出接口；</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7、含效果器的零延迟监听。</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虚拟声卡</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设置简单、易于控制，支持不少于16、24和32位音频，多达64X64音频通道，简单直观的图形用户界面，可配置延时，设备锁定等。</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音频制作软件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1、音频、MIDI和乐器轨道不限制；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2、不低于256 个组通道；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3、物理输入和输出≥256个；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4、不低于64 位浮点处理；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5、不低于四种虚拟乐器≥3000 种声音；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6、不低于64 个独立于轨道的 VST 乐器。</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无线路由器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1、不少于3个千兆网口；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2、外置天线；</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3、双频Wi-Fi7，不低于3600M无线速率。</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无线数字会议系统主机</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1、5G WiFi加密无线会议主机， 采用≥128位AES加密技术，支持WPA/WPA2无线安全技术，采用创新自动空中对频锁频技术，确保了会议私密性，避免窃听和恶意干扰，同时支持WIFI无线会议系统、USB录音输入接口和自动寻找干净空闲频率、保存记忆技术实现全数字信号传输与处理；支持手动/自动编ID功能；支持一键关机所有无线单元功能，支持中英文语言界面切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2、会议主机采用高清晰≥2.8寸TFT彩色显示屏，一键飞梭旋钮，操作简单分级可查看系统设置，信道设置，会议模式等信息状态；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3、系统支持同时打开≥4个无线话筒，自适应躲避干扰技术，实现更强抗干扰能力，基于符合IEEE 802.11n的标准WiFi,同时支持2.4GHZ，5GHZ；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4、兼容IEC60914、GBT15381-94标准；支持5G WiFi无线会议单元同时增加数量时无缝接入，可以满足大中小型会议扩声项目使用，最大支持≥4000台会议单元；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5、会议发言模式可选：先进先出发言模式、主席发言模式、限时发言模式；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6、采用32 bit高速DSP浮点处理，具有声学反馈抑制、回声消除、噪声消除、数字均衡效果；支持所有输入输出音频音量大小可调节；具备高强度防手机电磁波干扰设计，多级纠错和加密，杜绝手机电磁波等干扰及邻频干扰抑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7、采用无压缩音频传输技术，48K采样率，带宽20Hz-20KHz完美音质；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8、主机需具备6.3mm非平衡输出和卡侬平衡输出两路输出接口，单路独立天线接口以及WiFi天线接口；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9、载波频段：5GHz；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10、工作有效距离：≥80米；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11、信噪比：≥80dB；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12、灵敏度：不劣于-46 dBV/Pa；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13、最大SPL≥100dB(THD&gt;3%)；</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14、综合信噪比S/N：≥105dB；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15、综合T.H.D：≤0.7%@1KHz；</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16、综合频率响应不劣于45Hz-18KHz±1dB。</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无线数字会议主席单元</w:t>
            </w:r>
          </w:p>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（内置锂电）</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1、5G WiFi会议系统主席/代表单元，支持桌面式安装，单元采用WiFi传输技术，严格的数字化保护，确保会议的私密性，避免窃听和恶意干扰；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2、主席单元具备会议控制功能：可强行关闭正在发言的代表单元；不受安装位置的限制；代表单元具有申请发言功能，受主席单元控制；每个会议单元具备独立的IP号；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3、心型指向性电容式拾音器，带双色指示灯，发言为红色，申请发言为闪绿色，固定咪杆设计底座和咪杆一体化；</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4、单元有效拾音距离≥80cm，无啸叫及临界啸叫尾音，内置全频压限电路；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5、单元支持通电状态使用，内置≥2500MA可充电锂电池，电池容量支持≥12小时持续发言，单元具备type-c充电口确保正常发言，并可在显示屏提示充电；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6、采用机械按键设计，无机械按键声，防水耐用，容易清洁；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话筒采用高清晰≥2.4寸TFT彩色显示屏，可实时显示ID.DA，音量大小，话筒状态，发言时间，显示日期，信号强度和电池电量等信息，内置双天线，大大提升WiFi网络传输效率，兼容升级程序；支持中英文语言界面切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8、单元具有音量调节按键，总开关按键，音质清晰，操作简便；</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9、采用屏蔽电路设计，有效防止空间内的电磁波干扰；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10、具有抑制啸叫功能，有效防止声音回输；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11、麦克风类型：高端技术阵列咪芯，心型指向性驻极体；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12、咪杆长度：≥220mm；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13、载波频段：5GHz；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14、信噪比：≥80dB；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15、频率响应不劣于20Hz-20KHz；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16、灵敏度：不劣于﹣43dB±2dB@1KHz；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17、总谐波失真：≤0.05%；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18、输出延时≤5ms；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19、最大SPL≥100dB(THD&gt;3%)；</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20、串扰：≥70dB；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21、动态范围：≥80dB；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22、THD：≤0.1%；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23、供电方式：type-c充电口内置锂电池供电，充电口直供电；</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24、安装方式：桌面式。</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无线数字会议代表单元</w:t>
            </w:r>
          </w:p>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（内置锂电）</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1、5G WiFi会议系统主席/代表单元，支持桌面式安装，单元采用WiFi传输技术，严格的数字化保护，确保会议的私密性，避免窃听和恶意干扰；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2、具有自定义主席和代表单元切换，实现多台同时使用，灵活方便；单元具有数字音频流处理技术，音质更加浑厚、清晰；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3、心型指向性电容式拾音器，固定咪杆设计底座和咪杆一体化；单元有效拾音距离≥80cm，无啸叫及临界啸叫尾音，内置全频压限电路；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4、单元支持通电状态使用，内置≥2500MA可充电锂电池，电池容量支持≥12小时持续发言，单元具备type-c 充电口确保正常发言，并可在显示屏提示充电；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5、采用机械按键设计，无机械按键声，防水耐用，容易清洁；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话筒采用高清晰≥2.4寸TFT彩色显示屏，可实时显示ID.DA，音量大小，话筒状态，发言时间，显示日期，信号强度和电池电量等信息，内置双天线，大大提升WiFi网络传输效率，兼容升级程序；支持中英文语言界面切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7、单元具有音量调节按键，总开关按键，音质清晰，操作简便；</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8、采用屏蔽电路设计，有效防止空间内的电磁波干扰；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9、具有抑制啸叫功能，有效防止声音回输；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10、麦克风类型：高端技术阵列咪芯，心型指向性驻极体；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11、咪杆长度：≥220mm；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12、信噪比：≥80dB；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13、频率响应不劣于20Hz-20KHz；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14、灵敏度：不劣于﹣43dB±2dB@1KHz；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15、总谐波失真：≤0.05%；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16、输出延时≤5ms；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17、最大SPL：100dB(THD&gt;3%)；</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18、串扰：≥70dB；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19、动态范围：≥80dB；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20、THD：≤0.1%；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21、供电方式 ：type-c充电口内置锂电池供电，充电口直供电；</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22、安装方式：桌面式。</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专业级八口USB阵列话筒充电器           </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1、智能识别、智能分流、智能快充不伤电池，内置PWM电源管理芯片，智能调整电压电流输出，安全充电不伤电池；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2、智能数显电流、电压，数字屏实时监控充电状况；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3、多种安全防护：过充保护、短路保护、恢复保护、过流保护、过放保护、过压保护、过功率保护、过充保护、温度保护；</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4、强大外壳、坚固耐用，外壳采用PC防火阻燃材料一体而成、耐高温不怕摔、经久耐用；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5、电源输入：AC 100V-240V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6、输出接口：USB≥8个；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7、USB单口输出：≥2.4A；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8、USB单口输出：≥5V；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9、输出总电流：≥8A；</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10、输出总功率：≥40W。</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无线接收放大器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1、输入截断点：+22dBm；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2、噪声比：≥4.0dB；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3、增益：不劣于+3-12dB；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4、输出阻抗：15dB min；</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5、阻抗：50Ω；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6、频宽：≥300MHz；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7、插座：BNC；</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8、输出直流电电压：DC 12V/600~1000mA ≥4个；</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9、电源消耗：≥170mA。</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364"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手持话筒（数字双通道）</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1、双通道数字无线接收机；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2、不劣于24位数字音频；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3、不劣于20 Hz至20 kHz频率范围；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4、数字式预开关分集；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5、调谐带宽≥44 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6、每个频段≥32个可用通道，每个6MHz频段≥10个兼容系统；每个8 MHz频段≥12个系统；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7、通过扫描和红外同步轻松配对发射机和接收机，并可通过网络接口为多套系统联网扫频；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8、2节AA电池可持续使用不低于8小时，也可适用同品牌可充电锂电池；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9、发射功率≥1mW ≤10mW；</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10、心形动圈话筒，频率响应不劣于50Hz-15KHz，灵敏度 (dBV/Pa):不劣于 -54,5 dBV/Pa。</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头戴话筒（数字单通道）</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1、数字单通道无线接收机；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2、不劣于24位数字音频；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3、不劣于20 Hz至20 kHz频率范围；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4、数字式预开关分集；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5、调谐带宽≥44 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6、每个频段≥32个可用通道，每个6MHz频段≥10个兼容系统；每个8 MHz频段≥12个系统；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7、通过扫描和红外同步轻松配对发射机和接收机，并可通过网络接口为多套系统联网扫频；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8、2节AA电池可持续使用不低于8小时，也可适用同品牌可充电锂电池；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9、发射功率≥1mW ≤10mW；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10、TQG接口适用于各种话筒选项；</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11、心形电容头戴话筒 频率响应不劣于40Hz-20kHz,灵敏度不劣于-59dB。</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微型领夹（头戴）咪头</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1、超小型全方向形拾音头；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2、轻量、佩戴舒适，灵活并易弯曲带来了稳定的话筒安装；</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3、防射频干扰技术；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4、可防止来自蜂窝移动电话和数字腰包式发射机的干扰；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5、Kevlar加强型柔软弹性线缆；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6、传感器类型：电容；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7、拾音模式：全向；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8、频率范围不劣于20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9、灵敏度（1kHz，开路电压）不劣于-41 dBV/Pa（9 mV）；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10、最大声压级（1kHz，1%总谐波失真，1kΩ 负载时）≥107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11、等效输出噪音（A加权）不劣于34 dB SPL；</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12、信噪比（参考94 dB SPL 1 kHz 时）：≥60 dB；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13、动态范围（1 kHz，1 k负载时）：≥73 dB。</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鹅颈麦克无线接收机（数字单通道）</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1、数字式无线接收机，不少于77个兼容系统；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2、不劣于24位数字音质以及极为高效的射频频谱使用；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3、不少于72 MHz的调谐范围，具备频率扫描；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4、自动分配频率及红外线同步功能；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5、可拆式1/2波长天线，频率和电源锁定；</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6、以太网连接及网络扫描功能，背光LCD显示屏；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7、集成的控制软件可以让用户从电脑或Mac远程控制接收机的设置；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8、背面音量控制，结实金属底板，XLR和6.35mm输出；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9、输出电平： XLR接口，不劣于+18 dBV / 话筒，-12 dBV / 6.35毫米，+12 dBV；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10、话筒线路开关：不劣于30 dB衰减；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11、天线接口：BNC；</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12、杂散抑制：≥80 dB（典型值）；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13、增益调整范围：不劣于-18 至 +42dB（1dB步进）；</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14、网络接口：单端口以太网 10/100 Mbps（DHCP或手动设置 IP 地址）。</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鹅颈话筒发射机（不含话筒）</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1、支持UHF频段、900MHz和1.2/1.5/1.8 Ghz频段；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2、可为需要安全传输的应用提供AES256位加密；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3、延迟≤3毫秒，传输距离≥90米；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4、可配置静音按钮（切换/一键静音/即按即说/禁用）和静音LED；</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5、可调射频功率，高通滤波器和电源锁定设置；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6、发射功率：可选 1 mW / 10 mW / 20 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7、频率响应范围不劣于50 Hz - 17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8、增益偏移范围不劣于0 - 21 dB （3 dB 步进）；</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9、电池运行时间10 mW：同品牌锂电池≥9小时，两节AA电池 ≥8小时。</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鹅颈话筒杆</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1、长度≥10 英寸 (254 毫米)；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2、提供桌面底座或固定安装底座、有线或无线；</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3、可互换式拾音头；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4、采用防射频干扰技术；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5、可编程的静音开关；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6、传感器类型：电容；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7、拾音模式：心形；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8、频率范围不劣于50 Hz - 17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9、灵敏度（1kHz，开路电压）不劣于 -35 dBV/Pa；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10、最大声压级（1kHz，1kΩ 负载时）不劣于121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11、等效输出噪音（A加权）不劣于28 dB；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12、信噪比（参考94 dB SPL 1 kHz 时）：≥66 dB。</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天线分配器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1、可放大射频信号；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2、补偿因信号功率被分至多个输出而造成的插入损耗；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3、支持≥五个无线接收机；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4、双层配置中可使用五台；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5、前置式天线安装件，架置式安装件；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6、不少于4个用于接收机的直流馈电端（15V，最大2.5A）；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7、用于天线偏置的直流输出端（12V，最大300mA）；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8、载波频率范围不劣于470 - 952 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9、分配输出电平（增益）：输出端口 1-4 -2 dB到+2 dB，级联输出 -1 dB到+1 dB；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10、绝缘输出接头：≥25 dB，典型。</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天线</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1、长偶极天线；</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2、提供与水平或垂直位置的 45°定位 以获得更好的RF接收的灵活性。</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监听耳机</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1、采用全封闭式设计，可以舒适地保护耳部，降低背景噪音；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2、可调节顶梁以及折叠结构，提升舒适度和便携性能；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3、拥有增强型频率响应，提供精确的音频，覆盖更广的频率范围；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4、发声单元尺寸：≥40 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5、灵敏度（1 kHz）：≥105 dB/mW；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6、最大输入功率（1 kHz）：≥500mW；</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7、频率范围不劣于10 Hz - 22 kHz。</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监听音箱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1、有源监听音箱；</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2、频率响应不劣于50Hz-24KHz(±3dB)；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3、功率：低音≥60W 高音≥40W；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4、最大声压级≥106dB；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5、低音单元不小于5";高音单元不小于1"；</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6、输入端口：1/4"/XLR端口平衡接头，1×RCA非平衡接头。</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环境声拾音话筒</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1、内置低频滚降；</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2、嵌入式低切滤波器开关，可进行额外控制；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3、更大的目标指向性，能拾取更多环境音；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4、适用于观众互动和现场音乐会的拾音；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5、人声话筒传感器类型：电容；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6、指向性：叶形；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7、频率响应不劣于50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8、灵敏度：≥33.5 dB V/PA；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9、最大声压级：≥132 dB @2500Ω，128.5 dB @1000Ω；</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10、动态范围@ 1 kHz≥117 dB @2500Ω，113.5 dB @1000Ω。</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音频隔离DI盒</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1、频响不劣于20-20000Hz；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2、增益特性：1:1；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3、阻抗：600欧姆@1KHz；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4、无源音频隔离器，消除电流声与插拔信号线冲击声，消除开路噪音；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5、可以接有源音箱，台子级联用。</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（3）灯光系统</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摇头灯</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1、电压适应范围AC90-250V，50/60Hz；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2、光源不小于350瓦；                                                                                            3、色温不小于8500K；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4、额定功率不小于600W；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5、电子调焦；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6、不少于13个颜色+白光，可做双向变速彩虹效果；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7、不少于13个固定图案片+白光，图案可做流水和振动效果，速度可调；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8、七彩效果镜片，范围广，高亮度，显示均匀；</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9、不少于两个棱镜，一个（16+8）棱镜+一个（8+8+8）三层棱镜，两种棱镜可以叠加；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10、0-100%机械调光,支持机械频闪和可调速频闪效果,支持频闪宏功能；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11、镜头组光学系统电动对焦,光束角不小于0～4°；</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12、调光0-100%线性调节；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13、独立双片式频闪，不少于每秒1-13次高速频闪，速度可调；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14、灯体扫描运行流畅，自动回位纠正功能,速度可调；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15、扫描范围水平不小于540°,垂直不小于280°，不小于16bit精度扫描，电子纠错；</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16、光束角度不小于2.6-10°；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17、图案角度不小于5.4°- 24°；</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18、放大角度可调；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19、电子自动对焦；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20、具有颜色+图案+棱镜+频闪自走功能；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21、强制对流冷却；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22、控制：DMX 512，三芯接口，可支持无线DMX512功能；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23、20CH与16CH两种模式自由选择；</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24、LCD液晶触摸屏；</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25、防护等级不低于IP20，内置过热和触发高压保护。</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数字LED聚光灯</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1、电压适用范围AC90V～250V /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2、光源不小于300W COB光源，使用寿命不低于100000小时；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3、额定功率不小于320W；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4、色温不小于3200K/5600K±5%；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5、显色指数Ra不小于95；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6、调光0～100% 线性调节, 不小于16位调光,不小于32位芯片恒流主板，不少于4种调光曲线,调光超柔和、无抖动，永久同步；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7、操作界面LCD液晶显示，恒流驱动；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8、透镜不小于15°；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9、出光角度不小于10°～60°范围手动调节；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10、机箱材质压铸铝；</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11、俯仰角度不少于±90°；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12、支持DMX512，Manual，Artnet,主从机，自走多种控制模式；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13、不少于三种通道模式自由选择；</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14、适应环境温度-10°C～45°C；</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15、散热系统无噪音风扇；</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16、防护等级不低于IP20。</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数字LED平板柔光灯</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1、电压适用范围AC90-250V，50/60Hz；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2、功率不小于230W；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3、灰度等级不小于20000；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4、显色指数Ra不小于95；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5、色温调节范围不小于3200-5600K任意调整；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6、使用寿命不低于50000小时；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7、发光角度不小于120°；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8、支持DMX512，Manual，Artnet,主从机，自走多种控制模式；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9、调光0～100%线性调节,不少于16位调光，32位芯片恒流主板，不少于4种调光曲线,调光超柔和、无抖动，永久同步；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10、支持电源、信号手拉手连接；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11、支持3CH/4CH两种通道模式任意选择；</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12、防护等级不低于IP20。</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染色灯</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1、电压适用范围AC90v-250V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2、光源不少于18颗15w 四合一大功率LED灯珠，不少于四种颜色，每种颜色可单独控制；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3、功率不小于280w；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4、光束角度25°/45°（可选）；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5、色温不小于5600K；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6、照度不小于1800LUX@1m(25°)；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7、高速白光或变颜色频闪，频闪不少于1-25次/秒；</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8、不小于16Bit曲线调光模式，0-100%电子调光，不小于32位芯片调光恒流主板，调光超柔和、无抖动，永久同步；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9、支持DMX512（拨码或数码显示），主从机，声控（灵敏度：65dB～130dB）及自走多种控制模式；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10、RGBW线性混色，颜色可达到16.7万种以上；</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11、四位数码管显示功能菜单，内置程序、各种用户程序场景可以直接调用执行； </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12、控制通道不少于8通道。</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电脑灯控台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1、DMX512/1990标准，不少于512个DMX控制通道，光电隔离信号输出；                                                                                                     2、支持同时控制不少于30台电脑灯，每灯最大32个控制通道，使用动态灯址设置；                                                                                                             3、内置图形轨迹发生器（SHAPE），方便用户对电脑灯进行图形轨迹控制，如画圆、渐变圆、线条、8字、波浪等多种效果； 4、图形参数（如：速度、大小、展开、方向）均可独立设置；                                                                                                           5、不少于30个走灯程序，每程序不少于100步；                                                                           6、可选自动速度控制、智能手动节拍控制（SWING）或音乐同步控制；                                                                                                 7、可同时运行不少于2个走灯程序、不少于30个预置场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景，并可同时对不少于30台电脑灯进行提灯操作；                                                                    8、配备MEM-CARD接口，可使用MEM-CARD闪存卡保存数据；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9、带背光的LCD显示运行参数，支持关机数据保持；</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10、电源：AC90-250V / 50-60Hz 开关电源。</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电源直通箱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1、供电：三相五线制AC380V±10%，频率50Hz±5%.                                                                     2、额定功率不少于12路x4KW；可适用于任何负载，每路带独立指示灯；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3、过载与短路双重保护，高分断空气开关；</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4、160A输入，电流电压表直观显示输出电压电流。</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信号放大器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1、电源AC100V-240V /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2、一路DMX512数码输入，一路DMX512直接输出；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3、输入/输出光电隔离；</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4、不少于8路独立放大驱动输出；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5、信号放大整形功能，延长信号传输距离；</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6、增强数据总线接入设备数量的能力；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7、保护灯光控制台DMX512输出接口，故障现场隔离；</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8、提高数字式灯光控制系统的安全运行可靠性。</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灯钩</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承重不小于80KG。</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保险绳</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承重不小于80KG。</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条</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固定灯杆</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固定灯杆，吊装，顶光灯杆*2，面光灯杆*2。</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道</w:t>
            </w:r>
          </w:p>
        </w:tc>
      </w:tr>
      <w:tr>
        <w:tblPrEx>
          <w:tblCellMar>
            <w:top w:w="0" w:type="dxa"/>
            <w:left w:w="108" w:type="dxa"/>
            <w:bottom w:w="0" w:type="dxa"/>
            <w:right w:w="108" w:type="dxa"/>
          </w:tblCellMar>
        </w:tblPrEx>
        <w:trPr>
          <w:trHeight w:val="325"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（4）中控系统</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会议中控</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1、内置WIFI天线和有线网络通讯，可配置AP或Station模式，支持WIFI、NET、串口互通互控，可编程全功能批处理能力；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#2、内置RS-232双向通讯串口≥13路；（须提供第三方检测机构出具的检测报告（具备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#3、内置RS-485双向通讯串口≥12路；（须提供第三方检测机构出具的检测报告（具备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4、可兼容语音控制、电源开关面板、传感器等控制输入；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5、内置≥8路红外发射端口，并具有红外自学习能力；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#6、内置≥16路I/O可编程场景控制端口，可配合强电开关面板或其他智能感应终端控制；（须提供第三方检测机构出具的检测报告（具备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7、内置≥8路弱继电器控制端口；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8、外置弱电多备份供电方式；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9、AHC模式下支持WIFI、NET、串口互通互控；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10、可编程模式，可自定义端口、模式、波特率、延时、内置多种逻辑功能，支持数据转发、协议转换等；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11、支持自定义指令集功能，可存储≥255个指令集；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12、支持在线升级方式；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#13、主机配合控制软件可实现温度、湿度、PM2.5、E-CO2、TVOC、甲醛等检测，并实时在控制终端显示；（须提供第三方检测机构出具的检测报告（具备 CMA 或 CNAS 标志）复印件加盖厂家公章)</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高清编码器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1、兼容多种高清信号源输入；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2、具备至少1路HDMI输入接口，并带HDMI环出和音频分离功能；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3、具备至少1路RJ45千兆网口；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4、支持RTSP、RTMP、HLS、FLV、UDP、SRT、TS、ONVIF、组播/单播等多种协议；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5、支持H.265/H.264编码，编码帧率5-60Hz可调；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6、编码分辨率可选包含不限于1920*1080@60P/60I、1680*1050、1440*900、1600*1200、1600*900、1440*900、1280*720、1024*576、720*576、720*480等；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7、编码码率32Kbps-32Mbps可调；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8、支持画面旋转、翻转镜像以及视频源图像裁切；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9、支持HDMI内嵌音频或3.5mm立体声音频选择；</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10、兼容AAC、AAC+、AAC++、MP3、AC3等多种音频编码；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11、音频编码采样率44K/48K可调；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12、支持OSD字幕和LOGO上传；</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#13、分布式架构系统，支持多个编码器接入网络，支持跨网段组网；（须提供第三方检测机构出具的检测报告（具备 CMA 或 CNAS 标志）复印件加盖厂家公章)。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传感解码器 </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1、网络配置协议采用国际通用标准IPRS网络协议，可进行解码或透传；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2、可实现同网络服务器之间数据流打包上下行多线程通讯，且具有可自动被搜索功能，默认IP绑定MAC地址，实现1对1或多对多通讯，可用于网络与本地RS-232通讯转换，并进行加密数据传输；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3、具备不少于2路RJ45网络接口，实现网络环境监测及通讯转换；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4、具备不少于2路可编程双向RS-232通讯口，可自定义控制各类通讯设备；</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5、可实时监测不少于六种（温度、湿度、PM2.5、E-CO2、TVOC、甲醛）实时环境信息，可通过分析解读环境数据并通过加密方式上传至中控主机进行同步分析处理，实现温度报警等功能。</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环境传感器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1、支持六种环境数据检测，温度、湿度、PM2.5、E-CO2、TVOC、甲醛；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2、内置三色指示灯显示空气质量，蓝、绿、红对应空气质量好、中、差；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3、内置≥2路RJ45接口,可用于连接解码器传输环境数据和设备供电；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4、支持配合解码器与中控系统通讯，通过平板显示环境参数；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5、温度：检测范围0~85℃，误差±1℃，精度1℃；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6、湿度：检测范围0~100%RH，误差±7%RH，精度1%RH；</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 PM2.5：检测范围0~500ug/m³，误差在 100~500ug/m³下，±10%；误差在 0~100ug/m³下，±10ug 1ug/m³ E-CO2 450-2000ppm ±10%（静置于密闭、空气均一分布环境 24 小时后测得），精度1ppm；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8、TVOC 检测范围125-600ppb，误差±10%（静置于密闭、空气均一分布环境 24 小时后测得） ，精度1ppb；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9、甲醛：检测范围 0~2000ppb，空气中使用寿命约 3 年，如未使用请将其存储在 0~20℃环境， 精度1ppb；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10、为保证系统兼容性，所投产品须与传感解码器为同一品牌。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触摸屏编辑控制软件</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1、各功能组件模块化设计，支持自定义编辑，可按需求设计不同风格和功能的操控界面；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2、支持视频信号预览显示，可拖拽切换预览信号和视频信号；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3、视频输入和输出组件支持任意增加，视频输出组件支持拖拽清空功能；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4、内置文本、时钟、内置图标、外置图标、互斥按钮、弹窗、滑动推子、回显文字、视频预览、视频输入和视频输出等组件；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5、预览窗口支持任意编辑，支持多个窗口同时预览，可切换视频预览信号；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6、支持任意组件和模块单独复制、框选多个复制以及整个页面复制；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7、支持页面组件和背景锁定和解除锁定；</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8、支持自定义高清底图设置，支持JPG、JPEG、PNG、BMP和GIF动图格式；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9、AHC模式下支持中控场景自定义编程功能，支持按钮组添加；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10、控制页面支持周期逻辑，可定时自动控制或查询设备状态；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11、软件需支持双向控制实时回显，动态显示设备运行过程及状态；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12、软件采用C-NET协议通讯，适配中央控制系统实现双向通讯；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13、支持多服务器连接切换，实现多房间、多项目工程任意切换控制；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14、支持局域网跨网段通讯和上传工程程序；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15、工程程序支持任意分辨率编辑，客户端可自适应终端分辨率运行；</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16、支持远程上传工程文件，工程文件管理支持密码设置，防止误操作；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17、支持工程仿真预览测试，可一键排队上传至多个设备；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18、客户端支持Windows、安卓、IOS及鸿蒙OS平台，工程文件跨平台通用；</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19、为保证系统兼容性，所投产品须与会议中控同一品牌。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电源控制器</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1、≥8路强电或弱电开关量控制；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2、AHC模式下可编程定义各种逻辑开关动作(互锁、时序开关、同步动作等)；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3、采用内部RS-485分地址形式，可级联≥16台设备；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4、表面需带有两种状态颜色的工作指示灯，方便直观查看工作状态；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#5、具备至少三种方式进行管控，配合平板软件可实现状态实时反馈；（需提供软件功能截图证明或国家认可的第三方检测机构出具的检测报</w:t>
            </w:r>
            <w:r>
              <w:rPr>
                <w:rFonts w:hint="eastAsia" w:ascii="宋体" w:hAnsi="宋体" w:cs="宋体"/>
                <w:kern w:val="0"/>
                <w:sz w:val="24"/>
                <w:lang w:bidi="ar"/>
              </w:rPr>
              <w:t>告并加盖厂家公章</w:t>
            </w:r>
            <w:r>
              <w:rPr>
                <w:rFonts w:hint="eastAsia" w:ascii="宋体" w:hAnsi="宋体" w:cs="宋体"/>
                <w:color w:val="000000"/>
                <w:kern w:val="0"/>
                <w:sz w:val="24"/>
                <w:lang w:bidi="ar"/>
              </w:rPr>
              <w:t>）</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6、设备接线方便，安装时只需要打开小的接线盒外壳可以接线和调ID码，无须打开整个表面外壳；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7、应用于灯光开关、窗帘开关、屏幕升降、会标升降、投影机电动吊架升降及其他开关量远程控制场合；</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8、设备配墙上安装支架，可以平放或墙上安装；断电最后一次状态保存功能；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9、每路额定功率2KW；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10、标准RS-232/485控制协议；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11、输入电压≤280V；</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12、须提供制造商针对本项目的售后服务承诺函并加盖公章。  </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扩展主机</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1、主机内置CPU和超大内存支持各种编程逻辑的应用；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2、前面板须具备LED指示灯，实时反馈对应串口的通讯状态；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3、须具有墙上面板、无线触摸屏、电脑软件、网络集中管理等控制方式；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4、可进行MDX512协议的舞台灯光调节；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#5、可自定义按月任意时段执行第三方设备控制；（需提供软件功能截图证明或国家认可的第三方检测机构出具的检测报</w:t>
            </w:r>
            <w:r>
              <w:rPr>
                <w:rFonts w:hint="eastAsia" w:ascii="宋体" w:hAnsi="宋体" w:cs="宋体"/>
                <w:kern w:val="0"/>
                <w:sz w:val="24"/>
                <w:lang w:bidi="ar"/>
              </w:rPr>
              <w:t>告并加盖厂家公章</w:t>
            </w:r>
            <w:r>
              <w:rPr>
                <w:rFonts w:hint="eastAsia" w:ascii="宋体" w:hAnsi="宋体" w:cs="宋体"/>
                <w:color w:val="000000"/>
                <w:kern w:val="0"/>
                <w:sz w:val="24"/>
                <w:lang w:bidi="ar"/>
              </w:rPr>
              <w:t>）</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6、网络控制协议，TCP/IP，控制带网络控制口的投影等设备；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7、支持IPAD、无线触摸屏、PC等在无线局域网内进行访问控制；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8、支持控制电脑软件上的视频播放和各种软件调用；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9、主机≥11路RS-232,≥8路RS-485通迅口，每个串口可以级联数台通讯设备、≥8路独立可编程红外接口(外置)，采用红外自学习方式，并可以导入导出红外设备码，方便保存和批量安装、≥8路弱继电器口控制；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10、AHC模式下主机间可以连网，可以级联数台；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11、内置网络模块插槽，方便接入网络控制模块，实现远程控制及远程监视、报警等；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12、主机配合终端软件可实现温度、湿度、PM2.5、E-CO2、TVOC、甲醛等检测，并实时在控制终端显示；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13、控制方式：单机软件控制、多机网络软件控制、有线/无线触摸屏控制；</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14、为保证系统兼容性，所投产品须与会议中控为同一品牌。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无缝混合矩阵（机箱）</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主机要求采用FPGE硬件架构，全模块化设计；</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2、主机要求不低于4个输入卡槽和4个输出卡槽，板卡为四路/张；</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3、主机要求配备至少两个通信模块，每个模块配一个网口、一个RS-232串口；</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4、主机的控制通讯要求需要支持跨网段通信；</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5、配置的RS-232通信串口可控制周边外设；</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6、主机要求具备两个电源模块插座，实现双电源冗余功能；</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7、主机要求前面板带≥6.8英寸真彩触摸屏，可设置屏保时间、屏幕亮度，通道切换、场景管理、通道开关、通道名称、网络参数等操作内容；</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#8、主机需内置web服务器，可在web上完成矩阵管理、参数配置、在线升级等功能；（须提供第三方检测机构出具的检测报告（具备 CMA 或 CNAS 标志）复印件加盖厂家公章)</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#9、主机要求能支持≥254台矩阵集中管理功能；（须提供第三方检测机构出具的检测报告（具备 CMA 或 CNAS 标志）复印件加盖厂家公章)</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#10、要求支持≥40个场景管理功能；（须提供第三方检测机构出具的检测报告（具备 CMA 或 CNAS 标志）复印件加盖厂家公章)</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11、要求支持自定义编辑输入通道名称、输出通道名称、场景名称；</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12、要求支持管理员用户、普通用户不同权限管理功能；</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13、要求支持断电保存功能，开机后自动恢复记忆；</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14、要求支持Web端、windows客户端、Android客户端操控管理；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15、为保证系统兼容性，所投产品须与会议中控为同一品牌。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超高清无缝输入板卡</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1、输入输出采用无缝切换技术；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2、信号符合HDMI1.4标准，兼容HDCP1.2；</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3、输入板卡自动识别输入信号格式；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4、输入板卡可选择使用HDMI内嵌音频或者独立音频接口；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5、视频信号和音频信号同步切换；</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6、为保证系统兼容性，所投产品须与无缝混合矩阵（机箱）为同一品牌。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超高清无缝输出板卡</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1、输入输出采用无缝切换技术；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2、信号符合HDMI1.4标准，兼容HDCP1.2；</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3、输出板卡支持3840x2160@30Hz 4:4:4并向下兼容；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4、输出板卡支持多端口组合成拼接视频墙；</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5、视频信号和音频信号同步切换；</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6、为保证系统兼容性，所投产品须与无缝混合矩阵（机箱）为同一品牌。</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移动触控平板</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1、运行内存（RAM）：4GB；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2、存储容量（ROM）：64GB；</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3、具有前后置摄像头。</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软件编程</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可根据现场环境，设备及要求进行编程，支持3D、2D按键编程及PS界面设计。</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（5）其他</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机柜</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42U标准机柜。</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演讲台</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采用航空级铝合金材料，整体倾角78°，满足人体演讲最佳设计角度；自带2个脚轮，便捷移动；支持电动升降，整机侧边有升降按键，针对不同的演讲者可选择适合演讲者高度，可支持最高1.2M；带2支鹅颈麦克风；自带电池，续航不低于5H；</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2、屏幕≥21.5英寸，≥1080P分辨率 ，显示比例16:9，亮度≥450 cd/㎡，采用电容触摸技术，支持≥10 点触摸，触摸精度＜2mm；</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3、讲台内置终端模块，RAM≥8GB，ROM≥128GB SSD硬盘；</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4、整机内置接收模块，除无线传屏器外不需要连接任何附加设备，可实现外部电脑音视频信号实时传输到触摸一体机上（无论整机处于任何通道），并可支持触摸回传；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#5、为确保PC应用使用的便捷性，应用程序可通过在电子讲台主页面或更多中的快捷图标启动，无须切换到原生桌面中启动；（须提供第三方检测机构出具的检测报告（具备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#6、为方便操作，主页不少于3个核心功能图标，支持主页面左右滑动进入欢迎页面和手机传屏页面，支持整机设置个性化主页面；（须提供第三方检测机构出具的检测报告（具备 CMA 或 CNAS 标志）复印件加盖厂家公章)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7、本地白板提供三种大小笔粗，并预置11种以上颜色；支持单指书写、多指拖拽／移动、单手擦除等手势操作；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8、兼容常用的PPT播放软件，搭配PC模块后无需调用PPT播放软件的批注功能，即可对PPT播放状态下进行连续多页批注，擦除，批注内容与原文件扫码分享保存。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#9、侧边栏支持智能隐藏，防止显示全屏内容时被遮挡，影响视觉。当用户再次触碰屏幕时，侧边栏即可再次出现；（须提供第三方检测机构出具的检测报告（具备 CMA 或 CNAS 标志）复印件加盖厂家公章)</w:t>
            </w:r>
          </w:p>
          <w:p>
            <w:pPr>
              <w:widowControl/>
              <w:jc w:val="left"/>
              <w:textAlignment w:val="center"/>
              <w:rPr>
                <w:rFonts w:ascii="宋体" w:hAnsi="宋体" w:cs="宋体"/>
                <w:color w:val="000000"/>
                <w:sz w:val="24"/>
              </w:rPr>
            </w:pPr>
            <w:r>
              <w:rPr>
                <w:rFonts w:hint="eastAsia" w:ascii="宋体" w:hAnsi="宋体" w:cs="宋体"/>
                <w:color w:val="000000"/>
                <w:kern w:val="0"/>
                <w:sz w:val="24"/>
                <w:lang w:bidi="ar"/>
              </w:rPr>
              <w:t>10、须提供制造商针对本项目的售后服务承诺函并加盖公章。</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线材辅料</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显示、扩声、灯光、中控系统安装所需线材辅料等。</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批</w:t>
            </w:r>
          </w:p>
        </w:tc>
      </w:tr>
      <w:tr>
        <w:tblPrEx>
          <w:tblCellMar>
            <w:top w:w="0" w:type="dxa"/>
            <w:left w:w="108" w:type="dxa"/>
            <w:bottom w:w="0" w:type="dxa"/>
            <w:right w:w="108" w:type="dxa"/>
          </w:tblCellMar>
        </w:tblPrEx>
        <w:trPr>
          <w:trHeight w:val="620" w:hRule="atLeast"/>
        </w:trPr>
        <w:tc>
          <w:tcPr>
            <w:tcW w:w="43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0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系统集成</w:t>
            </w:r>
          </w:p>
        </w:tc>
        <w:tc>
          <w:tcPr>
            <w:tcW w:w="263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将各个分离的设备、功能和信息等集成到相互关联的、统一和协调的系统之中，使资源达到充分共享，实现集中、高效、便利的管理。</w:t>
            </w:r>
          </w:p>
        </w:tc>
        <w:tc>
          <w:tcPr>
            <w:tcW w:w="4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四、报告厅2新增设备</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（1）显示系统</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LED显示屏</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1、像素构成：LED灯珠采用表贴三合一，1R1G1B 封装；</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2、像素间距：≤1.57mm；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3、亮度（校正后）：≥850nits,支持通过配套软件 0-100%无级调节；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4、刷新频率：≥3900Hz；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单元</w:t>
            </w:r>
            <w:r>
              <w:rPr>
                <w:rFonts w:hint="eastAsia" w:ascii="宋体" w:hAnsi="宋体" w:cs="宋体"/>
                <w:color w:val="000000"/>
                <w:kern w:val="0"/>
                <w:sz w:val="24"/>
                <w:lang w:bidi="ar"/>
              </w:rPr>
              <w:t>尺寸：≥600×337.5×72，单元分辩率：≥384×216；</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6、色温：≥2000-15000K 可调，色温误差：色温为 6500K 时，100%，75%，50%， 25%四档电平白场调节色温误差≤200K；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7、水平视角：≥175°、垂直视角：≥175°；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8、发光点中心距偏差：≤1%；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9、显示单元平整度偏差：≤0.05mm(垂直偏差 JX≤5%；水平偏差：CS≤5%)；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10、亮度均匀性：≥98%；</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11、色度均匀性：≥±0.002Cx，Cy；</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12、最大对比度：≥12000:1(全白/全黑，环境照度 0.05lux)；</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13、智能节电功能：具备智能（黑屏）节电功能，开启智能节电功能比和没有开启节能 50%以上；LED 显示屏符合GB21520-2015,能效一级；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14、亮度调节：手动或自动 16 级亮度调节，色温不变。要求具有光感探头，显示屏亮度随着外界环境亮度自动调整亮度；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15、色彩和亮度自动调整：支持色彩和亮度自动调整，对色彩及亮度自动调整，保持色彩亮度一致性；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16、故障告警：LED 显示屏可实时监控显示屏工作状态，具有计时功能及信号运行监测功能，具有坏点检测系统，具体故障自动告警功能，发生故障立即发消息到指定邮箱及时处理；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17、监控功能：可监控到工作电压幅度、接收卡工作状态、发送卡工作状态，具有实时运行状态监控、温度监控，具有过温或者故障报警功能；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18、温度自控：LED 显示屏具有多点测温自控系统，均衡散热，防止局部温度过高造成色彩漂移，并提高显示屏寿命；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19、电路板设计：采用多层 PCB 设计，一体化驱动控制，PCB 表面沉金处理，采用抗消隐设计，无“毛毛虫”和“鬼影”跟随现象；</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20、观看舒适度：“人眼视觉舒适度 (VICO)”指数低于 2.0（符中国国家标准委的“人眼视觉舒适度 (VICO)”）；去除 100%紫外线，消除 80%摩尔纹，基本无疲劳感1级；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21、像素失控率：LED 像素失控率：≤0.000001，区域像素失控率≤0.000003，无连续失控点，出厂时为 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22、系统稳定抗干扰选用的产品：≥9层PCB板结构设计，同时采用≥35μ镀金接插件；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23、反光率：屏体亚黑处理，反光率 0.7%；</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24、屏体精度控制：LED 箱体支持 X/Y/Z 六向调节；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25、传输方式：显示产品单元模组电源、信号传输采用一体化传输；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26、自检技术：LED 显示屏支持单电自检、通讯检测、电源检测、温度监控；实现故障快速自诊断及排查功能；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27、蓝光安全：蓝光对皮肤和眼睛紫外线危害、宽波段的光源对视网膜危害、蓝光对皮肤表面及角膜和视网膜的曝辐射值检测；</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28、盐雾：盐溶液采用氯化钠和蒸馏水配制，其浓度为（5±0.1）%；盐雾工作试验空间内的温度：35°C；PH 值：6.5~7.2；盐雾工作试验空间内放置时间：48H；试验结束后，检查样品表面应无起泡、裂纹、毛刺、锈蚀现象,符合10级要求；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29、须提供所投产品的3C认证证书； </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30、须提供制造商针对本项目的售后服务承诺函并加盖公章。</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19.85</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视频发送系统</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1、支持最大带载≥1048万像素，最宽16384像素或最高8192像素；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2、支持6画面显示，位置，大小可自由调节；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3、支持最小64x64像素点裁剪，支持最宽16384像素点或者最高8192像素点裁剪，可裁剪任意画面位置，支持裁剪后缩放；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4、支持最小64x64像素点最小缩放，支持任意信号缩放，支持缩放最宽16384像素点:最高8192像素点:支持裁剪后缩放;支持画中画缩放；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5、可输出≥6路视频图像，并可通过客户端软件对输出图像进行叠加、缩放、设置输出位置和图层等操作。多画面最大带载≥16588800像素点，支持≥2路3840X2160信号同时上屏；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6、支持软件调节显示画面的亮度补偿、色调、饱和度、对比度，提升画面显示效果；</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7、为保证系统兼容性，所投产品须与LED显示屏为同一品牌。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接收系统</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1、采用DDR2 SODIMM金手指接口，配合LED转接板供电使用；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2、支持8bit色深视频源输入输出；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3、支持最多32组并行RGB全彩数据或32组串行RGB（特殊扩展可达128组）；</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4、支持市面主流芯片最大带载512x384像素；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5、支持低亮高灰，色温调节；</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6、为保证系统兼容性，所投产品须与LED全彩色显示屏为同一品牌。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98</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视频图像处理器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1、输入端口要求：≥1路DP接口，≥3路HDMI接口，≥2路DVI接口；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2、支持输入分辨率≥4096×2160@60Hz，支持自定义分辨率设置；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3、≥16路千兆网口输出，支持独立音频输入输出，HDMI和DP音频解析输出；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4、设备支持通过USB直接连接，支持≥16台设备同时调节亮度、色温和设备间的同步，符合大规模高标准活动的低延迟要求；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5、内部Vsync：支持产生固定的帧率，支持设备内部生成Vsync同步锁定信号避免视频信号Vsync不稳定导致的画面异常，以及锁定输出60/100/120Hz高倾率高画质画面；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6、≥1路标准3</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5mm接口，支持独立音频输入输出，支持HDMI,DP音频解析；</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7、为保证系统兼容性，所投产品须与LED显示屏为同一品牌。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播放软件</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1、具备方便直观的中文界面，可实现多用户操作管理，网络远程控制管理，并能与集中控制系统一起实现一体化操作管理；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2、系统能将多类型信号源输入多视频控制器并在显示设备上显示（信号源包括VGA、DVI、HDMI、DP、BNC、SDI、DL-DVI、IP、HDBaseT、光纤等）的功能；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3、系统接入并在显示设备上显示4K分辨率（3840*2160）信号源的功能；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4、系统在显示设备上同时显示多类型素材（素材包括视频、图片、底图、字幕等）的功能；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5、系统按照当前选定的显示屏建立相同分辨率的场景，以图形化编辑方式对窗口的开窗参数、窗口比例、窗口位置和大小等参数进行设置，以鼠标拖动方式将视频源、视频文件、字幕或图片等加载到场景中指定播放窗口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6、系统支持简体中文、英文等多种语言界面和菜单的功能；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7、系统对多个显示屏进行独立控制，支持信号源在多个显示屏中共享的功能；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8、系统通过网络信号传输实现操作系统桌面在显示设备上显示的功能；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9、有完整的软件接口，可提供二次开发的API接口，为第三方系统提供支持；</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10、为保证系统兼容性，所投产品须与LED全彩色显示屏为同一品牌。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配电系统</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1、保护措施：具备过压、过流、欠压、短路、断路以及漏电保护措施；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2、配电柜功率：≥20KW；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3、电压要求：≥380V；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4、为保证智能化控制功能，配电柜内需含PLC智能控制单元；</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5、为保证系统兼容性，所投产品须与LED全彩色显示屏为同一品牌。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7</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结构支架</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1、安全结构要求：采用专业、定制的纯钢性结构，自重较轻，具有良好的抗振（震）性、抗冲击性好，可以准确快速地装配。用于支撑、固定大屏幕用。整体材质为钢架配件；</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采用优质冷轧钢板盒板，板厚根据各部分承重情况具体而定，主要结构部件材料厚：2.5mm-1.5mm；生产采用数控冲床，数控折弯、数控较平等最先进的生产工艺，加工精度在正负20微米以内；金属部件表面采用静电喷塑粉和内部零件镀彩锌的工艺，都经过脱脂、酸洗、喷砂、防锈磷化、静电喷塑、高温固化等工艺；以保证机柜表面涂层的牢固可靠，耐酸碱、耐腐蚀；箱体安装支架，须采用定制铝型材结构，与箱体安装孔位保持完全一致。</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19.85</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（2）扩声系统</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主扩音箱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1、频率响应不劣于60Hz-20KHz（±3dB）；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2、灵敏度≥98dB；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3、指向性不劣于90°×45°椭圆形导；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4、功率≥持续450W/节目900W/峰值1600W；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5、最大声压级≥130dB；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7、不少于一个12"低音单元，音圈≥76.2mm；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8、不少于一个2”高音单元，出口≥35.6mm；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9、分频方式：内置/外置切换开关；</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10、分频点：1.8KHz。</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超低音箱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1、频率响应(外置分频)不劣于38Hz-1.5KHz（±3dB）；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2、频率响应(内置分频)不劣于42Hz-150Hz（±3dB）；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3、灵敏度≥100dB；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4、功率≥持续850W/节目1700W/峰值3200W；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7、不少于一个18"低音单元，音圈≥101.6mm；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8、分频方式：内置/外置切换开关；</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9、分频点：120Hz。</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中置音箱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1、频率响应不劣于45Hz -20KHz(±3dB)；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2、灵敏度（1W@1M）≥99dB；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3、指向性（HXV）不劣于90°×60°；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4、功率≥持续700W/节目1400W/峰值2800W；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5、最大声压级（@1m）≥133dB；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7、不少于一个18"低音单元，音圈≥4.0"(100mm)铁氧体；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8、不小于3.2" （82mm）高音单元钛膜钕铁硼磁钢压缩高音；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9、分频点：1.9KHz； </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10、悬吊点不少于12个M10。</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台唇拉声像音箱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1、单元≥4" 同轴球顶封闭箱体；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2、滤波器支持无源1路DSP控制；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3、额定功率≥100W；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4、峰值功率≥200W；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6、灵敏度≥91dBWm；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7、节目SPL≥114dB 1m；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8、声压级≥120dB 1m；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9、频率范围不劣于100-18000 Hz；</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10、辐射角度不劣于100°锥形。</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返送音箱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1、频率响应不劣于60Hz-20KHz（±3dB）；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2、灵敏度≥98dB；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3、指向性不劣于90°×45°椭圆形导；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4、功率≥持续450W/节目900W/峰值1600W；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5、最大声压级≥130dB；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7、不少于一个12"低音单元，音圈≥76.2mm；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8、不少于一个2”高音单元，出口≥35.6mm；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9、分频方式：内置/外置切换开关；</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10、分频点：1.8KHz。</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后场补声</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1、频率响应不劣于60Hz-20KHz（±3dB）；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2、灵敏度≥91dB；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3、指向性不劣于60 ×60°；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4、功率≥持续200W/峰值600W；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5、最大声压级≥118dB；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6、额定阻抗：8Ω；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7、不少于一个8”低音单元；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8、不少于一个1”高音单元；</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9、分频点：2.3KHz。</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7</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拉声像功放</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1、立体声功率4Ω≥1100W；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3、桥接模式8Ω≥2000W；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 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 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14、保护：防止短路、空载、开/关机噪音、无线电干扰保护电路。</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8</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主扩/中置/低音功放</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1、立体声功率4Ω≥1100W；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3、桥接模式8Ω≥2000W；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11、串扰：-75dB（1kHz），-59dB（20kHz）；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14、保护：防止短路、空载、开/关机噪音、无线电干扰保护电路。</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9</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返送功放</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1、立体声功率4Ω≥1100W；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3、桥接模式8Ω≥2000W；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14、保护：防止短路、空载、开/关机噪音、无线电干扰保护电路。</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10</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补声功放</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1、立体声功率4Ω≥800W；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2、立体声功率8Ω≥550W；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3、桥接模式8Ω≥1500W；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4、频率响应不劣于20Hz - 20kHz, +0/-1dB；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5、总谐波失真 (THD)：≤0.5%, 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6、互调失真(IMD)：≤0.35%；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7、转换速率：≥10V/us；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8、电压增益≥33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9、阻尼系数≥200；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10、信噪比：≥100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11、串扰：-75 dB（1kHz），-59 dB（20kHz）；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12、输入灵敏度(额定功率8Ω)：0.775V or 1.4V；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13、输入阻抗(额定)：20KΩ（平衡）；</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14、保护：防止短路、空载、开/关机噪音、无线电干扰保护电路。</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数字调音台</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1、输入通道全处理≥48 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2、推子≥25个，6 层，可分配的通道条≥96个；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3、本地话筒输入≥24路（XLR）；</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4、总线≥36 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5、立体声混音（AUX 或编组）+主左右输出≥12 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6、可分配的本地输出≥16路；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7、AES 数字输出；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8、静音编组≥8 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9、DCA 编组≥8 个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10、立体声 FX，带专有 FX 返回≥8 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11、彩色触摸屏≥7英寸；</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12、可分配软按键≥16个；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13、可分配旋钮≥4个；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14、物理控制按键用于通道处理（增益、高通滤波器、噪声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门、压缩器、声像、均衡器增益/频率/带宽）；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15、输入处理——前置放大器、高通滤波器、噪声门、参量均衡器、压缩器、延时；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16、混音输出处理——参量均衡器、图示均衡器、压缩器、延时；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17、内置自动话筒混音；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18、≥31 段实时分析仪；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19、用户权限设置；</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20、USB 硬盘的立体声和多轨录音/播放。</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音频输入输出扩展器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1、≥24路XLR话筒或线路输入；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2、≥12路XLR线路输出；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3、网络音频监听口；</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4、扩展音频端口，可扩展一台音频机架。</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数字音频扩展器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1、不少于64×64通道音频和网络控制；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2、支持96kHz或48kHz；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3、利用虚拟声卡进行多通道录音/播放；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4、两个冗余接口可无缝切换；</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5、内置控制网络桥接。</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音频图形化处理器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1、模拟音频输入≥16路,支持 48V 幻象电源供给/或选择线路输入；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2、模拟音频输出≥16路；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3、DSP芯片不劣于 ADI SC589双核处理器；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4、采样率≥96kHz；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5、RJ45 接口用于连接到局域网进行集中管理,软件设计系统为全开放式架构，自由拖拉DSP模块，可自定义控制界面；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6、拥有2.7G FLOPS且支持32/40/64位浮点运算的超强算力及低于2瓦超低功耗；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7、可选择设置96kHz采样率；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8、可选择数字音频处理模块；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9、混音器:标准式混音台、矩阵选择式混音器、立体声混音器,左中右立体声混音器,自动门限混音器,AGC自动增益共享混音器(底噪补偿),优先选择混音器,加法器,动态均衡，FIR, CUSTOM FIR；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10、均衡器:GEQ图示均衡器、PEQ参量均衡器、AFC自动反馈抑制器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11、滤波器:高通滤波器、低通滤波器、高频带通滤波器、低频带通滤波器、相位校正滤波器；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12、分频器:包含不限于2分频, 3分频和4分频；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13、动态处理器:噪声门,自动电平控制器、压缩器、限幅器、扩展器、闪避器(自动背景音乐衰减)；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14、路由分配器:1x1 ~ 64x64；</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15、延时器:0 ~ 2s；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16、控制器:音量控制器、≥70个模式调用、逻辑控制模块；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17、电平表:信号电平表、峰值电平、RMS； </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18、信号发生器:正弦波发生器、粉红噪声发生器、白噪声发生器。</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音频工作站</w:t>
            </w:r>
          </w:p>
        </w:tc>
        <w:tc>
          <w:tcPr>
            <w:tcW w:w="4590"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用于连接麦克风、乐器和线路电平设备；</w:t>
            </w:r>
          </w:p>
          <w:p>
            <w:pPr>
              <w:jc w:val="left"/>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kern w:val="0"/>
                <w:sz w:val="24"/>
                <w:lang w:bidi="ar"/>
              </w:rPr>
              <w:t>≥</w:t>
            </w:r>
            <w:r>
              <w:rPr>
                <w:rFonts w:hint="eastAsia" w:ascii="宋体" w:hAnsi="宋体" w:cs="宋体"/>
                <w:color w:val="000000"/>
                <w:sz w:val="24"/>
              </w:rPr>
              <w:t>9个可单独分配的通道，带有</w:t>
            </w:r>
            <w:r>
              <w:rPr>
                <w:rFonts w:hint="eastAsia" w:ascii="宋体" w:hAnsi="宋体" w:cs="宋体"/>
                <w:color w:val="000000"/>
                <w:kern w:val="0"/>
                <w:sz w:val="24"/>
                <w:lang w:bidi="ar"/>
              </w:rPr>
              <w:t>≥</w:t>
            </w:r>
            <w:r>
              <w:rPr>
                <w:rFonts w:hint="eastAsia" w:ascii="宋体" w:hAnsi="宋体" w:cs="宋体"/>
                <w:color w:val="000000"/>
                <w:sz w:val="24"/>
              </w:rPr>
              <w:t>6个广播级质量物理推子和</w:t>
            </w:r>
            <w:r>
              <w:rPr>
                <w:rFonts w:hint="eastAsia" w:ascii="宋体" w:hAnsi="宋体" w:cs="宋体"/>
                <w:color w:val="000000"/>
                <w:kern w:val="0"/>
                <w:sz w:val="24"/>
                <w:lang w:bidi="ar"/>
              </w:rPr>
              <w:t>≥</w:t>
            </w:r>
            <w:r>
              <w:rPr>
                <w:rFonts w:hint="eastAsia" w:ascii="宋体" w:hAnsi="宋体" w:cs="宋体"/>
                <w:color w:val="000000"/>
                <w:sz w:val="24"/>
              </w:rPr>
              <w:t>3个虚拟推子；</w:t>
            </w:r>
          </w:p>
          <w:p>
            <w:pPr>
              <w:jc w:val="left"/>
              <w:rPr>
                <w:rFonts w:hint="eastAsia"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高性能四核音频引擎；</w:t>
            </w:r>
          </w:p>
          <w:p>
            <w:pPr>
              <w:jc w:val="left"/>
              <w:rPr>
                <w:rFonts w:hint="eastAsia" w:ascii="宋体" w:hAnsi="宋体" w:cs="宋体"/>
                <w:color w:val="000000"/>
                <w:sz w:val="24"/>
              </w:rPr>
            </w:pPr>
            <w:r>
              <w:rPr>
                <w:rFonts w:hint="eastAsia" w:ascii="宋体" w:hAnsi="宋体" w:cs="宋体"/>
                <w:color w:val="000000"/>
                <w:sz w:val="24"/>
                <w:lang w:val="en-US" w:eastAsia="zh-CN"/>
              </w:rPr>
              <w:t>4、</w:t>
            </w:r>
            <w:r>
              <w:rPr>
                <w:rFonts w:hint="eastAsia" w:ascii="宋体" w:hAnsi="宋体" w:cs="宋体"/>
                <w:color w:val="000000"/>
                <w:sz w:val="24"/>
              </w:rPr>
              <w:t>录音室级音频处理和板载效果；</w:t>
            </w:r>
          </w:p>
          <w:p>
            <w:pPr>
              <w:jc w:val="left"/>
              <w:rPr>
                <w:rFonts w:hint="eastAsia" w:ascii="宋体" w:hAnsi="宋体" w:cs="宋体"/>
                <w:color w:val="000000"/>
                <w:sz w:val="24"/>
              </w:rPr>
            </w:pPr>
            <w:r>
              <w:rPr>
                <w:rFonts w:hint="eastAsia" w:ascii="宋体" w:hAnsi="宋体" w:cs="宋体"/>
                <w:color w:val="000000"/>
                <w:sz w:val="24"/>
                <w:lang w:val="en-US" w:eastAsia="zh-CN"/>
              </w:rPr>
              <w:t>5、</w:t>
            </w:r>
            <w:r>
              <w:rPr>
                <w:rFonts w:hint="eastAsia" w:ascii="宋体" w:hAnsi="宋体" w:cs="宋体"/>
                <w:color w:val="000000"/>
                <w:kern w:val="0"/>
                <w:sz w:val="24"/>
                <w:lang w:bidi="ar"/>
              </w:rPr>
              <w:t>≥</w:t>
            </w:r>
            <w:r>
              <w:rPr>
                <w:rFonts w:hint="eastAsia" w:ascii="宋体" w:hAnsi="宋体" w:cs="宋体"/>
                <w:color w:val="000000"/>
                <w:sz w:val="24"/>
                <w:lang w:val="en-US" w:eastAsia="zh-CN"/>
              </w:rPr>
              <w:t>8</w:t>
            </w:r>
            <w:r>
              <w:rPr>
                <w:rFonts w:hint="eastAsia" w:ascii="宋体" w:hAnsi="宋体" w:cs="宋体"/>
                <w:color w:val="000000"/>
                <w:sz w:val="24"/>
              </w:rPr>
              <w:t>个完全可编程的智能焊盘，带组切换功能；</w:t>
            </w:r>
          </w:p>
          <w:p>
            <w:pPr>
              <w:jc w:val="left"/>
              <w:rPr>
                <w:rFonts w:hint="eastAsia" w:ascii="宋体" w:hAnsi="宋体" w:cs="宋体"/>
                <w:color w:val="000000"/>
                <w:sz w:val="24"/>
              </w:rPr>
            </w:pPr>
            <w:r>
              <w:rPr>
                <w:rFonts w:hint="eastAsia" w:ascii="宋体" w:hAnsi="宋体" w:cs="宋体"/>
                <w:color w:val="000000"/>
                <w:sz w:val="24"/>
                <w:lang w:val="en-US" w:eastAsia="zh-CN"/>
              </w:rPr>
              <w:t>6、</w:t>
            </w:r>
            <w:r>
              <w:rPr>
                <w:rFonts w:hint="eastAsia" w:ascii="宋体" w:hAnsi="宋体" w:cs="宋体"/>
                <w:color w:val="000000"/>
                <w:kern w:val="0"/>
                <w:sz w:val="24"/>
                <w:lang w:bidi="ar"/>
              </w:rPr>
              <w:t>≥</w:t>
            </w:r>
            <w:r>
              <w:rPr>
                <w:rFonts w:hint="eastAsia" w:ascii="宋体" w:hAnsi="宋体" w:cs="宋体"/>
                <w:color w:val="000000"/>
                <w:sz w:val="24"/>
                <w:lang w:val="en-US" w:eastAsia="zh-CN"/>
              </w:rPr>
              <w:t>2个</w:t>
            </w:r>
            <w:r>
              <w:rPr>
                <w:rFonts w:hint="eastAsia" w:ascii="宋体" w:hAnsi="宋体" w:cs="宋体"/>
                <w:color w:val="000000"/>
                <w:sz w:val="24"/>
              </w:rPr>
              <w:t>USB-C接口，用于连接两台计算机或移动设备；</w:t>
            </w:r>
          </w:p>
          <w:p>
            <w:pPr>
              <w:jc w:val="left"/>
              <w:rPr>
                <w:rFonts w:hint="eastAsia" w:ascii="宋体" w:hAnsi="宋体" w:cs="宋体"/>
                <w:color w:val="000000"/>
                <w:sz w:val="24"/>
              </w:rPr>
            </w:pPr>
            <w:r>
              <w:rPr>
                <w:rFonts w:hint="eastAsia" w:ascii="宋体" w:hAnsi="宋体" w:cs="宋体"/>
                <w:color w:val="000000"/>
                <w:sz w:val="24"/>
                <w:lang w:val="en-US" w:eastAsia="zh-CN"/>
              </w:rPr>
              <w:t>7、支持</w:t>
            </w:r>
            <w:r>
              <w:rPr>
                <w:rFonts w:hint="eastAsia" w:ascii="宋体" w:hAnsi="宋体" w:cs="宋体"/>
                <w:color w:val="000000"/>
                <w:sz w:val="24"/>
              </w:rPr>
              <w:t>多轨或立体声录制到microSD卡，USB存储设备或计算机；</w:t>
            </w:r>
          </w:p>
          <w:p>
            <w:pPr>
              <w:jc w:val="left"/>
              <w:rPr>
                <w:rFonts w:ascii="宋体" w:hAnsi="宋体" w:cs="宋体"/>
                <w:color w:val="000000"/>
                <w:sz w:val="24"/>
              </w:rPr>
            </w:pPr>
            <w:r>
              <w:rPr>
                <w:rFonts w:hint="eastAsia" w:ascii="宋体" w:hAnsi="宋体" w:cs="宋体"/>
                <w:color w:val="000000"/>
                <w:sz w:val="24"/>
                <w:lang w:val="en-US" w:eastAsia="zh-CN"/>
              </w:rPr>
              <w:t>8、</w:t>
            </w:r>
            <w:r>
              <w:rPr>
                <w:rFonts w:hint="eastAsia" w:ascii="宋体" w:hAnsi="宋体" w:cs="宋体"/>
                <w:color w:val="000000"/>
                <w:kern w:val="0"/>
                <w:sz w:val="24"/>
                <w:lang w:bidi="ar"/>
              </w:rPr>
              <w:t>≥</w:t>
            </w:r>
            <w:r>
              <w:rPr>
                <w:rFonts w:hint="eastAsia" w:ascii="宋体" w:hAnsi="宋体" w:cs="宋体"/>
                <w:color w:val="000000"/>
                <w:sz w:val="24"/>
              </w:rPr>
              <w:t>5英寸高清触摸屏，带触觉反馈和旋转编码器，便于导航和控制。</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音频接口</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1、≥4进4出 USB 3.0音频接口；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2、≥24bit/192kHz的品质；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3、≥4个A级D-PRE话放；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4、带48V幻相供电；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5、与绝大多数录音软件兼容；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6、MIDI输入和输出接口；</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7、含效果器的零延迟监听。</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17</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虚拟声卡</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设置简单、易于控制，支持不少于16、24和32位音频，多达64X64音频通道，简单直观的图形用户界面，可配置延时，设备锁定等。</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18</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音频制作软件</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1、音频、MIDI和乐器轨道不限制；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2、不低于256 个组通道；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3、物理输入和输出≥256个；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4、不低于64 位浮点处理；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5、不低于四种虚拟乐器≥3000 种声音；</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6、不低于64 个独立于轨道的 VST 乐器。</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19</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无线路由器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1、不少于3个千兆网口；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2、外置天线；</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3、双频Wi-Fi7，不低于3600M无线速率。</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20</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无线数字会议系统主机</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1、5G WiFi加密无线会议主机， 采用≥128位AES加密技术，支持WPA/WPA2无线安全技术，采用创新自动空中对频锁频技术，确保了会议私密性，避免窃听和恶意干扰，同时支持WIFI无线会议系统、USB录音输入接口和自动寻找干净空闲频率、保存记忆技术实现全数字信号传输与处理；支持手动/自动编ID功能；支持一键关机所有无线单元功能，支持中英文语言界面切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2、会议主机采用高清晰≥2.8寸TFT彩色显示屏，一键飞梭旋钮，操作简单分级可查看系统设置，信道设置，会议模式等信息状态；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3、系统支持同时打开≥4个无线话筒，自适应躲避干扰技术，实现更强抗干扰能力，基于符合IEEE 802.11n的标准WiFi,同时支持2.4GHZ，5GHZ；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4、兼容IEC60914、GBT15381-94标准；支持5G WiFi无线会议单元同时增加数量时无缝接入，可以满足大中小型会议扩声项目使用，最大支持≥4000台会议单元；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5、会议发言模式可选：先进先出发言模式、主席发言模式、限时发言模式；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6、采用32 bit高速DSP浮点处理，具有声学反馈抑制、回声消除、噪声消除、数字均衡效果；支持所有输入输出音频音量大小可调节；具备高强度防手机电磁波干扰设计，多级纠错和加密，杜绝手机电磁波等干扰及邻频干扰抑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7、采用无压缩音频传输技术，48K采样率，带宽20Hz-20KHz完美音质；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8、主机需具备6.3mm非平衡输出和卡侬平衡输出两路输出接口，单路独立天线接口以及WiFi天线接口；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9、载波频段：5GHz；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10、工作有效距离：≥80米；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11、信噪比：≥80dB；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12、灵敏度：不劣于-46 dBV/Pa；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13、最大SPL≥100dB(THD&gt;3%)；</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14、综合信噪比S/N：≥105dB；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15、综合T.H.D：≤0.7%@1KHz；</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16、综合频率响应不劣于45Hz-18KHz±1dB。</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无线数字会议主席单元</w:t>
            </w:r>
          </w:p>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（内置锂电）</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1、5G WiFi会议系统主席/代表单元，支持桌面式安装，单元采用WiFi传输技术，严格的数字化保护，确保会议的私密性，避免窃听和恶意干扰；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2、主席单元具备会议控制功能：可强行关闭正在发言的代表单元；不受安装位置的限制；代表单元具有申请发言功能，受主席单元控制；每个会议单元具备独立的IP号；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3、心型指向性电容式拾音器，带双色指示灯，发言为红色，申请发言为闪绿色，固定咪杆设计底座和咪杆一体化；</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4、单元有效拾音距离≥80cm，无啸叫及临界啸叫尾音，内置全频压限电路；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5、单元支持通电状态使用，内置≥2500MA可充电锂电池，电池容量支持≥12小时持续发言，单元具备type-c充电口确保正常发言，并可在显示屏提示充电；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6、采用机械按键设计，无机械按键声，防水耐用，容易清洁；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话筒采用高清晰≥2.4寸TFT彩色显示屏，可实时显示ID.DA，音量大小，话筒状态，发言时间，显示日期，信号强度和电池电量等信息，内置双天线，大大提升WiFi网络传输效率，兼容升级程序；支持中英文语言界面切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8、单元具有音量调节按键，总开关按键，音质清晰，操作简便；</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9、采用屏蔽电路设计，有效防止空间内的电磁波干扰；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10、具有抑制啸叫功能，有效防止声音回输；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11、麦克风类型：高端技术阵列咪芯，心型指向性驻极体；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12、咪杆长度：≥220mm；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13、载波频段：5GHz；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14、信噪比：≥80dB；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15、频率响应不劣于20Hz-20KHz；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16、灵敏度：不劣于﹣43dB±2dB@1KHz；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17、总谐波失真：≤0.05%；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18、输出延时≤5ms；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19、最大SPL≥100dB(THD&gt;3%)；</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20、串扰：≥70dB；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21、动态范围：≥80dB；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22、THD：≤0.1%；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23、供电方式：type-c充电口内置锂电池供电，充电口直供电；</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24、安装方式：桌面式。</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无线数字会议代表单元</w:t>
            </w:r>
          </w:p>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（内置锂电）</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1、5G WiFi会议系统主席/代表单元，支持桌面式安装，单元采用WiFi传输技术，严格的数字化保护，确保会议的私密性，避免窃听和恶意干扰；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2、具有自定义主席和代表单元切换，实现多台同时使用，灵活方便；单元具有数字音频流处理技术，音质更加浑厚、清晰；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3、心型指向性电容式拾音器，固定咪杆设计底座和咪杆一体化；单元有效拾音距离≥80cm，无啸叫及临界啸叫尾音，内置全频压限电路；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4、单元支持通电状态使用，内置≥2500MA可充电锂电池，电池容量支持≥12小时持续发言，单元具备type-c 充电口确保正常发言，并可在显示屏提示充电；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5、采用机械按键设计，无机械按键声，防水耐用，容易清洁；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话筒采用高清晰≥2.4寸TFT彩色显示屏，可实时显示ID.DA，音量大小，话筒状态，发言时间，显示日期，信号强度和电池电量等信息，内置双天线，大大提升WiFi网络传输效率，兼容升级程序；支持中英文语言界面切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7、单元具有音量调节按键，总开关按键，音质清晰，操作简便；</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8、采用屏蔽电路设计，有效防止空间内的电磁波干扰；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9、具有抑制啸叫功能，有效防止声音回输；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10、麦克风类型：高端技术阵列咪芯，心型指向性驻极体；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11、咪杆长度：≥220mm；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12、信噪比：≥80dB；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13、频率响应不劣于20Hz-20KHz；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14、灵敏度：不劣于﹣43dB±2dB@1KHz；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15、总谐波失真：≤0.05%；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16、输出延时≤5ms；</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17、最大SPL：100dB(THD&gt;3%)；</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18、串扰：≥70dB；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19、动态范围：≥80dB；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20、THD：≤0.1%；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21、供电方式 ：type-c充电口内置锂电池供电，充电口直供电；</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22、安装方式：桌面式。</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10</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 xml:space="preserve">专业级八口USB阵列话筒充电器           </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1、智能识别、智能分流、智能快充不伤电池，内置PWM电源管理芯片，智能调整电压电流输出，安全充电不伤电池；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2、智能数显电流、电压，数字屏实时监控充电状况；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3、多种安全防护：过充保护、短路保护、恢复保护、过流保护、过放保护、过压保护、过功率保护、过充保护、温度保护；</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4、强大外壳、坚固耐用，外壳采用PC防火阻燃材料一体而成、耐高温不怕摔、经久耐用；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5、电源输入：AC 100V-240V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6、输出接口：USB≥8个；</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7、USB单口输出：≥2.4A；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8、USB单口输出：≥5V；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9、输出总电流：≥8A；</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10、输出总功率：≥40W。</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无线接收放大器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1、输入截断点：+22dBm；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2、噪声比：≥4.0dB；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3、增益：不劣于+3-12dB；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4、输出阻抗：15dB min；</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5、阻抗：50Ω；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6、频宽：≥300MHz；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7、插座：BNC；</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8、输出直流电电压：DC 12V/600~1000mA ≥4个；</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9、电源消耗：≥170mA。</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手持话筒（数字双通道）</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1、双通道数字无线接收机；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2、不劣于24位数字音频；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3、不劣于20 Hz至20 kHz频率范围；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4、数字式预开关分集；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5、调谐带宽≥44 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6、每个频段≥32个可用通道，每个6MHz频段≥10个兼容系统；每个8 MHz频段≥12个系统；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7、通过扫描和红外同步轻松配对发射机和接收机，并可通过网络接口为多套系统联网扫频；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8、2节AA电池可持续使用不低于8小时，也可适用同品牌可充电锂电池；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9、发射功率≥1mW ≤10mW；</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10、心形动圈话筒，频率响应不劣于50Hz-15KHz，灵敏度 (dBV/Pa):不劣于 -54,5 dBV/Pa。</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头戴话筒（数字单通道）</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1、数字单通道无线接收机；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2、不劣于24位数字音频；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3、不劣于20 Hz至20 kHz频率范围；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4、数字式预开关分集；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5、调谐带宽≥44 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6、每个频段≥32个可用通道，每个6MHz频段≥10个兼容系统；每个8 MHz频段≥12个系统；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7、通过扫描和红外同步轻松配对发射机和接收机，并可通过网络接口为多套系统联网扫频；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8、2节AA电池可持续使用不低于8小时，也可适用同品牌可充电锂电池；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9、发射功率≥1mW ≤10mW；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10、TQG接口适用于各种话筒选项；</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11、心形电容头戴话筒 频率响应不劣于40Hz-20kHz,灵敏度不劣于-59dB。</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27</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微型领夹（头戴）咪头</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1、超小型全方向形拾音头；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2、轻量、佩戴舒适，灵活并易弯曲带来了稳定的话筒安装；</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3、防射频干扰技术；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4、可防止来自蜂窝移动电话和数字腰包式发射机的干扰；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5、Kevlar加强型柔软弹性线缆；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6、传感器类型：电容；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7、拾音模式：全向；</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8、频率范围不劣于20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9、灵敏度（1kHz，开路电压）不劣于-41 dBV/Pa（9 mV）；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10、最大声压级（1kHz，1%总谐波失真，1kΩ 负载时）≥107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11、等效输出噪音（A加权）不劣于34 dB SPL；</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12、信噪比（参考94 dB SPL 1 kHz 时）：≥60 dB；</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13、动态范围（1 kHz，1 k负载时）：≥73 dB。</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28</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鹅颈麦克无线接收机（数字单通道）</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1、数字式无线接收机，不少于77个兼容系统；</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2、不劣于24位数字音质以及极为高效的射频频谱使用；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3、不少于72 MHz的调谐范围，具备频率扫描；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4、自动分配频率及红外线同步功能；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5、可拆式1/2波长天线，频率和电源锁定；</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6、以太网连接及网络扫描功能，背光LCD显示屏；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7、集成的控制软件可以让用户从电脑或Mac远程控制接收机的设置；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8、背面音量控制，结实金属底板，XLR和6.35mm输出；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9、输出电平： XLR接口，不劣于+18 dBV / 话筒，-12 dBV / 6.35毫米，+12 dBV；</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10、话筒线路开关：不劣于30 dB衰减；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11、天线接口：BNC；</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12、杂散抑制：≥80 dB（典型值）；</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13、增益调整范围：不劣于-18 至 +42dB（1dB步进）；</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14、网络接口：单端口以太网 10/100 Mbps（DHCP或手动设置 IP 地址）。</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29</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鹅颈话筒发射机（不含话筒）</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1、支持UHF频段、900MHz和1.2/1.5/1.8 Ghz频段；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2、可为需要安全传输的应用提供AES256位加密；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3、延迟≤3毫秒，传输距离≥90米；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4、可配置静音按钮（切换/一键静音/即按即说/禁用）和静音LED；</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5、可调射频功率，高通滤波器和电源锁定设置；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6、发射功率：可选 1 mW / 10 mW / 20 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7、频率响应范围不劣于50 Hz - 17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8、增益偏移范围不劣于0 - 21 dB （3 dB 步进）；</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9、电池运行时间10 mW：同品牌锂电池≥9小时，两节AA电池 ≥8小时。</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30</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鹅颈话筒杆</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1、长度≥10 英寸 (254 毫米)；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2、提供桌面底座或固定安装底座、有线或无线；</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3、可互换式拾音头；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4、采用防射频干扰技术；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5、可编程的静音开关；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6、传感器类型：电容；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7、拾音模式：心形；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8、频率范围不劣于50 Hz - 17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9、灵敏度（1kHz，开路电压）不劣于 -35 dBV/Pa；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10、最大声压级（1kHz，1kΩ 负载时）不劣于121 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11、等效输出噪音（A加权）不劣于28 dB；</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12、信噪比（参考94 dB SPL 1 kHz 时）：≥66 dB。</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天线分配器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1、可放大射频信号；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2、补偿因信号功率被分至多个输出而造成的插入损耗；</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3、支持≥五个无线接收机；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4、双层配置中可使用五台；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5、前置式天线安装件，架置式安装件；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6、不少于4个用于接收机的直流馈电端（15V，最大2.5A）；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7、用于天线偏置的直流输出端（12V，最大300mA）；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8、载波频率范围不劣于470 - 952 MHz；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9、分配输出电平（增益）：输出端口 1-4 -2 dB到+2 dB，级联输出 -1 dB到+1 dB；</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10、绝缘输出接头：≥25 dB，典型。</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天线</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1、长偶极天线；</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2、提供与水平或垂直位置的 45°定位 以获得更好的RF接收的灵活性。</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监听耳机</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1、采用全封闭式设计，可以舒适地保护耳部，降低背景噪音；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2、可调节顶梁以及折叠结构，提升舒适度和便携性能；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3、拥有增强型频率响应，提供精确的音频，覆盖更广的频率范围；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4、发声单元尺寸：≥40 mm；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5、灵敏度（1 kHz）：≥105 dB/mW；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6、最大输入功率（1 kHz）：≥500mW；</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7、频率范围不劣于10 Hz - 22 kHz。</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监听音箱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1、有源监听音箱；</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2、频率响应不劣于50Hz-24KHz(±3dB)；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3、功率：低音≥60W 高音≥40W；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4、最大声压级≥106dB；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5、低音单元不小于5";高音单元不小于1"；</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6、输入端口：1/4"/XLR端口平衡接头，1×RCA非平衡接头。</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环境声拾音话筒</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1、内置低频滚降；</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2、嵌入式低切滤波器开关，可进行额外控制；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3、更大的目标指向性，能拾取更多环境音；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4、适用于观众互动和现场音乐会的拾音；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5、人声话筒传感器类型：电容；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6、指向性：叶形；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7、频率响应不劣于50 Hz - 20 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8、灵敏度：≥33.5 dB V/PA；</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9、最大声压级：≥132 dB @2500Ω，128.5 dB @1000Ω；</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10、动态范围@ 1 kHz≥117 dB @2500Ω，113.5 dB @1000Ω。</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音频隔离DI盒</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1、频响不劣于20-20000Hz；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2、增益特性：1:1；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3、阻抗：600欧姆@1KHz；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4、无源音频隔离器，消除电流声与插拔信号线冲击声，消除开路噪音；</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5、可以接有源音箱，台子级联用。</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（3）灯光系统</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摇头灯</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1、电压适应范围AC90-250V，50/60Hz；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2、光源不小于350瓦；                                                                                            3、色温不小于8500K；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4、额定功率不小于600W；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5、电子调焦；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6、不少于13个颜色+白光，可做双向变速彩虹效果；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7、不少于13个固定图案片+白光，图案可做流水和振动效果，速度可调；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8、七彩效果镜片，范围广，高亮度，显示均匀；</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9、不少于两个棱镜，一个（16+8）棱镜+一个（8+8+8）三层棱镜，两种棱镜可以叠加；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10、0-100%机械调光,支持机械频闪和可调速频闪效果,支持频闪宏功能；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11、镜头组光学系统电动对焦,光束角不小于0～4°；</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12、调光0-100%线性调节；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13、独立双片式频闪，不少于每秒1-13次高速频闪，速度可调；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14、灯体扫描运行流畅，自动回位纠正功能,速度可调；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15、扫描范围水平不小于540°,垂直不小于280°，不小于16bit精度扫描，电子纠错；</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16、光束角度不小于2.6-10°；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17、图案角度不小于5.4°- 24°；</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18、放大角度可调；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19、电子自动对焦；</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20、具有颜色+图案+棱镜+频闪自走功能；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21、强制对流冷却；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22、控制：DMX 512，三芯接口，可支持无线DMX512功能；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23、20CH与16CH两种模式自由选择；</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24、LCD液晶触摸屏；</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25、防护等级不低于IP20，内置过热和触发高压保护。</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数字LED聚光灯</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1、电压适用范围AC90V～250V /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2、光源不小于300W COB光源，使用寿命不低于100000小时；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3、额定功率不小于320W；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4、色温不小于3200K/5600K±5%；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5、显色指数Ra不小于95；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6、调光0～100% 线性调节, 不小于16位调光,不小于32位芯片恒流主板，不少于4种调光曲线,调光超柔和、无抖动，永久同步；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7、操作界面LCD液晶显示，恒流驱动；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8、透镜不小于15°；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9、出光角度不小于10°～60°范围手动调节；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10、机箱材质压铸铝；</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11、俯仰角度不少于±90°；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12、支持DMX512，Manual，Artnet,主从机，自走多种控制模式；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13、不少于三种通道模式自由选择；</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14、适应环境温度-10°C～45°C；</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15、散热系统无噪音风扇；</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16、防护等级不低于IP20。</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8</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数字LED平板柔光灯</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1、电压适用范围AC90-250V，50/60Hz；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2、功率不小于230W；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3、灰度等级不小于20000；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4、显色指数Ra不小于95；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5、色温调节范围不小于3200-5600K任意调整；</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6、使用寿命不低于50000小时；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7、发光角度不小于120°；</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8、支持DMX512，Manual，Artnet,主从机，自走多种控制模式；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9、调光0～100%线性调节,不少于16位调光，32位芯片恒流主板，不少于4种调光曲线,调光超柔和、无抖动，永久同步；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10、支持电源、信号手拉手连接；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11、支持3CH/4CH两种通道模式任意选择；</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12、防护等级不低于IP20。</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8</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染色灯</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1、电压适用范围AC90v-250V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2、光源不少于18颗15w 四合一大功率LED灯珠，不少于四种颜色，每种颜色可单独控制；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3、功率不小于280w；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4、光束角度25°/45°（可选）；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5、色温不小于5600K；</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6、照度不小于1800LUX@1m(25°)；</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7、高速白光或变颜色频闪，频闪不少于1-25次/秒；</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8、不小于16Bit曲线调光模式，0-100%电子调光，不小于32位芯片调光恒流主板，调光超柔和、无抖动，永久同步；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9、支持DMX512（拨码或数码显示），主从机，声控（灵敏度：65dB～130dB）及自走多种控制模式；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10、RGBW线性混色，颜色可达到16.7万种以上；</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11、四位数码管显示功能菜单，内置程序、各种用户程序场景可以直接调用执行； </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12、控制通道不少于8通道。</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电脑灯控台</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1、DMX512/1990标准，不少于512个DMX控制通道，光电隔离信号输出；                                                                                                     2、支持同时控制不少于30台电脑灯，每灯最大32个控制通道，使用动态灯址设置；                                                                                                             3、内置图形轨迹发生器（SHAPE），方便用户对电脑灯进行图形轨迹控制，如画圆、渐变圆、线条、8字、波浪等多种效果； 4、图形参数（如：速度、大小、展开、方向）均可独立设置；                                                                                                           5、不少于30个走灯程序，每程序不少于100步；                                                                           6、可选自动速度控制、智能手动节拍控制（SWING）或音乐同步控制；                                                                                                 7、可同时运行不少于2个走灯程序、不少于30个预置场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景，并可同时对不少于30台电脑灯进行提灯操作；                                                                    8、配备MEM-CARD接口，可使用MEM-CARD闪存卡保存数据；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9、带背光的LCD显示运行参数，支持关机数据保持；</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10、电源：AC90-250V / 50-60Hz 开关电源。</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电源直通箱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1、供电：三相五线制AC380V±10%，频率50Hz±5%.                                                                     2、额定功率不少于12路x4KW；可适用于任何负载，每路带独立指示灯；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3、过载与短路双重保护，高分断空气开关；</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4、160A输入，电流电压表直观显示输出电压电流。</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7</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信号放大器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1、电源AC100V-240V / 50-60Hz；</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2、一路DMX512数码输入，一路DMX512直接输出；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3、输入/输出光电隔离；</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4、不少于8路独立放大驱动输出；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5、信号放大整形功能，延长信号传输距离；</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6、增强数据总线接入设备数量的能力；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7、保护灯光控制台DMX512输出接口，故障现场隔离；</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8、提高数字式灯光控制系统的安全运行可靠性。</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8</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灯钩</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承重不小于80KG。</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27</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9</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保险绳</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承重不小于80KG。</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条</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10</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固定灯杆</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固定灯杆，吊装，顶光灯杆*2，面光灯杆*2。</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道</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（4）中控系统</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会议中控</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1、内置WIFI天线和有线网络通讯，可配置AP或Station模式，支持WIFI、NET、串口互通互控，可编程全功能批处理能力；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2、内置RS-232双向通讯串口≥13路；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3、内置RS-485双向通讯串口≥12路；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4、可兼容语音控制、电源开关面板、传感器等控制输入；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5、内置≥8路红外发射端口，并具有红外自学习能力；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6、内置≥16路I/O可编程场景控制端口，可配合强电开关面板或其他智能感应终端控制；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7、内置≥8路弱继电器控制端口；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8、外置弱电多备份供电方式；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9、AHC模式下支持WIFI、NET、串口互通互控；</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10、可编程模式，可自定义端口、模式、波特率、延时、内置多种逻辑功能，支持数据转发、协议转换等；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11、支持自定义指令集功能，可存储≥255个指令集；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12、支持在线升级方式；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13、主机配合控制软件可实现温度、湿度、PM2.5、E-CO2、TVOC、甲醛等检测，并实时在控制终端显示；</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14、须提供制造商针对本项目的售后服务承诺函并加盖公章。</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高清编码器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1、兼容多种高清信号源输入；</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2、具备至少1路HDMI输入接口，并带HDMI环出和音频分离功能；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3、具备至少1路RJ45千兆网口；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4、支持RTSP、RTMP、HLS、FLV、UDP、SRT、TS、ONVIF、组播/单播等多种协议；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5、支持H.265/H.264编码，编码帧率5-60Hz可调；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6、编码分辨率可选包含不限于1920*1080@60P/60I、1680*1050、1440*900、1600*1200、1600*900、1440*900、1280*720、1024*576、720*576、720*480等；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7、编码码率32Kbps-32Mbps可调；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8、支持画面旋转、翻转镜像以及视频源图像裁切；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9、支持HDMI内嵌音频或3.5mm立体声音频选择；</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10、兼容AAC、AAC+、AAC++、MP3、AC3等多种音频编码；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11、音频编码采样率44K/48K可调；</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12、支持OSD字幕和LOGO上传；</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13、分布式架构系统，支持多个编码器接入网络，支持跨网段组网。</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 xml:space="preserve">传感解码器 </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1、网络配置协议采用国际通用标准IPRS网络协议，可进行解码或透传；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2、可实现同网络服务器之间数据流打包上下行多线程通讯，且具有可自动被搜索功能，默认IP绑定MAC地址，实现1对1或多对多通讯，可用于网络与本地RS-232通讯转换，并进行加密数据传输；</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3、具备不少于2路RJ45网络接口，实现网络环境监测及通讯转换；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4、具备不少于2路可编程双向RS-232通讯口，可自定义控制各类通讯设备；</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5、可实时监测不少于六种（温度、湿度、PM2.5、E-CO2、TVOC、甲醛）实时环境信息，可通过分析解读环境数据并通过加密方式上传至中控主机进行同步分析处理，实现温度报警等功能。</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环境传感器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1、支持六种环境数据检测，温度、湿度、PM2.5、E-CO2、TVOC、甲醛；</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2、内置三色指示灯显示空气质量，蓝、绿、红对应空气质量好、中、差；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3、内置≥2路RJ45接口,可用于连接解码器传输环境数据和设备供电；</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4、支持配合解码器与中控系统通讯，通过平板显示环境参数；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5、温度：检测范围0~85℃，误差±1℃，精度1℃；</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6、湿度：检测范围0~100%RH，误差±7%RH，精度1%RH；</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 PM2.5：检测范围0~500ug/m³，误差在 100~500ug/m³下，±10%；误差在 0~100ug/m³下，±10ug 1ug/m³ E-CO2 450-2000ppm ±10%（静置于密闭、空气均一分布环境 24 小时后测得），精度1ppm；</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8、TVOC 检测范围125-600ppb，误差±10%（静置于密闭、空气均一分布环境 24 小时后测得） ，精度1ppb；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9、甲醛：检测范围 0~2000ppb，空气中使用寿命约 3 年，如未使用请将其存储在 0~20℃环境， 精度1ppb；</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10、为保证系统兼容性，所投产品须与传感解码器为同一品牌。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5</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触摸屏编辑控制软件</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1、各功能组件模块化设计，支持自定义编辑，可按需求设计不同风格和功能的操控界面；</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2、支持视频信号预览显示，可拖拽切换预览信号和视频信号；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3、视频输入和输出组件支持任意增加，视频输出组件支持拖拽清空功能；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4、内置文本、时钟、内置图标、外置图标、互斥按钮、弹窗、滑动推子、回显文字、视频预览、视频输入和视频输出等组件；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5、预览窗口支持任意编辑，支持多个窗口同时预览，可切换视频预览信号；</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6、支持任意组件和模块单独复制、框选多个复制以及整个页面复制；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7、支持页面组件和背景锁定和解除锁定；</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8、支持自定义高清底图设置，支持JPG、JPEG、PNG、BMP和GIF动图格式；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9、AHC模式下支持中控场景自定义编程功能，支持按钮组添加；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10、控制页面支持周期逻辑，可定时自动控制或查询设备状态；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11、软件需支持双向控制实时回显，动态显示设备运行过程及状态；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12、软件采用C-NET协议通讯，适配中央控制系统实现双向通讯；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13、支持多服务器连接切换，实现多房间、多项目工程任意切换控制；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14、支持局域网跨网段通讯和上传工程程序；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15、工程程序支持任意分辨率编辑，客户端可自适应终端分辨率运行；</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16、支持远程上传工程文件，工程文件管理支持密码设置，防止误操作；</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17、支持工程仿真预览测试，可一键排队上传至多个设备；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18、客户端支持Windows、安卓、IOS及鸿蒙OS平台，工程文件跨平台通用；</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19、为保证系统兼容性，所投产品须与会议中控同一品牌。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6</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电源控制器</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1、≥8路强电或弱电开关量控制；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2、AHC模式下可编程定义各种逻辑开关动作(互锁、时序开关、同步动作等)；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3、采用内部RS-485分地址形式，可级联≥16台设备；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4、表面需带有两种状态颜色的工作指示灯，方便直观查看工作状态；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5、具备至少三种方式进行管控，配合平板软件可实现状态实时反馈；</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6、设备接线方便，安装时只需要打开小的接线盒外壳可以接线和调ID码，无须打开整个表面外壳；</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7、应用于灯光开关、窗帘开关、屏幕升降、会标升降、投影机电动吊架升降及其他开关量远程控制场合；</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8、设备配墙上安装支架，可以平放或墙上安装；断电最后一次状态保存功能；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9、每路额定功率2KW；</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10、标准RS-232/485控制协议；</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11、输入电压≤280V；</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 xml:space="preserve">12、须提供制造商针对本项目的售后服务承诺函并加盖公章。  </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7</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扩展主机</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1、主机内置CPU和超大内存支持各种编程逻辑的应用；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2、前面板须具备LED指示灯，实时反馈对应串口的通讯状态；</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3、须具有墙上面板、无线触摸屏、电脑软件、网络集中管理等控制方式；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4、可进行MDX512协议的舞台灯光调节；</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5、可自定义按月任意时段执行第三方设备控制；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6、网络控制协议，TCP/IP，控制带网络控制口的投影等设备；</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7、支持IPAD、无线触摸屏、PC等在无线局域网内进行访问控制；         </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8、支持控制电脑软件上的视频播放和各种软件调用；</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9、主机≥11路RS-232,≥8路RS-485通迅口，每个串口可以级联数台通讯设备、≥8路独立可编程红外接口(外置)，采用红外自学习方式，并可以导入导出红外设备码，方便保存和批量安装、≥8路弱继电器口控制；</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10、AHC模式下主机间可以连网，可以级联数台；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11、内置网络模块插槽，方便接入网络控制模块，实现远程控制及远程监视、报警等；</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12、主机配合终端软件可实现温度、湿度、PM2.5、E-CO2、TVOC、甲醛等检测，并实时在控制终端显示；</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13、控制方式：单机软件控制、多机网络软件控制、有线/无线触摸屏控制；</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14、为保证系统兼容性，所投产品须与会议中控为同一品牌。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8</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无缝混合矩阵（机箱）</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1、主机要求采用FPGE硬件架构，全模块化设计；</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2、主机要求不低于4个输入卡槽和4个输出卡槽，板卡为四路/张；</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3、主机要求配备至少两个通信模块，每个模块配一个网口、一个RS-232串口；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4、主机的控制通讯要求需要支持跨网段通信；</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5、配置的RS-232通信串口可控制周边外设；</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6、主机要求具备两个电源模块插座，实现双电源冗余功能；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7、主机要求前面板带≥6.8英寸真彩触摸屏，可设置屏保时间、屏幕亮度，通道切换、场景管理、通道开关、通道名称、网络参数等操作内容；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8、主机需内置web服务器，可在web上完成矩阵管理、参数配置、在线升级等功能；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9、主机要求能支持≥254台矩阵集中管理功能；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10、要求支持≥40个场景管理功能；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11、要求支持自定义编辑输入通道名称、输出通道名称、场景名称；</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12、要求支持管理员用户、普通用户不同权限管理功能；</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13、要求支持断电保存功能，开机后自动恢复记忆；</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14、要求支持Web端、windows客户端、Android客户端操控管理；</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15、为保证系统兼容性，所投产品须与会议中控为同一品牌。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9</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超高清无缝输入板卡</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1、输入输出采用无缝切换技术；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2、信号符合HDMI1.4标准，兼容HDCP1.2；</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3、输入板卡自动识别输入信号格式；</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4、输入板卡可选择使用HDMI内嵌音频或者独立音频接口；</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5、视频信号和音频信号同步切换；</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6、为保证系统兼容性，所投产品须与无缝混合矩阵（机箱）为同一品牌。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10</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超高清无缝输出板卡</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1、输入输出采用无缝切换技术；</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2、信号符合HDMI1.4标准，兼容HDCP1.2；</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3、输出板卡支持3840x2160@30Hz 4:4:4并向下兼容；</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4、输出板卡支持多端口组合成拼接视频墙；</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5、视频信号和音频信号同步切换；</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6、为保证系统兼容性，所投产品须与无缝混合矩阵（机箱）为同一品牌。</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移动触控平板</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1、运行内存（RAM）：4GB；</w:t>
            </w:r>
          </w:p>
          <w:p>
            <w:pPr>
              <w:widowControl/>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2、存储容量（ROM）：64GB；</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3、具有前后置摄像头。</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软件编程</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可根据现场环境，设备及要求进行编程，支持3D、2D按键编程及PS界面设计。</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620" w:hRule="atLeas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（5）其他</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机柜</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42U标准机柜。</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2</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演讲台</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采用航空级铝合金材料，整体倾角78°，满足人体演讲最佳设计角度；自带2个脚轮，便捷移动；支持电动升降，整机侧边有升降按键，针对不同的演讲者可选择适合演讲者高度，可支持最高1.2M；带2支鹅颈麦克风；自带电池，续航不低于5H；</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2、屏幕≥21.5英寸，≥1080P分辨率 ，显示比例16:9，亮度≥450 cd/㎡，采用电容触摸技术，支持≥10 点触摸，触摸精度＜2mm；</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3、讲台内置终端模块，RAM≥8GB，ROM≥128GB SSD硬盘；</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整机内置接收模块，除无线传屏器外不需要连接任何附加设备，可实现外部电脑音视频信号实时传输到触摸一体机上（无论整机处于任何通道），并可支持触摸回传；</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5、为确保PC应用使用的便捷性，应用程序可通过在电子讲台主页面或更多中的快捷图标启动，无须切换到原生桌面中启动；</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6、为方便操作，主页不少于3个核心功能图标，支持主页面左右滑动进入欢迎页面和手机传屏页面，支持整机设置个性化主页面；</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7、本地白板提供三种大小笔粗，并预置11种以上颜色；支持单指书写、多指拖拽／移动、单手擦除等手势操作；</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8、兼容常用的PPT播放软件，搭配PC模块后无需调用PPT播放软件的批注功能，即可对PPT播放状态下进行连续多页批注，擦除，批注内容与原文件扫码分享保存。 </w:t>
            </w:r>
          </w:p>
          <w:p>
            <w:pPr>
              <w:widowControl/>
              <w:numPr>
                <w:ilvl w:val="-1"/>
                <w:numId w:val="0"/>
              </w:numPr>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9、侧边栏支持智能隐藏，防止显示全屏内容时被遮挡，影响视觉；当用户再次触碰屏幕时，侧边栏即可再次出现；</w:t>
            </w:r>
          </w:p>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10、须提供制造商针对本项目的售后服务承诺函并加盖公章。</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3</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线材辅料</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显示、扩声、灯光、中控系统安装所需线材辅料等。</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批</w:t>
            </w:r>
          </w:p>
        </w:tc>
      </w:tr>
      <w:tr>
        <w:tblPrEx>
          <w:tblCellMar>
            <w:top w:w="0" w:type="dxa"/>
            <w:left w:w="108" w:type="dxa"/>
            <w:bottom w:w="0" w:type="dxa"/>
            <w:right w:w="108" w:type="dxa"/>
          </w:tblCellMar>
        </w:tblPrEx>
        <w:trPr>
          <w:trHeight w:val="620" w:hRule="atLeast"/>
        </w:trPr>
        <w:tc>
          <w:tcPr>
            <w:tcW w:w="76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4</w:t>
            </w:r>
          </w:p>
        </w:tc>
        <w:tc>
          <w:tcPr>
            <w:tcW w:w="1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系统集成</w:t>
            </w:r>
          </w:p>
        </w:tc>
        <w:tc>
          <w:tcPr>
            <w:tcW w:w="459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 w:val="24"/>
                <w:highlight w:val="yellow"/>
              </w:rPr>
            </w:pPr>
            <w:r>
              <w:rPr>
                <w:rFonts w:hint="eastAsia" w:ascii="宋体" w:hAnsi="宋体" w:cs="宋体"/>
                <w:color w:val="000000"/>
                <w:kern w:val="0"/>
                <w:sz w:val="24"/>
                <w:lang w:bidi="ar"/>
              </w:rPr>
              <w:t>将各个分离的设备、功能和信息等集成到相互关联的、统一和协调的系统之中，使资源达到充分共享，实现集中、高效、便利的管理。</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1</w:t>
            </w:r>
          </w:p>
        </w:tc>
        <w:tc>
          <w:tcPr>
            <w:tcW w:w="7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24"/>
                <w:highlight w:val="yellow"/>
              </w:rPr>
            </w:pPr>
            <w:r>
              <w:rPr>
                <w:rFonts w:hint="eastAsia" w:ascii="宋体" w:hAnsi="宋体" w:cs="宋体"/>
                <w:color w:val="000000"/>
                <w:kern w:val="0"/>
                <w:sz w:val="24"/>
                <w:lang w:bidi="ar"/>
              </w:rPr>
              <w:t>项</w:t>
            </w:r>
          </w:p>
        </w:tc>
      </w:tr>
    </w:tbl>
    <w:p>
      <w:pPr>
        <w:rPr>
          <w:rFonts w:ascii="宋体" w:hAnsi="宋体"/>
          <w:b/>
          <w:sz w:val="36"/>
          <w:szCs w:val="36"/>
        </w:rPr>
      </w:pPr>
      <w:r>
        <w:rPr>
          <w:rFonts w:hint="eastAsia" w:ascii="宋体" w:hAnsi="宋体"/>
          <w:b/>
          <w:sz w:val="36"/>
          <w:szCs w:val="36"/>
        </w:rPr>
        <w:br w:type="page"/>
      </w:r>
    </w:p>
    <w:p>
      <w:pPr>
        <w:spacing w:line="360" w:lineRule="auto"/>
        <w:jc w:val="center"/>
        <w:outlineLvl w:val="0"/>
        <w:rPr>
          <w:rFonts w:ascii="宋体"/>
          <w:b/>
          <w:sz w:val="36"/>
          <w:szCs w:val="36"/>
        </w:rPr>
      </w:pPr>
      <w:bookmarkStart w:id="810" w:name="_Toc19463"/>
      <w:r>
        <w:rPr>
          <w:rFonts w:hint="eastAsia" w:ascii="宋体" w:hAnsi="宋体"/>
          <w:b/>
          <w:sz w:val="36"/>
          <w:szCs w:val="36"/>
        </w:rPr>
        <w:t>第六章</w:t>
      </w:r>
      <w:r>
        <w:rPr>
          <w:rFonts w:ascii="宋体" w:hAnsi="宋体"/>
          <w:b/>
          <w:sz w:val="36"/>
          <w:szCs w:val="36"/>
        </w:rPr>
        <w:t xml:space="preserve">   </w:t>
      </w:r>
      <w:r>
        <w:rPr>
          <w:rFonts w:hint="eastAsia" w:ascii="宋体" w:hAnsi="宋体"/>
          <w:b/>
          <w:sz w:val="36"/>
          <w:szCs w:val="36"/>
        </w:rPr>
        <w:t>拟签订的合同文本</w:t>
      </w:r>
      <w:bookmarkEnd w:id="810"/>
    </w:p>
    <w:p>
      <w:pPr>
        <w:pStyle w:val="5"/>
        <w:spacing w:line="360" w:lineRule="auto"/>
        <w:ind w:firstLine="0"/>
        <w:jc w:val="center"/>
        <w:rPr>
          <w:rFonts w:hAnsi="宋体"/>
        </w:rPr>
      </w:pPr>
      <w:r>
        <w:rPr>
          <w:rFonts w:hAnsi="宋体"/>
        </w:rPr>
        <w:t>(此为参考版本，以实际签订为准)</w:t>
      </w:r>
    </w:p>
    <w:p>
      <w:pPr>
        <w:pStyle w:val="5"/>
        <w:spacing w:line="360" w:lineRule="auto"/>
        <w:ind w:firstLine="0"/>
        <w:jc w:val="center"/>
        <w:rPr>
          <w:rFonts w:hAnsi="宋体"/>
        </w:rPr>
      </w:pPr>
    </w:p>
    <w:p>
      <w:pPr>
        <w:widowControl/>
        <w:jc w:val="left"/>
        <w:rPr>
          <w:kern w:val="0"/>
        </w:rPr>
      </w:pPr>
    </w:p>
    <w:p>
      <w:pPr>
        <w:rPr>
          <w:kern w:val="0"/>
        </w:rPr>
      </w:pPr>
    </w:p>
    <w:p>
      <w:pPr>
        <w:rPr>
          <w:kern w:val="0"/>
        </w:rPr>
      </w:pPr>
    </w:p>
    <w:p>
      <w:pPr>
        <w:pStyle w:val="17"/>
        <w:spacing w:after="0"/>
        <w:jc w:val="center"/>
        <w:rPr>
          <w:rFonts w:hint="eastAsia" w:asciiTheme="majorEastAsia" w:hAnsiTheme="majorEastAsia" w:eastAsiaTheme="majorEastAsia" w:cstheme="majorEastAsia"/>
          <w:b/>
          <w:bCs/>
          <w:spacing w:val="-20"/>
          <w:kern w:val="44"/>
          <w:sz w:val="44"/>
          <w:szCs w:val="44"/>
        </w:rPr>
      </w:pPr>
      <w:r>
        <w:rPr>
          <w:rFonts w:hint="eastAsia" w:asciiTheme="majorEastAsia" w:hAnsiTheme="majorEastAsia" w:eastAsiaTheme="majorEastAsia" w:cstheme="majorEastAsia"/>
          <w:b/>
          <w:bCs/>
          <w:spacing w:val="-20"/>
          <w:kern w:val="44"/>
          <w:sz w:val="44"/>
          <w:szCs w:val="44"/>
        </w:rPr>
        <w:t>政府采购</w:t>
      </w:r>
      <w:r>
        <w:rPr>
          <w:rFonts w:hint="eastAsia" w:asciiTheme="majorEastAsia" w:hAnsiTheme="majorEastAsia" w:eastAsiaTheme="majorEastAsia" w:cstheme="majorEastAsia"/>
          <w:b/>
          <w:bCs/>
          <w:spacing w:val="-20"/>
          <w:kern w:val="44"/>
          <w:sz w:val="44"/>
          <w:szCs w:val="44"/>
          <w:lang w:eastAsia="zh-CN"/>
        </w:rPr>
        <w:t>货物买卖</w:t>
      </w:r>
      <w:r>
        <w:rPr>
          <w:rFonts w:hint="eastAsia" w:asciiTheme="majorEastAsia" w:hAnsiTheme="majorEastAsia" w:eastAsiaTheme="majorEastAsia" w:cstheme="majorEastAsia"/>
          <w:b/>
          <w:bCs/>
          <w:spacing w:val="-20"/>
          <w:kern w:val="44"/>
          <w:sz w:val="44"/>
          <w:szCs w:val="44"/>
        </w:rPr>
        <w:t>合同</w:t>
      </w:r>
    </w:p>
    <w:p>
      <w:pPr>
        <w:rPr>
          <w:rFonts w:hint="eastAsia" w:asciiTheme="majorEastAsia" w:hAnsiTheme="majorEastAsia" w:eastAsiaTheme="majorEastAsia" w:cstheme="majorEastAsia"/>
          <w:b/>
          <w:bCs/>
          <w:spacing w:val="-20"/>
          <w:kern w:val="44"/>
          <w:sz w:val="40"/>
          <w:szCs w:val="40"/>
        </w:rPr>
      </w:pPr>
    </w:p>
    <w:p>
      <w:pPr>
        <w:rPr>
          <w:rFonts w:hint="eastAsia" w:asciiTheme="majorEastAsia" w:hAnsiTheme="majorEastAsia" w:eastAsiaTheme="majorEastAsia" w:cstheme="majorEastAsia"/>
          <w:b/>
          <w:bCs/>
          <w:spacing w:val="-20"/>
          <w:kern w:val="44"/>
          <w:sz w:val="40"/>
          <w:szCs w:val="40"/>
        </w:rPr>
      </w:pPr>
    </w:p>
    <w:p>
      <w:pPr>
        <w:rPr>
          <w:rFonts w:hint="eastAsia" w:asciiTheme="majorEastAsia" w:hAnsiTheme="majorEastAsia" w:eastAsiaTheme="majorEastAsia" w:cstheme="majorEastAsia"/>
          <w:b/>
          <w:bCs/>
          <w:spacing w:val="-20"/>
          <w:kern w:val="44"/>
          <w:sz w:val="40"/>
          <w:szCs w:val="40"/>
        </w:rPr>
      </w:pPr>
    </w:p>
    <w:p>
      <w:pPr>
        <w:spacing w:line="360" w:lineRule="auto"/>
        <w:ind w:left="420" w:left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kern w:val="0"/>
          <w:sz w:val="32"/>
          <w:szCs w:val="32"/>
        </w:rPr>
        <w:t>项目名称：</w:t>
      </w:r>
      <w:r>
        <w:rPr>
          <w:rFonts w:hint="eastAsia" w:asciiTheme="majorEastAsia" w:hAnsiTheme="majorEastAsia" w:eastAsiaTheme="majorEastAsia" w:cstheme="majorEastAsia"/>
          <w:sz w:val="32"/>
          <w:szCs w:val="32"/>
          <w:u w:val="single"/>
        </w:rPr>
        <w:t xml:space="preserve">                             </w:t>
      </w:r>
    </w:p>
    <w:p>
      <w:pPr>
        <w:spacing w:line="360" w:lineRule="auto"/>
        <w:ind w:left="420" w:leftChars="200"/>
        <w:rPr>
          <w:rFonts w:hint="eastAsia" w:asciiTheme="majorEastAsia" w:hAnsiTheme="majorEastAsia" w:eastAsiaTheme="majorEastAsia" w:cstheme="majorEastAsia"/>
          <w:sz w:val="32"/>
          <w:szCs w:val="32"/>
          <w:u w:val="single"/>
        </w:rPr>
      </w:pPr>
      <w:r>
        <w:rPr>
          <w:rFonts w:hint="eastAsia" w:asciiTheme="majorEastAsia" w:hAnsiTheme="majorEastAsia" w:eastAsiaTheme="majorEastAsia" w:cstheme="majorEastAsia"/>
          <w:sz w:val="32"/>
          <w:szCs w:val="32"/>
        </w:rPr>
        <w:t>合同编号：</w:t>
      </w:r>
      <w:r>
        <w:rPr>
          <w:rFonts w:hint="eastAsia" w:asciiTheme="majorEastAsia" w:hAnsiTheme="majorEastAsia" w:eastAsiaTheme="majorEastAsia" w:cstheme="majorEastAsia"/>
          <w:sz w:val="32"/>
          <w:szCs w:val="32"/>
          <w:u w:val="single"/>
        </w:rPr>
        <w:t xml:space="preserve">                             </w:t>
      </w:r>
    </w:p>
    <w:p>
      <w:pPr>
        <w:spacing w:line="360" w:lineRule="auto"/>
        <w:ind w:left="420" w:left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甲    方：</w:t>
      </w:r>
      <w:r>
        <w:rPr>
          <w:rFonts w:hint="eastAsia" w:asciiTheme="majorEastAsia" w:hAnsiTheme="majorEastAsia" w:eastAsiaTheme="majorEastAsia" w:cstheme="majorEastAsia"/>
          <w:sz w:val="32"/>
          <w:szCs w:val="32"/>
          <w:u w:val="single"/>
        </w:rPr>
        <w:t xml:space="preserve">                             </w:t>
      </w:r>
    </w:p>
    <w:p>
      <w:pPr>
        <w:spacing w:line="360" w:lineRule="auto"/>
        <w:ind w:left="420" w:leftChars="200"/>
        <w:rPr>
          <w:rFonts w:hint="eastAsia" w:asciiTheme="majorEastAsia" w:hAnsiTheme="majorEastAsia" w:eastAsiaTheme="majorEastAsia" w:cstheme="majorEastAsia"/>
          <w:sz w:val="32"/>
          <w:szCs w:val="32"/>
          <w:u w:val="single"/>
        </w:rPr>
      </w:pPr>
      <w:r>
        <w:rPr>
          <w:rFonts w:hint="eastAsia" w:asciiTheme="majorEastAsia" w:hAnsiTheme="majorEastAsia" w:eastAsiaTheme="majorEastAsia" w:cstheme="majorEastAsia"/>
          <w:sz w:val="32"/>
          <w:szCs w:val="32"/>
        </w:rPr>
        <w:t>乙    方：</w:t>
      </w:r>
      <w:r>
        <w:rPr>
          <w:rFonts w:hint="eastAsia" w:asciiTheme="majorEastAsia" w:hAnsiTheme="majorEastAsia" w:eastAsiaTheme="majorEastAsia" w:cstheme="majorEastAsia"/>
          <w:sz w:val="32"/>
          <w:szCs w:val="32"/>
          <w:u w:val="single"/>
        </w:rPr>
        <w:t xml:space="preserve">                             </w:t>
      </w:r>
    </w:p>
    <w:p>
      <w:pPr>
        <w:spacing w:line="360" w:lineRule="auto"/>
        <w:ind w:left="420" w:left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签订时间：</w:t>
      </w:r>
      <w:r>
        <w:rPr>
          <w:rFonts w:hint="eastAsia" w:asciiTheme="majorEastAsia" w:hAnsiTheme="majorEastAsia" w:eastAsiaTheme="majorEastAsia" w:cstheme="majorEastAsia"/>
          <w:sz w:val="32"/>
          <w:szCs w:val="32"/>
          <w:u w:val="single"/>
        </w:rPr>
        <w:t xml:space="preserve">                             </w:t>
      </w:r>
    </w:p>
    <w:p>
      <w:pPr>
        <w:rPr>
          <w:rFonts w:hint="eastAsia" w:asciiTheme="majorEastAsia" w:hAnsiTheme="majorEastAsia" w:eastAsiaTheme="majorEastAsia" w:cstheme="majorEastAsia"/>
        </w:rPr>
      </w:pPr>
    </w:p>
    <w:p>
      <w:pP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br w:type="page"/>
      </w:r>
    </w:p>
    <w:p>
      <w:pPr>
        <w:pStyle w:val="3"/>
        <w:adjustRightInd w:val="0"/>
        <w:snapToGrid w:val="0"/>
        <w:spacing w:beforeLines="0" w:line="400" w:lineRule="exact"/>
        <w:jc w:val="center"/>
        <w:rPr>
          <w:rFonts w:hint="eastAsia" w:asciiTheme="majorEastAsia" w:hAnsiTheme="majorEastAsia" w:eastAsiaTheme="majorEastAsia" w:cstheme="majorEastAsia"/>
          <w:b w:val="0"/>
          <w:bCs w:val="0"/>
          <w:sz w:val="24"/>
          <w:szCs w:val="24"/>
        </w:rPr>
      </w:pPr>
      <w:bookmarkStart w:id="811" w:name="_Toc22209"/>
      <w:r>
        <w:rPr>
          <w:rFonts w:hint="eastAsia" w:asciiTheme="majorEastAsia" w:hAnsiTheme="majorEastAsia" w:eastAsiaTheme="majorEastAsia" w:cstheme="majorEastAsia"/>
          <w:b w:val="0"/>
          <w:bCs w:val="0"/>
          <w:sz w:val="24"/>
          <w:szCs w:val="24"/>
        </w:rPr>
        <w:t>第一节 政府采购合同协议书</w:t>
      </w:r>
      <w:bookmarkEnd w:id="811"/>
    </w:p>
    <w:p>
      <w:pPr>
        <w:bidi w:val="0"/>
        <w:rPr>
          <w:rFonts w:hint="eastAsia" w:asciiTheme="majorEastAsia" w:hAnsiTheme="majorEastAsia" w:eastAsiaTheme="majorEastAsia" w:cstheme="majorEastAsia"/>
          <w:sz w:val="24"/>
          <w:szCs w:val="24"/>
        </w:rPr>
      </w:pPr>
    </w:p>
    <w:p>
      <w:pPr>
        <w:adjustRightInd w:val="0"/>
        <w:snapToGrid w:val="0"/>
        <w:spacing w:before="0" w:beforeLines="0" w:line="4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甲方（全称）：</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（采购人</w:t>
      </w:r>
      <w:r>
        <w:rPr>
          <w:rFonts w:hint="eastAsia" w:asciiTheme="majorEastAsia" w:hAnsiTheme="majorEastAsia" w:eastAsiaTheme="majorEastAsia" w:cstheme="majorEastAsia"/>
          <w:sz w:val="24"/>
          <w:szCs w:val="24"/>
          <w:lang w:eastAsia="zh-CN"/>
        </w:rPr>
        <w:t>、受采购人委托签订合同的单位</w:t>
      </w:r>
      <w:r>
        <w:rPr>
          <w:rFonts w:hint="eastAsia" w:asciiTheme="majorEastAsia" w:hAnsiTheme="majorEastAsia" w:eastAsiaTheme="majorEastAsia" w:cstheme="majorEastAsia"/>
          <w:sz w:val="24"/>
          <w:szCs w:val="24"/>
        </w:rPr>
        <w:t>或采购</w:t>
      </w:r>
      <w:r>
        <w:rPr>
          <w:rFonts w:hint="eastAsia" w:asciiTheme="majorEastAsia" w:hAnsiTheme="majorEastAsia" w:eastAsiaTheme="majorEastAsia" w:cstheme="majorEastAsia"/>
          <w:sz w:val="24"/>
          <w:szCs w:val="24"/>
          <w:lang w:val="en-US" w:eastAsia="zh-CN"/>
        </w:rPr>
        <w:tab/>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文件约定的合同甲方）</w:t>
      </w:r>
    </w:p>
    <w:p>
      <w:pPr>
        <w:adjustRightInd w:val="0"/>
        <w:snapToGrid w:val="0"/>
        <w:spacing w:before="0" w:beforeLines="0" w:line="4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乙方</w:t>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t>（全称）：</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（供应商）</w:t>
      </w:r>
    </w:p>
    <w:p>
      <w:pPr>
        <w:spacing w:beforeLines="0" w:line="400" w:lineRule="exact"/>
        <w:rPr>
          <w:rFonts w:hint="eastAsia" w:asciiTheme="majorEastAsia" w:hAnsiTheme="majorEastAsia" w:eastAsiaTheme="majorEastAsia" w:cstheme="majorEastAsia"/>
          <w:sz w:val="24"/>
          <w:szCs w:val="24"/>
          <w:lang w:val="en-US" w:eastAsia="zh-CN"/>
        </w:rPr>
      </w:pPr>
    </w:p>
    <w:p>
      <w:pPr>
        <w:pStyle w:val="18"/>
        <w:adjustRightInd w:val="0"/>
        <w:snapToGrid w:val="0"/>
        <w:spacing w:before="0" w:beforeLines="0" w:after="0" w:line="400" w:lineRule="exact"/>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依据《中华人民共和国民法典》</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《中华人民共和国政府采购法》等有关的法律法规，以及</w:t>
      </w:r>
      <w:r>
        <w:rPr>
          <w:rFonts w:hint="eastAsia" w:asciiTheme="majorEastAsia" w:hAnsiTheme="majorEastAsia" w:eastAsiaTheme="majorEastAsia" w:cstheme="majorEastAsia"/>
          <w:i w:val="0"/>
          <w:iCs w:val="0"/>
          <w:sz w:val="24"/>
          <w:szCs w:val="24"/>
          <w:u w:val="none"/>
          <w:lang w:eastAsia="zh-CN"/>
        </w:rPr>
        <w:t>本采购项目</w:t>
      </w:r>
      <w:r>
        <w:rPr>
          <w:rFonts w:hint="eastAsia" w:asciiTheme="majorEastAsia" w:hAnsiTheme="majorEastAsia" w:eastAsiaTheme="majorEastAsia" w:cstheme="majorEastAsia"/>
          <w:sz w:val="24"/>
          <w:szCs w:val="24"/>
        </w:rPr>
        <w:t>的</w:t>
      </w:r>
      <w:r>
        <w:rPr>
          <w:rFonts w:hint="eastAsia" w:asciiTheme="majorEastAsia" w:hAnsiTheme="majorEastAsia" w:eastAsiaTheme="majorEastAsia" w:cstheme="majorEastAsia"/>
          <w:sz w:val="24"/>
          <w:szCs w:val="24"/>
          <w:lang w:eastAsia="zh-CN"/>
        </w:rPr>
        <w:t>招标</w:t>
      </w:r>
      <w:r>
        <w:rPr>
          <w:rFonts w:hint="eastAsia" w:asciiTheme="majorEastAsia" w:hAnsiTheme="majorEastAsia" w:eastAsiaTheme="majorEastAsia" w:cstheme="majorEastAsia"/>
          <w:sz w:val="24"/>
          <w:szCs w:val="24"/>
          <w:lang w:val="en-US" w:eastAsia="zh-CN"/>
        </w:rPr>
        <w:t>/谈判</w:t>
      </w:r>
      <w:r>
        <w:rPr>
          <w:rFonts w:hint="eastAsia" w:asciiTheme="majorEastAsia" w:hAnsiTheme="majorEastAsia" w:eastAsiaTheme="majorEastAsia" w:cstheme="majorEastAsia"/>
          <w:sz w:val="24"/>
          <w:szCs w:val="24"/>
          <w:lang w:eastAsia="zh-CN"/>
        </w:rPr>
        <w:t>文件等</w:t>
      </w:r>
      <w:r>
        <w:rPr>
          <w:rFonts w:hint="eastAsia" w:asciiTheme="majorEastAsia" w:hAnsiTheme="majorEastAsia" w:eastAsiaTheme="majorEastAsia" w:cstheme="majorEastAsia"/>
          <w:sz w:val="24"/>
          <w:szCs w:val="24"/>
        </w:rPr>
        <w:t>采购文件</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 xml:space="preserve">乙方的《投标（响应）文件》及《中标（成交）通知书》，甲乙双方同意签订本合同。具体情况及要求如下：     </w:t>
      </w: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项目信息</w:t>
      </w:r>
    </w:p>
    <w:p>
      <w:pPr>
        <w:pStyle w:val="18"/>
        <w:numPr>
          <w:ilvl w:val="0"/>
          <w:numId w:val="18"/>
        </w:numPr>
        <w:adjustRightInd w:val="0"/>
        <w:snapToGrid w:val="0"/>
        <w:spacing w:before="0" w:beforeLines="0" w:after="0" w:line="400" w:lineRule="exact"/>
        <w:ind w:left="0" w:leftChars="0"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采购项目名称：</w:t>
      </w:r>
      <w:r>
        <w:rPr>
          <w:rFonts w:hint="eastAsia" w:asciiTheme="majorEastAsia" w:hAnsiTheme="majorEastAsia" w:eastAsiaTheme="majorEastAsia" w:cstheme="majorEastAsia"/>
          <w:sz w:val="24"/>
          <w:szCs w:val="24"/>
          <w:u w:val="single"/>
        </w:rPr>
        <w:t xml:space="preserve">                                          </w:t>
      </w:r>
    </w:p>
    <w:p>
      <w:pPr>
        <w:pStyle w:val="18"/>
        <w:numPr>
          <w:ilvl w:val="-1"/>
          <w:numId w:val="0"/>
        </w:numPr>
        <w:tabs>
          <w:tab w:val="left" w:pos="999"/>
        </w:tabs>
        <w:adjustRightInd w:val="0"/>
        <w:snapToGrid w:val="0"/>
        <w:spacing w:before="0" w:beforeLines="0" w:after="0" w:line="400" w:lineRule="exact"/>
        <w:ind w:left="0" w:leftChars="0" w:firstLine="0" w:firstLineChars="0"/>
        <w:rPr>
          <w:rFonts w:hint="eastAsia" w:asciiTheme="majorEastAsia" w:hAnsiTheme="majorEastAsia" w:eastAsiaTheme="majorEastAsia" w:cstheme="majorEastAsia"/>
          <w:sz w:val="24"/>
          <w:szCs w:val="24"/>
          <w:u w:val="none"/>
          <w:lang w:val="en-US" w:eastAsia="zh-CN"/>
        </w:rPr>
      </w:pPr>
      <w:r>
        <w:rPr>
          <w:rFonts w:hint="eastAsia" w:asciiTheme="majorEastAsia" w:hAnsiTheme="majorEastAsia" w:eastAsiaTheme="majorEastAsia" w:cstheme="majorEastAsia"/>
          <w:sz w:val="24"/>
          <w:szCs w:val="24"/>
          <w:u w:val="none"/>
          <w:lang w:val="en-US" w:eastAsia="zh-CN"/>
        </w:rPr>
        <w:t xml:space="preserve">         采购项目编号：</w:t>
      </w:r>
      <w:r>
        <w:rPr>
          <w:rFonts w:hint="eastAsia" w:asciiTheme="majorEastAsia" w:hAnsiTheme="majorEastAsia" w:eastAsiaTheme="majorEastAsia" w:cstheme="majorEastAsia"/>
          <w:sz w:val="24"/>
          <w:szCs w:val="24"/>
          <w:u w:val="single"/>
        </w:rPr>
        <w:t xml:space="preserve">                                          </w:t>
      </w:r>
    </w:p>
    <w:p>
      <w:pPr>
        <w:pStyle w:val="18"/>
        <w:adjustRightInd w:val="0"/>
        <w:snapToGrid w:val="0"/>
        <w:spacing w:before="0" w:beforeLines="0" w:after="0" w:line="400" w:lineRule="exact"/>
        <w:ind w:left="0" w:leftChars="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（2）采购计划编号：</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（3）项目内容：</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lang w:eastAsia="zh-CN"/>
        </w:rPr>
        <w:t>采购标的及数量</w:t>
      </w:r>
      <w:r>
        <w:rPr>
          <w:rFonts w:hint="eastAsia" w:asciiTheme="majorEastAsia" w:hAnsiTheme="majorEastAsia" w:eastAsiaTheme="majorEastAsia" w:cstheme="majorEastAsia"/>
          <w:sz w:val="24"/>
          <w:szCs w:val="24"/>
          <w:lang w:val="en-US" w:eastAsia="zh-CN"/>
        </w:rPr>
        <w:t>（台/套</w:t>
      </w:r>
      <w:r>
        <w:rPr>
          <w:rFonts w:hint="eastAsia" w:asciiTheme="majorEastAsia" w:hAnsiTheme="majorEastAsia" w:eastAsiaTheme="majorEastAsia" w:cstheme="majorEastAsia"/>
          <w:sz w:val="24"/>
          <w:szCs w:val="24"/>
          <w:lang w:val="en" w:eastAsia="zh-CN"/>
        </w:rPr>
        <w:t>/个/架/组等</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lang w:val="en-US" w:eastAsia="zh-CN"/>
        </w:rPr>
        <w:t xml:space="preserve"> </w:t>
      </w:r>
    </w:p>
    <w:p>
      <w:pPr>
        <w:numPr>
          <w:ilvl w:val="-1"/>
          <w:numId w:val="0"/>
        </w:num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lang w:val="en" w:eastAsia="zh-CN"/>
        </w:rPr>
      </w:pPr>
      <w:r>
        <w:rPr>
          <w:rFonts w:hint="eastAsia" w:asciiTheme="majorEastAsia" w:hAnsiTheme="majorEastAsia" w:eastAsiaTheme="majorEastAsia" w:cstheme="majorEastAsia"/>
          <w:sz w:val="24"/>
          <w:szCs w:val="24"/>
          <w:highlight w:val="none"/>
          <w:u w:val="none"/>
          <w:lang w:val="en-US" w:eastAsia="zh-CN"/>
        </w:rPr>
        <w:t xml:space="preserve">     </w:t>
      </w:r>
      <w:r>
        <w:rPr>
          <w:rFonts w:hint="eastAsia" w:asciiTheme="majorEastAsia" w:hAnsiTheme="majorEastAsia" w:eastAsiaTheme="majorEastAsia" w:cstheme="majorEastAsia"/>
          <w:sz w:val="24"/>
          <w:szCs w:val="24"/>
          <w:lang w:val="en-US" w:eastAsia="zh-CN"/>
        </w:rPr>
        <w:t>品牌：</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lang w:val="en"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lang w:val="en"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 w:eastAsia="zh-CN"/>
        </w:rPr>
        <w:t xml:space="preserve">     </w:t>
      </w:r>
      <w:r>
        <w:rPr>
          <w:rFonts w:hint="eastAsia" w:asciiTheme="majorEastAsia" w:hAnsiTheme="majorEastAsia" w:eastAsiaTheme="majorEastAsia" w:cstheme="majorEastAsia"/>
          <w:sz w:val="24"/>
          <w:szCs w:val="24"/>
          <w:lang w:val="en-US" w:eastAsia="zh-CN"/>
        </w:rPr>
        <w:t>规格型号：</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lang w:val="en" w:eastAsia="zh-CN"/>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lang w:val="en" w:eastAsia="zh-CN"/>
        </w:rPr>
        <w:t xml:space="preserve">   </w:t>
      </w:r>
    </w:p>
    <w:p>
      <w:pPr>
        <w:adjustRightInd w:val="0"/>
        <w:snapToGrid w:val="0"/>
        <w:spacing w:before="0" w:beforeLines="0" w:line="400" w:lineRule="exact"/>
        <w:ind w:firstLine="1080" w:firstLineChars="45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none"/>
          <w:lang w:val="en-US" w:eastAsia="zh-CN"/>
        </w:rPr>
        <w:t>采购标的的技术要求、商务要求具体见附件。</w:t>
      </w:r>
    </w:p>
    <w:p>
      <w:pPr>
        <w:numPr>
          <w:ilvl w:val="-1"/>
          <w:numId w:val="0"/>
        </w:numPr>
        <w:adjustRightInd w:val="0"/>
        <w:snapToGrid w:val="0"/>
        <w:spacing w:before="0" w:beforeLines="0" w:line="400" w:lineRule="exact"/>
        <w:ind w:firstLine="1080" w:firstLineChars="45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①涉及信息类产品，请填写该产品关键部件的品牌、型号：</w:t>
      </w:r>
    </w:p>
    <w:p>
      <w:pPr>
        <w:numPr>
          <w:ilvl w:val="-1"/>
          <w:numId w:val="0"/>
        </w:numPr>
        <w:adjustRightInd w:val="0"/>
        <w:snapToGrid w:val="0"/>
        <w:spacing w:before="0" w:beforeLines="0" w:line="400" w:lineRule="exact"/>
        <w:ind w:firstLine="480" w:firstLineChars="200"/>
        <w:rPr>
          <w:rFonts w:hint="eastAsia" w:asciiTheme="majorEastAsia" w:hAnsiTheme="majorEastAsia" w:eastAsiaTheme="majorEastAsia" w:cstheme="majorEastAsia"/>
          <w:kern w:val="0"/>
          <w:sz w:val="24"/>
          <w:szCs w:val="24"/>
          <w:u w:val="single"/>
          <w:lang w:val="en-US" w:eastAsia="zh-CN"/>
        </w:rPr>
      </w:pPr>
      <w:r>
        <w:rPr>
          <w:rFonts w:hint="eastAsia" w:asciiTheme="majorEastAsia" w:hAnsiTheme="majorEastAsia" w:eastAsiaTheme="majorEastAsia" w:cstheme="majorEastAsia"/>
          <w:sz w:val="24"/>
          <w:szCs w:val="24"/>
          <w:lang w:val="en-US" w:eastAsia="zh-CN"/>
        </w:rPr>
        <w:t xml:space="preserve">     标的名称：</w:t>
      </w:r>
      <w:r>
        <w:rPr>
          <w:rFonts w:hint="eastAsia" w:asciiTheme="majorEastAsia" w:hAnsiTheme="majorEastAsia" w:eastAsiaTheme="majorEastAsia" w:cstheme="majorEastAsia"/>
          <w:kern w:val="0"/>
          <w:sz w:val="24"/>
          <w:szCs w:val="24"/>
          <w:u w:val="single"/>
          <w:lang w:val="en-US" w:eastAsia="zh-CN"/>
        </w:rPr>
        <w:t xml:space="preserve">      </w:t>
      </w:r>
      <w:r>
        <w:rPr>
          <w:rFonts w:hint="eastAsia" w:asciiTheme="majorEastAsia" w:hAnsiTheme="majorEastAsia" w:eastAsiaTheme="majorEastAsia" w:cstheme="majorEastAsia"/>
          <w:kern w:val="0"/>
          <w:sz w:val="24"/>
          <w:szCs w:val="24"/>
          <w:u w:val="single"/>
          <w:lang w:val="en" w:eastAsia="zh-CN"/>
        </w:rPr>
        <w:t xml:space="preserve">               </w:t>
      </w:r>
      <w:r>
        <w:rPr>
          <w:rFonts w:hint="eastAsia" w:asciiTheme="majorEastAsia" w:hAnsiTheme="majorEastAsia" w:eastAsiaTheme="majorEastAsia" w:cstheme="majorEastAsia"/>
          <w:kern w:val="0"/>
          <w:sz w:val="24"/>
          <w:szCs w:val="24"/>
          <w:u w:val="single"/>
          <w:lang w:val="en-US" w:eastAsia="zh-CN"/>
        </w:rPr>
        <w:t xml:space="preserve">    </w:t>
      </w:r>
    </w:p>
    <w:p>
      <w:pPr>
        <w:numPr>
          <w:ilvl w:val="-1"/>
          <w:numId w:val="0"/>
        </w:num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关键部件：</w:t>
      </w:r>
      <w:r>
        <w:rPr>
          <w:rFonts w:hint="eastAsia" w:asciiTheme="majorEastAsia" w:hAnsiTheme="majorEastAsia" w:eastAsiaTheme="majorEastAsia" w:cstheme="majorEastAsia"/>
          <w:kern w:val="0"/>
          <w:sz w:val="24"/>
          <w:szCs w:val="24"/>
          <w:u w:val="single"/>
          <w:lang w:val="en-US" w:eastAsia="zh-CN"/>
        </w:rPr>
        <w:t xml:space="preserve">          </w:t>
      </w:r>
      <w:r>
        <w:rPr>
          <w:rFonts w:hint="eastAsia" w:asciiTheme="majorEastAsia" w:hAnsiTheme="majorEastAsia" w:eastAsiaTheme="majorEastAsia" w:cstheme="majorEastAsia"/>
          <w:kern w:val="0"/>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品牌：</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型号：</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lang w:val="en-US" w:eastAsia="zh-CN"/>
        </w:rPr>
        <w:t xml:space="preserve"> </w:t>
      </w:r>
    </w:p>
    <w:p>
      <w:pPr>
        <w:pStyle w:val="54"/>
        <w:spacing w:beforeLine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kern w:val="2"/>
          <w:sz w:val="24"/>
          <w:szCs w:val="24"/>
          <w:lang w:val="en-US" w:eastAsia="zh-CN"/>
        </w:rPr>
        <w:t>关键部件</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品牌：</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型号：</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lang w:val="en-US" w:eastAsia="zh-CN"/>
        </w:rPr>
        <w:t xml:space="preserve"> </w:t>
      </w:r>
    </w:p>
    <w:p>
      <w:pPr>
        <w:pStyle w:val="54"/>
        <w:spacing w:beforeLine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关键部件：</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品牌：</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型号：</w:t>
      </w:r>
      <w:r>
        <w:rPr>
          <w:rFonts w:hint="eastAsia" w:asciiTheme="majorEastAsia" w:hAnsiTheme="majorEastAsia" w:eastAsiaTheme="majorEastAsia" w:cstheme="majorEastAsia"/>
          <w:sz w:val="24"/>
          <w:szCs w:val="24"/>
          <w:u w:val="single"/>
          <w:lang w:val="en-US" w:eastAsia="zh-CN"/>
        </w:rPr>
        <w:t xml:space="preserve">       </w:t>
      </w:r>
    </w:p>
    <w:p>
      <w:pPr>
        <w:pStyle w:val="54"/>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pPr>
        <w:pStyle w:val="54"/>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iCs w:val="0"/>
          <w:sz w:val="24"/>
          <w:szCs w:val="24"/>
          <w:lang w:val="en-US" w:eastAsia="zh-CN"/>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iCs w:val="0"/>
          <w:sz w:val="24"/>
          <w:szCs w:val="24"/>
          <w:lang w:val="en-US" w:eastAsia="zh-CN"/>
        </w:rPr>
        <w:t>（</w:t>
      </w:r>
      <w:r>
        <w:rPr>
          <w:rFonts w:hint="eastAsia" w:asciiTheme="majorEastAsia" w:hAnsiTheme="majorEastAsia" w:eastAsiaTheme="majorEastAsia" w:cstheme="majorEastAsia"/>
          <w:iCs w:val="0"/>
          <w:sz w:val="24"/>
          <w:szCs w:val="24"/>
          <w:lang w:val="en" w:eastAsia="zh-CN"/>
        </w:rPr>
        <w:t>4</w:t>
      </w:r>
      <w:r>
        <w:rPr>
          <w:rFonts w:hint="eastAsia" w:asciiTheme="majorEastAsia" w:hAnsiTheme="majorEastAsia" w:eastAsiaTheme="majorEastAsia" w:cstheme="majorEastAsia"/>
          <w:iCs w:val="0"/>
          <w:sz w:val="24"/>
          <w:szCs w:val="24"/>
          <w:lang w:val="en-US" w:eastAsia="zh-CN"/>
        </w:rPr>
        <w:t>）政府采购组织形式：</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政府集中采购</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val="en-US" w:eastAsia="zh-CN"/>
        </w:rPr>
        <w:t xml:space="preserve">部门集中采购  </w:t>
      </w:r>
      <w:r>
        <w:rPr>
          <w:rFonts w:hint="eastAsia" w:asciiTheme="majorEastAsia" w:hAnsiTheme="majorEastAsia" w:eastAsiaTheme="majorEastAsia" w:cstheme="majorEastAsia"/>
          <w:iCs w:val="0"/>
          <w:sz w:val="24"/>
          <w:szCs w:val="24"/>
        </w:rPr>
        <w:sym w:font="Wingdings" w:char="00FE"/>
      </w:r>
      <w:r>
        <w:rPr>
          <w:rFonts w:hint="eastAsia" w:asciiTheme="majorEastAsia" w:hAnsiTheme="majorEastAsia" w:eastAsiaTheme="majorEastAsia" w:cstheme="majorEastAsia"/>
          <w:iCs w:val="0"/>
          <w:sz w:val="24"/>
          <w:szCs w:val="24"/>
          <w:lang w:val="en-US" w:eastAsia="zh-CN"/>
        </w:rPr>
        <w:t>分散采购</w:t>
      </w:r>
    </w:p>
    <w:p>
      <w:pPr>
        <w:pStyle w:val="54"/>
        <w:numPr>
          <w:ilvl w:val="-1"/>
          <w:numId w:val="0"/>
        </w:numPr>
        <w:adjustRightInd w:val="0"/>
        <w:snapToGrid w:val="0"/>
        <w:spacing w:before="0" w:beforeLines="0" w:line="400" w:lineRule="exact"/>
        <w:ind w:left="0" w:firstLine="420" w:firstLineChars="0"/>
        <w:rPr>
          <w:rFonts w:hint="eastAsia" w:asciiTheme="majorEastAsia" w:hAnsiTheme="majorEastAsia" w:eastAsiaTheme="majorEastAsia" w:cstheme="majorEastAsia"/>
          <w:iCs w:val="0"/>
          <w:sz w:val="24"/>
          <w:szCs w:val="24"/>
          <w:lang w:eastAsia="zh-CN"/>
        </w:rPr>
      </w:pPr>
      <w:r>
        <w:rPr>
          <w:rFonts w:hint="eastAsia" w:asciiTheme="majorEastAsia" w:hAnsiTheme="majorEastAsia" w:eastAsiaTheme="majorEastAsia" w:cstheme="majorEastAsia"/>
          <w:iCs w:val="0"/>
          <w:sz w:val="24"/>
          <w:szCs w:val="24"/>
          <w:lang w:val="en-US" w:eastAsia="zh-CN"/>
        </w:rPr>
        <w:t>（</w:t>
      </w:r>
      <w:r>
        <w:rPr>
          <w:rFonts w:hint="eastAsia" w:asciiTheme="majorEastAsia" w:hAnsiTheme="majorEastAsia" w:eastAsiaTheme="majorEastAsia" w:cstheme="majorEastAsia"/>
          <w:iCs w:val="0"/>
          <w:sz w:val="24"/>
          <w:szCs w:val="24"/>
          <w:lang w:val="en" w:eastAsia="zh-CN"/>
        </w:rPr>
        <w:t>5</w:t>
      </w:r>
      <w:r>
        <w:rPr>
          <w:rFonts w:hint="eastAsia" w:asciiTheme="majorEastAsia" w:hAnsiTheme="majorEastAsia" w:eastAsiaTheme="majorEastAsia" w:cstheme="majorEastAsia"/>
          <w:iCs w:val="0"/>
          <w:sz w:val="24"/>
          <w:szCs w:val="24"/>
          <w:lang w:val="en-US" w:eastAsia="zh-CN"/>
        </w:rPr>
        <w:t>）政府采购方式：</w:t>
      </w:r>
      <w:r>
        <w:rPr>
          <w:rFonts w:hint="eastAsia" w:asciiTheme="majorEastAsia" w:hAnsiTheme="majorEastAsia" w:eastAsiaTheme="majorEastAsia" w:cstheme="majorEastAsia"/>
          <w:iCs w:val="0"/>
          <w:sz w:val="24"/>
          <w:szCs w:val="24"/>
        </w:rPr>
        <w:sym w:font="Wingdings" w:char="00FE"/>
      </w:r>
      <w:r>
        <w:rPr>
          <w:rFonts w:hint="eastAsia" w:asciiTheme="majorEastAsia" w:hAnsiTheme="majorEastAsia" w:eastAsiaTheme="majorEastAsia" w:cstheme="majorEastAsia"/>
          <w:iCs w:val="0"/>
          <w:sz w:val="24"/>
          <w:szCs w:val="24"/>
          <w:lang w:eastAsia="zh-CN"/>
        </w:rPr>
        <w:t>公开招标</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邀请招标</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竞争性谈判</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竞争性磋商</w:t>
      </w:r>
    </w:p>
    <w:p>
      <w:pPr>
        <w:pStyle w:val="54"/>
        <w:numPr>
          <w:ilvl w:val="-1"/>
          <w:numId w:val="0"/>
        </w:numPr>
        <w:adjustRightInd w:val="0"/>
        <w:snapToGrid w:val="0"/>
        <w:spacing w:before="0" w:beforeLines="0" w:line="400" w:lineRule="exact"/>
        <w:ind w:left="0" w:firstLine="420" w:firstLineChars="0"/>
        <w:rPr>
          <w:rFonts w:hint="eastAsia" w:asciiTheme="majorEastAsia" w:hAnsiTheme="majorEastAsia" w:eastAsiaTheme="majorEastAsia" w:cstheme="majorEastAsia"/>
          <w:iCs w:val="0"/>
          <w:sz w:val="24"/>
          <w:szCs w:val="24"/>
          <w:u w:val="single"/>
          <w:lang w:val="en-US" w:eastAsia="zh-CN"/>
        </w:rPr>
      </w:pP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询价</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单一来源</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框架协议</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其他：</w:t>
      </w:r>
      <w:r>
        <w:rPr>
          <w:rFonts w:hint="eastAsia" w:asciiTheme="majorEastAsia" w:hAnsiTheme="majorEastAsia" w:eastAsiaTheme="majorEastAsia" w:cstheme="majorEastAsia"/>
          <w:iCs w:val="0"/>
          <w:sz w:val="24"/>
          <w:szCs w:val="24"/>
          <w:u w:val="single"/>
          <w:lang w:val="en-US" w:eastAsia="zh-CN"/>
        </w:rPr>
        <w:t xml:space="preserve">          </w:t>
      </w:r>
    </w:p>
    <w:p>
      <w:pPr>
        <w:pStyle w:val="54"/>
        <w:numPr>
          <w:ilvl w:val="-1"/>
          <w:numId w:val="0"/>
        </w:numPr>
        <w:adjustRightInd w:val="0"/>
        <w:snapToGrid w:val="0"/>
        <w:spacing w:before="0" w:beforeLines="0" w:line="400" w:lineRule="exact"/>
        <w:ind w:left="0" w:firstLine="420" w:firstLineChars="0"/>
        <w:rPr>
          <w:rFonts w:hint="eastAsia" w:asciiTheme="majorEastAsia" w:hAnsiTheme="majorEastAsia" w:eastAsiaTheme="majorEastAsia" w:cstheme="majorEastAsia"/>
          <w:iCs w:val="0"/>
          <w:sz w:val="24"/>
          <w:szCs w:val="24"/>
          <w:u w:val="none"/>
          <w:lang w:val="en-US" w:eastAsia="zh-CN"/>
        </w:rPr>
      </w:pPr>
      <w:r>
        <w:rPr>
          <w:rFonts w:hint="eastAsia" w:asciiTheme="majorEastAsia" w:hAnsiTheme="majorEastAsia" w:eastAsiaTheme="majorEastAsia" w:cstheme="majorEastAsia"/>
          <w:iCs w:val="0"/>
          <w:sz w:val="24"/>
          <w:szCs w:val="24"/>
          <w:u w:val="none"/>
          <w:lang w:val="en-US" w:eastAsia="zh-CN"/>
        </w:rPr>
        <w:t>（注：在框架协议采购的第二阶段，可选择使用该合同文本）</w:t>
      </w:r>
    </w:p>
    <w:p>
      <w:pPr>
        <w:pStyle w:val="54"/>
        <w:numPr>
          <w:ilvl w:val="-1"/>
          <w:numId w:val="0"/>
        </w:numPr>
        <w:adjustRightInd w:val="0"/>
        <w:snapToGrid w:val="0"/>
        <w:spacing w:before="0" w:beforeLines="0" w:line="400" w:lineRule="exact"/>
        <w:ind w:firstLine="240" w:firstLineChars="100"/>
        <w:rPr>
          <w:rFonts w:hint="eastAsia" w:asciiTheme="majorEastAsia" w:hAnsiTheme="majorEastAsia" w:eastAsiaTheme="majorEastAsia" w:cstheme="majorEastAsia"/>
          <w:w w:val="100"/>
          <w:kern w:val="2"/>
          <w:sz w:val="24"/>
          <w:szCs w:val="24"/>
          <w:lang w:val="en-US" w:eastAsia="zh-CN" w:bidi="ar-SA"/>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lang w:val="en" w:eastAsia="zh-CN"/>
        </w:rPr>
        <w:t>6</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w w:val="100"/>
          <w:kern w:val="2"/>
          <w:sz w:val="24"/>
          <w:szCs w:val="24"/>
          <w:lang w:val="en-US" w:eastAsia="zh-CN" w:bidi="ar-SA"/>
        </w:rPr>
        <w:t>中标（成交）采购标的制造商是否为中小企业：</w:t>
      </w:r>
      <w:r>
        <w:rPr>
          <w:rFonts w:hint="eastAsia" w:asciiTheme="majorEastAsia" w:hAnsiTheme="majorEastAsia" w:eastAsiaTheme="majorEastAsia" w:cstheme="majorEastAsia"/>
          <w:w w:val="100"/>
          <w:kern w:val="2"/>
          <w:sz w:val="24"/>
          <w:szCs w:val="24"/>
          <w:lang w:val="en-US" w:eastAsia="zh-CN" w:bidi="ar-SA"/>
        </w:rPr>
        <w:sym w:font="Wingdings" w:char="00A8"/>
      </w:r>
      <w:r>
        <w:rPr>
          <w:rFonts w:hint="eastAsia" w:asciiTheme="majorEastAsia" w:hAnsiTheme="majorEastAsia" w:eastAsiaTheme="majorEastAsia" w:cstheme="majorEastAsia"/>
          <w:w w:val="100"/>
          <w:kern w:val="2"/>
          <w:sz w:val="24"/>
          <w:szCs w:val="24"/>
          <w:lang w:val="en-US" w:eastAsia="zh-CN" w:bidi="ar-SA"/>
        </w:rPr>
        <w:t xml:space="preserve">是      </w:t>
      </w:r>
      <w:r>
        <w:rPr>
          <w:rFonts w:hint="eastAsia" w:asciiTheme="majorEastAsia" w:hAnsiTheme="majorEastAsia" w:eastAsiaTheme="majorEastAsia" w:cstheme="majorEastAsia"/>
          <w:w w:val="100"/>
          <w:kern w:val="2"/>
          <w:sz w:val="24"/>
          <w:szCs w:val="24"/>
          <w:lang w:val="en-US" w:eastAsia="zh-CN" w:bidi="ar-SA"/>
        </w:rPr>
        <w:sym w:font="Wingdings" w:char="00A8"/>
      </w:r>
      <w:r>
        <w:rPr>
          <w:rFonts w:hint="eastAsia" w:asciiTheme="majorEastAsia" w:hAnsiTheme="majorEastAsia" w:eastAsiaTheme="majorEastAsia" w:cstheme="majorEastAsia"/>
          <w:w w:val="100"/>
          <w:kern w:val="2"/>
          <w:sz w:val="24"/>
          <w:szCs w:val="24"/>
          <w:lang w:val="en-US" w:eastAsia="zh-CN" w:bidi="ar-SA"/>
        </w:rPr>
        <w:t>否</w:t>
      </w:r>
    </w:p>
    <w:p>
      <w:pPr>
        <w:numPr>
          <w:ilvl w:val="-1"/>
          <w:numId w:val="0"/>
        </w:numPr>
        <w:adjustRightInd w:val="0"/>
        <w:snapToGrid w:val="0"/>
        <w:spacing w:before="0" w:beforeLines="0" w:line="400" w:lineRule="exact"/>
        <w:ind w:left="0" w:leftChars="0" w:firstLine="0" w:firstLineChars="0"/>
        <w:rPr>
          <w:rFonts w:hint="eastAsia" w:asciiTheme="majorEastAsia" w:hAnsiTheme="majorEastAsia" w:eastAsiaTheme="majorEastAsia" w:cstheme="majorEastAsia"/>
          <w:iCs/>
          <w:sz w:val="24"/>
          <w:szCs w:val="24"/>
        </w:rPr>
      </w:pPr>
      <w:r>
        <w:rPr>
          <w:rFonts w:hint="eastAsia" w:asciiTheme="majorEastAsia" w:hAnsiTheme="majorEastAsia" w:eastAsiaTheme="majorEastAsia" w:cstheme="majorEastAsia"/>
          <w:w w:val="100"/>
          <w:sz w:val="24"/>
          <w:szCs w:val="24"/>
          <w:lang w:val="en-US" w:eastAsia="zh-CN"/>
        </w:rPr>
        <w:t xml:space="preserve">         本合同</w:t>
      </w:r>
      <w:r>
        <w:rPr>
          <w:rFonts w:hint="eastAsia" w:asciiTheme="majorEastAsia" w:hAnsiTheme="majorEastAsia" w:eastAsiaTheme="majorEastAsia" w:cstheme="majorEastAsia"/>
          <w:w w:val="100"/>
          <w:sz w:val="24"/>
          <w:szCs w:val="24"/>
        </w:rPr>
        <w:t>是否</w:t>
      </w:r>
      <w:r>
        <w:rPr>
          <w:rFonts w:hint="eastAsia" w:asciiTheme="majorEastAsia" w:hAnsiTheme="majorEastAsia" w:eastAsiaTheme="majorEastAsia" w:cstheme="majorEastAsia"/>
          <w:w w:val="100"/>
          <w:sz w:val="24"/>
          <w:szCs w:val="24"/>
          <w:lang w:eastAsia="zh-CN"/>
        </w:rPr>
        <w:t>为专门面向</w:t>
      </w:r>
      <w:r>
        <w:rPr>
          <w:rFonts w:hint="eastAsia" w:asciiTheme="majorEastAsia" w:hAnsiTheme="majorEastAsia" w:eastAsiaTheme="majorEastAsia" w:cstheme="majorEastAsia"/>
          <w:w w:val="100"/>
          <w:sz w:val="24"/>
          <w:szCs w:val="24"/>
        </w:rPr>
        <w:t>中小企业</w:t>
      </w:r>
      <w:r>
        <w:rPr>
          <w:rFonts w:hint="eastAsia" w:asciiTheme="majorEastAsia" w:hAnsiTheme="majorEastAsia" w:eastAsiaTheme="majorEastAsia" w:cstheme="majorEastAsia"/>
          <w:w w:val="100"/>
          <w:sz w:val="24"/>
          <w:szCs w:val="24"/>
          <w:lang w:eastAsia="zh-CN"/>
        </w:rPr>
        <w:t>的采</w:t>
      </w:r>
      <w:r>
        <w:rPr>
          <w:rFonts w:hint="eastAsia" w:asciiTheme="majorEastAsia" w:hAnsiTheme="majorEastAsia" w:eastAsiaTheme="majorEastAsia" w:cstheme="majorEastAsia"/>
          <w:w w:val="100"/>
          <w:sz w:val="24"/>
          <w:szCs w:val="24"/>
          <w:shd w:val="clear"/>
          <w:lang w:eastAsia="zh-CN"/>
        </w:rPr>
        <w:t>购</w:t>
      </w:r>
      <w:r>
        <w:rPr>
          <w:rFonts w:hint="eastAsia" w:asciiTheme="majorEastAsia" w:hAnsiTheme="majorEastAsia" w:eastAsiaTheme="majorEastAsia" w:cstheme="majorEastAsia"/>
          <w:w w:val="100"/>
          <w:sz w:val="24"/>
          <w:szCs w:val="24"/>
          <w:shd w:val="clear"/>
        </w:rPr>
        <w:t>合同</w:t>
      </w:r>
      <w:r>
        <w:rPr>
          <w:rFonts w:hint="eastAsia" w:asciiTheme="majorEastAsia" w:hAnsiTheme="majorEastAsia" w:eastAsiaTheme="majorEastAsia" w:cstheme="majorEastAsia"/>
          <w:w w:val="100"/>
          <w:sz w:val="24"/>
          <w:szCs w:val="24"/>
          <w:shd w:val="clear"/>
          <w:lang w:eastAsia="zh-CN"/>
        </w:rPr>
        <w:t>（中小企业预留合同）</w:t>
      </w:r>
      <w:r>
        <w:rPr>
          <w:rFonts w:hint="eastAsia" w:asciiTheme="majorEastAsia" w:hAnsiTheme="majorEastAsia" w:eastAsiaTheme="majorEastAsia" w:cstheme="majorEastAsia"/>
          <w:sz w:val="24"/>
          <w:szCs w:val="24"/>
          <w:shd w:val="clear"/>
        </w:rPr>
        <w:t>：</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是 </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否</w:t>
      </w:r>
    </w:p>
    <w:p>
      <w:pPr>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iCs/>
          <w:sz w:val="24"/>
          <w:szCs w:val="24"/>
        </w:rPr>
      </w:pPr>
      <w:r>
        <w:rPr>
          <w:rFonts w:hint="eastAsia" w:asciiTheme="majorEastAsia" w:hAnsiTheme="majorEastAsia" w:eastAsiaTheme="majorEastAsia" w:cstheme="majorEastAsia"/>
          <w:sz w:val="24"/>
          <w:szCs w:val="24"/>
          <w:lang w:val="en-US" w:eastAsia="zh-CN"/>
        </w:rPr>
        <w:t xml:space="preserve">         若本项目不专门面向中小企业采购，是否给予小微企业评审优惠：</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是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否</w:t>
      </w:r>
    </w:p>
    <w:p>
      <w:pPr>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iCs/>
          <w:sz w:val="24"/>
          <w:szCs w:val="24"/>
        </w:rPr>
      </w:pPr>
      <w:r>
        <w:rPr>
          <w:rFonts w:hint="eastAsia" w:asciiTheme="majorEastAsia" w:hAnsiTheme="majorEastAsia" w:eastAsiaTheme="majorEastAsia" w:cstheme="majorEastAsia"/>
          <w:sz w:val="24"/>
          <w:szCs w:val="24"/>
          <w:lang w:val="en-US" w:eastAsia="zh-CN"/>
        </w:rPr>
        <w:t xml:space="preserve">         中标（成交）采购标的制造商是否为残疾人福利性单位：</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是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否</w:t>
      </w:r>
    </w:p>
    <w:p>
      <w:pPr>
        <w:numPr>
          <w:ilvl w:val="0"/>
          <w:numId w:val="0"/>
        </w:numPr>
        <w:snapToGrid w:val="0"/>
        <w:spacing w:beforeLines="0" w:line="400" w:lineRule="exact"/>
        <w:ind w:firstLine="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中标（成交）采购标的制造商是否为监狱企业：</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是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否</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 w:eastAsia="zh-CN"/>
        </w:rPr>
        <w:t>7</w:t>
      </w:r>
      <w:r>
        <w:rPr>
          <w:rFonts w:hint="eastAsia" w:asciiTheme="majorEastAsia" w:hAnsiTheme="majorEastAsia" w:eastAsiaTheme="majorEastAsia" w:cstheme="majorEastAsia"/>
          <w:sz w:val="24"/>
          <w:szCs w:val="24"/>
        </w:rPr>
        <w:t>）合同是否分包：</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是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分包主要内容：</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firstLine="960" w:firstLineChars="4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u w:val="none"/>
          <w:lang w:val="en-US" w:eastAsia="zh-CN"/>
        </w:rPr>
        <w:t xml:space="preserve"> </w:t>
      </w:r>
      <w:r>
        <w:rPr>
          <w:rFonts w:hint="eastAsia" w:asciiTheme="majorEastAsia" w:hAnsiTheme="majorEastAsia" w:eastAsiaTheme="majorEastAsia" w:cstheme="majorEastAsia"/>
          <w:sz w:val="24"/>
          <w:szCs w:val="24"/>
        </w:rPr>
        <w:t>分包</w:t>
      </w:r>
      <w:r>
        <w:rPr>
          <w:rFonts w:hint="eastAsia" w:asciiTheme="majorEastAsia" w:hAnsiTheme="majorEastAsia" w:eastAsiaTheme="majorEastAsia" w:cstheme="majorEastAsia"/>
          <w:sz w:val="24"/>
          <w:szCs w:val="24"/>
          <w:highlight w:val="none"/>
        </w:rPr>
        <w:t>供应商</w:t>
      </w:r>
      <w:r>
        <w:rPr>
          <w:rFonts w:hint="eastAsia" w:asciiTheme="majorEastAsia" w:hAnsiTheme="majorEastAsia" w:eastAsiaTheme="majorEastAsia" w:cstheme="majorEastAsia"/>
          <w:sz w:val="24"/>
          <w:szCs w:val="24"/>
          <w:highlight w:val="none"/>
          <w:lang w:eastAsia="zh-CN"/>
        </w:rPr>
        <w:t>/制造商</w:t>
      </w:r>
      <w:r>
        <w:rPr>
          <w:rFonts w:hint="eastAsia" w:asciiTheme="majorEastAsia" w:hAnsiTheme="majorEastAsia" w:eastAsiaTheme="majorEastAsia" w:cstheme="majorEastAsia"/>
          <w:sz w:val="24"/>
          <w:szCs w:val="24"/>
          <w:highlight w:val="none"/>
        </w:rPr>
        <w:t>名称</w:t>
      </w:r>
      <w:r>
        <w:rPr>
          <w:rFonts w:hint="eastAsia" w:asciiTheme="majorEastAsia" w:hAnsiTheme="majorEastAsia" w:eastAsiaTheme="majorEastAsia" w:cstheme="majorEastAsia"/>
          <w:sz w:val="24"/>
          <w:szCs w:val="24"/>
          <w:highlight w:val="none"/>
          <w:lang w:eastAsia="zh-CN"/>
        </w:rPr>
        <w:t>（如供应商和制造商不同，请分别填写）</w:t>
      </w:r>
      <w:r>
        <w:rPr>
          <w:rFonts w:hint="eastAsia" w:asciiTheme="majorEastAsia" w:hAnsiTheme="majorEastAsia" w:eastAsiaTheme="majorEastAsia" w:cstheme="majorEastAsia"/>
          <w:sz w:val="24"/>
          <w:szCs w:val="24"/>
          <w:highlight w:val="none"/>
        </w:rPr>
        <w:t>：</w:t>
      </w:r>
    </w:p>
    <w:p>
      <w:pPr>
        <w:adjustRightInd w:val="0"/>
        <w:snapToGrid w:val="0"/>
        <w:spacing w:before="0" w:beforeLines="0" w:line="400" w:lineRule="exact"/>
        <w:ind w:firstLine="960" w:firstLineChars="40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non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p>
    <w:p>
      <w:pPr>
        <w:adjustRightInd w:val="0"/>
        <w:snapToGrid w:val="0"/>
        <w:spacing w:before="0" w:beforeLines="0" w:line="400" w:lineRule="exact"/>
        <w:ind w:firstLine="960" w:firstLineChars="4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highlight w:val="none"/>
          <w:lang w:val="en-US" w:eastAsia="zh-CN"/>
        </w:rPr>
        <w:t xml:space="preserve"> </w:t>
      </w:r>
      <w:r>
        <w:rPr>
          <w:rFonts w:hint="eastAsia" w:asciiTheme="majorEastAsia" w:hAnsiTheme="majorEastAsia" w:eastAsiaTheme="majorEastAsia" w:cstheme="majorEastAsia"/>
          <w:sz w:val="24"/>
          <w:szCs w:val="24"/>
          <w:highlight w:val="none"/>
        </w:rPr>
        <w:t>分包供应商</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lang w:eastAsia="zh-CN"/>
        </w:rPr>
        <w:t>制造商</w:t>
      </w:r>
      <w:r>
        <w:rPr>
          <w:rFonts w:hint="eastAsia" w:asciiTheme="majorEastAsia" w:hAnsiTheme="majorEastAsia" w:eastAsiaTheme="majorEastAsia" w:cstheme="majorEastAsia"/>
          <w:sz w:val="24"/>
          <w:szCs w:val="24"/>
        </w:rPr>
        <w:t>类型</w:t>
      </w:r>
      <w:r>
        <w:rPr>
          <w:rFonts w:hint="eastAsia" w:asciiTheme="majorEastAsia" w:hAnsiTheme="majorEastAsia" w:eastAsiaTheme="majorEastAsia" w:cstheme="majorEastAsia"/>
          <w:sz w:val="24"/>
          <w:szCs w:val="24"/>
          <w:highlight w:val="none"/>
          <w:lang w:eastAsia="zh-CN"/>
        </w:rPr>
        <w:t>（如果供应商和制造商不同，只填写制造商类型）</w:t>
      </w:r>
      <w:r>
        <w:rPr>
          <w:rFonts w:hint="eastAsia" w:asciiTheme="majorEastAsia" w:hAnsiTheme="majorEastAsia" w:eastAsiaTheme="majorEastAsia" w:cstheme="majorEastAsia"/>
          <w:sz w:val="24"/>
          <w:szCs w:val="24"/>
        </w:rPr>
        <w:t>：</w:t>
      </w:r>
    </w:p>
    <w:p>
      <w:pPr>
        <w:adjustRightInd w:val="0"/>
        <w:snapToGrid w:val="0"/>
        <w:spacing w:beforeLines="0" w:line="400" w:lineRule="exact"/>
        <w:ind w:firstLine="960" w:firstLineChars="400"/>
        <w:rPr>
          <w:rFonts w:hint="eastAsia" w:asciiTheme="majorEastAsia" w:hAnsiTheme="majorEastAsia" w:eastAsiaTheme="majorEastAsia" w:cstheme="majorEastAsia"/>
          <w:iCs/>
          <w:sz w:val="24"/>
          <w:szCs w:val="24"/>
          <w:lang w:val="en-US"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大型企业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中型企业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小微型企业</w:t>
      </w:r>
      <w:r>
        <w:rPr>
          <w:rFonts w:hint="eastAsia" w:asciiTheme="majorEastAsia" w:hAnsiTheme="majorEastAsia" w:eastAsiaTheme="majorEastAsia" w:cstheme="majorEastAsia"/>
          <w:iCs/>
          <w:sz w:val="24"/>
          <w:szCs w:val="24"/>
          <w:lang w:val="en-US" w:eastAsia="zh-CN"/>
        </w:rPr>
        <w:t xml:space="preserve">  </w:t>
      </w:r>
    </w:p>
    <w:p>
      <w:pPr>
        <w:adjustRightInd w:val="0"/>
        <w:snapToGrid w:val="0"/>
        <w:spacing w:beforeLines="0" w:line="400" w:lineRule="exact"/>
        <w:ind w:firstLine="960" w:firstLineChars="400"/>
        <w:rPr>
          <w:rFonts w:hint="eastAsia" w:asciiTheme="majorEastAsia" w:hAnsiTheme="majorEastAsia" w:eastAsiaTheme="majorEastAsia" w:cstheme="majorEastAsia"/>
          <w:sz w:val="24"/>
          <w:szCs w:val="24"/>
          <w:u w:val="none"/>
          <w:lang w:val="en-US"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残疾人福利性单位</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监狱</w:t>
      </w:r>
      <w:r>
        <w:rPr>
          <w:rFonts w:hint="eastAsia" w:asciiTheme="majorEastAsia" w:hAnsiTheme="majorEastAsia" w:eastAsiaTheme="majorEastAsia" w:cstheme="majorEastAsia"/>
          <w:iCs/>
          <w:sz w:val="24"/>
          <w:szCs w:val="24"/>
        </w:rPr>
        <w:t>企业</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其他</w:t>
      </w:r>
    </w:p>
    <w:p>
      <w:pPr>
        <w:numPr>
          <w:ilvl w:val="-1"/>
          <w:numId w:val="0"/>
        </w:numPr>
        <w:adjustRightInd w:val="0"/>
        <w:snapToGrid w:val="0"/>
        <w:spacing w:before="0" w:beforeLines="0" w:line="400" w:lineRule="exact"/>
        <w:ind w:left="0" w:leftChars="0" w:firstLine="0" w:firstLineChars="0"/>
        <w:rPr>
          <w:rFonts w:hint="eastAsia" w:asciiTheme="majorEastAsia" w:hAnsiTheme="majorEastAsia" w:eastAsiaTheme="majorEastAsia" w:cstheme="majorEastAsia"/>
          <w:iCs/>
          <w:sz w:val="24"/>
          <w:szCs w:val="24"/>
          <w:highlight w:val="none"/>
        </w:rPr>
      </w:pPr>
      <w:r>
        <w:rPr>
          <w:rFonts w:hint="eastAsia" w:asciiTheme="majorEastAsia" w:hAnsiTheme="majorEastAsia" w:eastAsiaTheme="majorEastAsia" w:cstheme="majorEastAsia"/>
          <w:sz w:val="24"/>
          <w:szCs w:val="24"/>
          <w:highlight w:val="none"/>
          <w:u w:val="none"/>
          <w:lang w:val="en-US" w:eastAsia="zh-CN"/>
        </w:rPr>
        <w:t xml:space="preserve">    （</w:t>
      </w:r>
      <w:r>
        <w:rPr>
          <w:rFonts w:hint="eastAsia" w:asciiTheme="majorEastAsia" w:hAnsiTheme="majorEastAsia" w:eastAsiaTheme="majorEastAsia" w:cstheme="majorEastAsia"/>
          <w:sz w:val="24"/>
          <w:szCs w:val="24"/>
          <w:highlight w:val="none"/>
          <w:u w:val="none"/>
          <w:lang w:val="en" w:eastAsia="zh-CN"/>
        </w:rPr>
        <w:t>8</w:t>
      </w:r>
      <w:r>
        <w:rPr>
          <w:rFonts w:hint="eastAsia" w:asciiTheme="majorEastAsia" w:hAnsiTheme="majorEastAsia" w:eastAsiaTheme="majorEastAsia" w:cstheme="majorEastAsia"/>
          <w:sz w:val="24"/>
          <w:szCs w:val="24"/>
          <w:highlight w:val="none"/>
          <w:u w:val="none"/>
          <w:lang w:val="en-US" w:eastAsia="zh-CN"/>
        </w:rPr>
        <w:t>）中标（成交）供应商是否为外商投资企业：</w:t>
      </w:r>
      <w:r>
        <w:rPr>
          <w:rFonts w:hint="eastAsia" w:asciiTheme="majorEastAsia" w:hAnsiTheme="majorEastAsia" w:eastAsiaTheme="majorEastAsia" w:cstheme="majorEastAsia"/>
          <w:iCs/>
          <w:sz w:val="24"/>
          <w:szCs w:val="24"/>
          <w:highlight w:val="none"/>
        </w:rPr>
        <w:sym w:font="Wingdings" w:char="00A8"/>
      </w:r>
      <w:r>
        <w:rPr>
          <w:rFonts w:hint="eastAsia" w:asciiTheme="majorEastAsia" w:hAnsiTheme="majorEastAsia" w:eastAsiaTheme="majorEastAsia" w:cstheme="majorEastAsia"/>
          <w:iCs/>
          <w:sz w:val="24"/>
          <w:szCs w:val="24"/>
          <w:highlight w:val="none"/>
        </w:rPr>
        <w:t xml:space="preserve">是       </w:t>
      </w:r>
      <w:r>
        <w:rPr>
          <w:rFonts w:hint="eastAsia" w:asciiTheme="majorEastAsia" w:hAnsiTheme="majorEastAsia" w:eastAsiaTheme="majorEastAsia" w:cstheme="majorEastAsia"/>
          <w:iCs/>
          <w:sz w:val="24"/>
          <w:szCs w:val="24"/>
          <w:highlight w:val="none"/>
        </w:rPr>
        <w:sym w:font="Wingdings" w:char="00A8"/>
      </w:r>
      <w:r>
        <w:rPr>
          <w:rFonts w:hint="eastAsia" w:asciiTheme="majorEastAsia" w:hAnsiTheme="majorEastAsia" w:eastAsiaTheme="majorEastAsia" w:cstheme="majorEastAsia"/>
          <w:iCs/>
          <w:sz w:val="24"/>
          <w:szCs w:val="24"/>
          <w:highlight w:val="none"/>
        </w:rPr>
        <w:t>否</w:t>
      </w:r>
    </w:p>
    <w:p>
      <w:pPr>
        <w:pStyle w:val="54"/>
        <w:tabs>
          <w:tab w:val="left" w:pos="1340"/>
        </w:tabs>
        <w:spacing w:beforeLines="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none"/>
          <w:lang w:val="en-US" w:eastAsia="zh-CN"/>
        </w:rPr>
        <w:t xml:space="preserve">     外商投资企业类型：</w:t>
      </w:r>
      <w:r>
        <w:rPr>
          <w:rFonts w:hint="eastAsia" w:asciiTheme="majorEastAsia" w:hAnsiTheme="majorEastAsia" w:eastAsiaTheme="majorEastAsia" w:cstheme="majorEastAsia"/>
          <w:iCs/>
          <w:sz w:val="24"/>
          <w:szCs w:val="24"/>
          <w:highlight w:val="none"/>
        </w:rPr>
        <w:sym w:font="Wingdings" w:char="00A8"/>
      </w:r>
      <w:r>
        <w:rPr>
          <w:rFonts w:hint="eastAsia" w:asciiTheme="majorEastAsia" w:hAnsiTheme="majorEastAsia" w:eastAsiaTheme="majorEastAsia" w:cstheme="majorEastAsia"/>
          <w:sz w:val="24"/>
          <w:szCs w:val="24"/>
          <w:highlight w:val="none"/>
          <w:u w:val="none"/>
          <w:lang w:val="en-US" w:eastAsia="zh-CN"/>
        </w:rPr>
        <w:t xml:space="preserve">全部由外国投资者投资  </w:t>
      </w:r>
      <w:r>
        <w:rPr>
          <w:rFonts w:hint="eastAsia" w:asciiTheme="majorEastAsia" w:hAnsiTheme="majorEastAsia" w:eastAsiaTheme="majorEastAsia" w:cstheme="majorEastAsia"/>
          <w:iCs/>
          <w:sz w:val="24"/>
          <w:szCs w:val="24"/>
          <w:highlight w:val="none"/>
        </w:rPr>
        <w:sym w:font="Wingdings" w:char="00A8"/>
      </w:r>
      <w:r>
        <w:rPr>
          <w:rFonts w:hint="eastAsia" w:asciiTheme="majorEastAsia" w:hAnsiTheme="majorEastAsia" w:eastAsiaTheme="majorEastAsia" w:cstheme="majorEastAsia"/>
          <w:iCs/>
          <w:sz w:val="24"/>
          <w:szCs w:val="24"/>
          <w:highlight w:val="none"/>
          <w:lang w:val="en-US" w:eastAsia="zh-CN"/>
        </w:rPr>
        <w:t>部分由外国投资者投资</w:t>
      </w:r>
    </w:p>
    <w:p>
      <w:pPr>
        <w:numPr>
          <w:ilvl w:val="-1"/>
          <w:numId w:val="0"/>
        </w:numPr>
        <w:adjustRightInd w:val="0"/>
        <w:snapToGrid w:val="0"/>
        <w:spacing w:before="0" w:beforeLines="0" w:line="400" w:lineRule="exact"/>
        <w:ind w:firstLine="480" w:firstLineChars="200"/>
        <w:rPr>
          <w:rFonts w:hint="eastAsia" w:asciiTheme="majorEastAsia" w:hAnsiTheme="majorEastAsia" w:eastAsiaTheme="majorEastAsia" w:cstheme="majorEastAsia"/>
          <w:b w:val="0"/>
          <w:bCs w:val="0"/>
          <w:sz w:val="24"/>
          <w:szCs w:val="24"/>
          <w:u w:val="none"/>
          <w:lang w:val="en-US" w:eastAsia="zh-CN"/>
        </w:rPr>
      </w:pPr>
      <w:r>
        <w:rPr>
          <w:rFonts w:hint="eastAsia" w:asciiTheme="majorEastAsia" w:hAnsiTheme="majorEastAsia" w:eastAsiaTheme="majorEastAsia" w:cstheme="majorEastAsia"/>
          <w:b w:val="0"/>
          <w:bCs w:val="0"/>
          <w:sz w:val="24"/>
          <w:szCs w:val="24"/>
          <w:u w:val="none"/>
          <w:lang w:val="en-US" w:eastAsia="zh-CN"/>
        </w:rPr>
        <w:t>（</w:t>
      </w:r>
      <w:r>
        <w:rPr>
          <w:rFonts w:hint="eastAsia" w:asciiTheme="majorEastAsia" w:hAnsiTheme="majorEastAsia" w:eastAsiaTheme="majorEastAsia" w:cstheme="majorEastAsia"/>
          <w:b w:val="0"/>
          <w:bCs w:val="0"/>
          <w:sz w:val="24"/>
          <w:szCs w:val="24"/>
          <w:u w:val="none"/>
          <w:lang w:val="en" w:eastAsia="zh-CN"/>
        </w:rPr>
        <w:t>9</w:t>
      </w:r>
      <w:r>
        <w:rPr>
          <w:rFonts w:hint="eastAsia" w:asciiTheme="majorEastAsia" w:hAnsiTheme="majorEastAsia" w:eastAsiaTheme="majorEastAsia" w:cstheme="majorEastAsia"/>
          <w:b w:val="0"/>
          <w:bCs w:val="0"/>
          <w:sz w:val="24"/>
          <w:szCs w:val="24"/>
          <w:u w:val="none"/>
          <w:lang w:val="en-US" w:eastAsia="zh-CN"/>
        </w:rPr>
        <w:t>）是否涉及进口产品：</w:t>
      </w:r>
    </w:p>
    <w:p>
      <w:pPr>
        <w:numPr>
          <w:ilvl w:val="-1"/>
          <w:numId w:val="0"/>
        </w:numPr>
        <w:adjustRightInd w:val="0"/>
        <w:snapToGrid w:val="0"/>
        <w:spacing w:before="0" w:beforeLines="0" w:line="400" w:lineRule="exact"/>
        <w:ind w:firstLine="960" w:firstLineChars="400"/>
        <w:rPr>
          <w:rFonts w:hint="eastAsia" w:asciiTheme="majorEastAsia" w:hAnsiTheme="majorEastAsia" w:eastAsiaTheme="majorEastAsia" w:cstheme="majorEastAsia"/>
          <w:sz w:val="24"/>
          <w:szCs w:val="24"/>
          <w:u w:val="single"/>
          <w:lang w:val="en-US" w:eastAsia="zh-CN"/>
        </w:rPr>
      </w:pP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是</w:t>
      </w:r>
      <w:r>
        <w:rPr>
          <w:rFonts w:hint="eastAsia" w:asciiTheme="majorEastAsia" w:hAnsiTheme="majorEastAsia" w:eastAsiaTheme="majorEastAsia" w:cstheme="majorEastAsia"/>
          <w:iCs w:val="0"/>
          <w:sz w:val="24"/>
          <w:szCs w:val="24"/>
          <w:lang w:eastAsia="zh-CN"/>
        </w:rPr>
        <w:t>，《政府采购品目分类目录》底级品目名称</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lang w:val="en-US" w:eastAsia="zh-CN"/>
        </w:rPr>
        <w:t xml:space="preserve"> 金额：</w:t>
      </w:r>
      <w:r>
        <w:rPr>
          <w:rFonts w:hint="eastAsia" w:asciiTheme="majorEastAsia" w:hAnsiTheme="majorEastAsia" w:eastAsiaTheme="majorEastAsia" w:cstheme="majorEastAsia"/>
          <w:sz w:val="24"/>
          <w:szCs w:val="24"/>
          <w:u w:val="single"/>
          <w:lang w:val="en-US" w:eastAsia="zh-CN"/>
        </w:rPr>
        <w:t xml:space="preserve">        </w:t>
      </w:r>
    </w:p>
    <w:p>
      <w:pPr>
        <w:numPr>
          <w:ilvl w:val="-1"/>
          <w:numId w:val="0"/>
        </w:numPr>
        <w:adjustRightInd w:val="0"/>
        <w:snapToGrid w:val="0"/>
        <w:spacing w:before="0" w:beforeLines="0" w:line="400" w:lineRule="exact"/>
        <w:ind w:firstLine="960" w:firstLineChars="400"/>
        <w:rPr>
          <w:rFonts w:hint="eastAsia" w:asciiTheme="majorEastAsia" w:hAnsiTheme="majorEastAsia" w:eastAsiaTheme="majorEastAsia" w:cstheme="majorEastAsia"/>
          <w:iCs w:val="0"/>
          <w:sz w:val="24"/>
          <w:szCs w:val="24"/>
        </w:rPr>
      </w:pPr>
      <w:r>
        <w:rPr>
          <w:rFonts w:hint="eastAsia" w:asciiTheme="majorEastAsia" w:hAnsiTheme="majorEastAsia" w:eastAsiaTheme="majorEastAsia" w:cstheme="majorEastAsia"/>
          <w:sz w:val="24"/>
          <w:szCs w:val="24"/>
          <w:lang w:val="en-US" w:eastAsia="zh-CN"/>
        </w:rPr>
        <w:t xml:space="preserve">        国别：</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lang w:val="en-US" w:eastAsia="zh-CN"/>
        </w:rPr>
        <w:t xml:space="preserve"> 品牌：</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none"/>
          <w:lang w:val="en-US" w:eastAsia="zh-CN"/>
        </w:rPr>
        <w:t xml:space="preserve"> 规格型号：</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iCs w:val="0"/>
          <w:sz w:val="24"/>
          <w:szCs w:val="24"/>
        </w:rPr>
        <w:t xml:space="preserve">      </w:t>
      </w:r>
    </w:p>
    <w:p>
      <w:pPr>
        <w:adjustRightInd w:val="0"/>
        <w:snapToGrid w:val="0"/>
        <w:spacing w:before="0" w:beforeLines="0" w:line="400" w:lineRule="exact"/>
        <w:ind w:firstLine="960" w:firstLineChars="400"/>
        <w:rPr>
          <w:rFonts w:hint="eastAsia" w:asciiTheme="majorEastAsia" w:hAnsiTheme="majorEastAsia" w:eastAsiaTheme="majorEastAsia" w:cstheme="majorEastAsia"/>
          <w:sz w:val="24"/>
          <w:szCs w:val="24"/>
          <w:u w:val="none"/>
          <w:lang w:val="en-US" w:eastAsia="zh-CN"/>
        </w:rPr>
      </w:pP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否</w:t>
      </w:r>
    </w:p>
    <w:p>
      <w:pPr>
        <w:numPr>
          <w:ilvl w:val="-1"/>
          <w:numId w:val="0"/>
        </w:numPr>
        <w:tabs>
          <w:tab w:val="left" w:pos="740"/>
        </w:tabs>
        <w:adjustRightInd w:val="0"/>
        <w:snapToGrid w:val="0"/>
        <w:spacing w:before="0" w:beforeLines="0" w:line="400" w:lineRule="exact"/>
        <w:ind w:left="0" w:firstLine="0" w:firstLineChars="0"/>
        <w:rPr>
          <w:rFonts w:hint="eastAsia" w:asciiTheme="majorEastAsia" w:hAnsiTheme="majorEastAsia" w:eastAsiaTheme="majorEastAsia" w:cstheme="majorEastAsia"/>
          <w:b w:val="0"/>
          <w:bCs w:val="0"/>
          <w:sz w:val="24"/>
          <w:szCs w:val="24"/>
          <w:u w:val="none"/>
          <w:lang w:val="en-US" w:eastAsia="zh-CN"/>
        </w:rPr>
      </w:pPr>
      <w:r>
        <w:rPr>
          <w:rFonts w:hint="eastAsia" w:asciiTheme="majorEastAsia" w:hAnsiTheme="majorEastAsia" w:eastAsiaTheme="majorEastAsia" w:cstheme="majorEastAsia"/>
          <w:b w:val="0"/>
          <w:bCs w:val="0"/>
          <w:sz w:val="24"/>
          <w:szCs w:val="24"/>
          <w:u w:val="none"/>
          <w:lang w:val="en-US" w:eastAsia="zh-CN"/>
        </w:rPr>
        <w:t xml:space="preserve">    （1</w:t>
      </w:r>
      <w:r>
        <w:rPr>
          <w:rFonts w:hint="eastAsia" w:asciiTheme="majorEastAsia" w:hAnsiTheme="majorEastAsia" w:eastAsiaTheme="majorEastAsia" w:cstheme="majorEastAsia"/>
          <w:b w:val="0"/>
          <w:bCs w:val="0"/>
          <w:sz w:val="24"/>
          <w:szCs w:val="24"/>
          <w:u w:val="none"/>
          <w:lang w:val="en" w:eastAsia="zh-CN"/>
        </w:rPr>
        <w:t>0</w:t>
      </w:r>
      <w:r>
        <w:rPr>
          <w:rFonts w:hint="eastAsia" w:asciiTheme="majorEastAsia" w:hAnsiTheme="majorEastAsia" w:eastAsiaTheme="majorEastAsia" w:cstheme="majorEastAsia"/>
          <w:b w:val="0"/>
          <w:bCs w:val="0"/>
          <w:sz w:val="24"/>
          <w:szCs w:val="24"/>
          <w:u w:val="none"/>
          <w:lang w:val="en-US" w:eastAsia="zh-CN"/>
        </w:rPr>
        <w:t>）是否涉及节能产品：</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iCs/>
          <w:sz w:val="24"/>
          <w:szCs w:val="24"/>
          <w:lang w:val="en-US" w:eastAsia="zh-CN"/>
        </w:rPr>
      </w:pPr>
      <w:r>
        <w:rPr>
          <w:rFonts w:hint="eastAsia" w:asciiTheme="majorEastAsia" w:hAnsiTheme="majorEastAsia" w:eastAsiaTheme="majorEastAsia" w:cstheme="majorEastAsia"/>
          <w:b w:val="0"/>
          <w:bCs w:val="0"/>
          <w:sz w:val="24"/>
          <w:szCs w:val="24"/>
          <w:u w:val="none"/>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是</w:t>
      </w:r>
      <w:r>
        <w:rPr>
          <w:rFonts w:hint="eastAsia" w:asciiTheme="majorEastAsia" w:hAnsiTheme="majorEastAsia" w:eastAsiaTheme="majorEastAsia" w:cstheme="majorEastAsia"/>
          <w:iCs w:val="0"/>
          <w:sz w:val="24"/>
          <w:szCs w:val="24"/>
          <w:lang w:eastAsia="zh-CN"/>
        </w:rPr>
        <w:t>，《节能产品政府采购品目清单》的底级品目名称：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iCs/>
          <w:sz w:val="24"/>
          <w:szCs w:val="24"/>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iCs/>
          <w:sz w:val="24"/>
          <w:szCs w:val="24"/>
          <w:lang w:val="en-US"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强制采购</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优先采购</w:t>
      </w:r>
      <w:r>
        <w:rPr>
          <w:rFonts w:hint="eastAsia" w:asciiTheme="majorEastAsia" w:hAnsiTheme="majorEastAsia" w:eastAsiaTheme="majorEastAsia" w:cstheme="majorEastAsia"/>
          <w:iCs/>
          <w:sz w:val="24"/>
          <w:szCs w:val="24"/>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iCs w:val="0"/>
          <w:sz w:val="24"/>
          <w:szCs w:val="24"/>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否</w:t>
      </w:r>
    </w:p>
    <w:p>
      <w:pPr>
        <w:numPr>
          <w:ilvl w:val="-1"/>
          <w:numId w:val="0"/>
        </w:numPr>
        <w:tabs>
          <w:tab w:val="left" w:pos="740"/>
        </w:tabs>
        <w:adjustRightInd w:val="0"/>
        <w:snapToGrid w:val="0"/>
        <w:spacing w:before="0" w:beforeLines="0" w:line="400" w:lineRule="exact"/>
        <w:ind w:left="0" w:firstLine="0" w:firstLineChars="0"/>
        <w:rPr>
          <w:rFonts w:hint="eastAsia" w:asciiTheme="majorEastAsia" w:hAnsiTheme="majorEastAsia" w:eastAsiaTheme="majorEastAsia" w:cstheme="majorEastAsia"/>
          <w:b w:val="0"/>
          <w:bCs w:val="0"/>
          <w:sz w:val="24"/>
          <w:szCs w:val="24"/>
          <w:u w:val="none"/>
          <w:lang w:val="en-US" w:eastAsia="zh-CN"/>
        </w:rPr>
      </w:pPr>
      <w:r>
        <w:rPr>
          <w:rFonts w:hint="eastAsia" w:asciiTheme="majorEastAsia" w:hAnsiTheme="majorEastAsia" w:eastAsiaTheme="majorEastAsia" w:cstheme="majorEastAsia"/>
          <w:b w:val="0"/>
          <w:bCs w:val="0"/>
          <w:sz w:val="24"/>
          <w:szCs w:val="24"/>
          <w:u w:val="none"/>
          <w:lang w:val="en-US" w:eastAsia="zh-CN"/>
        </w:rPr>
        <w:t xml:space="preserve">          是否涉及环境标志产品：</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iCs w:val="0"/>
          <w:sz w:val="24"/>
          <w:szCs w:val="24"/>
          <w:lang w:eastAsia="zh-CN"/>
        </w:rPr>
      </w:pPr>
      <w:r>
        <w:rPr>
          <w:rFonts w:hint="eastAsia" w:asciiTheme="majorEastAsia" w:hAnsiTheme="majorEastAsia" w:eastAsiaTheme="majorEastAsia" w:cstheme="majorEastAsia"/>
          <w:b w:val="0"/>
          <w:bCs w:val="0"/>
          <w:sz w:val="24"/>
          <w:szCs w:val="24"/>
          <w:u w:val="none"/>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是</w:t>
      </w:r>
      <w:r>
        <w:rPr>
          <w:rFonts w:hint="eastAsia" w:asciiTheme="majorEastAsia" w:hAnsiTheme="majorEastAsia" w:eastAsiaTheme="majorEastAsia" w:cstheme="majorEastAsia"/>
          <w:iCs w:val="0"/>
          <w:sz w:val="24"/>
          <w:szCs w:val="24"/>
          <w:lang w:eastAsia="zh-CN"/>
        </w:rPr>
        <w:t>，《环境标志产品政府采购品目清单》的底级品目名称：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iCs/>
          <w:sz w:val="24"/>
          <w:szCs w:val="24"/>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iCs/>
          <w:sz w:val="24"/>
          <w:szCs w:val="24"/>
          <w:lang w:val="en-US"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强制采购</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优先采购</w:t>
      </w:r>
      <w:r>
        <w:rPr>
          <w:rFonts w:hint="eastAsia" w:asciiTheme="majorEastAsia" w:hAnsiTheme="majorEastAsia" w:eastAsiaTheme="majorEastAsia" w:cstheme="majorEastAsia"/>
          <w:iCs/>
          <w:sz w:val="24"/>
          <w:szCs w:val="24"/>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b w:val="0"/>
          <w:bCs w:val="0"/>
          <w:sz w:val="24"/>
          <w:szCs w:val="24"/>
          <w:u w:val="none"/>
          <w:lang w:val="en-US"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否</w:t>
      </w:r>
    </w:p>
    <w:p>
      <w:pPr>
        <w:pStyle w:val="54"/>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iCs w:val="0"/>
          <w:kern w:val="2"/>
          <w:sz w:val="24"/>
          <w:szCs w:val="24"/>
          <w:u w:val="none"/>
          <w:lang w:val="en-US" w:eastAsia="zh-CN"/>
        </w:rPr>
      </w:pPr>
      <w:r>
        <w:rPr>
          <w:rFonts w:hint="eastAsia" w:asciiTheme="majorEastAsia" w:hAnsiTheme="majorEastAsia" w:eastAsiaTheme="majorEastAsia" w:cstheme="majorEastAsia"/>
          <w:b w:val="0"/>
          <w:bCs w:val="0"/>
          <w:sz w:val="24"/>
          <w:szCs w:val="24"/>
          <w:u w:val="none"/>
          <w:lang w:val="en-US" w:eastAsia="zh-CN"/>
        </w:rPr>
        <w:t xml:space="preserve">          </w:t>
      </w:r>
      <w:r>
        <w:rPr>
          <w:rFonts w:hint="eastAsia" w:asciiTheme="majorEastAsia" w:hAnsiTheme="majorEastAsia" w:eastAsiaTheme="majorEastAsia" w:cstheme="majorEastAsia"/>
          <w:b w:val="0"/>
          <w:bCs w:val="0"/>
          <w:kern w:val="2"/>
          <w:sz w:val="24"/>
          <w:szCs w:val="24"/>
          <w:u w:val="none"/>
          <w:lang w:val="en-US" w:eastAsia="zh-CN"/>
        </w:rPr>
        <w:t>是否涉及绿色产品：</w:t>
      </w:r>
      <w:r>
        <w:rPr>
          <w:rFonts w:hint="eastAsia" w:asciiTheme="majorEastAsia" w:hAnsiTheme="majorEastAsia" w:eastAsiaTheme="majorEastAsia" w:cstheme="majorEastAsia"/>
          <w:iCs w:val="0"/>
          <w:kern w:val="2"/>
          <w:sz w:val="24"/>
          <w:szCs w:val="24"/>
          <w:u w:val="none"/>
          <w:lang w:val="en-US" w:eastAsia="zh-CN"/>
        </w:rPr>
        <w:t xml:space="preserve"> </w:t>
      </w:r>
    </w:p>
    <w:p>
      <w:pPr>
        <w:pStyle w:val="54"/>
        <w:spacing w:beforeLines="0"/>
        <w:ind w:firstLine="420" w:firstLineChars="0"/>
        <w:rPr>
          <w:rFonts w:hint="eastAsia" w:asciiTheme="majorEastAsia" w:hAnsiTheme="majorEastAsia" w:eastAsiaTheme="majorEastAsia" w:cstheme="majorEastAsia"/>
          <w:sz w:val="24"/>
          <w:szCs w:val="24"/>
          <w:u w:val="single"/>
          <w:lang w:val="en-US" w:eastAsia="zh-CN"/>
        </w:rPr>
      </w:pPr>
      <w:r>
        <w:rPr>
          <w:rFonts w:hint="eastAsia" w:asciiTheme="majorEastAsia" w:hAnsiTheme="majorEastAsia" w:eastAsiaTheme="majorEastAsia" w:cstheme="majorEastAsia"/>
          <w:iCs w:val="0"/>
          <w:kern w:val="2"/>
          <w:sz w:val="24"/>
          <w:szCs w:val="24"/>
          <w:u w:val="none"/>
          <w:lang w:val="en-US" w:eastAsia="zh-CN"/>
        </w:rPr>
        <w:t xml:space="preserve">     </w:t>
      </w:r>
      <w:r>
        <w:rPr>
          <w:rFonts w:hint="eastAsia" w:asciiTheme="majorEastAsia" w:hAnsiTheme="majorEastAsia" w:eastAsiaTheme="majorEastAsia" w:cstheme="majorEastAsia"/>
          <w:iCs w:val="0"/>
          <w:kern w:val="2"/>
          <w:sz w:val="24"/>
          <w:szCs w:val="24"/>
          <w:u w:val="none"/>
        </w:rPr>
        <w:sym w:font="Wingdings" w:char="00A8"/>
      </w:r>
      <w:r>
        <w:rPr>
          <w:rFonts w:hint="eastAsia" w:asciiTheme="majorEastAsia" w:hAnsiTheme="majorEastAsia" w:eastAsiaTheme="majorEastAsia" w:cstheme="majorEastAsia"/>
          <w:iCs w:val="0"/>
          <w:kern w:val="2"/>
          <w:sz w:val="24"/>
          <w:szCs w:val="24"/>
          <w:u w:val="none"/>
        </w:rPr>
        <w:t>是</w:t>
      </w:r>
      <w:r>
        <w:rPr>
          <w:rFonts w:hint="eastAsia" w:asciiTheme="majorEastAsia" w:hAnsiTheme="majorEastAsia" w:eastAsiaTheme="majorEastAsia" w:cstheme="majorEastAsia"/>
          <w:iCs w:val="0"/>
          <w:kern w:val="2"/>
          <w:sz w:val="24"/>
          <w:szCs w:val="24"/>
          <w:u w:val="none"/>
          <w:lang w:eastAsia="zh-CN"/>
        </w:rPr>
        <w:t>，绿色产品政府采购相关政策确定的底级品目名称：</w:t>
      </w:r>
      <w:r>
        <w:rPr>
          <w:rFonts w:hint="eastAsia" w:asciiTheme="majorEastAsia" w:hAnsiTheme="majorEastAsia" w:eastAsiaTheme="majorEastAsia" w:cstheme="majorEastAsia"/>
          <w:sz w:val="24"/>
          <w:szCs w:val="24"/>
          <w:u w:val="singl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Theme="majorEastAsia" w:hAnsiTheme="majorEastAsia" w:eastAsiaTheme="majorEastAsia" w:cstheme="majorEastAsia"/>
          <w:iCs/>
          <w:sz w:val="24"/>
          <w:szCs w:val="24"/>
          <w:lang w:val="en-US"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强制采购</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优先采购</w:t>
      </w:r>
      <w:r>
        <w:rPr>
          <w:rFonts w:hint="eastAsia" w:asciiTheme="majorEastAsia" w:hAnsiTheme="majorEastAsia" w:eastAsiaTheme="majorEastAsia" w:cstheme="majorEastAsia"/>
          <w:iCs/>
          <w:sz w:val="24"/>
          <w:szCs w:val="24"/>
          <w:lang w:val="en-US" w:eastAsia="zh-CN"/>
        </w:rPr>
        <w:t xml:space="preserve">    </w:t>
      </w:r>
    </w:p>
    <w:p>
      <w:pPr>
        <w:pStyle w:val="54"/>
        <w:spacing w:beforeLines="0"/>
        <w:ind w:firstLine="420" w:firstLineChars="0"/>
        <w:rPr>
          <w:rFonts w:hint="eastAsia" w:asciiTheme="majorEastAsia" w:hAnsiTheme="majorEastAsia" w:eastAsiaTheme="majorEastAsia" w:cstheme="majorEastAsia"/>
          <w:b w:val="0"/>
          <w:bCs w:val="0"/>
          <w:sz w:val="24"/>
          <w:szCs w:val="24"/>
          <w:u w:val="none"/>
          <w:lang w:val="en-US" w:eastAsia="zh-CN"/>
        </w:rPr>
      </w:pPr>
      <w:r>
        <w:rPr>
          <w:rFonts w:hint="eastAsia" w:asciiTheme="majorEastAsia" w:hAnsiTheme="majorEastAsia" w:eastAsiaTheme="majorEastAsia" w:cstheme="majorEastAsia"/>
          <w:iCs w:val="0"/>
          <w:kern w:val="2"/>
          <w:sz w:val="24"/>
          <w:szCs w:val="24"/>
          <w:u w:val="none"/>
          <w:lang w:val="en-US" w:eastAsia="zh-CN"/>
        </w:rPr>
        <w:t xml:space="preserve">     </w:t>
      </w:r>
      <w:r>
        <w:rPr>
          <w:rFonts w:hint="eastAsia" w:asciiTheme="majorEastAsia" w:hAnsiTheme="majorEastAsia" w:eastAsiaTheme="majorEastAsia" w:cstheme="majorEastAsia"/>
          <w:iCs w:val="0"/>
          <w:kern w:val="2"/>
          <w:sz w:val="24"/>
          <w:szCs w:val="24"/>
          <w:u w:val="none"/>
        </w:rPr>
        <w:sym w:font="Wingdings" w:char="00A8"/>
      </w:r>
      <w:r>
        <w:rPr>
          <w:rFonts w:hint="eastAsia" w:asciiTheme="majorEastAsia" w:hAnsiTheme="majorEastAsia" w:eastAsiaTheme="majorEastAsia" w:cstheme="majorEastAsia"/>
          <w:iCs w:val="0"/>
          <w:kern w:val="2"/>
          <w:sz w:val="24"/>
          <w:szCs w:val="24"/>
          <w:u w:val="none"/>
        </w:rPr>
        <w:t>否</w:t>
      </w:r>
    </w:p>
    <w:p>
      <w:pPr>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（1</w:t>
      </w:r>
      <w:r>
        <w:rPr>
          <w:rFonts w:hint="eastAsia" w:asciiTheme="majorEastAsia" w:hAnsiTheme="majorEastAsia" w:eastAsiaTheme="majorEastAsia" w:cstheme="majorEastAsia"/>
          <w:sz w:val="24"/>
          <w:szCs w:val="24"/>
          <w:lang w:val="en" w:eastAsia="zh-CN"/>
        </w:rPr>
        <w:t>1</w:t>
      </w:r>
      <w:r>
        <w:rPr>
          <w:rFonts w:hint="eastAsia" w:asciiTheme="majorEastAsia" w:hAnsiTheme="majorEastAsia" w:eastAsiaTheme="majorEastAsia" w:cstheme="majorEastAsia"/>
          <w:sz w:val="24"/>
          <w:szCs w:val="24"/>
          <w:lang w:val="en-US" w:eastAsia="zh-CN"/>
        </w:rPr>
        <w:t>）涉及商品包装和快递包装的，是否参考</w:t>
      </w:r>
      <w:r>
        <w:rPr>
          <w:rFonts w:hint="eastAsia" w:asciiTheme="majorEastAsia" w:hAnsiTheme="majorEastAsia" w:eastAsiaTheme="majorEastAsia" w:cstheme="majorEastAsia"/>
          <w:sz w:val="24"/>
          <w:szCs w:val="24"/>
        </w:rPr>
        <w:t>《商品包装政府采购需求标准（试行）》、《快递包装政府采购需求标准（试行）》</w:t>
      </w:r>
      <w:r>
        <w:rPr>
          <w:rFonts w:hint="eastAsia" w:asciiTheme="majorEastAsia" w:hAnsiTheme="majorEastAsia" w:eastAsiaTheme="majorEastAsia" w:cstheme="majorEastAsia"/>
          <w:sz w:val="24"/>
          <w:szCs w:val="24"/>
          <w:lang w:eastAsia="zh-CN"/>
        </w:rPr>
        <w:t>明确产品及相关快递服务的具体包装要求：</w:t>
      </w:r>
    </w:p>
    <w:p>
      <w:pPr>
        <w:numPr>
          <w:ilvl w:val="-1"/>
          <w:numId w:val="0"/>
        </w:numPr>
        <w:adjustRightInd w:val="0"/>
        <w:snapToGrid w:val="0"/>
        <w:spacing w:before="0" w:beforeLines="0" w:line="400" w:lineRule="exact"/>
        <w:ind w:firstLine="960" w:firstLineChars="400"/>
        <w:rPr>
          <w:rFonts w:hint="eastAsia" w:asciiTheme="majorEastAsia" w:hAnsiTheme="majorEastAsia" w:eastAsiaTheme="majorEastAsia" w:cstheme="majorEastAsia"/>
          <w:iCs w:val="0"/>
          <w:sz w:val="24"/>
          <w:szCs w:val="24"/>
          <w:lang w:val="en-US" w:eastAsia="zh-CN"/>
        </w:rPr>
      </w:pP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 xml:space="preserve">是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rPr>
        <w:t>否</w:t>
      </w:r>
      <w:r>
        <w:rPr>
          <w:rFonts w:hint="eastAsia" w:asciiTheme="majorEastAsia" w:hAnsiTheme="majorEastAsia" w:eastAsiaTheme="majorEastAsia" w:cstheme="majorEastAsia"/>
          <w:iCs w:val="0"/>
          <w:sz w:val="24"/>
          <w:szCs w:val="24"/>
          <w:lang w:val="en-US" w:eastAsia="zh-CN"/>
        </w:rPr>
        <w:t xml:space="preserve">      </w:t>
      </w:r>
      <w:r>
        <w:rPr>
          <w:rFonts w:hint="eastAsia" w:asciiTheme="majorEastAsia" w:hAnsiTheme="majorEastAsia" w:eastAsiaTheme="majorEastAsia" w:cstheme="majorEastAsia"/>
          <w:iCs w:val="0"/>
          <w:sz w:val="24"/>
          <w:szCs w:val="24"/>
        </w:rPr>
        <w:sym w:font="Wingdings" w:char="00A8"/>
      </w:r>
      <w:r>
        <w:rPr>
          <w:rFonts w:hint="eastAsia" w:asciiTheme="majorEastAsia" w:hAnsiTheme="majorEastAsia" w:eastAsiaTheme="majorEastAsia" w:cstheme="majorEastAsia"/>
          <w:iCs w:val="0"/>
          <w:sz w:val="24"/>
          <w:szCs w:val="24"/>
          <w:lang w:eastAsia="zh-CN"/>
        </w:rPr>
        <w:t>不涉及</w:t>
      </w: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合同金额</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（1）合同金额小写：</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left="0" w:firstLine="0" w:firstLineChars="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大写：</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分包金额</w:t>
      </w:r>
      <w:r>
        <w:rPr>
          <w:rFonts w:hint="eastAsia" w:asciiTheme="majorEastAsia" w:hAnsiTheme="majorEastAsia" w:eastAsiaTheme="majorEastAsia" w:cstheme="majorEastAsia"/>
          <w:sz w:val="24"/>
          <w:szCs w:val="24"/>
          <w:lang w:eastAsia="zh-CN"/>
        </w:rPr>
        <w:t>（如有）</w:t>
      </w:r>
      <w:r>
        <w:rPr>
          <w:rFonts w:hint="eastAsia" w:asciiTheme="majorEastAsia" w:hAnsiTheme="majorEastAsia" w:eastAsiaTheme="majorEastAsia" w:cstheme="majorEastAsia"/>
          <w:sz w:val="24"/>
          <w:szCs w:val="24"/>
        </w:rPr>
        <w:t>小写：</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firstLine="0" w:firstLineChars="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大写：</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firstLine="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（注：固定单价合同应填写单价和最高限价）</w:t>
      </w:r>
    </w:p>
    <w:p>
      <w:pPr>
        <w:numPr>
          <w:ilvl w:val="-1"/>
          <w:numId w:val="0"/>
        </w:numPr>
        <w:adjustRightInd w:val="0"/>
        <w:snapToGrid w:val="0"/>
        <w:spacing w:before="0" w:beforeLines="0" w:line="400" w:lineRule="exact"/>
        <w:ind w:firstLine="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合同定价方式</w:t>
      </w:r>
      <w:r>
        <w:rPr>
          <w:rFonts w:hint="eastAsia" w:asciiTheme="majorEastAsia" w:hAnsiTheme="majorEastAsia" w:eastAsiaTheme="majorEastAsia" w:cstheme="majorEastAsia"/>
          <w:sz w:val="24"/>
          <w:szCs w:val="24"/>
          <w:lang w:eastAsia="zh-CN"/>
        </w:rPr>
        <w:t>（采用组合定价方式的，可以勾选多项）</w:t>
      </w:r>
      <w:r>
        <w:rPr>
          <w:rFonts w:hint="eastAsia" w:asciiTheme="majorEastAsia" w:hAnsiTheme="majorEastAsia" w:eastAsiaTheme="majorEastAsia" w:cstheme="majorEastAsia"/>
          <w:sz w:val="24"/>
          <w:szCs w:val="24"/>
        </w:rPr>
        <w:t>：</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固定总价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固定单价</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固定费率</w:t>
      </w:r>
      <w:r>
        <w:rPr>
          <w:rFonts w:hint="eastAsia" w:asciiTheme="majorEastAsia" w:hAnsiTheme="majorEastAsia" w:eastAsiaTheme="majorEastAsia" w:cstheme="majorEastAsia"/>
          <w:iCs/>
          <w:sz w:val="24"/>
          <w:szCs w:val="24"/>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 xml:space="preserve">成本补偿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绩效激励</w:t>
      </w:r>
      <w:r>
        <w:rPr>
          <w:rFonts w:hint="eastAsia" w:asciiTheme="majorEastAsia" w:hAnsiTheme="majorEastAsia" w:eastAsiaTheme="majorEastAsia" w:cstheme="majorEastAsia"/>
          <w:iCs/>
          <w:sz w:val="24"/>
          <w:szCs w:val="24"/>
          <w:lang w:val="en-US" w:eastAsia="zh-CN"/>
        </w:rPr>
        <w:t xml:space="preserve">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lang w:eastAsia="zh-CN"/>
        </w:rPr>
        <w:t>其他</w:t>
      </w:r>
      <w:r>
        <w:rPr>
          <w:rFonts w:hint="eastAsia" w:asciiTheme="majorEastAsia" w:hAnsiTheme="majorEastAsia" w:eastAsiaTheme="majorEastAsia" w:cstheme="majorEastAsia"/>
          <w:sz w:val="24"/>
          <w:szCs w:val="24"/>
          <w:u w:val="single"/>
        </w:rPr>
        <w:t xml:space="preserve">       </w:t>
      </w:r>
    </w:p>
    <w:p>
      <w:pPr>
        <w:pStyle w:val="76"/>
        <w:spacing w:beforeLines="0" w:line="40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）付款方式（按项目实际勾选填写）：</w:t>
      </w:r>
    </w:p>
    <w:p>
      <w:pPr>
        <w:adjustRightInd w:val="0"/>
        <w:snapToGrid w:val="0"/>
        <w:spacing w:before="0" w:beforeLines="0" w:line="400" w:lineRule="exact"/>
        <w:ind w:firstLine="720" w:firstLineChars="3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全额付款：</w:t>
      </w:r>
      <w:r>
        <w:rPr>
          <w:rFonts w:hint="eastAsia" w:asciiTheme="majorEastAsia" w:hAnsiTheme="majorEastAsia" w:eastAsiaTheme="majorEastAsia" w:cstheme="majorEastAsia"/>
          <w:sz w:val="24"/>
          <w:szCs w:val="24"/>
          <w:u w:val="single"/>
        </w:rPr>
        <w:t xml:space="preserve">     （应</w:t>
      </w:r>
      <w:r>
        <w:rPr>
          <w:rFonts w:hint="eastAsia" w:asciiTheme="majorEastAsia" w:hAnsiTheme="majorEastAsia" w:eastAsiaTheme="majorEastAsia" w:cstheme="majorEastAsia"/>
          <w:sz w:val="24"/>
          <w:szCs w:val="24"/>
          <w:u w:val="single"/>
          <w:lang w:eastAsia="zh-CN"/>
        </w:rPr>
        <w:t>明确</w:t>
      </w:r>
      <w:r>
        <w:rPr>
          <w:rFonts w:hint="eastAsia" w:asciiTheme="majorEastAsia" w:hAnsiTheme="majorEastAsia" w:eastAsiaTheme="majorEastAsia" w:cstheme="majorEastAsia"/>
          <w:sz w:val="24"/>
          <w:szCs w:val="24"/>
          <w:u w:val="single"/>
        </w:rPr>
        <w:t>一次性支付合同款项</w:t>
      </w:r>
      <w:r>
        <w:rPr>
          <w:rFonts w:hint="eastAsia" w:asciiTheme="majorEastAsia" w:hAnsiTheme="majorEastAsia" w:eastAsiaTheme="majorEastAsia" w:cstheme="majorEastAsia"/>
          <w:sz w:val="24"/>
          <w:szCs w:val="24"/>
          <w:u w:val="single"/>
          <w:lang w:eastAsia="zh-CN"/>
        </w:rPr>
        <w:t>的条件</w:t>
      </w:r>
      <w:r>
        <w:rPr>
          <w:rFonts w:hint="eastAsia" w:asciiTheme="majorEastAsia" w:hAnsiTheme="majorEastAsia" w:eastAsiaTheme="majorEastAsia" w:cstheme="majorEastAsia"/>
          <w:sz w:val="24"/>
          <w:szCs w:val="24"/>
          <w:u w:val="single"/>
        </w:rPr>
        <w:t xml:space="preserve">）                    </w:t>
      </w:r>
    </w:p>
    <w:p>
      <w:pPr>
        <w:snapToGrid w:val="0"/>
        <w:spacing w:beforeLines="0" w:line="400" w:lineRule="exact"/>
        <w:ind w:firstLine="720" w:firstLineChars="3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sym w:font="Wingdings" w:char="00FE"/>
      </w:r>
      <w:r>
        <w:rPr>
          <w:rFonts w:hint="eastAsia" w:asciiTheme="majorEastAsia" w:hAnsiTheme="majorEastAsia" w:eastAsiaTheme="majorEastAsia" w:cstheme="majorEastAsia"/>
          <w:sz w:val="24"/>
          <w:szCs w:val="24"/>
        </w:rPr>
        <w:t>分期付款：</w:t>
      </w:r>
      <w:r>
        <w:rPr>
          <w:rFonts w:hint="eastAsia" w:asciiTheme="majorEastAsia" w:hAnsiTheme="majorEastAsia" w:eastAsiaTheme="majorEastAsia" w:cstheme="majorEastAsia"/>
          <w:sz w:val="24"/>
          <w:szCs w:val="24"/>
          <w:u w:val="single"/>
        </w:rPr>
        <w:t xml:space="preserve">  （应明确分期支付合同款项的各期比例和支付条件</w:t>
      </w:r>
      <w:r>
        <w:rPr>
          <w:rFonts w:hint="eastAsia" w:asciiTheme="majorEastAsia" w:hAnsiTheme="majorEastAsia" w:eastAsiaTheme="majorEastAsia" w:cstheme="majorEastAsia"/>
          <w:sz w:val="24"/>
          <w:szCs w:val="24"/>
          <w:u w:val="single"/>
          <w:lang w:eastAsia="zh-CN"/>
        </w:rPr>
        <w:t>，各期支付条件应与分期履约验收情况挂钩</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none"/>
          <w:lang w:eastAsia="zh-CN"/>
        </w:rPr>
        <w:t>，</w:t>
      </w:r>
      <w:r>
        <w:rPr>
          <w:rFonts w:hint="eastAsia" w:asciiTheme="majorEastAsia" w:hAnsiTheme="majorEastAsia" w:eastAsiaTheme="majorEastAsia" w:cstheme="majorEastAsia"/>
          <w:sz w:val="24"/>
          <w:szCs w:val="24"/>
          <w:lang w:eastAsia="zh-CN"/>
        </w:rPr>
        <w:t>其中涉及预付款的</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（应明确预付款的支付比例和支付条件） </w:t>
      </w:r>
    </w:p>
    <w:p>
      <w:pPr>
        <w:adjustRightInd w:val="0"/>
        <w:snapToGrid w:val="0"/>
        <w:spacing w:before="0" w:beforeLines="0" w:line="400" w:lineRule="exact"/>
        <w:ind w:firstLine="720" w:firstLineChars="3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成本补偿：</w:t>
      </w:r>
      <w:r>
        <w:rPr>
          <w:rFonts w:hint="eastAsia" w:asciiTheme="majorEastAsia" w:hAnsiTheme="majorEastAsia" w:eastAsiaTheme="majorEastAsia" w:cstheme="majorEastAsia"/>
          <w:sz w:val="24"/>
          <w:szCs w:val="24"/>
          <w:u w:val="single"/>
        </w:rPr>
        <w:t xml:space="preserve">      （应明确按照成本补偿方式的支付方式和支付条件）   </w:t>
      </w:r>
    </w:p>
    <w:p>
      <w:pPr>
        <w:adjustRightInd w:val="0"/>
        <w:snapToGrid w:val="0"/>
        <w:spacing w:before="0" w:beforeLines="0" w:line="400" w:lineRule="exact"/>
        <w:ind w:firstLine="720" w:firstLineChars="3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绩效激励：</w:t>
      </w:r>
      <w:r>
        <w:rPr>
          <w:rFonts w:hint="eastAsia" w:asciiTheme="majorEastAsia" w:hAnsiTheme="majorEastAsia" w:eastAsiaTheme="majorEastAsia" w:cstheme="majorEastAsia"/>
          <w:sz w:val="24"/>
          <w:szCs w:val="24"/>
          <w:u w:val="single"/>
        </w:rPr>
        <w:t xml:space="preserve">      （应明确按照绩效激励方式的支付方式和支付条件）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合同价款支付以政府财政资金到位为准。</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720" w:firstLineChars="300"/>
        <w:jc w:val="left"/>
        <w:textAlignment w:val="auto"/>
        <w:rPr>
          <w:rFonts w:hint="eastAsia"/>
        </w:rPr>
      </w:pPr>
      <w:r>
        <w:rPr>
          <w:rFonts w:hint="eastAsia" w:ascii="宋体" w:hAnsi="宋体" w:eastAsia="宋体" w:cs="宋体"/>
          <w:color w:val="000000"/>
          <w:kern w:val="0"/>
          <w:sz w:val="24"/>
          <w:szCs w:val="24"/>
          <w:highlight w:val="none"/>
          <w:lang w:val="en-US" w:eastAsia="zh-CN" w:bidi="ar"/>
        </w:rPr>
        <w:t>合同生效后，甲方按程序支付乙方合同总额的30%的预付款。乙方则应按照双方签订的合同规定交货。乙方按规定的时间将全部货物送达甲方指定的地点，货物运抵后乙方进行安装、调试、集成、配套工作,完成后无质量问题方可报甲方验收。经双方验收合格后，甲方聘请专业第三方机构对本采够项目开展结算审计，甲方按审计结果向乙方支付审定金额的 100%，乙方须同时提交审定合同总额3%的商业保函或者银行保函作为质保金，待质保期结束后解除质保。乙方在收到付款的同时需提交全额增值税发票。</w:t>
      </w: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bCs w:val="0"/>
          <w:sz w:val="24"/>
          <w:szCs w:val="24"/>
          <w:u w:val="single"/>
        </w:rPr>
      </w:pPr>
      <w:r>
        <w:rPr>
          <w:rFonts w:hint="eastAsia" w:asciiTheme="majorEastAsia" w:hAnsiTheme="majorEastAsia" w:eastAsiaTheme="majorEastAsia" w:cstheme="majorEastAsia"/>
          <w:b/>
          <w:bCs w:val="0"/>
          <w:sz w:val="24"/>
          <w:szCs w:val="24"/>
        </w:rPr>
        <w:t>合同履行</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（1）起始日期：</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日，完成日期：</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日。</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lang w:eastAsia="zh-CN"/>
        </w:rPr>
        <w:t>履约</w:t>
      </w:r>
      <w:r>
        <w:rPr>
          <w:rFonts w:hint="eastAsia" w:asciiTheme="majorEastAsia" w:hAnsiTheme="majorEastAsia" w:eastAsiaTheme="majorEastAsia" w:cstheme="majorEastAsia"/>
          <w:sz w:val="24"/>
          <w:szCs w:val="24"/>
        </w:rPr>
        <w:t>地点</w:t>
      </w:r>
      <w:r>
        <w:rPr>
          <w:rFonts w:hint="eastAsia" w:asciiTheme="majorEastAsia" w:hAnsiTheme="majorEastAsia" w:eastAsiaTheme="majorEastAsia" w:cstheme="majorEastAsia"/>
          <w:b w:val="0"/>
          <w:bCs/>
          <w:sz w:val="24"/>
          <w:szCs w:val="24"/>
        </w:rPr>
        <w:t>：</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bCs/>
          <w:sz w:val="24"/>
          <w:szCs w:val="24"/>
        </w:rPr>
        <w:t>（3）履约担保：</w:t>
      </w:r>
      <w:r>
        <w:rPr>
          <w:rFonts w:hint="eastAsia" w:asciiTheme="majorEastAsia" w:hAnsiTheme="majorEastAsia" w:eastAsiaTheme="majorEastAsia" w:cstheme="majorEastAsia"/>
          <w:sz w:val="24"/>
          <w:szCs w:val="24"/>
          <w:lang w:val="en-US" w:eastAsia="zh-CN"/>
        </w:rPr>
        <w:t>是否收取履约保证金：</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lang w:eastAsia="zh-CN"/>
        </w:rPr>
        <w:t>是</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lang w:eastAsia="zh-CN"/>
        </w:rPr>
        <w:t>否</w:t>
      </w:r>
    </w:p>
    <w:p>
      <w:pPr>
        <w:pStyle w:val="54"/>
        <w:spacing w:beforeLine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Cs/>
          <w:sz w:val="24"/>
          <w:szCs w:val="24"/>
          <w:u w:val="none"/>
          <w:lang w:val="en-US" w:eastAsia="zh-CN"/>
        </w:rPr>
        <w:t xml:space="preserve">  </w:t>
      </w:r>
      <w:r>
        <w:rPr>
          <w:rFonts w:hint="eastAsia" w:asciiTheme="majorEastAsia" w:hAnsiTheme="majorEastAsia" w:eastAsiaTheme="majorEastAsia" w:cstheme="majorEastAsia"/>
          <w:sz w:val="24"/>
          <w:szCs w:val="24"/>
          <w:lang w:val="en-US" w:eastAsia="zh-CN"/>
        </w:rPr>
        <w:t xml:space="preserve">  收取履约保证金形式：</w:t>
      </w:r>
      <w:r>
        <w:rPr>
          <w:rFonts w:hint="eastAsia" w:asciiTheme="majorEastAsia" w:hAnsiTheme="majorEastAsia" w:eastAsiaTheme="majorEastAsia" w:cstheme="majorEastAsia"/>
          <w:bCs/>
          <w:sz w:val="24"/>
          <w:szCs w:val="24"/>
          <w:u w:val="single"/>
        </w:rPr>
        <w:t xml:space="preserve">                            </w:t>
      </w:r>
    </w:p>
    <w:p>
      <w:pPr>
        <w:pStyle w:val="54"/>
        <w:spacing w:beforeLine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收取履约保证金金额：</w:t>
      </w:r>
      <w:r>
        <w:rPr>
          <w:rFonts w:hint="eastAsia" w:asciiTheme="majorEastAsia" w:hAnsiTheme="majorEastAsia" w:eastAsiaTheme="majorEastAsia" w:cstheme="majorEastAsia"/>
          <w:bCs/>
          <w:sz w:val="24"/>
          <w:szCs w:val="24"/>
          <w:u w:val="single"/>
        </w:rPr>
        <w:t xml:space="preserve">                            </w:t>
      </w:r>
    </w:p>
    <w:p>
      <w:pPr>
        <w:snapToGrid w:val="0"/>
        <w:spacing w:beforeLines="0" w:line="400" w:lineRule="exact"/>
        <w:ind w:firstLine="480" w:firstLineChars="20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Cs/>
          <w:sz w:val="24"/>
          <w:szCs w:val="24"/>
          <w:u w:val="none"/>
          <w:lang w:val="en-US" w:eastAsia="zh-CN"/>
        </w:rPr>
        <w:t xml:space="preserve">    履约担保期限</w:t>
      </w:r>
      <w:r>
        <w:rPr>
          <w:rFonts w:hint="eastAsia" w:asciiTheme="majorEastAsia" w:hAnsiTheme="majorEastAsia" w:eastAsiaTheme="majorEastAsia" w:cstheme="majorEastAsia"/>
          <w:bCs/>
          <w:sz w:val="24"/>
          <w:szCs w:val="24"/>
          <w:u w:val="none"/>
          <w:lang w:eastAsia="zh-CN"/>
        </w:rPr>
        <w:t>：</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val="en-US" w:eastAsia="zh-CN"/>
        </w:rPr>
        <w:t xml:space="preserve">                     </w:t>
      </w:r>
      <w:r>
        <w:rPr>
          <w:rFonts w:hint="eastAsia" w:asciiTheme="majorEastAsia" w:hAnsiTheme="majorEastAsia" w:eastAsiaTheme="majorEastAsia" w:cstheme="majorEastAsia"/>
          <w:bCs/>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（4）分期履行要求：</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val="en-US" w:eastAsia="zh-CN"/>
        </w:rPr>
        <w:t xml:space="preserve">    </w:t>
      </w:r>
      <w:r>
        <w:rPr>
          <w:rFonts w:hint="eastAsia" w:asciiTheme="majorEastAsia" w:hAnsiTheme="majorEastAsia" w:eastAsiaTheme="majorEastAsia" w:cstheme="majorEastAsia"/>
          <w:bCs/>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bCs/>
          <w:sz w:val="24"/>
          <w:szCs w:val="24"/>
        </w:rPr>
        <w:t>（5）</w:t>
      </w:r>
      <w:r>
        <w:rPr>
          <w:rFonts w:hint="eastAsia" w:asciiTheme="majorEastAsia" w:hAnsiTheme="majorEastAsia" w:eastAsiaTheme="majorEastAsia" w:cstheme="majorEastAsia"/>
          <w:bCs/>
          <w:sz w:val="24"/>
          <w:szCs w:val="24"/>
          <w:lang w:eastAsia="zh-CN"/>
        </w:rPr>
        <w:t>风险处置措施和替代方案</w:t>
      </w:r>
      <w:r>
        <w:rPr>
          <w:rFonts w:hint="eastAsia" w:asciiTheme="majorEastAsia" w:hAnsiTheme="majorEastAsia" w:eastAsiaTheme="majorEastAsia" w:cstheme="majorEastAsia"/>
          <w:bCs/>
          <w:sz w:val="24"/>
          <w:szCs w:val="24"/>
        </w:rPr>
        <w:t>：</w:t>
      </w:r>
      <w:r>
        <w:rPr>
          <w:rFonts w:hint="eastAsia" w:asciiTheme="majorEastAsia" w:hAnsiTheme="majorEastAsia" w:eastAsiaTheme="majorEastAsia" w:cstheme="majorEastAsia"/>
          <w:color w:val="0000FF"/>
          <w:sz w:val="24"/>
          <w:szCs w:val="24"/>
          <w:u w:val="single"/>
        </w:rPr>
        <w:t xml:space="preserve"> </w:t>
      </w:r>
      <w:r>
        <w:rPr>
          <w:rFonts w:hint="eastAsia" w:asciiTheme="majorEastAsia" w:hAnsiTheme="majorEastAsia" w:eastAsiaTheme="majorEastAsia" w:cstheme="majorEastAsia"/>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sz w:val="24"/>
          <w:szCs w:val="24"/>
          <w:u w:val="single"/>
        </w:rPr>
        <w:t xml:space="preserve">                                                </w:t>
      </w: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合同验收</w:t>
      </w:r>
    </w:p>
    <w:p>
      <w:pPr>
        <w:numPr>
          <w:ilvl w:val="0"/>
          <w:numId w:val="19"/>
        </w:num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验收组织方式：</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自行组织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委托第三方组织</w:t>
      </w:r>
    </w:p>
    <w:p>
      <w:pPr>
        <w:numPr>
          <w:ilvl w:val="0"/>
          <w:numId w:val="0"/>
        </w:numPr>
        <w:adjustRightInd w:val="0"/>
        <w:snapToGrid w:val="0"/>
        <w:spacing w:before="0" w:beforeLines="0" w:line="400" w:lineRule="exact"/>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val="en-US" w:eastAsia="zh-CN"/>
        </w:rPr>
        <w:t xml:space="preserve">         </w:t>
      </w:r>
      <w:r>
        <w:rPr>
          <w:rFonts w:hint="eastAsia" w:asciiTheme="majorEastAsia" w:hAnsiTheme="majorEastAsia" w:eastAsiaTheme="majorEastAsia" w:cstheme="majorEastAsia"/>
          <w:bCs/>
          <w:sz w:val="24"/>
          <w:szCs w:val="24"/>
        </w:rPr>
        <w:t>验收主体：</w:t>
      </w:r>
      <w:r>
        <w:rPr>
          <w:rFonts w:hint="eastAsia" w:asciiTheme="majorEastAsia" w:hAnsiTheme="majorEastAsia" w:eastAsiaTheme="majorEastAsia" w:cstheme="majorEastAsia"/>
          <w:bCs/>
          <w:sz w:val="24"/>
          <w:szCs w:val="24"/>
          <w:u w:val="single"/>
        </w:rPr>
        <w:t xml:space="preserve">                  </w:t>
      </w:r>
    </w:p>
    <w:p>
      <w:pPr>
        <w:adjustRightInd w:val="0"/>
        <w:snapToGrid w:val="0"/>
        <w:spacing w:before="0" w:beforeLines="0" w:line="400" w:lineRule="exact"/>
        <w:ind w:firstLine="0" w:firstLineChars="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val="en-US" w:eastAsia="zh-CN"/>
        </w:rPr>
        <w:t xml:space="preserve">        </w:t>
      </w:r>
      <w:r>
        <w:rPr>
          <w:rFonts w:hint="eastAsia" w:asciiTheme="majorEastAsia" w:hAnsiTheme="majorEastAsia" w:eastAsiaTheme="majorEastAsia" w:cstheme="majorEastAsia"/>
          <w:bCs/>
          <w:sz w:val="24"/>
          <w:szCs w:val="24"/>
        </w:rPr>
        <w:t>是否邀请本项目的其他供应商</w:t>
      </w:r>
      <w:r>
        <w:rPr>
          <w:rFonts w:hint="eastAsia" w:asciiTheme="majorEastAsia" w:hAnsiTheme="majorEastAsia" w:eastAsiaTheme="majorEastAsia" w:cstheme="majorEastAsia"/>
          <w:bCs/>
          <w:sz w:val="24"/>
          <w:szCs w:val="24"/>
          <w:lang w:eastAsia="zh-CN"/>
        </w:rPr>
        <w:t>参加验收</w:t>
      </w:r>
      <w:r>
        <w:rPr>
          <w:rFonts w:hint="eastAsia" w:asciiTheme="majorEastAsia" w:hAnsiTheme="majorEastAsia" w:eastAsiaTheme="majorEastAsia" w:cstheme="majorEastAsia"/>
          <w:bCs/>
          <w:sz w:val="24"/>
          <w:szCs w:val="24"/>
        </w:rPr>
        <w:t>：</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是否邀请专家</w:t>
      </w:r>
      <w:r>
        <w:rPr>
          <w:rFonts w:hint="eastAsia" w:asciiTheme="majorEastAsia" w:hAnsiTheme="majorEastAsia" w:eastAsiaTheme="majorEastAsia" w:cstheme="majorEastAsia"/>
          <w:bCs/>
          <w:sz w:val="24"/>
          <w:szCs w:val="24"/>
          <w:lang w:eastAsia="zh-CN"/>
        </w:rPr>
        <w:t>参加验收</w:t>
      </w:r>
      <w:r>
        <w:rPr>
          <w:rFonts w:hint="eastAsia" w:asciiTheme="majorEastAsia" w:hAnsiTheme="majorEastAsia" w:eastAsiaTheme="majorEastAsia" w:cstheme="majorEastAsia"/>
          <w:bCs/>
          <w:sz w:val="24"/>
          <w:szCs w:val="24"/>
        </w:rPr>
        <w:t>：</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是否邀请服务对象</w:t>
      </w:r>
      <w:r>
        <w:rPr>
          <w:rFonts w:hint="eastAsia" w:asciiTheme="majorEastAsia" w:hAnsiTheme="majorEastAsia" w:eastAsiaTheme="majorEastAsia" w:cstheme="majorEastAsia"/>
          <w:bCs/>
          <w:sz w:val="24"/>
          <w:szCs w:val="24"/>
          <w:lang w:eastAsia="zh-CN"/>
        </w:rPr>
        <w:t>参加验收</w:t>
      </w:r>
      <w:r>
        <w:rPr>
          <w:rFonts w:hint="eastAsia" w:asciiTheme="majorEastAsia" w:hAnsiTheme="majorEastAsia" w:eastAsiaTheme="majorEastAsia" w:cstheme="majorEastAsia"/>
          <w:bCs/>
          <w:sz w:val="24"/>
          <w:szCs w:val="24"/>
        </w:rPr>
        <w:t>：</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是否邀请第三方检测机构</w:t>
      </w:r>
      <w:r>
        <w:rPr>
          <w:rFonts w:hint="eastAsia" w:asciiTheme="majorEastAsia" w:hAnsiTheme="majorEastAsia" w:eastAsiaTheme="majorEastAsia" w:cstheme="majorEastAsia"/>
          <w:bCs/>
          <w:sz w:val="24"/>
          <w:szCs w:val="24"/>
          <w:lang w:eastAsia="zh-CN"/>
        </w:rPr>
        <w:t>参加验收</w:t>
      </w:r>
      <w:r>
        <w:rPr>
          <w:rFonts w:hint="eastAsia" w:asciiTheme="majorEastAsia" w:hAnsiTheme="majorEastAsia" w:eastAsiaTheme="majorEastAsia" w:cstheme="majorEastAsia"/>
          <w:bCs/>
          <w:sz w:val="24"/>
          <w:szCs w:val="24"/>
        </w:rPr>
        <w:t>：</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是否进行抽查检测：</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是</w:t>
      </w:r>
      <w:r>
        <w:rPr>
          <w:rFonts w:hint="eastAsia" w:asciiTheme="majorEastAsia" w:hAnsiTheme="majorEastAsia" w:eastAsiaTheme="majorEastAsia" w:cstheme="majorEastAsia"/>
          <w:bCs/>
          <w:sz w:val="24"/>
          <w:szCs w:val="24"/>
          <w:lang w:eastAsia="zh-CN"/>
        </w:rPr>
        <w:t>，抽查比例：</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val="en-US" w:eastAsia="zh-CN"/>
        </w:rPr>
        <w:t xml:space="preserve">     </w:t>
      </w:r>
      <w:r>
        <w:rPr>
          <w:rFonts w:hint="eastAsia" w:asciiTheme="majorEastAsia" w:hAnsiTheme="majorEastAsia" w:eastAsiaTheme="majorEastAsia" w:cstheme="majorEastAsia"/>
          <w:bCs/>
          <w:sz w:val="24"/>
          <w:szCs w:val="24"/>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u w:val="single"/>
          <w:lang w:eastAsia="zh-CN"/>
        </w:rPr>
      </w:pPr>
      <w:r>
        <w:rPr>
          <w:rFonts w:hint="eastAsia" w:asciiTheme="majorEastAsia" w:hAnsiTheme="majorEastAsia" w:eastAsiaTheme="majorEastAsia" w:cstheme="majorEastAsia"/>
          <w:bCs/>
          <w:sz w:val="24"/>
          <w:szCs w:val="24"/>
          <w:lang w:val="en-US" w:eastAsia="zh-CN"/>
        </w:rPr>
        <w:t>是否存在破坏性检测：</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是</w:t>
      </w:r>
      <w:r>
        <w:rPr>
          <w:rFonts w:hint="eastAsia" w:asciiTheme="majorEastAsia" w:hAnsiTheme="majorEastAsia" w:eastAsiaTheme="majorEastAsia" w:cstheme="majorEastAsia"/>
          <w:bCs/>
          <w:sz w:val="24"/>
          <w:szCs w:val="24"/>
          <w:lang w:eastAsia="zh-CN"/>
        </w:rPr>
        <w:t>，</w:t>
      </w:r>
      <w:r>
        <w:rPr>
          <w:rFonts w:hint="eastAsia" w:asciiTheme="majorEastAsia" w:hAnsiTheme="majorEastAsia" w:eastAsiaTheme="majorEastAsia" w:cstheme="majorEastAsia"/>
          <w:bCs/>
          <w:sz w:val="24"/>
          <w:szCs w:val="24"/>
          <w:u w:val="single"/>
          <w:lang w:eastAsia="zh-CN"/>
        </w:rPr>
        <w:t>（应明确对被破坏的检测产品的处理方式）</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lang w:eastAsia="zh-CN"/>
        </w:rPr>
      </w:pPr>
      <w:r>
        <w:rPr>
          <w:rFonts w:hint="eastAsia" w:asciiTheme="majorEastAsia" w:hAnsiTheme="majorEastAsia" w:eastAsiaTheme="majorEastAsia" w:cstheme="majorEastAsia"/>
          <w:bCs/>
          <w:sz w:val="24"/>
          <w:szCs w:val="24"/>
          <w:lang w:val="en-US" w:eastAsia="zh-CN"/>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960" w:firstLineChars="400"/>
        <w:rPr>
          <w:rFonts w:hint="eastAsia" w:asciiTheme="majorEastAsia" w:hAnsiTheme="majorEastAsia" w:eastAsiaTheme="majorEastAsia" w:cstheme="majorEastAsia"/>
          <w:bCs/>
          <w:sz w:val="24"/>
          <w:szCs w:val="24"/>
          <w:u w:val="single"/>
        </w:rPr>
      </w:pPr>
      <w:r>
        <w:rPr>
          <w:rFonts w:hint="eastAsia" w:asciiTheme="majorEastAsia" w:hAnsiTheme="majorEastAsia" w:eastAsiaTheme="majorEastAsia" w:cstheme="majorEastAsia"/>
          <w:bCs/>
          <w:sz w:val="24"/>
          <w:szCs w:val="24"/>
        </w:rPr>
        <w:t>验收组织的其他事项：</w:t>
      </w:r>
      <w:r>
        <w:rPr>
          <w:rFonts w:hint="eastAsia" w:asciiTheme="majorEastAsia" w:hAnsiTheme="majorEastAsia" w:eastAsiaTheme="majorEastAsia" w:cstheme="majorEastAsia"/>
          <w:bCs/>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u w:val="single"/>
        </w:rPr>
      </w:pPr>
      <w:r>
        <w:rPr>
          <w:rFonts w:hint="eastAsia" w:asciiTheme="majorEastAsia" w:hAnsiTheme="majorEastAsia" w:eastAsiaTheme="majorEastAsia" w:cstheme="majorEastAsia"/>
          <w:bCs/>
          <w:sz w:val="24"/>
          <w:szCs w:val="24"/>
        </w:rPr>
        <w:t>（2）履约验收时间：</w:t>
      </w:r>
      <w:r>
        <w:rPr>
          <w:rFonts w:hint="eastAsia" w:asciiTheme="majorEastAsia" w:hAnsiTheme="majorEastAsia" w:eastAsiaTheme="majorEastAsia" w:cstheme="majorEastAsia"/>
          <w:bCs/>
          <w:sz w:val="24"/>
          <w:szCs w:val="24"/>
          <w:u w:val="single"/>
        </w:rPr>
        <w:t>（计划于何时验收/供应商提出验收申请之日起   日内组织验收）</w:t>
      </w:r>
      <w:r>
        <w:rPr>
          <w:rFonts w:hint="eastAsia" w:asciiTheme="majorEastAsia" w:hAnsiTheme="majorEastAsia" w:eastAsiaTheme="majorEastAsia" w:cstheme="majorEastAsia"/>
          <w:bCs/>
          <w:sz w:val="24"/>
          <w:szCs w:val="24"/>
          <w:u w:val="single"/>
          <w:lang w:val="en-US" w:eastAsia="zh-CN"/>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（3）履约验收方式：</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一次性验收         </w:t>
      </w:r>
    </w:p>
    <w:p>
      <w:pPr>
        <w:adjustRightInd w:val="0"/>
        <w:snapToGrid w:val="0"/>
        <w:spacing w:before="0" w:beforeLines="0" w:line="400" w:lineRule="exact"/>
        <w:ind w:firstLine="0" w:firstLineChars="0"/>
        <w:rPr>
          <w:rFonts w:hint="eastAsia" w:asciiTheme="majorEastAsia" w:hAnsiTheme="majorEastAsia" w:eastAsiaTheme="majorEastAsia" w:cstheme="majorEastAsia"/>
          <w:bCs/>
          <w:sz w:val="24"/>
          <w:szCs w:val="24"/>
          <w:lang w:val="en-US" w:eastAsia="zh-CN"/>
        </w:rPr>
      </w:pPr>
      <w:r>
        <w:rPr>
          <w:rFonts w:hint="eastAsia" w:asciiTheme="majorEastAsia" w:hAnsiTheme="majorEastAsia" w:eastAsiaTheme="majorEastAsia" w:cstheme="majorEastAsia"/>
          <w:bCs/>
          <w:sz w:val="24"/>
          <w:szCs w:val="24"/>
          <w:lang w:val="en-US" w:eastAsia="zh-CN"/>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分期/分项验收</w:t>
      </w:r>
      <w:r>
        <w:rPr>
          <w:rFonts w:hint="eastAsia" w:asciiTheme="majorEastAsia" w:hAnsiTheme="majorEastAsia" w:eastAsiaTheme="majorEastAsia" w:cstheme="majorEastAsia"/>
          <w:bCs/>
          <w:sz w:val="24"/>
          <w:szCs w:val="24"/>
          <w:lang w:eastAsia="zh-CN"/>
        </w:rPr>
        <w:t>：</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eastAsia="zh-CN"/>
        </w:rPr>
        <w:t>（应明确分期</w:t>
      </w:r>
      <w:r>
        <w:rPr>
          <w:rFonts w:hint="eastAsia" w:asciiTheme="majorEastAsia" w:hAnsiTheme="majorEastAsia" w:eastAsiaTheme="majorEastAsia" w:cstheme="majorEastAsia"/>
          <w:bCs/>
          <w:sz w:val="24"/>
          <w:szCs w:val="24"/>
          <w:u w:val="single"/>
          <w:lang w:val="en" w:eastAsia="zh-CN"/>
        </w:rPr>
        <w:t>/分项验收的工作安排</w:t>
      </w:r>
      <w:r>
        <w:rPr>
          <w:rFonts w:hint="eastAsia" w:asciiTheme="majorEastAsia" w:hAnsiTheme="majorEastAsia" w:eastAsiaTheme="majorEastAsia" w:cstheme="majorEastAsia"/>
          <w:bCs/>
          <w:sz w:val="24"/>
          <w:szCs w:val="24"/>
          <w:u w:val="single"/>
          <w:lang w:eastAsia="zh-CN"/>
        </w:rPr>
        <w:t>）</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val="en-US" w:eastAsia="zh-CN"/>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（4）履约验收程序：</w:t>
      </w:r>
      <w:r>
        <w:rPr>
          <w:rFonts w:hint="eastAsia" w:asciiTheme="majorEastAsia" w:hAnsiTheme="majorEastAsia" w:eastAsiaTheme="majorEastAsia" w:cstheme="majorEastAsia"/>
          <w:bCs/>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u w:val="single"/>
        </w:rPr>
      </w:pPr>
      <w:r>
        <w:rPr>
          <w:rFonts w:hint="eastAsia" w:asciiTheme="majorEastAsia" w:hAnsiTheme="majorEastAsia" w:eastAsiaTheme="majorEastAsia" w:cstheme="majorEastAsia"/>
          <w:bCs/>
          <w:sz w:val="24"/>
          <w:szCs w:val="24"/>
        </w:rPr>
        <w:t>（5）履约验收的内容：</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eastAsia="zh-CN"/>
        </w:rPr>
        <w:t>（应当包括每一项技术和商务要求的履约情况，特别是落实政府采购扶持中小企业，支持绿色发展和乡村振兴等政策情况）</w:t>
      </w:r>
      <w:r>
        <w:rPr>
          <w:rFonts w:hint="eastAsia" w:asciiTheme="majorEastAsia" w:hAnsiTheme="majorEastAsia" w:eastAsiaTheme="majorEastAsia" w:cstheme="majorEastAsia"/>
          <w:bCs/>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u w:val="single"/>
        </w:rPr>
      </w:pPr>
      <w:r>
        <w:rPr>
          <w:rFonts w:hint="eastAsia" w:asciiTheme="majorEastAsia" w:hAnsiTheme="majorEastAsia" w:eastAsiaTheme="majorEastAsia" w:cstheme="majorEastAsia"/>
          <w:bCs/>
          <w:sz w:val="24"/>
          <w:szCs w:val="24"/>
        </w:rPr>
        <w:t>（6）履约验收标准：</w:t>
      </w:r>
      <w:r>
        <w:rPr>
          <w:rFonts w:hint="eastAsia" w:asciiTheme="majorEastAsia" w:hAnsiTheme="majorEastAsia" w:eastAsiaTheme="majorEastAsia" w:cstheme="majorEastAsia"/>
          <w:bCs/>
          <w:sz w:val="24"/>
          <w:szCs w:val="24"/>
          <w:u w:val="single"/>
        </w:rPr>
        <w:t xml:space="preserve">                                         </w:t>
      </w:r>
    </w:p>
    <w:p>
      <w:pPr>
        <w:pStyle w:val="54"/>
        <w:spacing w:beforeLines="0"/>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bCs/>
          <w:sz w:val="24"/>
          <w:szCs w:val="24"/>
          <w:u w:val="none"/>
          <w:lang w:eastAsia="zh-CN"/>
        </w:rPr>
        <w:t>（</w:t>
      </w:r>
      <w:r>
        <w:rPr>
          <w:rFonts w:hint="eastAsia" w:asciiTheme="majorEastAsia" w:hAnsiTheme="majorEastAsia" w:eastAsiaTheme="majorEastAsia" w:cstheme="majorEastAsia"/>
          <w:bCs/>
          <w:sz w:val="24"/>
          <w:szCs w:val="24"/>
          <w:u w:val="none"/>
          <w:lang w:val="en-US" w:eastAsia="zh-CN"/>
        </w:rPr>
        <w:t>7</w:t>
      </w:r>
      <w:r>
        <w:rPr>
          <w:rFonts w:hint="eastAsia" w:asciiTheme="majorEastAsia" w:hAnsiTheme="majorEastAsia" w:eastAsiaTheme="majorEastAsia" w:cstheme="majorEastAsia"/>
          <w:bCs/>
          <w:sz w:val="24"/>
          <w:szCs w:val="24"/>
          <w:u w:val="none"/>
          <w:lang w:eastAsia="zh-CN"/>
        </w:rPr>
        <w:t>）是否以采购活动中供应商提供的样品作为参考：</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否</w:t>
      </w:r>
    </w:p>
    <w:p>
      <w:pPr>
        <w:adjustRightInd w:val="0"/>
        <w:snapToGrid w:val="0"/>
        <w:spacing w:before="0" w:beforeLines="0" w:line="400" w:lineRule="exact"/>
        <w:ind w:firstLine="480" w:firstLineChars="200"/>
        <w:rPr>
          <w:rFonts w:hint="eastAsia" w:asciiTheme="majorEastAsia" w:hAnsiTheme="majorEastAsia" w:eastAsiaTheme="majorEastAsia" w:cstheme="majorEastAsia"/>
          <w:bCs/>
          <w:sz w:val="24"/>
          <w:szCs w:val="24"/>
          <w:u w:val="single"/>
        </w:rPr>
      </w:pPr>
      <w:r>
        <w:rPr>
          <w:rFonts w:hint="eastAsia" w:asciiTheme="majorEastAsia" w:hAnsiTheme="majorEastAsia" w:eastAsiaTheme="majorEastAsia" w:cstheme="majorEastAsia"/>
          <w:bCs/>
          <w:sz w:val="24"/>
          <w:szCs w:val="24"/>
        </w:rPr>
        <w:t>（8）履约验收其他事项：</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i w:val="0"/>
          <w:iCs w:val="0"/>
          <w:sz w:val="24"/>
          <w:szCs w:val="24"/>
          <w:u w:val="single"/>
        </w:rPr>
        <w:t>（产权过户登记等）</w:t>
      </w:r>
      <w:r>
        <w:rPr>
          <w:rFonts w:hint="eastAsia" w:asciiTheme="majorEastAsia" w:hAnsiTheme="majorEastAsia" w:eastAsiaTheme="majorEastAsia" w:cstheme="majorEastAsia"/>
          <w:bCs/>
          <w:sz w:val="24"/>
          <w:szCs w:val="24"/>
          <w:u w:val="single"/>
        </w:rPr>
        <w:t xml:space="preserve">          </w:t>
      </w:r>
    </w:p>
    <w:p>
      <w:pPr>
        <w:pStyle w:val="54"/>
        <w:rPr>
          <w:rFonts w:hint="eastAsia"/>
        </w:rPr>
      </w:pP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组成合同的文件</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本协议书与下列文件一起构成合同文件，如下述文件之间有任何抵触、矛盾或歧义，应按以下顺序解释：</w:t>
      </w:r>
    </w:p>
    <w:p>
      <w:pPr>
        <w:adjustRightInd w:val="0"/>
        <w:snapToGrid w:val="0"/>
        <w:spacing w:before="0" w:beforeLines="0" w:line="400" w:lineRule="exact"/>
        <w:ind w:firstLine="480" w:firstLineChars="20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（1）</w:t>
      </w:r>
      <w:r>
        <w:rPr>
          <w:rFonts w:hint="eastAsia" w:asciiTheme="majorEastAsia" w:hAnsiTheme="majorEastAsia" w:eastAsiaTheme="majorEastAsia" w:cstheme="majorEastAsia"/>
          <w:color w:val="auto"/>
          <w:sz w:val="24"/>
          <w:szCs w:val="24"/>
          <w:lang w:eastAsia="zh-CN"/>
        </w:rPr>
        <w:t>政府采购</w:t>
      </w:r>
      <w:r>
        <w:rPr>
          <w:rFonts w:hint="eastAsia" w:asciiTheme="majorEastAsia" w:hAnsiTheme="majorEastAsia" w:eastAsiaTheme="majorEastAsia" w:cstheme="majorEastAsia"/>
          <w:color w:val="auto"/>
          <w:sz w:val="24"/>
          <w:szCs w:val="24"/>
        </w:rPr>
        <w:t>合同协议书及其变更、补充</w:t>
      </w:r>
      <w:r>
        <w:rPr>
          <w:rFonts w:hint="eastAsia" w:asciiTheme="majorEastAsia" w:hAnsiTheme="majorEastAsia" w:eastAsiaTheme="majorEastAsia" w:cstheme="majorEastAsia"/>
          <w:color w:val="auto"/>
          <w:sz w:val="24"/>
          <w:szCs w:val="24"/>
          <w:lang w:eastAsia="zh-CN"/>
        </w:rPr>
        <w:t>协议</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t>）政府采购合同专用条款</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）政府采购合同通用条款</w:t>
      </w:r>
    </w:p>
    <w:p>
      <w:pPr>
        <w:adjustRightInd w:val="0"/>
        <w:snapToGrid w:val="0"/>
        <w:spacing w:before="0" w:beforeLines="0" w:line="4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）中标</w:t>
      </w:r>
      <w:r>
        <w:rPr>
          <w:rFonts w:hint="eastAsia" w:asciiTheme="majorEastAsia" w:hAnsiTheme="majorEastAsia" w:eastAsiaTheme="majorEastAsia" w:cstheme="majorEastAsia"/>
          <w:color w:val="auto"/>
          <w:sz w:val="24"/>
          <w:szCs w:val="24"/>
          <w:lang w:eastAsia="zh-CN"/>
        </w:rPr>
        <w:t>（成交）</w:t>
      </w:r>
      <w:r>
        <w:rPr>
          <w:rFonts w:hint="eastAsia" w:asciiTheme="majorEastAsia" w:hAnsiTheme="majorEastAsia" w:eastAsiaTheme="majorEastAsia" w:cstheme="majorEastAsia"/>
          <w:color w:val="auto"/>
          <w:sz w:val="24"/>
          <w:szCs w:val="24"/>
        </w:rPr>
        <w:t>通知书</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）投标（响应）文件</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（6）采购文件</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（7）有关技术文件，图纸</w:t>
      </w:r>
    </w:p>
    <w:p>
      <w:pPr>
        <w:pStyle w:val="54"/>
        <w:spacing w:beforeLines="0"/>
        <w:rPr>
          <w:rFonts w:hint="eastAsia" w:asciiTheme="majorEastAsia" w:hAnsiTheme="majorEastAsia" w:eastAsiaTheme="majorEastAsia" w:cstheme="majorEastAsia"/>
          <w:kern w:val="2"/>
          <w:sz w:val="24"/>
          <w:szCs w:val="24"/>
          <w:highlight w:val="none"/>
          <w:lang w:eastAsia="zh-CN"/>
        </w:rPr>
      </w:pP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8</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合同生效</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本合同自</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生效。</w:t>
      </w:r>
    </w:p>
    <w:p>
      <w:pPr>
        <w:numPr>
          <w:ilvl w:val="0"/>
          <w:numId w:val="17"/>
        </w:numPr>
        <w:adjustRightInd w:val="0"/>
        <w:snapToGrid w:val="0"/>
        <w:spacing w:before="0" w:beforeLines="0" w:line="400" w:lineRule="exact"/>
        <w:ind w:firstLine="482" w:firstLineChars="20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合同份数</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本合同一式</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份，</w:t>
      </w:r>
      <w:r>
        <w:rPr>
          <w:rFonts w:hint="eastAsia" w:asciiTheme="majorEastAsia" w:hAnsiTheme="majorEastAsia" w:eastAsiaTheme="majorEastAsia" w:cstheme="majorEastAsia"/>
          <w:sz w:val="24"/>
          <w:szCs w:val="24"/>
          <w:lang w:eastAsia="zh-CN"/>
        </w:rPr>
        <w:t>甲方</w:t>
      </w:r>
      <w:r>
        <w:rPr>
          <w:rFonts w:hint="eastAsia" w:asciiTheme="majorEastAsia" w:hAnsiTheme="majorEastAsia" w:eastAsiaTheme="majorEastAsia" w:cstheme="majorEastAsia"/>
          <w:sz w:val="24"/>
          <w:szCs w:val="24"/>
        </w:rPr>
        <w:t>执</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份，</w:t>
      </w:r>
      <w:r>
        <w:rPr>
          <w:rFonts w:hint="eastAsia" w:asciiTheme="majorEastAsia" w:hAnsiTheme="majorEastAsia" w:eastAsiaTheme="majorEastAsia" w:cstheme="majorEastAsia"/>
          <w:sz w:val="24"/>
          <w:szCs w:val="24"/>
          <w:lang w:eastAsia="zh-CN"/>
        </w:rPr>
        <w:t>乙方</w:t>
      </w:r>
      <w:r>
        <w:rPr>
          <w:rFonts w:hint="eastAsia" w:asciiTheme="majorEastAsia" w:hAnsiTheme="majorEastAsia" w:eastAsiaTheme="majorEastAsia" w:cstheme="majorEastAsia"/>
          <w:sz w:val="24"/>
          <w:szCs w:val="24"/>
        </w:rPr>
        <w:t>执</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份，均具有同等法律效力。</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合同订立时间：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日</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合同订立地点：</w:t>
      </w:r>
      <w:r>
        <w:rPr>
          <w:rFonts w:hint="eastAsia" w:asciiTheme="majorEastAsia" w:hAnsiTheme="majorEastAsia" w:eastAsiaTheme="majorEastAsia" w:cstheme="majorEastAsia"/>
          <w:sz w:val="24"/>
          <w:szCs w:val="24"/>
          <w:u w:val="single"/>
        </w:rPr>
        <w:t xml:space="preserve">                           </w:t>
      </w:r>
    </w:p>
    <w:p>
      <w:pPr>
        <w:adjustRightInd w:val="0"/>
        <w:snapToGrid w:val="0"/>
        <w:spacing w:before="0" w:beforeLines="0" w:line="40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附件：具体标</w:t>
      </w:r>
      <w:r>
        <w:rPr>
          <w:rFonts w:hint="eastAsia" w:asciiTheme="majorEastAsia" w:hAnsiTheme="majorEastAsia" w:eastAsiaTheme="majorEastAsia" w:cstheme="majorEastAsia"/>
          <w:sz w:val="24"/>
          <w:szCs w:val="24"/>
          <w:lang w:eastAsia="zh-CN"/>
        </w:rPr>
        <w:t>的及其</w:t>
      </w:r>
      <w:r>
        <w:rPr>
          <w:rFonts w:hint="eastAsia" w:asciiTheme="majorEastAsia" w:hAnsiTheme="majorEastAsia" w:eastAsiaTheme="majorEastAsia" w:cstheme="majorEastAsia"/>
          <w:sz w:val="24"/>
          <w:szCs w:val="24"/>
          <w:highlight w:val="none"/>
          <w:u w:val="none"/>
          <w:lang w:val="en-US" w:eastAsia="zh-CN"/>
        </w:rPr>
        <w:t>技术要求和商务要求</w:t>
      </w:r>
      <w:r>
        <w:rPr>
          <w:rFonts w:hint="eastAsia" w:asciiTheme="majorEastAsia" w:hAnsiTheme="majorEastAsia" w:eastAsiaTheme="majorEastAsia" w:cstheme="majorEastAsia"/>
          <w:sz w:val="24"/>
          <w:szCs w:val="24"/>
        </w:rPr>
        <w:t>、联合协议、分包</w:t>
      </w:r>
      <w:r>
        <w:rPr>
          <w:rFonts w:hint="eastAsia" w:asciiTheme="majorEastAsia" w:hAnsiTheme="majorEastAsia" w:eastAsiaTheme="majorEastAsia" w:cstheme="majorEastAsia"/>
          <w:sz w:val="24"/>
          <w:szCs w:val="24"/>
          <w:lang w:eastAsia="zh-CN"/>
        </w:rPr>
        <w:t>意向</w:t>
      </w:r>
      <w:r>
        <w:rPr>
          <w:rFonts w:hint="eastAsia" w:asciiTheme="majorEastAsia" w:hAnsiTheme="majorEastAsia" w:eastAsiaTheme="majorEastAsia" w:cstheme="majorEastAsia"/>
          <w:sz w:val="24"/>
          <w:szCs w:val="24"/>
        </w:rPr>
        <w:t>协议等。</w:t>
      </w:r>
    </w:p>
    <w:p>
      <w:pPr>
        <w:pStyle w:val="76"/>
        <w:rPr>
          <w:rFonts w:hint="eastAsia" w:asciiTheme="majorEastAsia" w:hAnsiTheme="majorEastAsia" w:eastAsiaTheme="majorEastAsia" w:cstheme="majorEastAsia"/>
          <w:sz w:val="24"/>
          <w:szCs w:val="24"/>
        </w:rPr>
      </w:pPr>
    </w:p>
    <w:tbl>
      <w:tblPr>
        <w:tblStyle w:val="4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8"/>
        <w:gridCol w:w="2829"/>
        <w:gridCol w:w="2321"/>
        <w:gridCol w:w="2483"/>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甲方（采购人</w:t>
            </w:r>
            <w:r>
              <w:rPr>
                <w:rFonts w:hint="eastAsia" w:asciiTheme="majorEastAsia" w:hAnsiTheme="majorEastAsia" w:eastAsiaTheme="majorEastAsia" w:cstheme="majorEastAsia"/>
                <w:sz w:val="24"/>
                <w:szCs w:val="24"/>
                <w:lang w:eastAsia="zh-CN"/>
              </w:rPr>
              <w:t>、受采购人委托签订合同的单位</w:t>
            </w:r>
            <w:r>
              <w:rPr>
                <w:rFonts w:hint="eastAsia" w:asciiTheme="majorEastAsia" w:hAnsiTheme="majorEastAsia" w:eastAsiaTheme="majorEastAsia" w:cstheme="majorEastAsia"/>
                <w:sz w:val="24"/>
                <w:szCs w:val="24"/>
              </w:rPr>
              <w:t>或采购文件约定的合同甲方）</w:t>
            </w:r>
          </w:p>
        </w:tc>
        <w:tc>
          <w:tcPr>
            <w:tcW w:w="2437" w:type="pct"/>
            <w:gridSpan w:val="2"/>
            <w:tcBorders>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单位名称（公章</w:t>
            </w:r>
            <w:r>
              <w:rPr>
                <w:rFonts w:hint="eastAsia" w:asciiTheme="majorEastAsia" w:hAnsiTheme="majorEastAsia" w:eastAsiaTheme="majorEastAsia" w:cstheme="majorEastAsia"/>
                <w:sz w:val="24"/>
                <w:szCs w:val="24"/>
                <w:lang w:eastAsia="zh-CN"/>
              </w:rPr>
              <w:t>或合同章</w:t>
            </w:r>
            <w:r>
              <w:rPr>
                <w:rFonts w:hint="eastAsia" w:asciiTheme="majorEastAsia" w:hAnsiTheme="majorEastAsia" w:eastAsiaTheme="majorEastAsia" w:cstheme="majorEastAsia"/>
                <w:sz w:val="24"/>
                <w:szCs w:val="24"/>
              </w:rPr>
              <w:t>）</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单位名称（公章</w:t>
            </w:r>
            <w:r>
              <w:rPr>
                <w:rFonts w:hint="eastAsia" w:asciiTheme="majorEastAsia" w:hAnsiTheme="majorEastAsia" w:eastAsiaTheme="majorEastAsia" w:cstheme="majorEastAsia"/>
                <w:sz w:val="24"/>
                <w:szCs w:val="24"/>
                <w:lang w:eastAsia="zh-CN"/>
              </w:rPr>
              <w:t>或合同章</w:t>
            </w:r>
            <w:r>
              <w:rPr>
                <w:rFonts w:hint="eastAsia" w:asciiTheme="majorEastAsia" w:hAnsiTheme="majorEastAsia" w:eastAsiaTheme="majorEastAsia" w:cstheme="majorEastAsia"/>
                <w:sz w:val="24"/>
                <w:szCs w:val="24"/>
              </w:rPr>
              <w:t>）</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w:t>
            </w:r>
          </w:p>
          <w:p>
            <w:pPr>
              <w:adjustRightInd w:val="0"/>
              <w:snapToGrid w:val="0"/>
              <w:spacing w:line="300" w:lineRule="exact"/>
              <w:ind w:firstLine="115" w:firstLineChars="48"/>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或其委托代理人（签章）</w:t>
            </w:r>
          </w:p>
        </w:tc>
        <w:tc>
          <w:tcPr>
            <w:tcW w:w="1436" w:type="pct"/>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w:t>
            </w:r>
          </w:p>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或其委托代理人（签章）</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vMerge w:val="continue"/>
            <w:tcBorders>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436" w:type="pct"/>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拥有者性别</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住</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住</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lang w:eastAsia="zh-CN"/>
              </w:rPr>
              <w:t>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 系 人</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通信地址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邮政编码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电子邮箱</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统一社会信用代码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开户名称</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开户银行</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银行账号</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Theme="majorEastAsia" w:hAnsiTheme="majorEastAsia" w:eastAsiaTheme="majorEastAsia" w:cstheme="majorEastAsia"/>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8"/>
              <w:adjustRightInd w:val="0"/>
              <w:snapToGrid w:val="0"/>
              <w:spacing w:before="156" w:beforeLines="50" w:after="0" w:line="360" w:lineRule="auto"/>
              <w:ind w:left="0" w:leftChars="0"/>
              <w:jc w:val="left"/>
              <w:rPr>
                <w:rFonts w:hint="eastAsia" w:asciiTheme="majorEastAsia" w:hAnsiTheme="majorEastAsia" w:eastAsiaTheme="majorEastAsia" w:cstheme="majorEastAsia"/>
                <w:spacing w:val="20"/>
                <w:sz w:val="24"/>
                <w:szCs w:val="24"/>
              </w:rPr>
            </w:pPr>
            <w:r>
              <w:rPr>
                <w:rFonts w:hint="eastAsia" w:asciiTheme="majorEastAsia" w:hAnsiTheme="majorEastAsia" w:eastAsiaTheme="majorEastAsia" w:cstheme="majorEastAsia"/>
                <w:sz w:val="24"/>
                <w:szCs w:val="24"/>
              </w:rPr>
              <w:t>注：涉及联合体或其他合同主体的信息应按上表格式加列。</w:t>
            </w:r>
          </w:p>
        </w:tc>
      </w:tr>
    </w:tbl>
    <w:p>
      <w:pPr>
        <w:rPr>
          <w:kern w:val="0"/>
        </w:rPr>
      </w:pPr>
    </w:p>
    <w:p>
      <w:pPr>
        <w:spacing w:line="360" w:lineRule="auto"/>
        <w:rPr>
          <w:rFonts w:ascii="宋体"/>
          <w:kern w:val="0"/>
        </w:rPr>
      </w:pPr>
    </w:p>
    <w:p>
      <w:pPr>
        <w:widowControl/>
        <w:jc w:val="left"/>
        <w:rPr>
          <w:rFonts w:ascii="宋体" w:hAnsi="宋体"/>
          <w:b/>
          <w:kern w:val="0"/>
          <w:sz w:val="36"/>
          <w:szCs w:val="36"/>
        </w:rPr>
      </w:pPr>
      <w:r>
        <w:rPr>
          <w:rFonts w:ascii="宋体" w:hAnsi="宋体"/>
          <w:b/>
          <w:kern w:val="0"/>
          <w:sz w:val="36"/>
          <w:szCs w:val="36"/>
        </w:rPr>
        <w:br w:type="page"/>
      </w:r>
    </w:p>
    <w:p>
      <w:pPr>
        <w:ind w:firstLine="480"/>
      </w:pPr>
    </w:p>
    <w:p>
      <w:pPr>
        <w:pStyle w:val="2"/>
        <w:rPr>
          <w:rFonts w:hAnsi="宋体"/>
          <w:sz w:val="36"/>
          <w:szCs w:val="36"/>
        </w:rPr>
      </w:pPr>
      <w:bookmarkStart w:id="812" w:name="_Toc27988"/>
      <w:r>
        <w:rPr>
          <w:rFonts w:hint="eastAsia" w:hAnsi="宋体"/>
          <w:sz w:val="36"/>
          <w:szCs w:val="36"/>
        </w:rPr>
        <w:t>第七章</w:t>
      </w:r>
      <w:r>
        <w:rPr>
          <w:rFonts w:hAnsi="宋体"/>
          <w:sz w:val="36"/>
          <w:szCs w:val="36"/>
        </w:rPr>
        <w:t xml:space="preserve">   </w:t>
      </w:r>
      <w:r>
        <w:rPr>
          <w:rFonts w:hint="eastAsia" w:hAnsi="宋体"/>
          <w:sz w:val="36"/>
          <w:szCs w:val="36"/>
        </w:rPr>
        <w:t>投标文件格式</w:t>
      </w:r>
      <w:bookmarkEnd w:id="812"/>
    </w:p>
    <w:p>
      <w:pPr>
        <w:tabs>
          <w:tab w:val="left" w:pos="900"/>
          <w:tab w:val="left" w:pos="1980"/>
        </w:tabs>
        <w:snapToGrid w:val="0"/>
        <w:spacing w:line="360" w:lineRule="auto"/>
        <w:rPr>
          <w:rFonts w:ascii="宋体" w:hAnsi="宋体"/>
          <w:b/>
          <w:sz w:val="32"/>
        </w:rPr>
      </w:pPr>
    </w:p>
    <w:p>
      <w:pPr>
        <w:tabs>
          <w:tab w:val="left" w:pos="900"/>
          <w:tab w:val="left" w:pos="1980"/>
        </w:tabs>
        <w:snapToGrid w:val="0"/>
        <w:spacing w:line="360" w:lineRule="auto"/>
        <w:ind w:left="142"/>
        <w:jc w:val="center"/>
        <w:rPr>
          <w:rFonts w:ascii="宋体" w:hAnsi="宋体"/>
          <w:b/>
          <w:sz w:val="32"/>
        </w:rPr>
      </w:pPr>
      <w:r>
        <w:rPr>
          <w:rFonts w:hint="eastAsia" w:ascii="宋体" w:hAnsi="宋体"/>
          <w:b/>
          <w:sz w:val="32"/>
        </w:rPr>
        <w:t>投标人编制文件须知</w:t>
      </w:r>
    </w:p>
    <w:p>
      <w:pPr>
        <w:pStyle w:val="37"/>
      </w:pPr>
    </w:p>
    <w:p>
      <w:pPr>
        <w:tabs>
          <w:tab w:val="left" w:pos="900"/>
          <w:tab w:val="left" w:pos="1980"/>
        </w:tabs>
        <w:snapToGrid w:val="0"/>
        <w:spacing w:line="360" w:lineRule="auto"/>
        <w:ind w:left="142"/>
        <w:rPr>
          <w:rFonts w:ascii="宋体"/>
          <w:sz w:val="24"/>
        </w:rPr>
      </w:pPr>
      <w:r>
        <w:rPr>
          <w:rFonts w:ascii="宋体" w:hAnsi="宋体"/>
          <w:sz w:val="24"/>
        </w:rPr>
        <w:t>1</w:t>
      </w:r>
      <w:r>
        <w:rPr>
          <w:rFonts w:hint="eastAsia" w:ascii="宋体" w:hAnsi="宋体"/>
          <w:sz w:val="24"/>
        </w:rPr>
        <w:t>、投标人按照本部分的顺序编制投标文件（资格证明文件）、投标文件（商务技术文件），编制中涉及格式资料的，应按照本部分提供的内容和格式（所有表格的格式可扩展）填写提交。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kern w:val="0"/>
          <w:sz w:val="24"/>
        </w:rPr>
      </w:pPr>
      <w:r>
        <w:rPr>
          <w:rFonts w:ascii="宋体" w:hAnsi="宋体"/>
          <w:sz w:val="24"/>
        </w:rPr>
        <w:t>2</w:t>
      </w:r>
      <w:r>
        <w:rPr>
          <w:rFonts w:hint="eastAsia" w:ascii="宋体" w:hAnsi="宋体"/>
          <w:sz w:val="24"/>
        </w:rPr>
        <w:t>、</w:t>
      </w:r>
      <w:r>
        <w:rPr>
          <w:rFonts w:hint="eastAsia" w:ascii="宋体" w:hAnsi="宋体"/>
          <w:kern w:val="0"/>
          <w:sz w:val="24"/>
        </w:rPr>
        <w:t>对于招标文件中标记了</w:t>
      </w:r>
      <w:r>
        <w:rPr>
          <w:rFonts w:hint="eastAsia" w:ascii="宋体"/>
          <w:kern w:val="0"/>
          <w:sz w:val="24"/>
        </w:rPr>
        <w:t>“</w:t>
      </w:r>
      <w:r>
        <w:rPr>
          <w:rFonts w:hint="eastAsia" w:ascii="宋体" w:hAnsi="宋体"/>
          <w:kern w:val="0"/>
          <w:sz w:val="24"/>
        </w:rPr>
        <w:t>实质性格式</w:t>
      </w:r>
      <w:r>
        <w:rPr>
          <w:rFonts w:hint="eastAsia" w:ascii="宋体"/>
          <w:kern w:val="0"/>
          <w:sz w:val="24"/>
        </w:rPr>
        <w:t>”</w:t>
      </w:r>
      <w:r>
        <w:rPr>
          <w:rFonts w:hint="eastAsia" w:ascii="宋体" w:hAnsi="宋体"/>
          <w:kern w:val="0"/>
          <w:sz w:val="24"/>
        </w:rPr>
        <w:t>文件的，</w:t>
      </w:r>
      <w:r>
        <w:rPr>
          <w:rFonts w:hint="eastAsia"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kern w:val="0"/>
          <w:sz w:val="24"/>
        </w:rPr>
        <w:t>否则</w:t>
      </w:r>
      <w:r>
        <w:rPr>
          <w:rFonts w:hint="eastAsia" w:ascii="宋体" w:hAnsi="宋体"/>
          <w:b/>
          <w:kern w:val="0"/>
          <w:sz w:val="24"/>
        </w:rPr>
        <w:t>投标无效</w:t>
      </w:r>
      <w:r>
        <w:rPr>
          <w:rFonts w:hint="eastAsia" w:ascii="宋体" w:hAnsi="宋体"/>
          <w:kern w:val="0"/>
          <w:sz w:val="24"/>
        </w:rPr>
        <w:t>。未标记</w:t>
      </w:r>
      <w:r>
        <w:rPr>
          <w:rFonts w:hint="eastAsia" w:ascii="宋体"/>
          <w:kern w:val="0"/>
          <w:sz w:val="24"/>
        </w:rPr>
        <w:t>“</w:t>
      </w:r>
      <w:r>
        <w:rPr>
          <w:rFonts w:hint="eastAsia" w:ascii="宋体" w:hAnsi="宋体"/>
          <w:kern w:val="0"/>
          <w:sz w:val="24"/>
        </w:rPr>
        <w:t>实质性格式</w:t>
      </w:r>
      <w:r>
        <w:rPr>
          <w:rFonts w:hint="eastAsia" w:ascii="宋体"/>
          <w:kern w:val="0"/>
          <w:sz w:val="24"/>
        </w:rPr>
        <w:t>”</w:t>
      </w:r>
      <w:r>
        <w:rPr>
          <w:rFonts w:hint="eastAsia" w:ascii="宋体" w:hAnsi="宋体"/>
          <w:kern w:val="0"/>
          <w:sz w:val="24"/>
        </w:rPr>
        <w:t>的文件和招标文件未提供格式的内容，可由投标人自行编写。</w:t>
      </w:r>
    </w:p>
    <w:p>
      <w:pPr>
        <w:tabs>
          <w:tab w:val="left" w:pos="900"/>
          <w:tab w:val="left" w:pos="1980"/>
        </w:tabs>
        <w:snapToGrid w:val="0"/>
        <w:spacing w:line="360" w:lineRule="auto"/>
        <w:ind w:left="142"/>
        <w:rPr>
          <w:rFonts w:ascii="宋体"/>
          <w:sz w:val="24"/>
        </w:rPr>
      </w:pPr>
      <w:r>
        <w:rPr>
          <w:rFonts w:ascii="宋体" w:hAnsi="宋体"/>
          <w:sz w:val="24"/>
        </w:rPr>
        <w:t>3</w:t>
      </w:r>
      <w:r>
        <w:rPr>
          <w:rFonts w:hint="eastAsia" w:ascii="宋体" w:hAnsi="宋体"/>
          <w:sz w:val="24"/>
        </w:rPr>
        <w:t>、全部声明和问题的回答及所附材料必须是真实的、准确的和完整的。</w:t>
      </w:r>
    </w:p>
    <w:p>
      <w:pPr>
        <w:widowControl/>
        <w:jc w:val="left"/>
        <w:rPr>
          <w:rFonts w:ascii="宋体"/>
          <w:sz w:val="24"/>
        </w:rPr>
      </w:pPr>
      <w:r>
        <w:rPr>
          <w:rFonts w:ascii="宋体"/>
          <w:sz w:val="24"/>
        </w:rPr>
        <w:br w:type="page"/>
      </w:r>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Pr>
        <w:keepNext/>
        <w:keepLines/>
        <w:autoSpaceDE w:val="0"/>
        <w:autoSpaceDN w:val="0"/>
        <w:adjustRightInd w:val="0"/>
        <w:spacing w:before="120" w:line="300" w:lineRule="auto"/>
        <w:jc w:val="left"/>
        <w:outlineLvl w:val="1"/>
        <w:rPr>
          <w:rFonts w:ascii="宋体"/>
          <w:b/>
          <w:kern w:val="0"/>
          <w:sz w:val="30"/>
          <w:szCs w:val="20"/>
        </w:rPr>
      </w:pPr>
      <w:r>
        <w:rPr>
          <w:rFonts w:hint="eastAsia" w:ascii="宋体" w:hAnsi="宋体"/>
          <w:b/>
          <w:spacing w:val="20"/>
          <w:sz w:val="24"/>
        </w:rPr>
        <w:t>一、资格证明文件格式</w:t>
      </w:r>
    </w:p>
    <w:p>
      <w:pPr>
        <w:rPr>
          <w:rFonts w:ascii="宋体"/>
          <w:b/>
          <w:spacing w:val="20"/>
          <w:szCs w:val="21"/>
        </w:rPr>
      </w:pPr>
    </w:p>
    <w:p>
      <w:pPr>
        <w:rPr>
          <w:rFonts w:ascii="宋体"/>
          <w:b/>
          <w:sz w:val="24"/>
        </w:rPr>
      </w:pPr>
      <w:r>
        <w:rPr>
          <w:rFonts w:hint="eastAsia" w:ascii="宋体" w:hAnsi="宋体"/>
          <w:b/>
          <w:spacing w:val="20"/>
          <w:sz w:val="24"/>
        </w:rPr>
        <w:t>投标文件（资格证明文件）</w:t>
      </w:r>
      <w:r>
        <w:rPr>
          <w:rFonts w:hint="eastAsia" w:ascii="宋体" w:hAnsi="宋体"/>
          <w:b/>
          <w:sz w:val="24"/>
        </w:rPr>
        <w:t>封面（非实质性格式）</w:t>
      </w:r>
    </w:p>
    <w:p>
      <w:pPr>
        <w:jc w:val="center"/>
        <w:rPr>
          <w:rFonts w:ascii="宋体"/>
          <w:szCs w:val="21"/>
        </w:rPr>
      </w:pPr>
    </w:p>
    <w:p>
      <w:pPr>
        <w:jc w:val="center"/>
        <w:rPr>
          <w:rFonts w:ascii="宋体" w:hAnsi="宋体"/>
          <w:b/>
          <w:spacing w:val="60"/>
          <w:sz w:val="84"/>
          <w:szCs w:val="84"/>
        </w:rPr>
      </w:pPr>
    </w:p>
    <w:p>
      <w:pPr>
        <w:jc w:val="center"/>
        <w:rPr>
          <w:rFonts w:ascii="宋体"/>
          <w:b/>
          <w:spacing w:val="60"/>
          <w:sz w:val="84"/>
          <w:szCs w:val="84"/>
        </w:rPr>
      </w:pPr>
      <w:r>
        <w:rPr>
          <w:rFonts w:hint="eastAsia" w:ascii="宋体" w:hAnsi="宋体"/>
          <w:b/>
          <w:spacing w:val="60"/>
          <w:sz w:val="84"/>
          <w:szCs w:val="84"/>
        </w:rPr>
        <w:t>投</w:t>
      </w:r>
      <w:r>
        <w:rPr>
          <w:rFonts w:ascii="宋体" w:hAnsi="宋体"/>
          <w:b/>
          <w:spacing w:val="60"/>
          <w:sz w:val="84"/>
          <w:szCs w:val="84"/>
        </w:rPr>
        <w:t xml:space="preserve"> </w:t>
      </w:r>
      <w:r>
        <w:rPr>
          <w:rFonts w:hint="eastAsia" w:ascii="宋体" w:hAnsi="宋体"/>
          <w:b/>
          <w:spacing w:val="60"/>
          <w:sz w:val="84"/>
          <w:szCs w:val="84"/>
        </w:rPr>
        <w:t>标</w:t>
      </w:r>
      <w:r>
        <w:rPr>
          <w:rFonts w:ascii="宋体" w:hAnsi="宋体"/>
          <w:b/>
          <w:spacing w:val="60"/>
          <w:sz w:val="84"/>
          <w:szCs w:val="84"/>
        </w:rPr>
        <w:t xml:space="preserve"> </w:t>
      </w:r>
      <w:r>
        <w:rPr>
          <w:rFonts w:hint="eastAsia" w:ascii="宋体" w:hAnsi="宋体"/>
          <w:b/>
          <w:spacing w:val="60"/>
          <w:sz w:val="84"/>
          <w:szCs w:val="84"/>
        </w:rPr>
        <w:t>文</w:t>
      </w:r>
      <w:r>
        <w:rPr>
          <w:rFonts w:ascii="宋体" w:hAnsi="宋体"/>
          <w:b/>
          <w:spacing w:val="60"/>
          <w:sz w:val="84"/>
          <w:szCs w:val="84"/>
        </w:rPr>
        <w:t xml:space="preserve"> </w:t>
      </w:r>
      <w:r>
        <w:rPr>
          <w:rFonts w:hint="eastAsia" w:ascii="宋体" w:hAnsi="宋体"/>
          <w:b/>
          <w:spacing w:val="60"/>
          <w:sz w:val="84"/>
          <w:szCs w:val="84"/>
        </w:rPr>
        <w:t>件</w:t>
      </w:r>
    </w:p>
    <w:p>
      <w:pPr>
        <w:jc w:val="center"/>
        <w:rPr>
          <w:rFonts w:ascii="宋体"/>
          <w:b/>
          <w:spacing w:val="60"/>
          <w:sz w:val="52"/>
          <w:szCs w:val="52"/>
        </w:rPr>
      </w:pPr>
      <w:r>
        <w:rPr>
          <w:rFonts w:hint="eastAsia" w:ascii="宋体" w:hAnsi="宋体"/>
          <w:b/>
          <w:spacing w:val="60"/>
          <w:sz w:val="52"/>
          <w:szCs w:val="52"/>
        </w:rPr>
        <w:t>（资格证明文件）</w:t>
      </w:r>
    </w:p>
    <w:p>
      <w:pPr>
        <w:ind w:firstLine="542" w:firstLineChars="150"/>
        <w:rPr>
          <w:rFonts w:ascii="宋体"/>
          <w:b/>
          <w:spacing w:val="20"/>
          <w:sz w:val="32"/>
          <w:szCs w:val="32"/>
        </w:rPr>
      </w:pPr>
    </w:p>
    <w:p>
      <w:pPr>
        <w:ind w:firstLine="542" w:firstLineChars="150"/>
        <w:rPr>
          <w:rFonts w:ascii="宋体"/>
          <w:b/>
          <w:spacing w:val="20"/>
          <w:sz w:val="32"/>
          <w:szCs w:val="32"/>
        </w:rPr>
      </w:pPr>
    </w:p>
    <w:p>
      <w:pPr>
        <w:ind w:firstLine="542" w:firstLineChars="150"/>
        <w:rPr>
          <w:rFonts w:ascii="宋体" w:hAnsi="宋体"/>
          <w:b/>
          <w:spacing w:val="20"/>
          <w:sz w:val="32"/>
          <w:szCs w:val="32"/>
        </w:rPr>
      </w:pPr>
      <w:r>
        <w:rPr>
          <w:rFonts w:hint="eastAsia" w:ascii="宋体" w:hAnsi="宋体"/>
          <w:b/>
          <w:spacing w:val="20"/>
          <w:sz w:val="32"/>
          <w:szCs w:val="32"/>
        </w:rPr>
        <w:t>项目名称</w:t>
      </w:r>
      <w:r>
        <w:rPr>
          <w:rFonts w:ascii="宋体" w:hAnsi="宋体"/>
          <w:b/>
          <w:spacing w:val="20"/>
          <w:sz w:val="32"/>
          <w:szCs w:val="32"/>
        </w:rPr>
        <w:t>:</w:t>
      </w:r>
    </w:p>
    <w:p>
      <w:pPr>
        <w:pStyle w:val="37"/>
      </w:pPr>
    </w:p>
    <w:p>
      <w:pPr>
        <w:ind w:firstLine="542" w:firstLineChars="150"/>
        <w:rPr>
          <w:rFonts w:ascii="宋体"/>
          <w:b/>
          <w:spacing w:val="20"/>
          <w:sz w:val="32"/>
          <w:szCs w:val="32"/>
        </w:rPr>
      </w:pPr>
      <w:r>
        <w:rPr>
          <w:rFonts w:hint="eastAsia" w:ascii="宋体" w:hAnsi="宋体"/>
          <w:b/>
          <w:spacing w:val="20"/>
          <w:sz w:val="32"/>
          <w:szCs w:val="32"/>
        </w:rPr>
        <w:t>项目代理编号/</w:t>
      </w:r>
      <w:r>
        <w:rPr>
          <w:rFonts w:ascii="宋体" w:hAnsi="宋体"/>
          <w:b/>
          <w:spacing w:val="20"/>
          <w:sz w:val="32"/>
          <w:szCs w:val="32"/>
        </w:rPr>
        <w:t>包号</w:t>
      </w:r>
      <w:r>
        <w:rPr>
          <w:rFonts w:hint="eastAsia" w:ascii="宋体" w:hAnsi="宋体"/>
          <w:b/>
          <w:spacing w:val="20"/>
          <w:sz w:val="32"/>
          <w:szCs w:val="32"/>
        </w:rPr>
        <w:t>：</w:t>
      </w:r>
    </w:p>
    <w:p>
      <w:pPr>
        <w:ind w:firstLine="542" w:firstLineChars="150"/>
        <w:rPr>
          <w:rFonts w:ascii="宋体"/>
          <w:b/>
          <w:spacing w:val="20"/>
          <w:sz w:val="32"/>
          <w:szCs w:val="32"/>
        </w:rPr>
      </w:pPr>
    </w:p>
    <w:p>
      <w:pPr>
        <w:ind w:firstLine="542" w:firstLineChars="150"/>
        <w:rPr>
          <w:rFonts w:ascii="宋体"/>
          <w:b/>
          <w:spacing w:val="20"/>
          <w:sz w:val="32"/>
          <w:szCs w:val="32"/>
        </w:rPr>
      </w:pPr>
    </w:p>
    <w:p>
      <w:pPr>
        <w:jc w:val="center"/>
        <w:rPr>
          <w:rFonts w:ascii="宋体"/>
          <w:b/>
          <w:sz w:val="32"/>
          <w:szCs w:val="32"/>
        </w:rPr>
      </w:pPr>
    </w:p>
    <w:p>
      <w:pPr>
        <w:jc w:val="center"/>
        <w:rPr>
          <w:rFonts w:ascii="宋体"/>
          <w:b/>
          <w:sz w:val="32"/>
          <w:szCs w:val="32"/>
        </w:rPr>
      </w:pPr>
    </w:p>
    <w:p>
      <w:pPr>
        <w:jc w:val="center"/>
        <w:rPr>
          <w:rFonts w:ascii="宋体"/>
          <w:b/>
          <w:sz w:val="32"/>
          <w:szCs w:val="32"/>
        </w:rPr>
      </w:pPr>
    </w:p>
    <w:p>
      <w:pPr>
        <w:jc w:val="center"/>
        <w:rPr>
          <w:rFonts w:ascii="宋体"/>
          <w:b/>
          <w:spacing w:val="20"/>
          <w:sz w:val="32"/>
          <w:szCs w:val="32"/>
        </w:rPr>
      </w:pPr>
    </w:p>
    <w:p>
      <w:pPr>
        <w:jc w:val="center"/>
        <w:rPr>
          <w:rFonts w:ascii="宋体"/>
          <w:b/>
          <w:spacing w:val="20"/>
          <w:sz w:val="32"/>
          <w:szCs w:val="32"/>
        </w:rPr>
      </w:pPr>
    </w:p>
    <w:p>
      <w:pPr>
        <w:jc w:val="center"/>
        <w:rPr>
          <w:rFonts w:ascii="宋体"/>
          <w:b/>
          <w:spacing w:val="20"/>
          <w:sz w:val="32"/>
          <w:szCs w:val="32"/>
        </w:rPr>
      </w:pPr>
    </w:p>
    <w:p>
      <w:pPr>
        <w:spacing w:line="360" w:lineRule="auto"/>
        <w:ind w:firstLine="1445" w:firstLineChars="400"/>
        <w:jc w:val="left"/>
        <w:rPr>
          <w:rFonts w:ascii="宋体"/>
          <w:b/>
          <w:spacing w:val="20"/>
          <w:sz w:val="32"/>
          <w:szCs w:val="32"/>
        </w:rPr>
      </w:pPr>
      <w:r>
        <w:rPr>
          <w:rFonts w:hint="eastAsia" w:ascii="宋体" w:hAnsi="宋体"/>
          <w:b/>
          <w:spacing w:val="20"/>
          <w:sz w:val="32"/>
          <w:szCs w:val="32"/>
        </w:rPr>
        <w:t>投标人名称：</w:t>
      </w:r>
    </w:p>
    <w:p>
      <w:pPr>
        <w:jc w:val="center"/>
        <w:rPr>
          <w:rFonts w:ascii="宋体"/>
          <w:b/>
          <w:sz w:val="32"/>
          <w:szCs w:val="32"/>
        </w:rPr>
      </w:pPr>
    </w:p>
    <w:p>
      <w:pPr>
        <w:rPr>
          <w:rFonts w:ascii="宋体"/>
          <w:b/>
        </w:rPr>
      </w:pPr>
      <w:r>
        <w:rPr>
          <w:rFonts w:ascii="宋体"/>
          <w:b/>
          <w:spacing w:val="20"/>
          <w:sz w:val="32"/>
          <w:szCs w:val="32"/>
        </w:rPr>
        <w:br w:type="page"/>
      </w:r>
    </w:p>
    <w:p>
      <w:pPr>
        <w:spacing w:line="360" w:lineRule="auto"/>
        <w:jc w:val="center"/>
        <w:outlineLvl w:val="2"/>
        <w:rPr>
          <w:rFonts w:ascii="宋体"/>
          <w:b/>
          <w:bCs/>
          <w:sz w:val="24"/>
          <w:szCs w:val="20"/>
        </w:rPr>
      </w:pPr>
      <w:r>
        <w:rPr>
          <w:rFonts w:ascii="宋体" w:hAnsi="宋体"/>
          <w:b/>
          <w:bCs/>
          <w:sz w:val="24"/>
          <w:szCs w:val="20"/>
        </w:rPr>
        <w:t xml:space="preserve">1 </w:t>
      </w:r>
      <w:r>
        <w:rPr>
          <w:rFonts w:hint="eastAsia" w:ascii="宋体" w:hAnsi="宋体"/>
          <w:b/>
          <w:bCs/>
          <w:sz w:val="24"/>
        </w:rPr>
        <w:t>满足《中华人民共和国政府采购法》第二十二条规定及法律法规的其他规定</w:t>
      </w:r>
    </w:p>
    <w:p>
      <w:pPr>
        <w:spacing w:line="360" w:lineRule="auto"/>
        <w:jc w:val="center"/>
        <w:outlineLvl w:val="2"/>
        <w:rPr>
          <w:rFonts w:ascii="宋体"/>
          <w:bCs/>
          <w:color w:val="000000"/>
          <w:sz w:val="24"/>
          <w:szCs w:val="20"/>
        </w:rPr>
      </w:pPr>
      <w:r>
        <w:rPr>
          <w:rFonts w:ascii="宋体" w:hAnsi="宋体"/>
          <w:bCs/>
          <w:sz w:val="24"/>
          <w:szCs w:val="20"/>
        </w:rPr>
        <w:t>1-1</w:t>
      </w:r>
      <w:r>
        <w:rPr>
          <w:rFonts w:hint="eastAsia" w:ascii="宋体" w:hAnsi="宋体"/>
          <w:bCs/>
          <w:sz w:val="24"/>
          <w:szCs w:val="20"/>
        </w:rPr>
        <w:t>营业执照等证明文件</w:t>
      </w:r>
      <w:r>
        <w:rPr>
          <w:rFonts w:hint="eastAsia" w:ascii="宋体" w:hAnsi="宋体"/>
          <w:bCs/>
          <w:color w:val="000000"/>
          <w:sz w:val="24"/>
          <w:szCs w:val="20"/>
        </w:rPr>
        <w:t>（提供证明文件复印件加盖投标人公章）</w:t>
      </w:r>
    </w:p>
    <w:p>
      <w:pPr>
        <w:spacing w:line="360" w:lineRule="auto"/>
        <w:rPr>
          <w:rFonts w:ascii="宋体"/>
          <w:sz w:val="24"/>
          <w:szCs w:val="20"/>
        </w:rPr>
      </w:pPr>
    </w:p>
    <w:p>
      <w:pPr>
        <w:tabs>
          <w:tab w:val="left" w:pos="1080"/>
        </w:tabs>
        <w:snapToGrid w:val="0"/>
        <w:rPr>
          <w:rFonts w:ascii="宋体"/>
          <w:sz w:val="24"/>
        </w:rPr>
      </w:pPr>
    </w:p>
    <w:p>
      <w:pPr>
        <w:pStyle w:val="4"/>
        <w:rPr>
          <w:rFonts w:hAnsi="宋体"/>
          <w:b w:val="0"/>
          <w:bCs/>
          <w:u w:val="none"/>
        </w:rPr>
      </w:pPr>
      <w:r>
        <w:rPr>
          <w:rFonts w:hAnsi="宋体"/>
        </w:rPr>
        <w:br w:type="page"/>
      </w:r>
      <w:r>
        <w:rPr>
          <w:rFonts w:hAnsi="宋体"/>
          <w:b w:val="0"/>
          <w:u w:val="none"/>
        </w:rPr>
        <w:t xml:space="preserve">1-2 </w:t>
      </w:r>
      <w:r>
        <w:rPr>
          <w:rFonts w:hint="eastAsia" w:hAnsi="宋体"/>
          <w:b w:val="0"/>
          <w:u w:val="none"/>
        </w:rPr>
        <w:t>投标人资格声明书（实质性格式）</w:t>
      </w:r>
    </w:p>
    <w:p>
      <w:pPr>
        <w:jc w:val="center"/>
        <w:rPr>
          <w:rFonts w:ascii="宋体" w:hAnsi="宋体"/>
          <w:b/>
          <w:sz w:val="36"/>
          <w:szCs w:val="36"/>
        </w:rPr>
      </w:pPr>
    </w:p>
    <w:p>
      <w:pPr>
        <w:jc w:val="center"/>
        <w:rPr>
          <w:rFonts w:ascii="宋体"/>
          <w:b/>
          <w:sz w:val="36"/>
          <w:szCs w:val="36"/>
        </w:rPr>
      </w:pPr>
      <w:r>
        <w:rPr>
          <w:rFonts w:hint="eastAsia" w:ascii="宋体" w:hAnsi="宋体"/>
          <w:b/>
          <w:sz w:val="36"/>
          <w:szCs w:val="36"/>
        </w:rPr>
        <w:t>投标人资格声明书</w:t>
      </w:r>
    </w:p>
    <w:p>
      <w:pPr>
        <w:tabs>
          <w:tab w:val="left" w:pos="5580"/>
        </w:tabs>
        <w:spacing w:line="360" w:lineRule="auto"/>
        <w:rPr>
          <w:rFonts w:ascii="宋体"/>
          <w:sz w:val="24"/>
        </w:rPr>
      </w:pPr>
    </w:p>
    <w:p>
      <w:pPr>
        <w:tabs>
          <w:tab w:val="left" w:pos="5580"/>
        </w:tabs>
        <w:spacing w:line="360" w:lineRule="auto"/>
        <w:rPr>
          <w:rFonts w:ascii="宋体"/>
          <w:sz w:val="24"/>
        </w:rPr>
      </w:pPr>
      <w:r>
        <w:rPr>
          <w:rFonts w:hint="eastAsia" w:ascii="宋体" w:hAnsi="宋体"/>
          <w:sz w:val="24"/>
        </w:rPr>
        <w:t>致：</w:t>
      </w:r>
      <w:r>
        <w:rPr>
          <w:rFonts w:hint="eastAsia" w:ascii="宋体" w:hAnsi="宋体"/>
          <w:sz w:val="24"/>
          <w:u w:val="single"/>
        </w:rPr>
        <w:t>采购人或采购代理机构</w:t>
      </w:r>
    </w:p>
    <w:p>
      <w:pPr>
        <w:spacing w:line="360" w:lineRule="auto"/>
        <w:ind w:firstLine="480" w:firstLineChars="200"/>
        <w:rPr>
          <w:rFonts w:ascii="宋体"/>
          <w:sz w:val="24"/>
        </w:rPr>
      </w:pPr>
      <w:r>
        <w:rPr>
          <w:rFonts w:hint="eastAsia" w:ascii="宋体" w:hAnsi="宋体"/>
          <w:sz w:val="24"/>
        </w:rPr>
        <w:t>在参与本次项目投标中，我单位承诺：</w:t>
      </w:r>
    </w:p>
    <w:p>
      <w:pPr>
        <w:numPr>
          <w:ilvl w:val="0"/>
          <w:numId w:val="20"/>
        </w:numPr>
        <w:spacing w:line="360" w:lineRule="auto"/>
        <w:ind w:left="1134"/>
        <w:rPr>
          <w:rFonts w:ascii="宋体"/>
          <w:sz w:val="24"/>
          <w:szCs w:val="22"/>
        </w:rPr>
      </w:pPr>
      <w:r>
        <w:rPr>
          <w:rFonts w:hint="eastAsia" w:ascii="宋体" w:hAnsi="宋体"/>
          <w:sz w:val="24"/>
          <w:szCs w:val="22"/>
        </w:rPr>
        <w:t>具有良好的商业信誉和健全的财务会计制度；</w:t>
      </w:r>
    </w:p>
    <w:p>
      <w:pPr>
        <w:numPr>
          <w:ilvl w:val="0"/>
          <w:numId w:val="20"/>
        </w:numPr>
        <w:spacing w:line="360" w:lineRule="auto"/>
        <w:ind w:left="1134"/>
        <w:rPr>
          <w:rFonts w:ascii="宋体"/>
          <w:sz w:val="24"/>
          <w:szCs w:val="22"/>
        </w:rPr>
      </w:pPr>
      <w:r>
        <w:rPr>
          <w:rFonts w:hint="eastAsia" w:ascii="宋体" w:hAnsi="宋体"/>
          <w:sz w:val="24"/>
          <w:szCs w:val="22"/>
        </w:rPr>
        <w:t>具有履行合同所必需的设备和专业技术能力；</w:t>
      </w:r>
    </w:p>
    <w:p>
      <w:pPr>
        <w:numPr>
          <w:ilvl w:val="0"/>
          <w:numId w:val="20"/>
        </w:numPr>
        <w:spacing w:line="360" w:lineRule="auto"/>
        <w:ind w:left="1134"/>
        <w:rPr>
          <w:rFonts w:ascii="宋体"/>
          <w:sz w:val="24"/>
          <w:szCs w:val="22"/>
        </w:rPr>
      </w:pPr>
      <w:r>
        <w:rPr>
          <w:rFonts w:hint="eastAsia" w:ascii="宋体" w:hAnsi="宋体"/>
          <w:sz w:val="24"/>
          <w:szCs w:val="22"/>
        </w:rPr>
        <w:t>有依法缴纳税收和社会保障资金的良好记录；</w:t>
      </w:r>
    </w:p>
    <w:p>
      <w:pPr>
        <w:numPr>
          <w:ilvl w:val="0"/>
          <w:numId w:val="20"/>
        </w:numPr>
        <w:spacing w:line="360" w:lineRule="auto"/>
        <w:ind w:left="1134"/>
        <w:rPr>
          <w:rFonts w:ascii="宋体"/>
          <w:sz w:val="24"/>
          <w:szCs w:val="22"/>
        </w:rPr>
      </w:pPr>
      <w:r>
        <w:rPr>
          <w:rFonts w:hint="eastAsia"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line="360" w:lineRule="auto"/>
        <w:ind w:left="1134"/>
        <w:rPr>
          <w:rFonts w:ascii="宋体"/>
          <w:sz w:val="24"/>
          <w:szCs w:val="22"/>
        </w:rPr>
      </w:pPr>
      <w:r>
        <w:rPr>
          <w:rFonts w:hint="eastAsia" w:ascii="宋体" w:hAnsi="宋体"/>
          <w:sz w:val="24"/>
          <w:szCs w:val="22"/>
        </w:rPr>
        <w:t>我单位不属于政府采购法律、行政法规规定的公益一类事业单位、或使用事业编制且由财政拨款保障的群团组织（仅适用于政府购买服务项目）；</w:t>
      </w:r>
    </w:p>
    <w:p>
      <w:pPr>
        <w:numPr>
          <w:ilvl w:val="0"/>
          <w:numId w:val="20"/>
        </w:numPr>
        <w:spacing w:line="360" w:lineRule="auto"/>
        <w:ind w:left="1134"/>
        <w:rPr>
          <w:rFonts w:ascii="宋体"/>
          <w:sz w:val="24"/>
          <w:szCs w:val="22"/>
        </w:rPr>
      </w:pPr>
      <w:r>
        <w:rPr>
          <w:rFonts w:hint="eastAsia" w:ascii="宋体" w:hAnsi="宋体"/>
          <w:sz w:val="24"/>
          <w:szCs w:val="22"/>
        </w:rPr>
        <w:t>我单位不存在为采购项目提供整体设计、规范编制或者项目管理、监理、检测等服务后，再参加该采购项目的其他采购活动的情形（单一来源采购项目除外）；</w:t>
      </w:r>
    </w:p>
    <w:p>
      <w:pPr>
        <w:numPr>
          <w:ilvl w:val="0"/>
          <w:numId w:val="20"/>
        </w:numPr>
        <w:spacing w:line="360" w:lineRule="auto"/>
        <w:ind w:left="1134"/>
        <w:rPr>
          <w:rFonts w:ascii="宋体"/>
          <w:sz w:val="24"/>
          <w:szCs w:val="22"/>
        </w:rPr>
      </w:pPr>
      <w:r>
        <w:rPr>
          <w:rFonts w:hint="eastAsia" w:ascii="宋体" w:hAnsi="宋体"/>
          <w:sz w:val="24"/>
          <w:szCs w:val="22"/>
        </w:rPr>
        <w:t>与我单位存在</w:t>
      </w:r>
      <w:r>
        <w:rPr>
          <w:rFonts w:hint="eastAsia" w:ascii="宋体"/>
          <w:sz w:val="24"/>
          <w:szCs w:val="22"/>
        </w:rPr>
        <w:t>“</w:t>
      </w:r>
      <w:r>
        <w:rPr>
          <w:rFonts w:hint="eastAsia" w:ascii="宋体" w:hAnsi="宋体"/>
          <w:sz w:val="24"/>
          <w:szCs w:val="22"/>
        </w:rPr>
        <w:t>单位负责人为同一人或者存在直接控股、管理关系</w:t>
      </w:r>
      <w:r>
        <w:rPr>
          <w:rFonts w:hint="eastAsia" w:ascii="宋体"/>
          <w:sz w:val="24"/>
          <w:szCs w:val="22"/>
        </w:rPr>
        <w:t>”</w:t>
      </w:r>
      <w:r>
        <w:rPr>
          <w:rFonts w:hint="eastAsia" w:ascii="宋体" w:hAnsi="宋体"/>
          <w:sz w:val="24"/>
          <w:szCs w:val="22"/>
        </w:rPr>
        <w:t>的其他法人单位信息如下（如有，不论其是否参加同一合同项下的政府采购活动均须填写）：</w:t>
      </w:r>
    </w:p>
    <w:tbl>
      <w:tblPr>
        <w:tblStyle w:val="43"/>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rFonts w:ascii="宋体"/>
                <w:sz w:val="24"/>
              </w:rPr>
            </w:pPr>
            <w:r>
              <w:rPr>
                <w:rFonts w:hint="eastAsia" w:ascii="宋体" w:hAnsi="宋体"/>
                <w:sz w:val="24"/>
              </w:rPr>
              <w:t>序号</w:t>
            </w:r>
          </w:p>
        </w:tc>
        <w:tc>
          <w:tcPr>
            <w:tcW w:w="4574" w:type="dxa"/>
            <w:vAlign w:val="center"/>
          </w:tcPr>
          <w:p>
            <w:pPr>
              <w:jc w:val="center"/>
              <w:rPr>
                <w:rFonts w:ascii="宋体"/>
                <w:sz w:val="24"/>
              </w:rPr>
            </w:pPr>
            <w:r>
              <w:rPr>
                <w:rFonts w:hint="eastAsia" w:ascii="宋体" w:hAnsi="宋体"/>
                <w:sz w:val="24"/>
              </w:rPr>
              <w:t>单位名称</w:t>
            </w:r>
          </w:p>
        </w:tc>
        <w:tc>
          <w:tcPr>
            <w:tcW w:w="2976" w:type="dxa"/>
            <w:vAlign w:val="center"/>
          </w:tcPr>
          <w:p>
            <w:pPr>
              <w:jc w:val="center"/>
              <w:rPr>
                <w:rFonts w:ascii="宋体"/>
                <w:sz w:val="24"/>
              </w:rPr>
            </w:pPr>
            <w:r>
              <w:rPr>
                <w:rFonts w:hint="eastAsia" w:ascii="宋体" w:hAnsi="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sz w:val="24"/>
              </w:rPr>
            </w:pPr>
            <w:r>
              <w:rPr>
                <w:rFonts w:ascii="宋体" w:hAnsi="宋体"/>
                <w:sz w:val="24"/>
              </w:rPr>
              <w:t>1</w:t>
            </w:r>
          </w:p>
        </w:tc>
        <w:tc>
          <w:tcPr>
            <w:tcW w:w="4574" w:type="dxa"/>
            <w:vAlign w:val="center"/>
          </w:tcPr>
          <w:p>
            <w:pPr>
              <w:jc w:val="center"/>
              <w:rPr>
                <w:rFonts w:ascii="宋体"/>
                <w:sz w:val="24"/>
              </w:rPr>
            </w:pPr>
          </w:p>
        </w:tc>
        <w:tc>
          <w:tcPr>
            <w:tcW w:w="2976" w:type="dxa"/>
            <w:vAlign w:val="center"/>
          </w:tcPr>
          <w:p>
            <w:pPr>
              <w:jc w:val="center"/>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sz w:val="24"/>
              </w:rPr>
            </w:pPr>
            <w:r>
              <w:rPr>
                <w:rFonts w:ascii="宋体" w:hAnsi="宋体"/>
                <w:sz w:val="24"/>
              </w:rPr>
              <w:t>2</w:t>
            </w:r>
          </w:p>
        </w:tc>
        <w:tc>
          <w:tcPr>
            <w:tcW w:w="4574" w:type="dxa"/>
            <w:vAlign w:val="center"/>
          </w:tcPr>
          <w:p>
            <w:pPr>
              <w:jc w:val="center"/>
              <w:rPr>
                <w:rFonts w:ascii="宋体"/>
                <w:sz w:val="24"/>
              </w:rPr>
            </w:pPr>
          </w:p>
        </w:tc>
        <w:tc>
          <w:tcPr>
            <w:tcW w:w="2976" w:type="dxa"/>
            <w:vAlign w:val="center"/>
          </w:tcPr>
          <w:p>
            <w:pPr>
              <w:jc w:val="center"/>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sz w:val="24"/>
              </w:rPr>
            </w:pPr>
            <w:r>
              <w:rPr>
                <w:rFonts w:hint="eastAsia" w:ascii="宋体"/>
                <w:sz w:val="24"/>
              </w:rPr>
              <w:t>…</w:t>
            </w:r>
          </w:p>
        </w:tc>
        <w:tc>
          <w:tcPr>
            <w:tcW w:w="4574" w:type="dxa"/>
            <w:vAlign w:val="center"/>
          </w:tcPr>
          <w:p>
            <w:pPr>
              <w:jc w:val="center"/>
              <w:rPr>
                <w:rFonts w:ascii="宋体"/>
                <w:sz w:val="24"/>
              </w:rPr>
            </w:pPr>
          </w:p>
        </w:tc>
        <w:tc>
          <w:tcPr>
            <w:tcW w:w="2976" w:type="dxa"/>
            <w:vAlign w:val="center"/>
          </w:tcPr>
          <w:p>
            <w:pPr>
              <w:jc w:val="center"/>
              <w:rPr>
                <w:rFonts w:ascii="宋体"/>
                <w:sz w:val="24"/>
              </w:rPr>
            </w:pPr>
          </w:p>
        </w:tc>
      </w:tr>
    </w:tbl>
    <w:p>
      <w:pPr>
        <w:rPr>
          <w:rFonts w:ascii="宋体"/>
        </w:rPr>
      </w:pPr>
    </w:p>
    <w:p>
      <w:pPr>
        <w:ind w:firstLine="480" w:firstLineChars="200"/>
        <w:rPr>
          <w:rFonts w:ascii="宋体"/>
          <w:sz w:val="24"/>
          <w:szCs w:val="22"/>
        </w:rPr>
      </w:pPr>
      <w:r>
        <w:rPr>
          <w:rFonts w:hint="eastAsia" w:ascii="宋体" w:hAnsi="宋体"/>
          <w:sz w:val="24"/>
        </w:rPr>
        <w:t>上述声明真实有效，否则我方负全部责任。</w:t>
      </w:r>
    </w:p>
    <w:p>
      <w:pPr>
        <w:spacing w:line="360" w:lineRule="auto"/>
        <w:rPr>
          <w:rFonts w:ascii="宋体"/>
          <w:sz w:val="24"/>
        </w:rPr>
      </w:pPr>
    </w:p>
    <w:p>
      <w:pPr>
        <w:autoSpaceDE w:val="0"/>
        <w:autoSpaceDN w:val="0"/>
        <w:adjustRightInd w:val="0"/>
        <w:snapToGrid w:val="0"/>
        <w:spacing w:before="25" w:after="25" w:line="360" w:lineRule="auto"/>
        <w:jc w:val="right"/>
        <w:rPr>
          <w:rFonts w:ascii="宋体"/>
          <w:sz w:val="24"/>
          <w:lang w:val="zh-CN"/>
        </w:rPr>
      </w:pPr>
      <w:r>
        <w:rPr>
          <w:rFonts w:hint="eastAsia" w:ascii="宋体" w:hAnsi="宋体"/>
          <w:sz w:val="24"/>
        </w:rPr>
        <w:t>投标人名称（加盖公章）</w:t>
      </w:r>
      <w:r>
        <w:rPr>
          <w:rFonts w:hint="eastAsia" w:ascii="宋体" w:hAnsi="宋体"/>
          <w:sz w:val="24"/>
          <w:lang w:val="zh-CN"/>
        </w:rPr>
        <w:t>：</w:t>
      </w:r>
      <w:r>
        <w:rPr>
          <w:rFonts w:ascii="宋体" w:hAnsi="宋体"/>
          <w:sz w:val="24"/>
          <w:lang w:val="zh-CN"/>
        </w:rPr>
        <w:t xml:space="preserve">    ____________</w:t>
      </w:r>
    </w:p>
    <w:p>
      <w:pPr>
        <w:spacing w:line="360" w:lineRule="auto"/>
        <w:ind w:right="360" w:firstLine="480"/>
        <w:jc w:val="right"/>
        <w:rPr>
          <w:rFonts w:ascii="宋体"/>
          <w:sz w:val="24"/>
        </w:rPr>
      </w:pPr>
      <w:r>
        <w:rPr>
          <w:rFonts w:hint="eastAsia" w:ascii="宋体" w:hAnsi="宋体"/>
          <w:sz w:val="24"/>
          <w:szCs w:val="20"/>
        </w:rPr>
        <w:t>日期：</w:t>
      </w:r>
      <w:r>
        <w:rPr>
          <w:rFonts w:ascii="宋体" w:hAnsi="宋体"/>
          <w:sz w:val="24"/>
          <w:szCs w:val="20"/>
        </w:rPr>
        <w:t>_____</w:t>
      </w:r>
      <w:r>
        <w:rPr>
          <w:rFonts w:hint="eastAsia" w:ascii="宋体" w:hAnsi="宋体"/>
          <w:sz w:val="24"/>
          <w:szCs w:val="20"/>
        </w:rPr>
        <w:t>年</w:t>
      </w:r>
      <w:r>
        <w:rPr>
          <w:rFonts w:ascii="宋体" w:hAnsi="宋体"/>
          <w:sz w:val="24"/>
          <w:szCs w:val="20"/>
        </w:rPr>
        <w:t>______</w:t>
      </w:r>
      <w:r>
        <w:rPr>
          <w:rFonts w:hint="eastAsia" w:ascii="宋体" w:hAnsi="宋体"/>
          <w:sz w:val="24"/>
          <w:szCs w:val="20"/>
        </w:rPr>
        <w:t>月</w:t>
      </w:r>
      <w:r>
        <w:rPr>
          <w:rFonts w:ascii="宋体" w:hAnsi="宋体"/>
          <w:sz w:val="24"/>
          <w:szCs w:val="20"/>
        </w:rPr>
        <w:t>______</w:t>
      </w:r>
      <w:r>
        <w:rPr>
          <w:rFonts w:hint="eastAsia" w:ascii="宋体" w:hAnsi="宋体"/>
          <w:sz w:val="24"/>
          <w:szCs w:val="20"/>
        </w:rPr>
        <w:t>日</w:t>
      </w:r>
      <w:r>
        <w:rPr>
          <w:rFonts w:ascii="宋体" w:hAnsi="宋体"/>
          <w:sz w:val="24"/>
          <w:szCs w:val="20"/>
        </w:rPr>
        <w:t xml:space="preserve">   </w:t>
      </w:r>
    </w:p>
    <w:p>
      <w:pPr>
        <w:widowControl/>
        <w:jc w:val="left"/>
        <w:rPr>
          <w:rFonts w:ascii="宋体"/>
          <w:sz w:val="24"/>
          <w:szCs w:val="20"/>
        </w:rPr>
      </w:pPr>
      <w:r>
        <w:rPr>
          <w:rFonts w:hint="eastAsia" w:ascii="宋体" w:hAnsi="宋体"/>
          <w:sz w:val="24"/>
        </w:rPr>
        <w:t>说明：供应商承诺不实的，依据《政府采购法》第七十七条“提供虚假材料谋取中标、成交的”有关规定予以处理。</w:t>
      </w:r>
    </w:p>
    <w:p>
      <w:pPr>
        <w:widowControl/>
        <w:jc w:val="left"/>
        <w:rPr>
          <w:rFonts w:ascii="宋体" w:hAnsi="宋体"/>
          <w:sz w:val="26"/>
          <w:szCs w:val="20"/>
        </w:rPr>
      </w:pPr>
      <w:r>
        <w:rPr>
          <w:rFonts w:ascii="宋体" w:hAnsi="宋体"/>
          <w:sz w:val="26"/>
          <w:szCs w:val="20"/>
        </w:rPr>
        <w:br w:type="page"/>
      </w:r>
    </w:p>
    <w:p>
      <w:pPr>
        <w:spacing w:line="360" w:lineRule="auto"/>
        <w:outlineLvl w:val="2"/>
        <w:rPr>
          <w:rFonts w:ascii="宋体" w:hAnsi="宋体"/>
          <w:sz w:val="24"/>
          <w:szCs w:val="20"/>
        </w:rPr>
      </w:pPr>
      <w:r>
        <w:rPr>
          <w:rFonts w:ascii="宋体" w:hAnsi="宋体"/>
          <w:sz w:val="24"/>
          <w:szCs w:val="20"/>
        </w:rPr>
        <w:t xml:space="preserve">2 </w:t>
      </w:r>
      <w:r>
        <w:rPr>
          <w:spacing w:val="-1"/>
          <w:sz w:val="24"/>
          <w:szCs w:val="24"/>
        </w:rPr>
        <w:t>落实政府采购政策需满足的资格要求（如有）</w:t>
      </w:r>
    </w:p>
    <w:p>
      <w:pPr>
        <w:pStyle w:val="17"/>
        <w:spacing w:before="179" w:line="347" w:lineRule="auto"/>
        <w:ind w:left="12" w:right="6654" w:firstLine="5"/>
        <w:rPr>
          <w:sz w:val="24"/>
          <w:szCs w:val="24"/>
        </w:rPr>
      </w:pPr>
      <w:r>
        <w:rPr>
          <w:rFonts w:ascii="Arial" w:hAnsi="Arial" w:eastAsia="Arial" w:cs="Arial"/>
          <w:spacing w:val="1"/>
          <w:sz w:val="24"/>
          <w:szCs w:val="24"/>
        </w:rPr>
        <w:t xml:space="preserve">2-1  </w:t>
      </w:r>
      <w:r>
        <w:rPr>
          <w:spacing w:val="1"/>
          <w:sz w:val="24"/>
          <w:szCs w:val="24"/>
        </w:rPr>
        <w:t>中小企业证明文件</w:t>
      </w:r>
      <w:r>
        <w:rPr>
          <w:sz w:val="24"/>
          <w:szCs w:val="24"/>
        </w:rPr>
        <w:t xml:space="preserve"> </w:t>
      </w:r>
      <w:r>
        <w:rPr>
          <w:rFonts w:hint="eastAsia"/>
          <w:sz w:val="24"/>
          <w:szCs w:val="24"/>
          <w:lang w:val="en-US" w:eastAsia="zh-CN"/>
        </w:rPr>
        <w:t xml:space="preserve">   </w:t>
      </w:r>
      <w:r>
        <w:rPr>
          <w:spacing w:val="-15"/>
          <w:sz w:val="24"/>
          <w:szCs w:val="24"/>
        </w:rPr>
        <w:t>说明：</w:t>
      </w:r>
    </w:p>
    <w:p>
      <w:pPr>
        <w:pStyle w:val="17"/>
        <w:spacing w:before="34" w:line="324" w:lineRule="auto"/>
        <w:ind w:left="10" w:right="12" w:firstLine="5"/>
        <w:rPr>
          <w:sz w:val="24"/>
          <w:szCs w:val="24"/>
        </w:rPr>
      </w:pPr>
      <w:r>
        <w:rPr>
          <w:sz w:val="24"/>
          <w:szCs w:val="24"/>
        </w:rPr>
        <w:t>（</w:t>
      </w:r>
      <w:r>
        <w:rPr>
          <w:rFonts w:ascii="Arial" w:hAnsi="Arial" w:eastAsia="Arial" w:cs="Arial"/>
          <w:sz w:val="24"/>
          <w:szCs w:val="24"/>
        </w:rPr>
        <w:t>1</w:t>
      </w:r>
      <w:r>
        <w:rPr>
          <w:sz w:val="24"/>
          <w:szCs w:val="24"/>
        </w:rPr>
        <w:t>）如本项目（包）</w:t>
      </w:r>
      <w:r>
        <w:rPr>
          <w:spacing w:val="-67"/>
          <w:sz w:val="24"/>
          <w:szCs w:val="24"/>
        </w:rPr>
        <w:t xml:space="preserve"> </w:t>
      </w:r>
      <w:r>
        <w:rPr>
          <w:sz w:val="24"/>
          <w:szCs w:val="24"/>
        </w:rPr>
        <w:t>不专门面向中小企业预留采购份额，资</w:t>
      </w:r>
      <w:r>
        <w:rPr>
          <w:spacing w:val="-1"/>
          <w:sz w:val="24"/>
          <w:szCs w:val="24"/>
        </w:rPr>
        <w:t>格证明文件部分无需提供</w:t>
      </w:r>
      <w:r>
        <w:rPr>
          <w:sz w:val="24"/>
          <w:szCs w:val="24"/>
        </w:rPr>
        <w:t xml:space="preserve"> </w:t>
      </w:r>
      <w:r>
        <w:rPr>
          <w:spacing w:val="-2"/>
          <w:sz w:val="24"/>
          <w:szCs w:val="24"/>
        </w:rPr>
        <w:t>《中小企业声明函》或《残疾人福利性单位声明函》或由省级以上监狱管理局、戒毒管</w:t>
      </w:r>
      <w:r>
        <w:rPr>
          <w:spacing w:val="17"/>
          <w:sz w:val="24"/>
          <w:szCs w:val="24"/>
        </w:rPr>
        <w:t xml:space="preserve"> </w:t>
      </w:r>
      <w:r>
        <w:rPr>
          <w:spacing w:val="-2"/>
          <w:sz w:val="24"/>
          <w:szCs w:val="24"/>
        </w:rPr>
        <w:t>理局（含新疆生产建设兵团）出具的属于监狱企业的证明文件；供应商如具有上述证明</w:t>
      </w:r>
      <w:r>
        <w:rPr>
          <w:spacing w:val="17"/>
          <w:sz w:val="24"/>
          <w:szCs w:val="24"/>
        </w:rPr>
        <w:t xml:space="preserve"> </w:t>
      </w:r>
      <w:r>
        <w:rPr>
          <w:spacing w:val="-3"/>
          <w:sz w:val="24"/>
          <w:szCs w:val="24"/>
        </w:rPr>
        <w:t>文件，建议在商务技术文件中提供。</w:t>
      </w:r>
    </w:p>
    <w:p>
      <w:pPr>
        <w:pStyle w:val="17"/>
        <w:spacing w:before="180" w:line="313" w:lineRule="auto"/>
        <w:ind w:left="12" w:right="22" w:firstLine="3"/>
        <w:rPr>
          <w:sz w:val="24"/>
          <w:szCs w:val="24"/>
        </w:rPr>
      </w:pPr>
      <w:r>
        <w:rPr>
          <w:sz w:val="24"/>
          <w:szCs w:val="24"/>
        </w:rPr>
        <w:t>（</w:t>
      </w:r>
      <w:r>
        <w:rPr>
          <w:rFonts w:ascii="Arial" w:hAnsi="Arial" w:eastAsia="Arial" w:cs="Arial"/>
          <w:sz w:val="24"/>
          <w:szCs w:val="24"/>
        </w:rPr>
        <w:t>2</w:t>
      </w:r>
      <w:r>
        <w:rPr>
          <w:sz w:val="24"/>
          <w:szCs w:val="24"/>
        </w:rPr>
        <w:t>）如本项目（包）</w:t>
      </w:r>
      <w:r>
        <w:rPr>
          <w:spacing w:val="-70"/>
          <w:sz w:val="24"/>
          <w:szCs w:val="24"/>
        </w:rPr>
        <w:t xml:space="preserve"> </w:t>
      </w:r>
      <w:r>
        <w:rPr>
          <w:sz w:val="24"/>
          <w:szCs w:val="24"/>
        </w:rPr>
        <w:t>专门面向中小企业采购</w:t>
      </w:r>
      <w:r>
        <w:rPr>
          <w:spacing w:val="-1"/>
          <w:sz w:val="24"/>
          <w:szCs w:val="24"/>
        </w:rPr>
        <w:t>，投标文件中须提供《中小企业声明函》</w:t>
      </w:r>
      <w:r>
        <w:rPr>
          <w:sz w:val="24"/>
          <w:szCs w:val="24"/>
        </w:rPr>
        <w:t xml:space="preserve"> </w:t>
      </w:r>
      <w:r>
        <w:rPr>
          <w:spacing w:val="-2"/>
          <w:sz w:val="24"/>
          <w:szCs w:val="24"/>
        </w:rPr>
        <w:t>或《残疾人福利性单位声明函》或由省级以上监狱管理局、戒毒管理局（含新疆生产建</w:t>
      </w:r>
      <w:r>
        <w:rPr>
          <w:spacing w:val="4"/>
          <w:sz w:val="24"/>
          <w:szCs w:val="24"/>
        </w:rPr>
        <w:t xml:space="preserve"> </w:t>
      </w:r>
      <w:r>
        <w:rPr>
          <w:spacing w:val="-1"/>
          <w:sz w:val="24"/>
          <w:szCs w:val="24"/>
        </w:rPr>
        <w:t>设兵团）出具的属于监狱企业的证明文件，且建议</w:t>
      </w:r>
      <w:r>
        <w:rPr>
          <w:spacing w:val="-2"/>
          <w:sz w:val="24"/>
          <w:szCs w:val="24"/>
        </w:rPr>
        <w:t>在资格证明文件部分提供。</w:t>
      </w:r>
    </w:p>
    <w:p>
      <w:pPr>
        <w:pStyle w:val="17"/>
        <w:spacing w:before="177" w:line="332" w:lineRule="auto"/>
        <w:ind w:left="10" w:firstLine="5"/>
        <w:rPr>
          <w:sz w:val="24"/>
          <w:szCs w:val="24"/>
        </w:rPr>
      </w:pPr>
      <w:r>
        <w:rPr>
          <w:sz w:val="24"/>
          <w:szCs w:val="24"/>
        </w:rPr>
        <w:t>（</w:t>
      </w:r>
      <w:r>
        <w:rPr>
          <w:rFonts w:ascii="Arial" w:hAnsi="Arial" w:eastAsia="Arial" w:cs="Arial"/>
          <w:sz w:val="24"/>
          <w:szCs w:val="24"/>
        </w:rPr>
        <w:t>3</w:t>
      </w:r>
      <w:r>
        <w:rPr>
          <w:sz w:val="24"/>
          <w:szCs w:val="24"/>
        </w:rPr>
        <w:t>）如本项目（包）</w:t>
      </w:r>
      <w:r>
        <w:rPr>
          <w:spacing w:val="-69"/>
          <w:sz w:val="24"/>
          <w:szCs w:val="24"/>
        </w:rPr>
        <w:t xml:space="preserve"> </w:t>
      </w:r>
      <w:r>
        <w:rPr>
          <w:sz w:val="24"/>
          <w:szCs w:val="24"/>
        </w:rPr>
        <w:t>预留部分采购项目预算专门面向中小企业采</w:t>
      </w:r>
      <w:r>
        <w:rPr>
          <w:spacing w:val="-1"/>
          <w:sz w:val="24"/>
          <w:szCs w:val="24"/>
        </w:rPr>
        <w:t>购，且要求获得采购</w:t>
      </w:r>
      <w:r>
        <w:rPr>
          <w:sz w:val="24"/>
          <w:szCs w:val="24"/>
        </w:rPr>
        <w:t xml:space="preserve"> </w:t>
      </w:r>
      <w:r>
        <w:rPr>
          <w:spacing w:val="-2"/>
          <w:sz w:val="24"/>
          <w:szCs w:val="24"/>
        </w:rPr>
        <w:t>合同的供应商将采购项目中的一定比例分包给一家或者多家中小企业的，投标文件中除</w:t>
      </w:r>
      <w:r>
        <w:rPr>
          <w:spacing w:val="17"/>
          <w:sz w:val="24"/>
          <w:szCs w:val="24"/>
        </w:rPr>
        <w:t xml:space="preserve"> </w:t>
      </w:r>
      <w:r>
        <w:rPr>
          <w:spacing w:val="-1"/>
          <w:sz w:val="24"/>
          <w:szCs w:val="24"/>
        </w:rPr>
        <w:t>须提供《中小企业声明函》或《残疾人福利性单位声明函》或由省级</w:t>
      </w:r>
      <w:r>
        <w:rPr>
          <w:spacing w:val="-2"/>
          <w:sz w:val="24"/>
          <w:szCs w:val="24"/>
        </w:rPr>
        <w:t>以上监狱管理局、</w:t>
      </w:r>
      <w:r>
        <w:rPr>
          <w:sz w:val="24"/>
          <w:szCs w:val="24"/>
        </w:rPr>
        <w:t xml:space="preserve"> </w:t>
      </w:r>
      <w:r>
        <w:rPr>
          <w:spacing w:val="-8"/>
          <w:sz w:val="24"/>
          <w:szCs w:val="24"/>
        </w:rPr>
        <w:t>戒毒管理局（含新疆生产建设兵团）出具的属于监狱企业的证明文件，还须同时提供《拟</w:t>
      </w:r>
      <w:r>
        <w:rPr>
          <w:sz w:val="24"/>
          <w:szCs w:val="24"/>
        </w:rPr>
        <w:t xml:space="preserve"> </w:t>
      </w:r>
      <w:r>
        <w:rPr>
          <w:spacing w:val="-5"/>
          <w:sz w:val="24"/>
          <w:szCs w:val="24"/>
        </w:rPr>
        <w:t>分包情况说明》及《分包意向协议》，且建议在资格证明文件部</w:t>
      </w:r>
      <w:r>
        <w:rPr>
          <w:spacing w:val="-6"/>
          <w:sz w:val="24"/>
          <w:szCs w:val="24"/>
        </w:rPr>
        <w:t>分提供。</w:t>
      </w:r>
    </w:p>
    <w:p>
      <w:pPr>
        <w:pStyle w:val="17"/>
        <w:spacing w:before="181" w:line="331" w:lineRule="auto"/>
        <w:ind w:left="10" w:right="12" w:firstLine="5"/>
        <w:rPr>
          <w:sz w:val="24"/>
          <w:szCs w:val="24"/>
        </w:rPr>
      </w:pPr>
      <w:r>
        <w:rPr>
          <w:sz w:val="24"/>
          <w:szCs w:val="24"/>
        </w:rPr>
        <w:t>（</w:t>
      </w:r>
      <w:r>
        <w:rPr>
          <w:rFonts w:ascii="Arial" w:hAnsi="Arial" w:eastAsia="Arial" w:cs="Arial"/>
          <w:sz w:val="24"/>
          <w:szCs w:val="24"/>
        </w:rPr>
        <w:t>4</w:t>
      </w:r>
      <w:r>
        <w:rPr>
          <w:sz w:val="24"/>
          <w:szCs w:val="24"/>
        </w:rPr>
        <w:t>）如本项目（包）</w:t>
      </w:r>
      <w:r>
        <w:rPr>
          <w:spacing w:val="-69"/>
          <w:sz w:val="24"/>
          <w:szCs w:val="24"/>
        </w:rPr>
        <w:t xml:space="preserve"> </w:t>
      </w:r>
      <w:r>
        <w:rPr>
          <w:sz w:val="24"/>
          <w:szCs w:val="24"/>
        </w:rPr>
        <w:t>预留部分采购项目预算专门面向中小企业采</w:t>
      </w:r>
      <w:r>
        <w:rPr>
          <w:spacing w:val="-1"/>
          <w:sz w:val="24"/>
          <w:szCs w:val="24"/>
        </w:rPr>
        <w:t>购，且要求供应商以</w:t>
      </w:r>
      <w:r>
        <w:rPr>
          <w:sz w:val="24"/>
          <w:szCs w:val="24"/>
        </w:rPr>
        <w:t xml:space="preserve"> 联合体形式参加采购活动</w:t>
      </w:r>
      <w:r>
        <w:rPr>
          <w:sz w:val="20"/>
          <w:szCs w:val="20"/>
        </w:rPr>
        <w:t>，</w:t>
      </w:r>
      <w:r>
        <w:rPr>
          <w:sz w:val="24"/>
          <w:szCs w:val="24"/>
        </w:rPr>
        <w:t>投标文件中除须</w:t>
      </w:r>
      <w:r>
        <w:rPr>
          <w:spacing w:val="-1"/>
          <w:sz w:val="24"/>
          <w:szCs w:val="24"/>
        </w:rPr>
        <w:t>提供《中小企业声明函》或《残疾人福利性</w:t>
      </w:r>
      <w:r>
        <w:rPr>
          <w:sz w:val="24"/>
          <w:szCs w:val="24"/>
        </w:rPr>
        <w:t xml:space="preserve"> </w:t>
      </w:r>
      <w:r>
        <w:rPr>
          <w:spacing w:val="-2"/>
          <w:sz w:val="24"/>
          <w:szCs w:val="24"/>
        </w:rPr>
        <w:t>单位声明函》或由省级以上监狱管理局、戒毒管理局（含新疆生产建设兵团）出具的属</w:t>
      </w:r>
      <w:r>
        <w:rPr>
          <w:spacing w:val="17"/>
          <w:sz w:val="24"/>
          <w:szCs w:val="24"/>
        </w:rPr>
        <w:t xml:space="preserve"> </w:t>
      </w:r>
      <w:r>
        <w:rPr>
          <w:spacing w:val="-2"/>
          <w:sz w:val="24"/>
          <w:szCs w:val="24"/>
        </w:rPr>
        <w:t>于监狱企业的证明文件，还须同时提供《联合协议》；上述文件建议在资格证明文件部</w:t>
      </w:r>
      <w:r>
        <w:rPr>
          <w:spacing w:val="14"/>
          <w:sz w:val="24"/>
          <w:szCs w:val="24"/>
        </w:rPr>
        <w:t xml:space="preserve"> </w:t>
      </w:r>
      <w:r>
        <w:rPr>
          <w:spacing w:val="-9"/>
          <w:sz w:val="24"/>
          <w:szCs w:val="24"/>
        </w:rPr>
        <w:t>分提供。</w:t>
      </w:r>
    </w:p>
    <w:p>
      <w:pPr>
        <w:pStyle w:val="17"/>
        <w:spacing w:before="183" w:line="220" w:lineRule="auto"/>
        <w:ind w:left="16"/>
        <w:rPr>
          <w:sz w:val="24"/>
          <w:szCs w:val="24"/>
        </w:rPr>
      </w:pPr>
      <w:r>
        <w:rPr>
          <w:spacing w:val="-1"/>
          <w:sz w:val="24"/>
          <w:szCs w:val="24"/>
        </w:rPr>
        <w:t>（</w:t>
      </w:r>
      <w:r>
        <w:rPr>
          <w:rFonts w:ascii="Arial" w:hAnsi="Arial" w:eastAsia="Arial" w:cs="Arial"/>
          <w:spacing w:val="-1"/>
          <w:sz w:val="24"/>
          <w:szCs w:val="24"/>
        </w:rPr>
        <w:t>5</w:t>
      </w:r>
      <w:r>
        <w:rPr>
          <w:spacing w:val="-1"/>
          <w:sz w:val="24"/>
          <w:szCs w:val="24"/>
        </w:rPr>
        <w:t>）中小企业声明函填写注意事项</w:t>
      </w:r>
    </w:p>
    <w:p>
      <w:pPr>
        <w:pStyle w:val="17"/>
        <w:spacing w:before="178" w:line="290" w:lineRule="auto"/>
        <w:ind w:left="14" w:right="21" w:firstLine="12"/>
        <w:rPr>
          <w:sz w:val="24"/>
          <w:szCs w:val="24"/>
        </w:rPr>
      </w:pPr>
      <w:r>
        <w:rPr>
          <w:rFonts w:ascii="Arial" w:hAnsi="Arial" w:eastAsia="Arial" w:cs="Arial"/>
          <w:spacing w:val="-6"/>
          <w:sz w:val="24"/>
          <w:szCs w:val="24"/>
        </w:rPr>
        <w:t>1</w:t>
      </w:r>
      <w:r>
        <w:rPr>
          <w:spacing w:val="-6"/>
          <w:sz w:val="24"/>
          <w:szCs w:val="24"/>
        </w:rPr>
        <w:t>）《中小企业声明函》由参加政府采购活动的投标人出具。联合体投标的，《中小企业</w:t>
      </w:r>
      <w:r>
        <w:rPr>
          <w:spacing w:val="17"/>
          <w:sz w:val="24"/>
          <w:szCs w:val="24"/>
        </w:rPr>
        <w:t xml:space="preserve"> </w:t>
      </w:r>
      <w:r>
        <w:rPr>
          <w:spacing w:val="-4"/>
          <w:sz w:val="24"/>
          <w:szCs w:val="24"/>
        </w:rPr>
        <w:t>声明函》可由牵头人出具。</w:t>
      </w:r>
    </w:p>
    <w:p>
      <w:pPr>
        <w:pStyle w:val="17"/>
        <w:spacing w:before="180" w:line="313" w:lineRule="auto"/>
        <w:ind w:left="9" w:right="13" w:firstLine="9"/>
        <w:rPr>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z w:val="24"/>
          <w:szCs w:val="24"/>
        </w:rPr>
        <w:t xml:space="preserve"> </w:t>
      </w:r>
      <w:r>
        <w:rPr>
          <w:spacing w:val="1"/>
          <w:sz w:val="24"/>
          <w:szCs w:val="24"/>
        </w:rPr>
        <w:t>小企业制造、承建或者承接。供应商应当在声明函</w:t>
      </w:r>
      <w:r>
        <w:rPr>
          <w:rFonts w:ascii="Arial" w:hAnsi="Arial" w:eastAsia="Arial" w:cs="Arial"/>
          <w:sz w:val="24"/>
          <w:szCs w:val="24"/>
        </w:rPr>
        <w:t>“</w:t>
      </w:r>
      <w:r>
        <w:rPr>
          <w:sz w:val="24"/>
          <w:szCs w:val="24"/>
        </w:rPr>
        <w:t>标的名称</w:t>
      </w:r>
      <w:r>
        <w:rPr>
          <w:rFonts w:ascii="Arial" w:hAnsi="Arial" w:eastAsia="Arial" w:cs="Arial"/>
          <w:sz w:val="24"/>
          <w:szCs w:val="24"/>
        </w:rPr>
        <w:t>”</w:t>
      </w:r>
      <w:r>
        <w:rPr>
          <w:sz w:val="24"/>
          <w:szCs w:val="24"/>
        </w:rPr>
        <w:t xml:space="preserve">部分标明联合体中中小企 </w:t>
      </w:r>
      <w:r>
        <w:rPr>
          <w:spacing w:val="-2"/>
          <w:sz w:val="24"/>
          <w:szCs w:val="24"/>
        </w:rPr>
        <w:t>业承担的具体内容或者中小企业的具体分包内容。</w:t>
      </w:r>
    </w:p>
    <w:p>
      <w:pPr>
        <w:pStyle w:val="17"/>
        <w:spacing w:before="181" w:line="289" w:lineRule="auto"/>
        <w:ind w:left="11" w:right="24" w:firstLine="6"/>
        <w:rPr>
          <w:sz w:val="24"/>
          <w:szCs w:val="24"/>
        </w:rPr>
      </w:pPr>
      <w:r>
        <w:rPr>
          <w:rFonts w:ascii="Arial" w:hAnsi="Arial" w:eastAsia="Arial" w:cs="Arial"/>
          <w:spacing w:val="1"/>
          <w:sz w:val="24"/>
          <w:szCs w:val="24"/>
        </w:rPr>
        <w:t>3</w:t>
      </w:r>
      <w:r>
        <w:rPr>
          <w:spacing w:val="1"/>
          <w:sz w:val="24"/>
          <w:szCs w:val="24"/>
        </w:rPr>
        <w:t>）对于多标的采购项目，投标人应充分、准确地了解所提供</w:t>
      </w:r>
      <w:r>
        <w:rPr>
          <w:sz w:val="24"/>
          <w:szCs w:val="24"/>
        </w:rPr>
        <w:t xml:space="preserve">货物的制造企业、提供服 </w:t>
      </w:r>
      <w:r>
        <w:rPr>
          <w:spacing w:val="-2"/>
          <w:sz w:val="24"/>
          <w:szCs w:val="24"/>
        </w:rPr>
        <w:t>务的承接企业信息。对相关情况了解不清楚的，不建议填报本声明函。</w:t>
      </w:r>
    </w:p>
    <w:p>
      <w:pPr>
        <w:pStyle w:val="189"/>
        <w:widowControl/>
        <w:spacing w:line="360" w:lineRule="auto"/>
        <w:jc w:val="left"/>
        <w:rPr>
          <w:rStyle w:val="278"/>
          <w:rFonts w:ascii="宋体" w:hAnsi="宋体" w:eastAsia="宋体" w:cs="宋体"/>
          <w:color w:val="auto"/>
          <w:sz w:val="24"/>
          <w:szCs w:val="24"/>
        </w:rPr>
      </w:pPr>
      <w:r>
        <w:rPr>
          <w:spacing w:val="1"/>
          <w:sz w:val="24"/>
          <w:szCs w:val="24"/>
        </w:rPr>
        <w:t>（</w:t>
      </w:r>
      <w:r>
        <w:rPr>
          <w:rFonts w:ascii="Arial" w:hAnsi="Arial" w:eastAsia="Arial" w:cs="Arial"/>
          <w:spacing w:val="1"/>
          <w:sz w:val="24"/>
          <w:szCs w:val="24"/>
        </w:rPr>
        <w:t>6</w:t>
      </w:r>
      <w:r>
        <w:rPr>
          <w:spacing w:val="1"/>
          <w:sz w:val="24"/>
          <w:szCs w:val="24"/>
        </w:rPr>
        <w:t>）温馨提示：为方便广大中小企业识别企业规模类型，工业和信息化部组织开发了</w:t>
      </w:r>
      <w:r>
        <w:rPr>
          <w:spacing w:val="4"/>
          <w:sz w:val="24"/>
          <w:szCs w:val="24"/>
        </w:rPr>
        <w:t xml:space="preserve"> </w:t>
      </w:r>
      <w:r>
        <w:rPr>
          <w:spacing w:val="-2"/>
          <w:sz w:val="24"/>
          <w:szCs w:val="24"/>
        </w:rPr>
        <w:t>中小企业规模类型自测小程序，在国务院客户端和工业和信息化部网站上均</w:t>
      </w:r>
      <w:r>
        <w:rPr>
          <w:spacing w:val="-3"/>
          <w:sz w:val="24"/>
          <w:szCs w:val="24"/>
        </w:rPr>
        <w:t>有链接，投</w:t>
      </w:r>
      <w:r>
        <w:rPr>
          <w:spacing w:val="-2"/>
          <w:sz w:val="24"/>
          <w:szCs w:val="24"/>
        </w:rPr>
        <w:t>标人填写所属的行业和指标数据可自动生成企业规模类型测试结果。本项目中小企业划</w:t>
      </w:r>
      <w:r>
        <w:rPr>
          <w:spacing w:val="17"/>
          <w:sz w:val="24"/>
          <w:szCs w:val="24"/>
        </w:rPr>
        <w:t xml:space="preserve"> </w:t>
      </w:r>
      <w:r>
        <w:rPr>
          <w:spacing w:val="-2"/>
          <w:sz w:val="24"/>
          <w:szCs w:val="24"/>
        </w:rPr>
        <w:t>分标准所属行业详见第二章《投标人须知资料表》，如在该程序中未找到本项目文件规</w:t>
      </w:r>
      <w:r>
        <w:rPr>
          <w:spacing w:val="15"/>
          <w:sz w:val="24"/>
          <w:szCs w:val="24"/>
        </w:rPr>
        <w:t xml:space="preserve"> </w:t>
      </w:r>
      <w:r>
        <w:rPr>
          <w:spacing w:val="-2"/>
          <w:sz w:val="24"/>
          <w:szCs w:val="24"/>
        </w:rPr>
        <w:t>定的中小企业划分标准所属行业，则按照《关于印发中小企业划型标准规定的通知（工</w:t>
      </w:r>
      <w:r>
        <w:rPr>
          <w:spacing w:val="5"/>
          <w:sz w:val="24"/>
          <w:szCs w:val="24"/>
        </w:rPr>
        <w:t xml:space="preserve"> </w:t>
      </w:r>
      <w:r>
        <w:rPr>
          <w:spacing w:val="-1"/>
          <w:sz w:val="24"/>
          <w:szCs w:val="24"/>
        </w:rPr>
        <w:t>信部联企业﹝</w:t>
      </w:r>
      <w:r>
        <w:rPr>
          <w:rFonts w:ascii="Arial" w:hAnsi="Arial" w:eastAsia="Arial" w:cs="Arial"/>
          <w:spacing w:val="-1"/>
          <w:sz w:val="24"/>
          <w:szCs w:val="24"/>
        </w:rPr>
        <w:t>2011</w:t>
      </w:r>
      <w:r>
        <w:rPr>
          <w:spacing w:val="-1"/>
          <w:sz w:val="24"/>
          <w:szCs w:val="24"/>
        </w:rPr>
        <w:t>﹞</w:t>
      </w:r>
      <w:r>
        <w:rPr>
          <w:rFonts w:ascii="Arial" w:hAnsi="Arial" w:eastAsia="Arial" w:cs="Arial"/>
          <w:spacing w:val="-1"/>
          <w:sz w:val="24"/>
          <w:szCs w:val="24"/>
        </w:rPr>
        <w:t xml:space="preserve">300 </w:t>
      </w:r>
      <w:r>
        <w:rPr>
          <w:spacing w:val="-1"/>
          <w:sz w:val="24"/>
          <w:szCs w:val="24"/>
        </w:rPr>
        <w:t>号）》及本项目文件规定的中小企业划分标准所属行业执行。</w:t>
      </w:r>
    </w:p>
    <w:p>
      <w:pPr>
        <w:pStyle w:val="189"/>
        <w:spacing w:before="240" w:after="240" w:line="360" w:lineRule="auto"/>
        <w:jc w:val="center"/>
        <w:rPr>
          <w:rFonts w:ascii="宋体" w:hAnsi="宋体" w:eastAsia="宋体"/>
          <w:color w:val="auto"/>
        </w:rPr>
      </w:pPr>
      <w:r>
        <w:rPr>
          <w:rStyle w:val="278"/>
          <w:rFonts w:ascii="宋体" w:hAnsi="宋体" w:eastAsia="宋体" w:cs="宋体"/>
          <w:color w:val="auto"/>
          <w:sz w:val="24"/>
          <w:szCs w:val="24"/>
        </w:rPr>
        <w:br w:type="page"/>
      </w:r>
    </w:p>
    <w:p>
      <w:pPr>
        <w:spacing w:before="240" w:beforeLines="100" w:after="240" w:afterLines="100" w:line="360" w:lineRule="auto"/>
        <w:jc w:val="left"/>
        <w:rPr>
          <w:rFonts w:ascii="Arial" w:hAnsi="Arial" w:eastAsia="Arial" w:cs="Arial"/>
          <w:spacing w:val="1"/>
          <w:sz w:val="24"/>
          <w:szCs w:val="24"/>
        </w:rPr>
      </w:pPr>
      <w:r>
        <w:rPr>
          <w:rFonts w:ascii="Arial" w:hAnsi="Arial" w:eastAsia="Arial" w:cs="Arial"/>
          <w:spacing w:val="1"/>
          <w:sz w:val="24"/>
          <w:szCs w:val="24"/>
        </w:rPr>
        <w:t>2-1-1  中小企业声明函及残疾人福利性单位声明函格式</w:t>
      </w:r>
    </w:p>
    <w:p>
      <w:pPr>
        <w:spacing w:before="240" w:beforeLines="100" w:after="240" w:afterLines="100" w:line="360" w:lineRule="auto"/>
        <w:jc w:val="center"/>
        <w:rPr>
          <w:rFonts w:ascii="宋体"/>
          <w:b/>
          <w:sz w:val="36"/>
          <w:szCs w:val="36"/>
        </w:rPr>
      </w:pPr>
      <w:r>
        <w:rPr>
          <w:rFonts w:hint="eastAsia" w:ascii="宋体" w:hAnsi="宋体"/>
          <w:b/>
          <w:bCs/>
          <w:sz w:val="36"/>
          <w:szCs w:val="36"/>
        </w:rPr>
        <w:t>中小企业声明函（货物）格式</w:t>
      </w:r>
    </w:p>
    <w:p>
      <w:pPr>
        <w:autoSpaceDE w:val="0"/>
        <w:autoSpaceDN w:val="0"/>
        <w:spacing w:line="360" w:lineRule="auto"/>
        <w:ind w:left="220" w:right="415" w:firstLine="640"/>
        <w:jc w:val="left"/>
        <w:rPr>
          <w:rFonts w:ascii="宋体"/>
          <w:kern w:val="0"/>
          <w:sz w:val="24"/>
        </w:rPr>
      </w:pPr>
      <w:r>
        <w:rPr>
          <w:rFonts w:hint="eastAsia" w:ascii="宋体" w:hAnsi="宋体"/>
          <w:kern w:val="0"/>
          <w:sz w:val="24"/>
        </w:rPr>
        <w:t>本公司（联合体）郑重声明，根据《政府采购促进中小企业发展管理办法》（财库﹝</w:t>
      </w:r>
      <w:r>
        <w:rPr>
          <w:rFonts w:ascii="宋体" w:hAnsi="宋体"/>
          <w:kern w:val="0"/>
          <w:sz w:val="24"/>
        </w:rPr>
        <w:t>2020</w:t>
      </w:r>
      <w:r>
        <w:rPr>
          <w:rFonts w:hint="eastAsia" w:ascii="宋体" w:hAnsi="宋体"/>
          <w:kern w:val="0"/>
          <w:sz w:val="24"/>
        </w:rPr>
        <w:t>﹞</w:t>
      </w:r>
      <w:r>
        <w:rPr>
          <w:rFonts w:ascii="宋体" w:hAnsi="宋体"/>
          <w:kern w:val="0"/>
          <w:sz w:val="24"/>
        </w:rPr>
        <w:t>46</w:t>
      </w:r>
      <w:r>
        <w:rPr>
          <w:rFonts w:hint="eastAsia" w:ascii="宋体" w:hAnsi="宋体"/>
          <w:kern w:val="0"/>
          <w:sz w:val="24"/>
        </w:rPr>
        <w:t>号）的规定，本公司（联合体）参加</w:t>
      </w:r>
      <w:r>
        <w:rPr>
          <w:rFonts w:ascii="宋体" w:hAnsi="宋体"/>
          <w:kern w:val="0"/>
          <w:sz w:val="24"/>
        </w:rPr>
        <w:t xml:space="preserve"> </w:t>
      </w:r>
      <w:r>
        <w:rPr>
          <w:rFonts w:ascii="宋体" w:hAnsi="宋体"/>
          <w:kern w:val="0"/>
          <w:sz w:val="24"/>
          <w:u w:val="single"/>
        </w:rPr>
        <w:t xml:space="preserve">           </w:t>
      </w:r>
      <w:r>
        <w:rPr>
          <w:rFonts w:hint="eastAsia" w:ascii="宋体" w:hAnsi="宋体"/>
          <w:kern w:val="0"/>
          <w:sz w:val="24"/>
          <w:u w:val="single"/>
        </w:rPr>
        <w:t>（单位名称）</w:t>
      </w:r>
      <w:r>
        <w:rPr>
          <w:rFonts w:hint="eastAsia" w:ascii="宋体" w:hAnsi="宋体"/>
          <w:kern w:val="0"/>
          <w:sz w:val="24"/>
        </w:rPr>
        <w:t>的</w:t>
      </w:r>
      <w:r>
        <w:rPr>
          <w:rFonts w:ascii="宋体" w:hAnsi="宋体"/>
          <w:kern w:val="0"/>
          <w:sz w:val="24"/>
        </w:rPr>
        <w:t xml:space="preserve"> </w:t>
      </w:r>
      <w:r>
        <w:rPr>
          <w:rFonts w:ascii="宋体" w:hAnsi="宋体"/>
          <w:kern w:val="0"/>
          <w:sz w:val="24"/>
          <w:u w:val="single"/>
        </w:rPr>
        <w:t xml:space="preserve">       </w:t>
      </w:r>
      <w:r>
        <w:rPr>
          <w:rFonts w:hint="eastAsia" w:ascii="宋体" w:hAnsi="宋体"/>
          <w:kern w:val="0"/>
          <w:sz w:val="24"/>
          <w:u w:val="single"/>
        </w:rPr>
        <w:t>（项目名称/</w:t>
      </w:r>
      <w:r>
        <w:rPr>
          <w:rFonts w:ascii="宋体" w:hAnsi="宋体"/>
          <w:kern w:val="0"/>
          <w:sz w:val="24"/>
          <w:u w:val="single"/>
        </w:rPr>
        <w:t>包号</w:t>
      </w:r>
      <w:r>
        <w:rPr>
          <w:rFonts w:hint="eastAsia" w:ascii="宋体" w:hAnsi="宋体"/>
          <w:kern w:val="0"/>
          <w:sz w:val="24"/>
          <w:u w:val="single"/>
        </w:rPr>
        <w:t>）</w:t>
      </w:r>
      <w:r>
        <w:rPr>
          <w:rFonts w:hint="eastAsia" w:ascii="宋体" w:hAnsi="宋体"/>
          <w:kern w:val="0"/>
          <w:sz w:val="24"/>
        </w:rPr>
        <w:t>采购活动，提供的货物全部由符合政策要求的中小企业制造。相关企业（含联合体中的中小企业、签订分包意向协议的中小企业）的具体情况如下：</w:t>
      </w:r>
    </w:p>
    <w:p>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宋体"/>
          <w:kern w:val="0"/>
          <w:sz w:val="24"/>
        </w:rPr>
      </w:pPr>
      <w:r>
        <w:rPr>
          <w:rFonts w:hint="eastAsia" w:ascii="宋体" w:hAnsi="宋体"/>
          <w:kern w:val="0"/>
          <w:sz w:val="24"/>
          <w:u w:val="single" w:color="000000"/>
        </w:rPr>
        <w:t>（标的名称）</w:t>
      </w:r>
      <w:r>
        <w:rPr>
          <w:rFonts w:hint="eastAsia" w:ascii="宋体" w:hAnsi="宋体"/>
          <w:kern w:val="0"/>
          <w:sz w:val="24"/>
        </w:rPr>
        <w:t>，属于（</w:t>
      </w:r>
      <w:r>
        <w:rPr>
          <w:rFonts w:hint="eastAsia" w:ascii="宋体" w:hAnsi="宋体"/>
          <w:kern w:val="0"/>
          <w:sz w:val="24"/>
          <w:u w:val="single" w:color="000000"/>
        </w:rPr>
        <w:t>采购文件中明确的所属行业）行业</w:t>
      </w:r>
      <w:r>
        <w:rPr>
          <w:rFonts w:hint="eastAsia" w:ascii="宋体" w:hAnsi="宋体"/>
          <w:kern w:val="0"/>
          <w:sz w:val="24"/>
        </w:rPr>
        <w:t>；制造商为</w:t>
      </w:r>
      <w:r>
        <w:rPr>
          <w:rFonts w:hint="eastAsia" w:ascii="宋体" w:hAnsi="宋体"/>
          <w:kern w:val="0"/>
          <w:sz w:val="24"/>
          <w:u w:val="single" w:color="000000"/>
        </w:rPr>
        <w:t>（企业名称）</w:t>
      </w:r>
      <w:r>
        <w:rPr>
          <w:rFonts w:hint="eastAsia" w:ascii="宋体" w:hAnsi="宋体"/>
          <w:kern w:val="0"/>
          <w:sz w:val="24"/>
        </w:rPr>
        <w:t>，从业人员</w:t>
      </w:r>
      <w:r>
        <w:rPr>
          <w:rFonts w:ascii="宋体"/>
          <w:kern w:val="0"/>
          <w:sz w:val="24"/>
          <w:u w:val="single" w:color="000000"/>
        </w:rPr>
        <w:tab/>
      </w:r>
      <w:r>
        <w:rPr>
          <w:rFonts w:hint="eastAsia" w:ascii="宋体" w:hAnsi="宋体"/>
          <w:kern w:val="0"/>
          <w:sz w:val="24"/>
        </w:rPr>
        <w:t>人，营业收入为</w:t>
      </w:r>
      <w:r>
        <w:rPr>
          <w:rFonts w:ascii="宋体"/>
          <w:kern w:val="0"/>
          <w:sz w:val="24"/>
          <w:u w:val="single" w:color="000000"/>
        </w:rPr>
        <w:tab/>
      </w:r>
      <w:r>
        <w:rPr>
          <w:rFonts w:hint="eastAsia" w:ascii="宋体" w:hAnsi="宋体"/>
          <w:kern w:val="0"/>
          <w:sz w:val="24"/>
        </w:rPr>
        <w:t>万元，资产总额为</w:t>
      </w:r>
      <w:r>
        <w:rPr>
          <w:rFonts w:ascii="宋体"/>
          <w:kern w:val="0"/>
          <w:sz w:val="24"/>
          <w:u w:val="single" w:color="000000"/>
        </w:rPr>
        <w:tab/>
      </w:r>
      <w:r>
        <w:rPr>
          <w:rFonts w:hint="eastAsia" w:ascii="宋体" w:hAnsi="宋体"/>
          <w:kern w:val="0"/>
          <w:sz w:val="24"/>
        </w:rPr>
        <w:t>万元</w:t>
      </w:r>
      <w:r>
        <w:fldChar w:fldCharType="begin"/>
      </w:r>
      <w:r>
        <w:instrText xml:space="preserve"> HYPERLINK \l "_bookmark0" </w:instrText>
      </w:r>
      <w:r>
        <w:fldChar w:fldCharType="separate"/>
      </w:r>
      <w:r>
        <w:rPr>
          <w:rFonts w:ascii="宋体" w:hAnsi="宋体"/>
          <w:kern w:val="0"/>
          <w:position w:val="16"/>
          <w:sz w:val="24"/>
        </w:rPr>
        <w:t>1</w:t>
      </w:r>
      <w:r>
        <w:rPr>
          <w:rFonts w:ascii="宋体" w:hAnsi="宋体"/>
          <w:kern w:val="0"/>
          <w:position w:val="16"/>
          <w:sz w:val="24"/>
        </w:rPr>
        <w:fldChar w:fldCharType="end"/>
      </w:r>
      <w:r>
        <w:rPr>
          <w:rFonts w:hint="eastAsia" w:ascii="宋体" w:hAnsi="宋体"/>
          <w:kern w:val="0"/>
          <w:sz w:val="24"/>
        </w:rPr>
        <w:t>，属于</w:t>
      </w:r>
      <w:r>
        <w:rPr>
          <w:rFonts w:hint="eastAsia" w:ascii="宋体" w:hAnsi="宋体"/>
          <w:kern w:val="0"/>
          <w:sz w:val="24"/>
          <w:u w:val="single" w:color="000000"/>
        </w:rPr>
        <w:t>（中型企业、小型企业、微型企业）</w:t>
      </w:r>
      <w:r>
        <w:rPr>
          <w:rFonts w:hint="eastAsia" w:ascii="宋体" w:hAnsi="宋体"/>
          <w:kern w:val="0"/>
          <w:sz w:val="24"/>
        </w:rPr>
        <w:t>；</w:t>
      </w:r>
    </w:p>
    <w:p>
      <w:pPr>
        <w:numPr>
          <w:ilvl w:val="0"/>
          <w:numId w:val="21"/>
        </w:numPr>
        <w:tabs>
          <w:tab w:val="left" w:pos="1183"/>
          <w:tab w:val="left" w:pos="4362"/>
          <w:tab w:val="left" w:pos="6577"/>
        </w:tabs>
        <w:autoSpaceDE w:val="0"/>
        <w:autoSpaceDN w:val="0"/>
        <w:spacing w:line="360" w:lineRule="auto"/>
        <w:ind w:right="169" w:firstLine="646"/>
        <w:jc w:val="left"/>
        <w:rPr>
          <w:rFonts w:ascii="宋体"/>
          <w:kern w:val="0"/>
          <w:sz w:val="24"/>
        </w:rPr>
      </w:pPr>
      <w:r>
        <w:rPr>
          <w:rFonts w:hint="eastAsia" w:ascii="宋体" w:hAnsi="宋体"/>
          <w:kern w:val="0"/>
          <w:sz w:val="24"/>
          <w:u w:val="single" w:color="000000"/>
        </w:rPr>
        <w:t>（标的名称）</w:t>
      </w:r>
      <w:r>
        <w:rPr>
          <w:rFonts w:hint="eastAsia" w:ascii="宋体" w:hAnsi="宋体"/>
          <w:kern w:val="0"/>
          <w:sz w:val="24"/>
        </w:rPr>
        <w:t>，属于（</w:t>
      </w:r>
      <w:r>
        <w:rPr>
          <w:rFonts w:hint="eastAsia" w:ascii="宋体" w:hAnsi="宋体"/>
          <w:kern w:val="0"/>
          <w:sz w:val="24"/>
          <w:u w:val="single" w:color="000000"/>
        </w:rPr>
        <w:t>采购文件中明确的所属行业）行业</w:t>
      </w:r>
      <w:r>
        <w:rPr>
          <w:rFonts w:hint="eastAsia" w:ascii="宋体" w:hAnsi="宋体"/>
          <w:kern w:val="0"/>
          <w:sz w:val="24"/>
        </w:rPr>
        <w:t>；制造商为</w:t>
      </w:r>
      <w:r>
        <w:rPr>
          <w:rFonts w:hint="eastAsia" w:ascii="宋体" w:hAnsi="宋体"/>
          <w:kern w:val="0"/>
          <w:sz w:val="24"/>
          <w:u w:val="single" w:color="000000"/>
        </w:rPr>
        <w:t>（企业名称）</w:t>
      </w:r>
      <w:r>
        <w:rPr>
          <w:rFonts w:hint="eastAsia" w:ascii="宋体" w:hAnsi="宋体"/>
          <w:kern w:val="0"/>
          <w:sz w:val="24"/>
        </w:rPr>
        <w:t>，从业人员</w:t>
      </w:r>
      <w:r>
        <w:rPr>
          <w:rFonts w:ascii="宋体"/>
          <w:kern w:val="0"/>
          <w:sz w:val="24"/>
          <w:u w:val="single" w:color="000000"/>
        </w:rPr>
        <w:tab/>
      </w:r>
      <w:r>
        <w:rPr>
          <w:rFonts w:hint="eastAsia" w:ascii="宋体" w:hAnsi="宋体"/>
          <w:kern w:val="0"/>
          <w:sz w:val="24"/>
        </w:rPr>
        <w:t>人，营业收入为</w:t>
      </w:r>
      <w:r>
        <w:rPr>
          <w:rFonts w:ascii="宋体"/>
          <w:kern w:val="0"/>
          <w:sz w:val="24"/>
          <w:u w:val="single" w:color="000000"/>
        </w:rPr>
        <w:tab/>
      </w:r>
      <w:r>
        <w:rPr>
          <w:rFonts w:hint="eastAsia" w:ascii="宋体" w:hAnsi="宋体"/>
          <w:kern w:val="0"/>
          <w:sz w:val="24"/>
        </w:rPr>
        <w:t>万元，资产总额为</w:t>
      </w:r>
      <w:r>
        <w:rPr>
          <w:rFonts w:ascii="宋体"/>
          <w:kern w:val="0"/>
          <w:sz w:val="24"/>
          <w:u w:val="single" w:color="000000"/>
        </w:rPr>
        <w:tab/>
      </w:r>
      <w:r>
        <w:rPr>
          <w:rFonts w:hint="eastAsia" w:ascii="宋体" w:hAnsi="宋体"/>
          <w:kern w:val="0"/>
          <w:sz w:val="24"/>
        </w:rPr>
        <w:t>万元，属于</w:t>
      </w:r>
      <w:r>
        <w:rPr>
          <w:rFonts w:hint="eastAsia" w:ascii="宋体" w:hAnsi="宋体"/>
          <w:kern w:val="0"/>
          <w:sz w:val="24"/>
          <w:u w:val="single" w:color="000000"/>
        </w:rPr>
        <w:t>（中型企业、小型企业、微型企业）</w:t>
      </w:r>
      <w:r>
        <w:rPr>
          <w:rFonts w:hint="eastAsia" w:ascii="宋体" w:hAnsi="宋体"/>
          <w:kern w:val="0"/>
          <w:sz w:val="24"/>
        </w:rPr>
        <w:t>；</w:t>
      </w:r>
    </w:p>
    <w:p>
      <w:pPr>
        <w:autoSpaceDE w:val="0"/>
        <w:autoSpaceDN w:val="0"/>
        <w:spacing w:line="360" w:lineRule="auto"/>
        <w:ind w:left="860"/>
        <w:jc w:val="left"/>
        <w:rPr>
          <w:rFonts w:ascii="宋体"/>
          <w:kern w:val="0"/>
          <w:sz w:val="24"/>
        </w:rPr>
      </w:pPr>
      <w:r>
        <w:rPr>
          <w:rFonts w:hint="eastAsia" w:ascii="宋体"/>
          <w:kern w:val="0"/>
          <w:sz w:val="24"/>
        </w:rPr>
        <w:t>……</w:t>
      </w:r>
    </w:p>
    <w:p>
      <w:pPr>
        <w:autoSpaceDE w:val="0"/>
        <w:autoSpaceDN w:val="0"/>
        <w:spacing w:line="360" w:lineRule="auto"/>
        <w:ind w:left="220" w:right="417" w:firstLine="645"/>
        <w:rPr>
          <w:rFonts w:ascii="宋体"/>
          <w:kern w:val="0"/>
          <w:sz w:val="24"/>
        </w:rPr>
      </w:pPr>
      <w:r>
        <w:rPr>
          <w:rFonts w:hint="eastAsia" w:ascii="宋体" w:hAnsi="宋体"/>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rFonts w:ascii="宋体"/>
          <w:kern w:val="0"/>
          <w:sz w:val="24"/>
        </w:rPr>
      </w:pPr>
      <w:r>
        <w:rPr>
          <w:rFonts w:hint="eastAsia" w:ascii="宋体" w:hAnsi="宋体"/>
          <w:kern w:val="0"/>
          <w:sz w:val="24"/>
        </w:rPr>
        <w:t>本企业对上述声明内容的真实性负责。如有虚假，将依法承担相应责任。</w:t>
      </w:r>
    </w:p>
    <w:p>
      <w:pPr>
        <w:spacing w:line="360" w:lineRule="auto"/>
        <w:ind w:firstLine="504"/>
        <w:rPr>
          <w:rFonts w:ascii="宋体"/>
          <w:spacing w:val="6"/>
          <w:sz w:val="24"/>
        </w:rPr>
      </w:pPr>
    </w:p>
    <w:p>
      <w:pPr>
        <w:spacing w:line="360" w:lineRule="auto"/>
        <w:ind w:firstLine="504"/>
        <w:rPr>
          <w:rFonts w:ascii="宋体"/>
          <w:spacing w:val="6"/>
          <w:sz w:val="24"/>
        </w:rPr>
      </w:pPr>
    </w:p>
    <w:p>
      <w:pPr>
        <w:spacing w:line="360" w:lineRule="auto"/>
        <w:ind w:right="360" w:firstLine="480"/>
        <w:jc w:val="right"/>
        <w:rPr>
          <w:rFonts w:ascii="宋体"/>
          <w:sz w:val="24"/>
        </w:rPr>
      </w:pPr>
      <w:r>
        <w:rPr>
          <w:rFonts w:hint="eastAsia" w:ascii="宋体" w:hAnsi="宋体"/>
          <w:sz w:val="24"/>
        </w:rPr>
        <w:t>企业名称（盖章）：</w:t>
      </w:r>
      <w:r>
        <w:rPr>
          <w:rFonts w:ascii="宋体" w:hAnsi="宋体"/>
          <w:sz w:val="24"/>
        </w:rPr>
        <w:t>________</w:t>
      </w:r>
    </w:p>
    <w:p>
      <w:pPr>
        <w:spacing w:line="360" w:lineRule="auto"/>
        <w:ind w:right="360" w:firstLine="480"/>
        <w:jc w:val="right"/>
        <w:rPr>
          <w:rFonts w:asci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r>
        <w:rPr>
          <w:rFonts w:ascii="宋体" w:hAnsi="宋体"/>
          <w:sz w:val="24"/>
        </w:rPr>
        <w:t>________</w:t>
      </w:r>
    </w:p>
    <w:p>
      <w:pPr>
        <w:spacing w:line="360" w:lineRule="auto"/>
        <w:ind w:right="360" w:firstLine="480"/>
        <w:jc w:val="right"/>
        <w:rPr>
          <w:rFonts w:ascii="宋体"/>
          <w:sz w:val="24"/>
        </w:rPr>
      </w:pPr>
    </w:p>
    <w:p>
      <w:pPr>
        <w:spacing w:line="360" w:lineRule="auto"/>
        <w:ind w:right="360" w:firstLine="480"/>
        <w:jc w:val="right"/>
        <w:rPr>
          <w:rFonts w:ascii="宋体"/>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Borders>
              <w:top w:val="single" w:color="auto" w:sz="4" w:space="0"/>
            </w:tcBorders>
          </w:tcPr>
          <w:p>
            <w:pPr>
              <w:adjustRightInd w:val="0"/>
              <w:snapToGrid w:val="0"/>
              <w:jc w:val="left"/>
              <w:rPr>
                <w:rFonts w:ascii="宋体"/>
                <w:szCs w:val="21"/>
              </w:rPr>
            </w:pPr>
            <w:r>
              <w:rPr>
                <w:rFonts w:ascii="宋体" w:hAnsi="宋体"/>
                <w:szCs w:val="21"/>
                <w:vertAlign w:val="superscript"/>
              </w:rPr>
              <w:t>1</w:t>
            </w:r>
            <w:r>
              <w:rPr>
                <w:rFonts w:hint="eastAsia" w:ascii="宋体" w:hAnsi="宋体"/>
                <w:szCs w:val="21"/>
              </w:rPr>
              <w:t>从业人员、营业收入、资产总额填报上一年度数据，无上一年度数据的新成立企业可不填报。</w:t>
            </w:r>
          </w:p>
        </w:tc>
      </w:tr>
    </w:tbl>
    <w:p>
      <w:pPr>
        <w:spacing w:line="360" w:lineRule="auto"/>
        <w:rPr>
          <w:rFonts w:ascii="宋体"/>
          <w:color w:val="000000"/>
          <w:sz w:val="24"/>
        </w:rPr>
      </w:pPr>
    </w:p>
    <w:p>
      <w:pPr>
        <w:adjustRightInd w:val="0"/>
        <w:snapToGrid w:val="0"/>
        <w:jc w:val="left"/>
        <w:rPr>
          <w:color w:val="000000"/>
          <w:szCs w:val="21"/>
          <w:vertAlign w:val="superscript"/>
        </w:rPr>
      </w:pPr>
    </w:p>
    <w:p>
      <w:pPr>
        <w:autoSpaceDE w:val="0"/>
        <w:autoSpaceDN w:val="0"/>
        <w:adjustRightInd w:val="0"/>
        <w:ind w:firstLine="420"/>
        <w:jc w:val="left"/>
        <w:rPr>
          <w:rFonts w:ascii="宋体"/>
          <w:sz w:val="24"/>
        </w:rPr>
      </w:pPr>
    </w:p>
    <w:p>
      <w:pPr>
        <w:pStyle w:val="189"/>
        <w:jc w:val="left"/>
        <w:rPr>
          <w:rStyle w:val="278"/>
          <w:rFonts w:ascii="宋体" w:hAnsi="宋体" w:eastAsia="宋体" w:cs="宋体"/>
          <w:sz w:val="24"/>
          <w:szCs w:val="24"/>
        </w:rPr>
      </w:pPr>
    </w:p>
    <w:p>
      <w:pPr>
        <w:pStyle w:val="189"/>
        <w:spacing w:line="360" w:lineRule="auto"/>
        <w:jc w:val="left"/>
        <w:rPr>
          <w:rStyle w:val="278"/>
          <w:rFonts w:ascii="宋体" w:hAnsi="宋体" w:eastAsia="宋体" w:cs="宋体"/>
          <w:vertAlign w:val="superscript"/>
        </w:rPr>
      </w:pPr>
    </w:p>
    <w:p>
      <w:pPr>
        <w:pStyle w:val="189"/>
        <w:spacing w:line="360" w:lineRule="auto"/>
        <w:rPr>
          <w:rFonts w:ascii="宋体" w:hAnsi="宋体" w:eastAsia="宋体"/>
          <w:color w:val="auto"/>
        </w:rPr>
      </w:pPr>
    </w:p>
    <w:p>
      <w:pPr>
        <w:pStyle w:val="189"/>
        <w:spacing w:before="240" w:after="240" w:line="360" w:lineRule="auto"/>
        <w:jc w:val="center"/>
        <w:rPr>
          <w:rStyle w:val="278"/>
          <w:rFonts w:ascii="宋体" w:hAnsi="宋体" w:eastAsia="宋体" w:cs="宋体"/>
          <w:b/>
          <w:bCs/>
          <w:color w:val="auto"/>
          <w:sz w:val="36"/>
          <w:szCs w:val="36"/>
        </w:rPr>
      </w:pPr>
      <w:r>
        <w:rPr>
          <w:rStyle w:val="278"/>
          <w:rFonts w:ascii="宋体" w:hAnsi="宋体" w:eastAsia="宋体" w:cs="宋体"/>
          <w:b/>
          <w:bCs/>
          <w:color w:val="auto"/>
          <w:sz w:val="36"/>
          <w:szCs w:val="36"/>
          <w:lang w:val="zh-TW" w:eastAsia="zh-TW"/>
        </w:rPr>
        <w:t>残疾人福利性单位声明函格式</w:t>
      </w:r>
      <w:r>
        <w:rPr>
          <w:rStyle w:val="278"/>
          <w:rFonts w:ascii="宋体" w:hAnsi="宋体" w:eastAsia="宋体" w:cs="宋体"/>
          <w:b/>
          <w:bCs/>
          <w:color w:val="auto"/>
          <w:sz w:val="36"/>
          <w:szCs w:val="36"/>
        </w:rPr>
        <w:t xml:space="preserve">       </w:t>
      </w:r>
    </w:p>
    <w:p>
      <w:pPr>
        <w:pStyle w:val="189"/>
        <w:spacing w:line="360" w:lineRule="auto"/>
        <w:ind w:firstLine="504"/>
        <w:rPr>
          <w:rStyle w:val="278"/>
          <w:rFonts w:ascii="宋体" w:hAnsi="宋体" w:eastAsia="宋体" w:cs="宋体"/>
          <w:color w:val="auto"/>
          <w:spacing w:val="6"/>
          <w:sz w:val="24"/>
          <w:szCs w:val="24"/>
        </w:rPr>
      </w:pPr>
      <w:r>
        <w:rPr>
          <w:rStyle w:val="278"/>
          <w:rFonts w:ascii="宋体" w:hAnsi="宋体" w:eastAsia="宋体" w:cs="宋体"/>
          <w:color w:val="auto"/>
          <w:spacing w:val="6"/>
          <w:sz w:val="24"/>
          <w:szCs w:val="24"/>
          <w:lang w:val="zh-TW" w:eastAsia="zh-TW"/>
        </w:rPr>
        <w:t>本单位郑重声明，根据《财政部 民政部 中国残疾人联合会关于促进残疾人就业政府采购政策的通知》（财库</w:t>
      </w:r>
      <w:r>
        <w:rPr>
          <w:rStyle w:val="278"/>
          <w:rFonts w:ascii="宋体" w:hAnsi="宋体" w:eastAsia="宋体" w:cs="宋体"/>
          <w:color w:val="auto"/>
          <w:sz w:val="24"/>
          <w:szCs w:val="24"/>
          <w:lang w:val="zh-TW" w:eastAsia="zh-TW"/>
        </w:rPr>
        <w:t>〔</w:t>
      </w:r>
      <w:r>
        <w:rPr>
          <w:rStyle w:val="278"/>
          <w:rFonts w:ascii="宋体" w:hAnsi="宋体" w:eastAsia="宋体" w:cs="宋体"/>
          <w:color w:val="auto"/>
          <w:sz w:val="24"/>
          <w:szCs w:val="24"/>
        </w:rPr>
        <w:t>2017</w:t>
      </w:r>
      <w:r>
        <w:rPr>
          <w:rStyle w:val="278"/>
          <w:rFonts w:ascii="宋体" w:hAnsi="宋体" w:eastAsia="宋体" w:cs="宋体"/>
          <w:color w:val="auto"/>
          <w:sz w:val="24"/>
          <w:szCs w:val="24"/>
          <w:lang w:val="zh-TW" w:eastAsia="zh-TW"/>
        </w:rPr>
        <w:t xml:space="preserve">〕 </w:t>
      </w:r>
      <w:r>
        <w:rPr>
          <w:rStyle w:val="278"/>
          <w:rFonts w:ascii="宋体" w:hAnsi="宋体" w:eastAsia="宋体" w:cs="宋体"/>
          <w:color w:val="auto"/>
          <w:sz w:val="24"/>
          <w:szCs w:val="24"/>
        </w:rPr>
        <w:t>141</w:t>
      </w:r>
      <w:r>
        <w:rPr>
          <w:rStyle w:val="278"/>
          <w:rFonts w:ascii="宋体" w:hAnsi="宋体" w:eastAsia="宋体" w:cs="宋体"/>
          <w:color w:val="auto"/>
          <w:spacing w:val="6"/>
          <w:sz w:val="24"/>
          <w:szCs w:val="24"/>
          <w:lang w:val="zh-TW" w:eastAsia="zh-TW"/>
        </w:rPr>
        <w:t>号）的规定，本单位</w:t>
      </w:r>
      <w:r>
        <w:rPr>
          <w:rStyle w:val="278"/>
          <w:rFonts w:ascii="宋体" w:hAnsi="宋体" w:eastAsia="宋体" w:cs="宋体"/>
          <w:b/>
          <w:bCs/>
          <w:color w:val="auto"/>
          <w:sz w:val="24"/>
          <w:szCs w:val="24"/>
          <w:lang w:val="zh-TW" w:eastAsia="zh-TW"/>
        </w:rPr>
        <w:t>（请进行勾选）</w:t>
      </w:r>
      <w:r>
        <w:rPr>
          <w:rStyle w:val="278"/>
          <w:rFonts w:ascii="宋体" w:hAnsi="宋体" w:eastAsia="宋体" w:cs="宋体"/>
          <w:color w:val="auto"/>
          <w:spacing w:val="6"/>
          <w:sz w:val="24"/>
          <w:szCs w:val="24"/>
          <w:lang w:val="zh-TW" w:eastAsia="zh-TW"/>
        </w:rPr>
        <w:t>：</w:t>
      </w:r>
    </w:p>
    <w:p>
      <w:pPr>
        <w:pStyle w:val="189"/>
        <w:spacing w:line="360" w:lineRule="auto"/>
        <w:ind w:firstLine="482"/>
        <w:rPr>
          <w:rStyle w:val="278"/>
          <w:rFonts w:ascii="宋体" w:hAnsi="宋体" w:eastAsia="宋体" w:cs="宋体"/>
          <w:b/>
          <w:bCs/>
          <w:color w:val="auto"/>
          <w:spacing w:val="6"/>
          <w:sz w:val="24"/>
          <w:szCs w:val="24"/>
        </w:rPr>
      </w:pPr>
      <w:r>
        <w:rPr>
          <w:rStyle w:val="278"/>
          <w:rFonts w:ascii="宋体" w:hAnsi="宋体" w:eastAsia="宋体" w:cs="宋体"/>
          <w:b/>
          <w:bCs/>
          <w:color w:val="auto"/>
          <w:sz w:val="24"/>
          <w:szCs w:val="24"/>
        </w:rPr>
        <w:t>□</w:t>
      </w:r>
      <w:r>
        <w:rPr>
          <w:rStyle w:val="278"/>
          <w:rFonts w:ascii="宋体" w:hAnsi="宋体" w:eastAsia="宋体" w:cs="宋体"/>
          <w:b/>
          <w:bCs/>
          <w:color w:val="auto"/>
          <w:spacing w:val="6"/>
          <w:sz w:val="24"/>
          <w:szCs w:val="24"/>
          <w:lang w:val="zh-TW" w:eastAsia="zh-TW"/>
        </w:rPr>
        <w:t>不属于符合条件的残疾人福利性单位。</w:t>
      </w:r>
    </w:p>
    <w:p>
      <w:pPr>
        <w:pStyle w:val="189"/>
        <w:spacing w:line="360" w:lineRule="auto"/>
        <w:ind w:firstLine="482"/>
        <w:rPr>
          <w:rStyle w:val="278"/>
          <w:rFonts w:ascii="宋体" w:hAnsi="宋体" w:eastAsia="宋体" w:cs="宋体"/>
          <w:color w:val="auto"/>
          <w:spacing w:val="6"/>
          <w:sz w:val="24"/>
          <w:szCs w:val="24"/>
        </w:rPr>
      </w:pPr>
      <w:r>
        <w:rPr>
          <w:rStyle w:val="278"/>
          <w:rFonts w:ascii="宋体" w:hAnsi="宋体" w:eastAsia="宋体" w:cs="宋体"/>
          <w:b/>
          <w:bCs/>
          <w:color w:val="auto"/>
          <w:sz w:val="24"/>
          <w:szCs w:val="24"/>
        </w:rPr>
        <w:t>□</w:t>
      </w:r>
      <w:r>
        <w:rPr>
          <w:rStyle w:val="278"/>
          <w:rFonts w:ascii="宋体" w:hAnsi="宋体" w:eastAsia="宋体" w:cs="宋体"/>
          <w:b/>
          <w:bCs/>
          <w:color w:val="auto"/>
          <w:spacing w:val="6"/>
          <w:sz w:val="24"/>
          <w:szCs w:val="24"/>
          <w:lang w:val="zh-TW" w:eastAsia="zh-TW"/>
        </w:rPr>
        <w:t>属于符合条件的残疾人福利性单位，</w:t>
      </w:r>
      <w:r>
        <w:rPr>
          <w:rStyle w:val="278"/>
          <w:rFonts w:ascii="宋体" w:hAnsi="宋体" w:eastAsia="宋体" w:cs="宋体"/>
          <w:color w:val="auto"/>
          <w:spacing w:val="6"/>
          <w:sz w:val="24"/>
          <w:szCs w:val="24"/>
          <w:lang w:val="zh-TW" w:eastAsia="zh-TW"/>
        </w:rPr>
        <w:t>且本单位参加</w:t>
      </w:r>
      <w:r>
        <w:rPr>
          <w:rStyle w:val="278"/>
          <w:rFonts w:ascii="宋体" w:hAnsi="宋体" w:eastAsia="宋体" w:cs="宋体"/>
          <w:color w:val="auto"/>
          <w:spacing w:val="6"/>
          <w:sz w:val="24"/>
          <w:szCs w:val="24"/>
        </w:rPr>
        <w:t>______</w:t>
      </w:r>
      <w:r>
        <w:rPr>
          <w:rStyle w:val="278"/>
          <w:rFonts w:ascii="宋体" w:hAnsi="宋体" w:eastAsia="宋体" w:cs="宋体"/>
          <w:color w:val="auto"/>
          <w:spacing w:val="6"/>
          <w:sz w:val="24"/>
          <w:szCs w:val="24"/>
          <w:lang w:val="zh-TW" w:eastAsia="zh-TW"/>
        </w:rPr>
        <w:t>单位的</w:t>
      </w:r>
      <w:r>
        <w:rPr>
          <w:rStyle w:val="278"/>
          <w:rFonts w:ascii="宋体" w:hAnsi="宋体" w:eastAsia="宋体" w:cs="宋体"/>
          <w:color w:val="auto"/>
          <w:spacing w:val="6"/>
          <w:sz w:val="24"/>
          <w:szCs w:val="24"/>
        </w:rPr>
        <w:t>______</w:t>
      </w:r>
      <w:r>
        <w:rPr>
          <w:rStyle w:val="278"/>
          <w:rFonts w:ascii="宋体" w:hAnsi="宋体" w:eastAsia="宋体" w:cs="宋体"/>
          <w:color w:val="auto"/>
          <w:spacing w:val="6"/>
          <w:sz w:val="24"/>
          <w:szCs w:val="24"/>
          <w:lang w:val="zh-TW" w:eastAsia="zh-TW"/>
        </w:rPr>
        <w:t>项目采购活动提供本单位制造的货物（由本单位承担工程</w:t>
      </w:r>
      <w:r>
        <w:rPr>
          <w:rStyle w:val="278"/>
          <w:rFonts w:ascii="宋体" w:hAnsi="宋体" w:eastAsia="宋体" w:cs="宋体"/>
          <w:color w:val="auto"/>
          <w:spacing w:val="6"/>
          <w:sz w:val="24"/>
          <w:szCs w:val="24"/>
        </w:rPr>
        <w:t>/</w:t>
      </w:r>
      <w:r>
        <w:rPr>
          <w:rStyle w:val="278"/>
          <w:rFonts w:ascii="宋体" w:hAnsi="宋体" w:eastAsia="宋体" w:cs="宋体"/>
          <w:color w:val="auto"/>
          <w:spacing w:val="6"/>
          <w:sz w:val="24"/>
          <w:szCs w:val="24"/>
          <w:lang w:val="zh-TW" w:eastAsia="zh-TW"/>
        </w:rPr>
        <w:t>提供服务），或者提供其他残疾人福利性单位制造的货物（不包括使用非残疾人福利性单位注册商标的货物）。</w:t>
      </w:r>
    </w:p>
    <w:p>
      <w:pPr>
        <w:pStyle w:val="189"/>
        <w:spacing w:line="360" w:lineRule="auto"/>
        <w:ind w:firstLine="506"/>
        <w:rPr>
          <w:rStyle w:val="278"/>
          <w:rFonts w:ascii="宋体" w:hAnsi="宋体" w:eastAsia="宋体" w:cs="宋体"/>
          <w:color w:val="auto"/>
          <w:spacing w:val="6"/>
          <w:sz w:val="24"/>
          <w:szCs w:val="24"/>
          <w:lang w:val="zh-TW" w:eastAsia="zh-TW"/>
        </w:rPr>
      </w:pPr>
      <w:r>
        <w:rPr>
          <w:rStyle w:val="278"/>
          <w:rFonts w:ascii="宋体" w:hAnsi="宋体" w:eastAsia="宋体" w:cs="宋体"/>
          <w:b/>
          <w:bCs/>
          <w:color w:val="auto"/>
          <w:spacing w:val="6"/>
          <w:sz w:val="24"/>
          <w:szCs w:val="24"/>
          <w:lang w:val="zh-TW" w:eastAsia="zh-TW"/>
        </w:rPr>
        <w:t>本单位对上述声明的真实性负责。如有虚假，将依法承担相应责任。</w:t>
      </w:r>
    </w:p>
    <w:p>
      <w:pPr>
        <w:pStyle w:val="189"/>
        <w:spacing w:line="360" w:lineRule="auto"/>
        <w:ind w:firstLine="504"/>
        <w:rPr>
          <w:rStyle w:val="278"/>
          <w:rFonts w:ascii="宋体" w:hAnsi="宋体" w:eastAsia="宋体" w:cs="宋体"/>
          <w:color w:val="auto"/>
          <w:spacing w:val="6"/>
          <w:sz w:val="24"/>
          <w:szCs w:val="24"/>
        </w:rPr>
      </w:pPr>
    </w:p>
    <w:p>
      <w:pPr>
        <w:pStyle w:val="189"/>
        <w:spacing w:line="360" w:lineRule="auto"/>
        <w:ind w:firstLine="504"/>
        <w:rPr>
          <w:rStyle w:val="278"/>
          <w:rFonts w:ascii="宋体" w:hAnsi="宋体" w:eastAsia="宋体" w:cs="宋体"/>
          <w:color w:val="auto"/>
          <w:spacing w:val="6"/>
          <w:sz w:val="24"/>
          <w:szCs w:val="24"/>
        </w:rPr>
      </w:pPr>
    </w:p>
    <w:p>
      <w:pPr>
        <w:pStyle w:val="189"/>
        <w:spacing w:line="360" w:lineRule="auto"/>
        <w:ind w:right="283" w:firstLine="504"/>
        <w:jc w:val="right"/>
        <w:rPr>
          <w:rStyle w:val="278"/>
          <w:rFonts w:ascii="宋体" w:hAnsi="宋体" w:eastAsia="宋体" w:cs="宋体"/>
          <w:color w:val="auto"/>
          <w:spacing w:val="6"/>
          <w:sz w:val="24"/>
          <w:szCs w:val="24"/>
          <w:lang w:val="zh-TW" w:eastAsia="zh-TW"/>
        </w:rPr>
      </w:pPr>
      <w:r>
        <w:rPr>
          <w:rStyle w:val="278"/>
          <w:rFonts w:ascii="宋体" w:hAnsi="宋体" w:eastAsia="宋体" w:cs="宋体"/>
          <w:color w:val="auto"/>
          <w:spacing w:val="6"/>
          <w:sz w:val="24"/>
          <w:szCs w:val="24"/>
          <w:lang w:val="zh-TW" w:eastAsia="zh-TW"/>
        </w:rPr>
        <w:t xml:space="preserve">               </w:t>
      </w:r>
      <w:r>
        <w:rPr>
          <w:rStyle w:val="278"/>
          <w:rFonts w:ascii="宋体" w:hAnsi="宋体" w:eastAsia="PMingLiU" w:cs="宋体"/>
          <w:color w:val="auto"/>
          <w:spacing w:val="6"/>
          <w:sz w:val="24"/>
          <w:szCs w:val="24"/>
          <w:lang w:val="zh-TW" w:eastAsia="zh-TW"/>
        </w:rPr>
        <w:t xml:space="preserve">    </w:t>
      </w:r>
      <w:r>
        <w:rPr>
          <w:rStyle w:val="278"/>
          <w:rFonts w:ascii="宋体" w:hAnsi="宋体" w:eastAsia="宋体" w:cs="宋体"/>
          <w:color w:val="auto"/>
          <w:spacing w:val="6"/>
          <w:sz w:val="24"/>
          <w:szCs w:val="24"/>
          <w:lang w:val="zh-TW" w:eastAsia="zh-TW"/>
        </w:rPr>
        <w:t>单位名称（盖章）：</w:t>
      </w:r>
    </w:p>
    <w:p>
      <w:pPr>
        <w:pStyle w:val="189"/>
        <w:spacing w:line="360" w:lineRule="auto"/>
        <w:ind w:right="1560" w:firstLine="504"/>
        <w:jc w:val="right"/>
        <w:rPr>
          <w:rStyle w:val="278"/>
          <w:rFonts w:ascii="宋体" w:hAnsi="宋体" w:eastAsia="宋体" w:cs="宋体"/>
          <w:color w:val="auto"/>
          <w:spacing w:val="6"/>
          <w:sz w:val="24"/>
          <w:szCs w:val="24"/>
          <w:lang w:val="zh-TW" w:eastAsia="zh-TW"/>
        </w:rPr>
      </w:pPr>
      <w:r>
        <w:rPr>
          <w:rStyle w:val="278"/>
          <w:rFonts w:ascii="宋体" w:hAnsi="宋体" w:eastAsia="宋体" w:cs="宋体"/>
          <w:color w:val="auto"/>
          <w:spacing w:val="6"/>
          <w:sz w:val="24"/>
          <w:szCs w:val="24"/>
          <w:lang w:val="zh-TW" w:eastAsia="zh-TW"/>
        </w:rPr>
        <w:t xml:space="preserve">       日  期：</w:t>
      </w:r>
    </w:p>
    <w:p>
      <w:pPr>
        <w:pStyle w:val="189"/>
        <w:widowControl/>
        <w:spacing w:line="360" w:lineRule="auto"/>
        <w:jc w:val="left"/>
        <w:rPr>
          <w:rFonts w:ascii="宋体" w:hAnsi="宋体" w:eastAsia="宋体"/>
          <w:color w:val="auto"/>
        </w:rPr>
      </w:pPr>
      <w:r>
        <w:rPr>
          <w:rStyle w:val="278"/>
          <w:rFonts w:ascii="宋体" w:hAnsi="宋体" w:eastAsia="宋体" w:cs="宋体"/>
          <w:color w:val="auto"/>
          <w:sz w:val="24"/>
          <w:szCs w:val="24"/>
        </w:rPr>
        <w:br w:type="page"/>
      </w:r>
    </w:p>
    <w:p>
      <w:pPr>
        <w:pStyle w:val="17"/>
        <w:spacing w:before="78" w:line="219" w:lineRule="auto"/>
        <w:ind w:left="18"/>
        <w:rPr>
          <w:sz w:val="24"/>
          <w:szCs w:val="24"/>
        </w:rPr>
      </w:pPr>
      <w:r>
        <w:rPr>
          <w:rFonts w:ascii="Arial" w:hAnsi="Arial" w:eastAsia="Arial" w:cs="Arial"/>
          <w:spacing w:val="2"/>
          <w:sz w:val="24"/>
          <w:szCs w:val="24"/>
        </w:rPr>
        <w:t>2-1-2</w:t>
      </w:r>
      <w:r>
        <w:rPr>
          <w:rFonts w:ascii="Arial" w:hAnsi="Arial" w:eastAsia="Arial" w:cs="Arial"/>
          <w:spacing w:val="68"/>
          <w:sz w:val="24"/>
          <w:szCs w:val="24"/>
        </w:rPr>
        <w:t xml:space="preserve"> </w:t>
      </w:r>
      <w:r>
        <w:rPr>
          <w:spacing w:val="2"/>
          <w:sz w:val="24"/>
          <w:szCs w:val="24"/>
        </w:rPr>
        <w:t>拟分包情况说明及分包意向协议</w:t>
      </w:r>
      <w:r>
        <w:rPr>
          <w:rFonts w:hint="eastAsia"/>
          <w:spacing w:val="1"/>
          <w:sz w:val="24"/>
          <w:szCs w:val="24"/>
          <w:lang w:eastAsia="zh-CN"/>
        </w:rPr>
        <w:t>（</w:t>
      </w:r>
      <w:r>
        <w:rPr>
          <w:rFonts w:hint="eastAsia"/>
          <w:spacing w:val="1"/>
          <w:sz w:val="24"/>
          <w:szCs w:val="24"/>
          <w:lang w:val="en-US" w:eastAsia="zh-CN"/>
        </w:rPr>
        <w:t>如有</w:t>
      </w:r>
      <w:r>
        <w:rPr>
          <w:rFonts w:hint="eastAsia"/>
          <w:spacing w:val="1"/>
          <w:sz w:val="24"/>
          <w:szCs w:val="24"/>
          <w:lang w:eastAsia="zh-CN"/>
        </w:rPr>
        <w:t>）</w:t>
      </w:r>
    </w:p>
    <w:p>
      <w:pPr>
        <w:pStyle w:val="17"/>
        <w:spacing w:before="117" w:line="219" w:lineRule="auto"/>
        <w:ind w:left="3285"/>
        <w:rPr>
          <w:rFonts w:hint="eastAsia" w:ascii="宋体" w:hAnsi="宋体"/>
          <w:b/>
          <w:bCs/>
          <w:sz w:val="24"/>
          <w:szCs w:val="20"/>
          <w:lang w:val="en-US" w:eastAsia="zh-CN"/>
        </w:rPr>
      </w:pPr>
      <w:r>
        <w:rPr>
          <w:rFonts w:hint="eastAsia" w:ascii="宋体" w:hAnsi="宋体"/>
          <w:b/>
          <w:bCs/>
          <w:sz w:val="24"/>
          <w:szCs w:val="20"/>
          <w:lang w:val="en-US" w:eastAsia="zh-CN"/>
        </w:rPr>
        <w:t xml:space="preserve"> </w:t>
      </w:r>
    </w:p>
    <w:p>
      <w:pPr>
        <w:pStyle w:val="17"/>
        <w:spacing w:before="117" w:line="219" w:lineRule="auto"/>
        <w:ind w:left="3285"/>
        <w:rPr>
          <w:rFonts w:hint="eastAsia" w:ascii="宋体" w:hAnsi="宋体"/>
          <w:b/>
          <w:bCs/>
          <w:sz w:val="24"/>
          <w:szCs w:val="20"/>
          <w:lang w:val="en-US" w:eastAsia="zh-CN"/>
        </w:rPr>
      </w:pPr>
    </w:p>
    <w:p>
      <w:pPr>
        <w:pStyle w:val="17"/>
        <w:spacing w:before="117" w:line="219" w:lineRule="auto"/>
        <w:ind w:left="3285"/>
        <w:rPr>
          <w:sz w:val="36"/>
          <w:szCs w:val="36"/>
        </w:rPr>
      </w:pPr>
      <w:r>
        <w:rPr>
          <w:b/>
          <w:bCs/>
          <w:spacing w:val="-5"/>
          <w:sz w:val="36"/>
          <w:szCs w:val="36"/>
        </w:rPr>
        <w:t>拟分包情况说明</w:t>
      </w:r>
    </w:p>
    <w:p>
      <w:pPr>
        <w:pStyle w:val="17"/>
        <w:spacing w:before="256" w:line="219" w:lineRule="auto"/>
        <w:ind w:left="9"/>
        <w:rPr>
          <w:sz w:val="24"/>
          <w:szCs w:val="24"/>
        </w:rPr>
      </w:pPr>
      <w:r>
        <w:rPr>
          <w:spacing w:val="-10"/>
          <w:sz w:val="24"/>
          <w:szCs w:val="24"/>
        </w:rPr>
        <w:t>致</w:t>
      </w:r>
      <w:r>
        <w:rPr>
          <w:sz w:val="24"/>
          <w:szCs w:val="24"/>
        </w:rPr>
        <w:t>：</w:t>
      </w:r>
      <w:r>
        <w:rPr>
          <w:sz w:val="24"/>
          <w:szCs w:val="24"/>
          <w:u w:val="single" w:color="auto"/>
        </w:rPr>
        <w:t>（</w:t>
      </w:r>
      <w:r>
        <w:rPr>
          <w:spacing w:val="-10"/>
          <w:sz w:val="24"/>
          <w:szCs w:val="24"/>
          <w:u w:val="single" w:color="auto"/>
        </w:rPr>
        <w:t>采购人或采购代理机构）</w:t>
      </w:r>
    </w:p>
    <w:p>
      <w:pPr>
        <w:pStyle w:val="17"/>
        <w:spacing w:before="180" w:line="219" w:lineRule="auto"/>
        <w:ind w:left="491"/>
        <w:rPr>
          <w:sz w:val="24"/>
          <w:szCs w:val="24"/>
        </w:rPr>
      </w:pPr>
      <w:r>
        <w:rPr>
          <w:spacing w:val="-3"/>
          <w:sz w:val="24"/>
          <w:szCs w:val="24"/>
        </w:rPr>
        <w:t>我单位参加贵单位组织采购的项目编号为</w:t>
      </w:r>
      <w:r>
        <w:rPr>
          <w:spacing w:val="-3"/>
          <w:sz w:val="24"/>
          <w:szCs w:val="24"/>
          <w:u w:val="single" w:color="auto"/>
        </w:rPr>
        <w:t xml:space="preserve">       </w:t>
      </w:r>
      <w:r>
        <w:rPr>
          <w:spacing w:val="-91"/>
          <w:sz w:val="24"/>
          <w:szCs w:val="24"/>
        </w:rPr>
        <w:t xml:space="preserve"> </w:t>
      </w:r>
      <w:r>
        <w:rPr>
          <w:spacing w:val="-3"/>
          <w:sz w:val="24"/>
          <w:szCs w:val="24"/>
        </w:rPr>
        <w:t>的</w:t>
      </w:r>
      <w:r>
        <w:rPr>
          <w:spacing w:val="-3"/>
          <w:sz w:val="24"/>
          <w:szCs w:val="24"/>
          <w:u w:val="single" w:color="auto"/>
        </w:rPr>
        <w:t xml:space="preserve">         </w:t>
      </w:r>
      <w:r>
        <w:rPr>
          <w:spacing w:val="-107"/>
          <w:sz w:val="24"/>
          <w:szCs w:val="24"/>
        </w:rPr>
        <w:t xml:space="preserve"> </w:t>
      </w:r>
      <w:r>
        <w:rPr>
          <w:spacing w:val="-3"/>
          <w:sz w:val="24"/>
          <w:szCs w:val="24"/>
        </w:rPr>
        <w:t>项目（填写采</w:t>
      </w:r>
      <w:r>
        <w:rPr>
          <w:spacing w:val="-4"/>
          <w:sz w:val="24"/>
          <w:szCs w:val="24"/>
        </w:rPr>
        <w:t>购项目</w:t>
      </w:r>
    </w:p>
    <w:p>
      <w:pPr>
        <w:pStyle w:val="17"/>
        <w:spacing w:before="182" w:line="350" w:lineRule="auto"/>
        <w:ind w:left="9" w:right="54" w:firstLine="2"/>
        <w:jc w:val="both"/>
        <w:rPr>
          <w:sz w:val="24"/>
          <w:szCs w:val="24"/>
        </w:rPr>
      </w:pPr>
      <w:r>
        <w:rPr>
          <w:spacing w:val="-1"/>
          <w:sz w:val="24"/>
          <w:szCs w:val="24"/>
        </w:rPr>
        <w:t>名称）中</w:t>
      </w:r>
      <w:r>
        <w:rPr>
          <w:spacing w:val="-1"/>
          <w:sz w:val="24"/>
          <w:szCs w:val="24"/>
          <w:u w:val="single" w:color="auto"/>
        </w:rPr>
        <w:t xml:space="preserve">   </w:t>
      </w:r>
      <w:r>
        <w:rPr>
          <w:spacing w:val="-94"/>
          <w:sz w:val="24"/>
          <w:szCs w:val="24"/>
        </w:rPr>
        <w:t xml:space="preserve"> </w:t>
      </w:r>
      <w:r>
        <w:rPr>
          <w:spacing w:val="-1"/>
          <w:sz w:val="24"/>
          <w:szCs w:val="24"/>
        </w:rPr>
        <w:t>包（填写包号）的投标。拟签订分包合同的单位情况如下表所示，我单位</w:t>
      </w:r>
      <w:r>
        <w:rPr>
          <w:spacing w:val="-2"/>
          <w:sz w:val="24"/>
          <w:szCs w:val="24"/>
        </w:rPr>
        <w:t>承诺一旦在该项目中获得采购合同将按下表所列情况进行分包，同时承诺分包承担主体</w:t>
      </w:r>
      <w:r>
        <w:rPr>
          <w:spacing w:val="-6"/>
          <w:sz w:val="24"/>
          <w:szCs w:val="24"/>
        </w:rPr>
        <w:t>不再次分包。</w:t>
      </w:r>
    </w:p>
    <w:tbl>
      <w:tblPr>
        <w:tblStyle w:val="284"/>
        <w:tblW w:w="9192"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700"/>
        <w:gridCol w:w="1125"/>
        <w:gridCol w:w="1371"/>
        <w:gridCol w:w="1497"/>
        <w:gridCol w:w="17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top"/>
          </w:tcPr>
          <w:p>
            <w:pPr>
              <w:spacing w:before="107" w:line="210" w:lineRule="auto"/>
              <w:ind w:left="195"/>
              <w:rPr>
                <w:rFonts w:ascii="宋体" w:hAnsi="宋体" w:eastAsia="宋体" w:cs="宋体"/>
                <w:sz w:val="24"/>
                <w:szCs w:val="24"/>
              </w:rPr>
            </w:pPr>
            <w:r>
              <w:rPr>
                <w:rFonts w:ascii="宋体" w:hAnsi="宋体" w:eastAsia="宋体" w:cs="宋体"/>
                <w:spacing w:val="36"/>
                <w:sz w:val="24"/>
                <w:szCs w:val="24"/>
              </w:rPr>
              <w:t>序号</w:t>
            </w:r>
          </w:p>
        </w:tc>
        <w:tc>
          <w:tcPr>
            <w:tcW w:w="1286" w:type="dxa"/>
            <w:vAlign w:val="top"/>
          </w:tcPr>
          <w:p>
            <w:pPr>
              <w:spacing w:before="195" w:line="231"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700" w:type="dxa"/>
            <w:vAlign w:val="top"/>
          </w:tcPr>
          <w:p>
            <w:pPr>
              <w:spacing w:before="39"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5" w:type="dxa"/>
            <w:vAlign w:val="top"/>
          </w:tcPr>
          <w:p>
            <w:pPr>
              <w:pStyle w:val="283"/>
              <w:spacing w:line="272" w:lineRule="auto"/>
            </w:pPr>
          </w:p>
          <w:p>
            <w:pPr>
              <w:spacing w:before="78" w:line="220"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371" w:type="dxa"/>
            <w:vAlign w:val="top"/>
          </w:tcPr>
          <w:p>
            <w:pPr>
              <w:spacing w:before="195" w:line="230"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vAlign w:val="top"/>
          </w:tcPr>
          <w:p>
            <w:pPr>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spacing w:before="25" w:line="224"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752" w:type="dxa"/>
            <w:vAlign w:val="top"/>
          </w:tcPr>
          <w:p>
            <w:pPr>
              <w:spacing w:before="39" w:line="222" w:lineRule="auto"/>
              <w:ind w:left="711"/>
              <w:rPr>
                <w:rFonts w:ascii="宋体" w:hAnsi="宋体" w:eastAsia="宋体" w:cs="宋体"/>
                <w:sz w:val="24"/>
                <w:szCs w:val="24"/>
              </w:rPr>
            </w:pPr>
            <w:r>
              <w:rPr>
                <w:rFonts w:ascii="宋体" w:hAnsi="宋体" w:eastAsia="宋体" w:cs="宋体"/>
                <w:sz w:val="24"/>
                <w:szCs w:val="24"/>
              </w:rPr>
              <w:t>占</w:t>
            </w:r>
          </w:p>
          <w:p>
            <w:pPr>
              <w:spacing w:before="24" w:line="220" w:lineRule="auto"/>
              <w:ind w:left="192"/>
              <w:rPr>
                <w:rFonts w:ascii="宋体" w:hAnsi="宋体" w:eastAsia="宋体" w:cs="宋体"/>
                <w:sz w:val="24"/>
                <w:szCs w:val="24"/>
              </w:rPr>
            </w:pPr>
            <w:r>
              <w:rPr>
                <w:rFonts w:ascii="宋体" w:hAnsi="宋体" w:eastAsia="宋体" w:cs="宋体"/>
                <w:b/>
                <w:bCs/>
                <w:spacing w:val="-4"/>
                <w:sz w:val="24"/>
                <w:szCs w:val="24"/>
              </w:rPr>
              <w:t>合同金额的</w:t>
            </w:r>
          </w:p>
          <w:p>
            <w:pPr>
              <w:pStyle w:val="283"/>
              <w:spacing w:before="26" w:line="207" w:lineRule="auto"/>
              <w:ind w:left="222"/>
              <w:rPr>
                <w:rFonts w:ascii="宋体" w:hAnsi="宋体" w:eastAsia="宋体" w:cs="宋体"/>
                <w:sz w:val="24"/>
                <w:szCs w:val="24"/>
              </w:rPr>
            </w:pPr>
            <w:r>
              <w:rPr>
                <w:rFonts w:ascii="宋体" w:hAnsi="宋体" w:eastAsia="宋体" w:cs="宋体"/>
                <w:spacing w:val="-5"/>
                <w:sz w:val="24"/>
                <w:szCs w:val="24"/>
              </w:rPr>
              <w:t>比例（</w:t>
            </w:r>
            <w:r>
              <w:rPr>
                <w:spacing w:val="-5"/>
                <w:sz w:val="24"/>
                <w:szCs w:val="24"/>
              </w:rPr>
              <w:t>%</w:t>
            </w:r>
            <w:r>
              <w:rPr>
                <w:rFonts w:ascii="宋体" w:hAnsi="宋体" w:eastAsia="宋体" w:cs="宋体"/>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top"/>
          </w:tcPr>
          <w:p>
            <w:pPr>
              <w:pStyle w:val="283"/>
              <w:spacing w:line="299" w:lineRule="auto"/>
            </w:pPr>
          </w:p>
          <w:p>
            <w:pPr>
              <w:pStyle w:val="283"/>
              <w:spacing w:before="69" w:line="199" w:lineRule="auto"/>
              <w:ind w:left="177"/>
              <w:rPr>
                <w:sz w:val="24"/>
                <w:szCs w:val="24"/>
              </w:rPr>
            </w:pPr>
            <w:r>
              <w:rPr>
                <w:sz w:val="24"/>
                <w:szCs w:val="24"/>
              </w:rPr>
              <w:t>1</w:t>
            </w:r>
          </w:p>
        </w:tc>
        <w:tc>
          <w:tcPr>
            <w:tcW w:w="1286" w:type="dxa"/>
            <w:vAlign w:val="top"/>
          </w:tcPr>
          <w:p>
            <w:pPr>
              <w:pStyle w:val="283"/>
            </w:pPr>
          </w:p>
        </w:tc>
        <w:tc>
          <w:tcPr>
            <w:tcW w:w="1700" w:type="dxa"/>
            <w:vAlign w:val="top"/>
          </w:tcPr>
          <w:p>
            <w:pPr>
              <w:pStyle w:val="283"/>
              <w:spacing w:before="37"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83"/>
              <w:spacing w:before="22"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5" w:type="dxa"/>
            <w:vAlign w:val="top"/>
          </w:tcPr>
          <w:p>
            <w:pPr>
              <w:pStyle w:val="283"/>
            </w:pPr>
          </w:p>
        </w:tc>
        <w:tc>
          <w:tcPr>
            <w:tcW w:w="1371" w:type="dxa"/>
            <w:vAlign w:val="top"/>
          </w:tcPr>
          <w:p>
            <w:pPr>
              <w:pStyle w:val="283"/>
            </w:pPr>
          </w:p>
        </w:tc>
        <w:tc>
          <w:tcPr>
            <w:tcW w:w="1497" w:type="dxa"/>
            <w:vAlign w:val="top"/>
          </w:tcPr>
          <w:p>
            <w:pPr>
              <w:pStyle w:val="283"/>
            </w:pPr>
          </w:p>
        </w:tc>
        <w:tc>
          <w:tcPr>
            <w:tcW w:w="1752" w:type="dxa"/>
            <w:vAlign w:val="top"/>
          </w:tcPr>
          <w:p>
            <w:pPr>
              <w:pStyle w:val="283"/>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83"/>
              <w:spacing w:line="300" w:lineRule="auto"/>
            </w:pPr>
          </w:p>
          <w:p>
            <w:pPr>
              <w:pStyle w:val="283"/>
              <w:spacing w:before="69" w:line="201" w:lineRule="auto"/>
              <w:ind w:left="168"/>
              <w:rPr>
                <w:sz w:val="24"/>
                <w:szCs w:val="24"/>
              </w:rPr>
            </w:pPr>
            <w:r>
              <w:rPr>
                <w:spacing w:val="1"/>
                <w:sz w:val="24"/>
                <w:szCs w:val="24"/>
              </w:rPr>
              <w:t>2</w:t>
            </w:r>
          </w:p>
        </w:tc>
        <w:tc>
          <w:tcPr>
            <w:tcW w:w="1286" w:type="dxa"/>
            <w:vAlign w:val="top"/>
          </w:tcPr>
          <w:p>
            <w:pPr>
              <w:pStyle w:val="283"/>
            </w:pPr>
          </w:p>
        </w:tc>
        <w:tc>
          <w:tcPr>
            <w:tcW w:w="1700" w:type="dxa"/>
            <w:vAlign w:val="top"/>
          </w:tcPr>
          <w:p>
            <w:pPr>
              <w:pStyle w:val="283"/>
              <w:spacing w:before="38"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83"/>
              <w:spacing w:before="25" w:line="222"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5" w:type="dxa"/>
            <w:vAlign w:val="top"/>
          </w:tcPr>
          <w:p>
            <w:pPr>
              <w:pStyle w:val="283"/>
            </w:pPr>
          </w:p>
        </w:tc>
        <w:tc>
          <w:tcPr>
            <w:tcW w:w="1371" w:type="dxa"/>
            <w:vAlign w:val="top"/>
          </w:tcPr>
          <w:p>
            <w:pPr>
              <w:pStyle w:val="283"/>
            </w:pPr>
          </w:p>
        </w:tc>
        <w:tc>
          <w:tcPr>
            <w:tcW w:w="1497" w:type="dxa"/>
            <w:vAlign w:val="top"/>
          </w:tcPr>
          <w:p>
            <w:pPr>
              <w:pStyle w:val="283"/>
            </w:pPr>
          </w:p>
        </w:tc>
        <w:tc>
          <w:tcPr>
            <w:tcW w:w="1752" w:type="dxa"/>
            <w:vAlign w:val="top"/>
          </w:tcPr>
          <w:p>
            <w:pPr>
              <w:pStyle w:val="283"/>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pPr>
              <w:pStyle w:val="283"/>
              <w:spacing w:line="295" w:lineRule="auto"/>
            </w:pPr>
          </w:p>
          <w:p>
            <w:pPr>
              <w:pStyle w:val="283"/>
              <w:spacing w:before="69" w:line="81" w:lineRule="exact"/>
              <w:ind w:left="135"/>
              <w:rPr>
                <w:sz w:val="24"/>
                <w:szCs w:val="24"/>
              </w:rPr>
            </w:pPr>
            <w:r>
              <w:rPr>
                <w:position w:val="1"/>
                <w:sz w:val="24"/>
                <w:szCs w:val="24"/>
              </w:rPr>
              <w:t>…</w:t>
            </w:r>
          </w:p>
        </w:tc>
        <w:tc>
          <w:tcPr>
            <w:tcW w:w="1286" w:type="dxa"/>
            <w:vAlign w:val="top"/>
          </w:tcPr>
          <w:p>
            <w:pPr>
              <w:pStyle w:val="283"/>
            </w:pPr>
          </w:p>
        </w:tc>
        <w:tc>
          <w:tcPr>
            <w:tcW w:w="1700" w:type="dxa"/>
            <w:vAlign w:val="top"/>
          </w:tcPr>
          <w:p>
            <w:pPr>
              <w:pStyle w:val="283"/>
            </w:pPr>
          </w:p>
        </w:tc>
        <w:tc>
          <w:tcPr>
            <w:tcW w:w="1125" w:type="dxa"/>
            <w:vAlign w:val="top"/>
          </w:tcPr>
          <w:p>
            <w:pPr>
              <w:pStyle w:val="283"/>
            </w:pPr>
          </w:p>
        </w:tc>
        <w:tc>
          <w:tcPr>
            <w:tcW w:w="1371" w:type="dxa"/>
            <w:vAlign w:val="top"/>
          </w:tcPr>
          <w:p>
            <w:pPr>
              <w:pStyle w:val="283"/>
            </w:pPr>
          </w:p>
        </w:tc>
        <w:tc>
          <w:tcPr>
            <w:tcW w:w="1497" w:type="dxa"/>
            <w:vAlign w:val="top"/>
          </w:tcPr>
          <w:p>
            <w:pPr>
              <w:pStyle w:val="283"/>
            </w:pPr>
          </w:p>
        </w:tc>
        <w:tc>
          <w:tcPr>
            <w:tcW w:w="1752" w:type="dxa"/>
            <w:vAlign w:val="top"/>
          </w:tcPr>
          <w:p>
            <w:pPr>
              <w:pStyle w:val="283"/>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top"/>
          </w:tcPr>
          <w:p>
            <w:pPr>
              <w:spacing w:before="193"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vAlign w:val="top"/>
          </w:tcPr>
          <w:p>
            <w:pPr>
              <w:pStyle w:val="283"/>
            </w:pPr>
          </w:p>
        </w:tc>
        <w:tc>
          <w:tcPr>
            <w:tcW w:w="1752" w:type="dxa"/>
            <w:vAlign w:val="top"/>
          </w:tcPr>
          <w:p>
            <w:pPr>
              <w:pStyle w:val="283"/>
            </w:pPr>
          </w:p>
        </w:tc>
      </w:tr>
    </w:tbl>
    <w:p>
      <w:pPr>
        <w:rPr>
          <w:rFonts w:ascii="宋体" w:hAnsi="宋体"/>
          <w:b/>
          <w:bCs/>
          <w:sz w:val="24"/>
          <w:szCs w:val="20"/>
        </w:rPr>
      </w:pPr>
    </w:p>
    <w:p>
      <w:pPr>
        <w:pStyle w:val="17"/>
        <w:spacing w:before="78" w:line="189" w:lineRule="auto"/>
        <w:jc w:val="right"/>
        <w:rPr>
          <w:sz w:val="24"/>
          <w:szCs w:val="24"/>
        </w:rPr>
      </w:pPr>
      <w:r>
        <w:rPr>
          <w:spacing w:val="-14"/>
          <w:sz w:val="24"/>
          <w:szCs w:val="24"/>
        </w:rPr>
        <w:t>投标人名称（加盖公章</w:t>
      </w:r>
      <w:r>
        <w:rPr>
          <w:spacing w:val="-5"/>
          <w:sz w:val="24"/>
          <w:szCs w:val="24"/>
        </w:rPr>
        <w:t>）：</w:t>
      </w:r>
    </w:p>
    <w:p>
      <w:pPr>
        <w:rPr>
          <w:rFonts w:ascii="宋体" w:hAnsi="宋体"/>
          <w:b/>
          <w:bCs/>
          <w:sz w:val="24"/>
          <w:szCs w:val="20"/>
        </w:rPr>
      </w:pPr>
    </w:p>
    <w:p>
      <w:pPr>
        <w:jc w:val="right"/>
        <w:rPr>
          <w:b/>
          <w:bCs/>
          <w:spacing w:val="-5"/>
          <w:sz w:val="36"/>
          <w:szCs w:val="36"/>
        </w:rPr>
      </w:pPr>
      <w:r>
        <w:rPr>
          <w:spacing w:val="-22"/>
          <w:sz w:val="24"/>
          <w:szCs w:val="24"/>
        </w:rPr>
        <w:t>日期：</w:t>
      </w:r>
      <w:r>
        <w:rPr>
          <w:sz w:val="24"/>
          <w:szCs w:val="24"/>
          <w:u w:val="single" w:color="auto"/>
        </w:rPr>
        <w:t xml:space="preserve">     </w:t>
      </w:r>
      <w:r>
        <w:rPr>
          <w:spacing w:val="-106"/>
          <w:sz w:val="24"/>
          <w:szCs w:val="24"/>
        </w:rPr>
        <w:t xml:space="preserve"> </w:t>
      </w:r>
      <w:r>
        <w:rPr>
          <w:spacing w:val="-22"/>
          <w:sz w:val="24"/>
          <w:szCs w:val="24"/>
        </w:rPr>
        <w:t>年</w:t>
      </w:r>
      <w:r>
        <w:rPr>
          <w:sz w:val="24"/>
          <w:szCs w:val="24"/>
          <w:u w:val="single" w:color="auto"/>
        </w:rPr>
        <w:t xml:space="preserve">      </w:t>
      </w:r>
      <w:r>
        <w:rPr>
          <w:spacing w:val="-105"/>
          <w:sz w:val="24"/>
          <w:szCs w:val="24"/>
        </w:rPr>
        <w:t xml:space="preserve"> </w:t>
      </w:r>
      <w:r>
        <w:rPr>
          <w:spacing w:val="-22"/>
          <w:sz w:val="24"/>
          <w:szCs w:val="24"/>
        </w:rPr>
        <w:t>月</w:t>
      </w:r>
      <w:r>
        <w:rPr>
          <w:sz w:val="24"/>
          <w:szCs w:val="24"/>
          <w:u w:val="single" w:color="auto"/>
        </w:rPr>
        <w:t xml:space="preserve">      </w:t>
      </w:r>
      <w:r>
        <w:rPr>
          <w:spacing w:val="-69"/>
          <w:sz w:val="24"/>
          <w:szCs w:val="24"/>
        </w:rPr>
        <w:t xml:space="preserve"> </w:t>
      </w:r>
      <w:r>
        <w:rPr>
          <w:spacing w:val="-22"/>
          <w:sz w:val="24"/>
          <w:szCs w:val="24"/>
        </w:rPr>
        <w:t>日</w:t>
      </w:r>
      <w:r>
        <w:rPr>
          <w:sz w:val="24"/>
          <w:szCs w:val="24"/>
        </w:rPr>
        <w:t xml:space="preserve"> </w:t>
      </w:r>
    </w:p>
    <w:p>
      <w:pPr>
        <w:rPr>
          <w:spacing w:val="-17"/>
          <w:sz w:val="24"/>
          <w:szCs w:val="24"/>
        </w:rPr>
      </w:pPr>
    </w:p>
    <w:p>
      <w:pPr>
        <w:rPr>
          <w:spacing w:val="-17"/>
          <w:sz w:val="24"/>
          <w:szCs w:val="24"/>
        </w:rPr>
      </w:pPr>
    </w:p>
    <w:p>
      <w:pPr>
        <w:rPr>
          <w:b/>
          <w:bCs/>
          <w:spacing w:val="-5"/>
          <w:sz w:val="36"/>
          <w:szCs w:val="36"/>
        </w:rPr>
      </w:pPr>
      <w:r>
        <w:rPr>
          <w:spacing w:val="-17"/>
          <w:sz w:val="24"/>
          <w:szCs w:val="24"/>
        </w:rPr>
        <w:t>注：</w:t>
      </w:r>
    </w:p>
    <w:p>
      <w:pPr>
        <w:pStyle w:val="17"/>
        <w:spacing w:before="28" w:line="350" w:lineRule="auto"/>
        <w:ind w:left="11" w:right="57" w:firstLine="1"/>
        <w:rPr>
          <w:sz w:val="24"/>
          <w:szCs w:val="24"/>
        </w:rPr>
      </w:pPr>
      <w:r>
        <w:rPr>
          <w:spacing w:val="-2"/>
          <w:sz w:val="24"/>
          <w:szCs w:val="24"/>
        </w:rPr>
        <w:t>如本招标文件《投标人须知资料表》载明本项目分包承担主体应具备的相应资质条件，则投标人须在本表中列明分包承担主体的资质等级，并后附资质证书电子件，否则</w:t>
      </w:r>
      <w:r>
        <w:rPr>
          <w:b/>
          <w:bCs/>
          <w:spacing w:val="-2"/>
          <w:sz w:val="24"/>
          <w:szCs w:val="24"/>
        </w:rPr>
        <w:t>投标</w:t>
      </w:r>
      <w:r>
        <w:rPr>
          <w:b/>
          <w:bCs/>
          <w:spacing w:val="-6"/>
          <w:sz w:val="24"/>
          <w:szCs w:val="24"/>
        </w:rPr>
        <w:t>无效</w:t>
      </w:r>
      <w:r>
        <w:rPr>
          <w:spacing w:val="-6"/>
          <w:sz w:val="24"/>
          <w:szCs w:val="24"/>
        </w:rPr>
        <w:t>。</w:t>
      </w:r>
    </w:p>
    <w:p>
      <w:pPr>
        <w:rPr>
          <w:b/>
          <w:bCs/>
          <w:spacing w:val="-5"/>
          <w:sz w:val="36"/>
          <w:szCs w:val="36"/>
        </w:rPr>
      </w:pPr>
      <w:r>
        <w:rPr>
          <w:b/>
          <w:bCs/>
          <w:spacing w:val="-5"/>
          <w:sz w:val="36"/>
          <w:szCs w:val="36"/>
        </w:rPr>
        <w:br w:type="page"/>
      </w:r>
    </w:p>
    <w:p>
      <w:pPr>
        <w:pStyle w:val="17"/>
        <w:spacing w:before="337" w:line="220" w:lineRule="auto"/>
        <w:jc w:val="center"/>
        <w:rPr>
          <w:sz w:val="36"/>
          <w:szCs w:val="36"/>
        </w:rPr>
      </w:pPr>
      <w:r>
        <w:rPr>
          <w:b/>
          <w:bCs/>
          <w:spacing w:val="-5"/>
          <w:sz w:val="36"/>
          <w:szCs w:val="36"/>
        </w:rPr>
        <w:t>分包意向协议（实质性格式）</w:t>
      </w:r>
    </w:p>
    <w:p>
      <w:pPr>
        <w:rPr>
          <w:rFonts w:ascii="宋体" w:hAnsi="宋体"/>
          <w:b/>
          <w:bCs/>
          <w:sz w:val="24"/>
          <w:szCs w:val="20"/>
        </w:rPr>
      </w:pPr>
    </w:p>
    <w:p>
      <w:pPr>
        <w:pStyle w:val="17"/>
        <w:spacing w:before="254" w:line="221" w:lineRule="auto"/>
        <w:ind w:firstLine="376" w:firstLineChars="200"/>
        <w:rPr>
          <w:sz w:val="24"/>
          <w:szCs w:val="24"/>
        </w:rPr>
      </w:pPr>
      <w:r>
        <w:rPr>
          <w:spacing w:val="-26"/>
          <w:sz w:val="24"/>
          <w:szCs w:val="24"/>
        </w:rPr>
        <w:t>甲方（投</w:t>
      </w:r>
      <w:r>
        <w:rPr>
          <w:rFonts w:hint="eastAsia"/>
          <w:spacing w:val="-26"/>
          <w:sz w:val="24"/>
          <w:szCs w:val="24"/>
          <w:lang w:val="en-US" w:eastAsia="zh-CN"/>
        </w:rPr>
        <w:t xml:space="preserve"> </w:t>
      </w:r>
      <w:r>
        <w:rPr>
          <w:spacing w:val="-26"/>
          <w:sz w:val="24"/>
          <w:szCs w:val="24"/>
        </w:rPr>
        <w:t>标人</w:t>
      </w:r>
      <w:r>
        <w:rPr>
          <w:spacing w:val="-4"/>
          <w:sz w:val="24"/>
          <w:szCs w:val="24"/>
        </w:rPr>
        <w:t>）：</w:t>
      </w:r>
      <w:r>
        <w:rPr>
          <w:sz w:val="24"/>
          <w:szCs w:val="24"/>
          <w:u w:val="single" w:color="auto"/>
        </w:rPr>
        <w:t xml:space="preserve">         </w:t>
      </w:r>
    </w:p>
    <w:p>
      <w:pPr>
        <w:pStyle w:val="17"/>
        <w:spacing w:before="179" w:line="219" w:lineRule="auto"/>
        <w:ind w:firstLine="404" w:firstLineChars="200"/>
        <w:rPr>
          <w:sz w:val="24"/>
          <w:szCs w:val="24"/>
        </w:rPr>
      </w:pPr>
      <w:r>
        <w:rPr>
          <w:spacing w:val="-19"/>
          <w:sz w:val="24"/>
          <w:szCs w:val="24"/>
        </w:rPr>
        <w:t>乙方（拟分包单位</w:t>
      </w:r>
      <w:r>
        <w:rPr>
          <w:spacing w:val="-1"/>
          <w:sz w:val="24"/>
          <w:szCs w:val="24"/>
        </w:rPr>
        <w:t>）：</w:t>
      </w:r>
      <w:r>
        <w:rPr>
          <w:sz w:val="24"/>
          <w:szCs w:val="24"/>
          <w:u w:val="single" w:color="auto"/>
        </w:rPr>
        <w:t xml:space="preserve">         </w:t>
      </w:r>
    </w:p>
    <w:p>
      <w:pPr>
        <w:rPr>
          <w:rFonts w:ascii="宋体" w:hAnsi="宋体"/>
          <w:b/>
          <w:bCs/>
          <w:sz w:val="24"/>
          <w:szCs w:val="20"/>
        </w:rPr>
      </w:pPr>
    </w:p>
    <w:p>
      <w:pPr>
        <w:pStyle w:val="17"/>
        <w:spacing w:before="183" w:line="219" w:lineRule="auto"/>
        <w:ind w:left="520"/>
        <w:rPr>
          <w:sz w:val="24"/>
          <w:szCs w:val="24"/>
        </w:rPr>
      </w:pPr>
      <w:r>
        <w:rPr>
          <w:spacing w:val="-4"/>
          <w:sz w:val="24"/>
          <w:szCs w:val="24"/>
        </w:rPr>
        <w:t>甲方承诺，一旦在</w:t>
      </w:r>
      <w:r>
        <w:rPr>
          <w:spacing w:val="-4"/>
          <w:sz w:val="24"/>
          <w:szCs w:val="24"/>
          <w:u w:val="single" w:color="auto"/>
        </w:rPr>
        <w:t xml:space="preserve">         </w:t>
      </w:r>
      <w:r>
        <w:rPr>
          <w:spacing w:val="-4"/>
          <w:sz w:val="24"/>
          <w:szCs w:val="24"/>
        </w:rPr>
        <w:t>（采购项目名称</w:t>
      </w:r>
      <w:r>
        <w:rPr>
          <w:spacing w:val="-8"/>
          <w:sz w:val="24"/>
          <w:szCs w:val="24"/>
        </w:rPr>
        <w:t>）（</w:t>
      </w:r>
      <w:r>
        <w:rPr>
          <w:spacing w:val="-4"/>
          <w:sz w:val="24"/>
          <w:szCs w:val="24"/>
        </w:rPr>
        <w:t>项目编号</w:t>
      </w:r>
      <w:r>
        <w:rPr>
          <w:rFonts w:ascii="Arial" w:hAnsi="Arial" w:eastAsia="Arial" w:cs="Arial"/>
          <w:spacing w:val="-4"/>
          <w:sz w:val="24"/>
          <w:szCs w:val="24"/>
        </w:rPr>
        <w:t>/</w:t>
      </w:r>
      <w:r>
        <w:rPr>
          <w:spacing w:val="-4"/>
          <w:sz w:val="24"/>
          <w:szCs w:val="24"/>
        </w:rPr>
        <w:t>包号为</w:t>
      </w:r>
      <w:r>
        <w:rPr>
          <w:spacing w:val="-8"/>
          <w:sz w:val="24"/>
          <w:szCs w:val="24"/>
        </w:rPr>
        <w:t>：</w:t>
      </w:r>
      <w:r>
        <w:rPr>
          <w:sz w:val="24"/>
          <w:szCs w:val="24"/>
          <w:u w:val="single" w:color="auto"/>
        </w:rPr>
        <w:t xml:space="preserve">       </w:t>
      </w:r>
      <w:r>
        <w:rPr>
          <w:spacing w:val="-8"/>
          <w:sz w:val="24"/>
          <w:szCs w:val="24"/>
        </w:rPr>
        <w:t>）</w:t>
      </w:r>
      <w:r>
        <w:rPr>
          <w:spacing w:val="-4"/>
          <w:sz w:val="24"/>
          <w:szCs w:val="24"/>
        </w:rPr>
        <w:t>招标</w:t>
      </w:r>
    </w:p>
    <w:p>
      <w:pPr>
        <w:ind w:firstLine="236" w:firstLineChars="100"/>
        <w:rPr>
          <w:spacing w:val="-2"/>
          <w:sz w:val="24"/>
          <w:szCs w:val="24"/>
        </w:rPr>
      </w:pPr>
    </w:p>
    <w:p>
      <w:pPr>
        <w:ind w:firstLine="236" w:firstLineChars="100"/>
        <w:rPr>
          <w:spacing w:val="3"/>
          <w:sz w:val="24"/>
          <w:szCs w:val="24"/>
        </w:rPr>
      </w:pPr>
      <w:r>
        <w:rPr>
          <w:spacing w:val="-2"/>
          <w:sz w:val="24"/>
          <w:szCs w:val="24"/>
        </w:rPr>
        <w:t>采购项目中获得采购合同，将按照下述约定将合同项下部分内容分包给乙方：</w:t>
      </w:r>
      <w:r>
        <w:rPr>
          <w:spacing w:val="3"/>
          <w:sz w:val="24"/>
          <w:szCs w:val="24"/>
        </w:rPr>
        <w:t xml:space="preserve"> </w:t>
      </w:r>
    </w:p>
    <w:p>
      <w:pPr>
        <w:pStyle w:val="17"/>
        <w:spacing w:before="179" w:line="347" w:lineRule="auto"/>
        <w:ind w:left="510" w:leftChars="202" w:right="1151" w:hanging="86" w:hangingChars="36"/>
        <w:rPr>
          <w:sz w:val="24"/>
          <w:szCs w:val="24"/>
        </w:rPr>
      </w:pPr>
      <w:r>
        <w:rPr>
          <w:rFonts w:ascii="Arial" w:hAnsi="Arial" w:eastAsia="Arial" w:cs="Arial"/>
          <w:sz w:val="24"/>
          <w:szCs w:val="24"/>
        </w:rPr>
        <w:t>1.</w:t>
      </w:r>
      <w:r>
        <w:rPr>
          <w:sz w:val="24"/>
          <w:szCs w:val="24"/>
        </w:rPr>
        <w:t>分包内容：</w:t>
      </w:r>
      <w:r>
        <w:rPr>
          <w:sz w:val="24"/>
          <w:szCs w:val="24"/>
          <w:u w:val="single" w:color="auto"/>
        </w:rPr>
        <w:t xml:space="preserve">     </w:t>
      </w:r>
      <w:r>
        <w:rPr>
          <w:sz w:val="24"/>
          <w:szCs w:val="24"/>
        </w:rPr>
        <w:t>。</w:t>
      </w:r>
    </w:p>
    <w:p>
      <w:pPr>
        <w:pStyle w:val="17"/>
        <w:spacing w:before="31" w:line="347" w:lineRule="auto"/>
        <w:ind w:left="479" w:leftChars="228" w:right="1874" w:firstLine="0" w:firstLineChars="0"/>
        <w:rPr>
          <w:sz w:val="24"/>
          <w:szCs w:val="24"/>
        </w:rPr>
      </w:pPr>
      <w:r>
        <w:rPr>
          <w:rFonts w:ascii="Arial" w:hAnsi="Arial" w:eastAsia="Arial" w:cs="Arial"/>
          <w:spacing w:val="-2"/>
          <w:sz w:val="24"/>
          <w:szCs w:val="24"/>
        </w:rPr>
        <w:t>2.</w:t>
      </w:r>
      <w:r>
        <w:rPr>
          <w:spacing w:val="-2"/>
          <w:sz w:val="24"/>
          <w:szCs w:val="24"/>
        </w:rPr>
        <w:t>分包金额</w:t>
      </w:r>
      <w:r>
        <w:rPr>
          <w:spacing w:val="6"/>
          <w:sz w:val="24"/>
          <w:szCs w:val="24"/>
        </w:rPr>
        <w:t>：</w:t>
      </w:r>
      <w:r>
        <w:rPr>
          <w:sz w:val="24"/>
          <w:szCs w:val="24"/>
          <w:u w:val="single" w:color="auto"/>
        </w:rPr>
        <w:t xml:space="preserve">     </w:t>
      </w:r>
      <w:r>
        <w:rPr>
          <w:spacing w:val="6"/>
          <w:sz w:val="24"/>
          <w:szCs w:val="24"/>
        </w:rPr>
        <w:t>，</w:t>
      </w:r>
      <w:r>
        <w:rPr>
          <w:spacing w:val="-2"/>
          <w:sz w:val="24"/>
          <w:szCs w:val="24"/>
        </w:rPr>
        <w:t>该金额占该采购包合同金额的比例为</w:t>
      </w:r>
      <w:r>
        <w:rPr>
          <w:spacing w:val="-107"/>
          <w:sz w:val="24"/>
          <w:szCs w:val="24"/>
        </w:rPr>
        <w:t xml:space="preserve"> </w:t>
      </w:r>
      <w:r>
        <w:rPr>
          <w:sz w:val="24"/>
          <w:szCs w:val="24"/>
          <w:u w:val="single" w:color="auto"/>
        </w:rPr>
        <w:t xml:space="preserve">   </w:t>
      </w:r>
      <w:r>
        <w:rPr>
          <w:spacing w:val="-107"/>
          <w:sz w:val="24"/>
          <w:szCs w:val="24"/>
        </w:rPr>
        <w:t xml:space="preserve"> </w:t>
      </w:r>
      <w:r>
        <w:rPr>
          <w:rFonts w:ascii="Arial" w:hAnsi="Arial" w:eastAsia="Arial" w:cs="Arial"/>
          <w:spacing w:val="-2"/>
          <w:sz w:val="24"/>
          <w:szCs w:val="24"/>
        </w:rPr>
        <w:t>%</w:t>
      </w:r>
      <w:r>
        <w:rPr>
          <w:spacing w:val="-2"/>
          <w:sz w:val="24"/>
          <w:szCs w:val="24"/>
        </w:rPr>
        <w:t>。</w:t>
      </w:r>
      <w:r>
        <w:rPr>
          <w:sz w:val="24"/>
          <w:szCs w:val="24"/>
        </w:rPr>
        <w:t xml:space="preserve"> </w:t>
      </w:r>
      <w:r>
        <w:rPr>
          <w:rFonts w:hint="eastAsia"/>
          <w:sz w:val="24"/>
          <w:szCs w:val="24"/>
          <w:lang w:val="en-US" w:eastAsia="zh-CN"/>
        </w:rPr>
        <w:t xml:space="preserve">      </w:t>
      </w:r>
      <w:r>
        <w:rPr>
          <w:spacing w:val="-3"/>
          <w:sz w:val="24"/>
          <w:szCs w:val="24"/>
        </w:rPr>
        <w:t>乙方承诺将在上述情况下与甲方签订分包合同。</w:t>
      </w:r>
    </w:p>
    <w:p>
      <w:pPr>
        <w:pStyle w:val="17"/>
        <w:spacing w:before="34" w:line="352" w:lineRule="auto"/>
        <w:ind w:left="10" w:right="184" w:firstLine="479"/>
        <w:rPr>
          <w:sz w:val="24"/>
          <w:szCs w:val="24"/>
        </w:rPr>
      </w:pPr>
      <w:r>
        <w:rPr>
          <w:spacing w:val="-2"/>
          <w:sz w:val="24"/>
          <w:szCs w:val="24"/>
        </w:rPr>
        <w:t>本协议自各方盖章之日起生效，如甲方未在该项目（采购包）中标，本协议自动终</w:t>
      </w:r>
      <w:r>
        <w:rPr>
          <w:spacing w:val="-12"/>
          <w:sz w:val="24"/>
          <w:szCs w:val="24"/>
        </w:rPr>
        <w:t>止。</w:t>
      </w:r>
    </w:p>
    <w:p>
      <w:pPr>
        <w:pStyle w:val="17"/>
        <w:spacing w:before="78" w:line="185" w:lineRule="auto"/>
        <w:ind w:left="511"/>
        <w:rPr>
          <w:spacing w:val="-29"/>
          <w:sz w:val="24"/>
          <w:szCs w:val="24"/>
        </w:rPr>
      </w:pPr>
    </w:p>
    <w:p>
      <w:pPr>
        <w:pStyle w:val="17"/>
        <w:spacing w:before="78" w:line="185" w:lineRule="auto"/>
        <w:ind w:left="511"/>
        <w:rPr>
          <w:sz w:val="24"/>
          <w:szCs w:val="24"/>
        </w:rPr>
      </w:pPr>
      <w:r>
        <w:rPr>
          <w:spacing w:val="-29"/>
          <w:sz w:val="24"/>
          <w:szCs w:val="24"/>
        </w:rPr>
        <w:t>甲方（盖章</w:t>
      </w:r>
      <w:r>
        <w:rPr>
          <w:spacing w:val="-10"/>
          <w:sz w:val="24"/>
          <w:szCs w:val="24"/>
        </w:rPr>
        <w:t>）：</w:t>
      </w:r>
      <w:r>
        <w:rPr>
          <w:sz w:val="24"/>
          <w:szCs w:val="24"/>
          <w:u w:val="single" w:color="auto"/>
        </w:rPr>
        <w:t xml:space="preserve">         </w:t>
      </w:r>
      <w:r>
        <w:rPr>
          <w:spacing w:val="1"/>
          <w:sz w:val="24"/>
          <w:szCs w:val="24"/>
        </w:rPr>
        <w:t xml:space="preserve">                </w:t>
      </w:r>
      <w:r>
        <w:rPr>
          <w:rFonts w:hint="eastAsia"/>
          <w:spacing w:val="1"/>
          <w:sz w:val="24"/>
          <w:szCs w:val="24"/>
          <w:lang w:val="en-US" w:eastAsia="zh-CN"/>
        </w:rPr>
        <w:t xml:space="preserve">  </w:t>
      </w:r>
      <w:r>
        <w:rPr>
          <w:spacing w:val="1"/>
          <w:sz w:val="24"/>
          <w:szCs w:val="24"/>
        </w:rPr>
        <w:t xml:space="preserve"> </w:t>
      </w:r>
      <w:r>
        <w:rPr>
          <w:spacing w:val="-29"/>
          <w:sz w:val="24"/>
          <w:szCs w:val="24"/>
        </w:rPr>
        <w:t>乙方（盖章</w:t>
      </w:r>
      <w:r>
        <w:rPr>
          <w:spacing w:val="-10"/>
          <w:sz w:val="24"/>
          <w:szCs w:val="24"/>
        </w:rPr>
        <w:t>）：</w:t>
      </w:r>
    </w:p>
    <w:p>
      <w:pPr>
        <w:spacing w:before="5" w:line="20" w:lineRule="exact"/>
        <w:ind w:left="6708"/>
        <w:rPr>
          <w:rFonts w:ascii="Arial" w:hAnsi="Arial" w:eastAsia="Arial" w:cs="Arial"/>
          <w:sz w:val="24"/>
          <w:szCs w:val="24"/>
        </w:rPr>
      </w:pPr>
      <w:r>
        <w:rPr>
          <w:rFonts w:ascii="Arial" w:hAnsi="Arial" w:eastAsia="Arial" w:cs="Arial"/>
          <w:spacing w:val="3"/>
          <w:position w:val="5"/>
          <w:sz w:val="24"/>
          <w:szCs w:val="24"/>
        </w:rPr>
        <w:t>________</w:t>
      </w:r>
    </w:p>
    <w:p>
      <w:pPr>
        <w:spacing w:line="269" w:lineRule="auto"/>
        <w:rPr>
          <w:rFonts w:ascii="Arial"/>
          <w:sz w:val="21"/>
        </w:rPr>
      </w:pPr>
    </w:p>
    <w:p>
      <w:pPr>
        <w:spacing w:line="269" w:lineRule="auto"/>
        <w:rPr>
          <w:rFonts w:ascii="Arial"/>
          <w:sz w:val="21"/>
        </w:rPr>
      </w:pPr>
    </w:p>
    <w:p>
      <w:pPr>
        <w:pStyle w:val="17"/>
        <w:spacing w:before="79" w:line="220" w:lineRule="auto"/>
        <w:ind w:left="5283"/>
        <w:rPr>
          <w:sz w:val="24"/>
          <w:szCs w:val="24"/>
        </w:rPr>
      </w:pPr>
      <w:r>
        <w:rPr>
          <w:spacing w:val="-14"/>
          <w:sz w:val="24"/>
          <w:szCs w:val="24"/>
        </w:rPr>
        <w:t>日期：</w:t>
      </w:r>
      <w:r>
        <w:rPr>
          <w:spacing w:val="1"/>
          <w:sz w:val="24"/>
          <w:szCs w:val="24"/>
          <w:u w:val="single" w:color="auto"/>
        </w:rPr>
        <w:t xml:space="preserve">     </w:t>
      </w:r>
      <w:r>
        <w:rPr>
          <w:spacing w:val="-108"/>
          <w:sz w:val="24"/>
          <w:szCs w:val="24"/>
        </w:rPr>
        <w:t xml:space="preserve"> </w:t>
      </w:r>
      <w:r>
        <w:rPr>
          <w:spacing w:val="-14"/>
          <w:sz w:val="24"/>
          <w:szCs w:val="24"/>
        </w:rPr>
        <w:t>年</w:t>
      </w:r>
      <w:r>
        <w:rPr>
          <w:sz w:val="24"/>
          <w:szCs w:val="24"/>
          <w:u w:val="single" w:color="auto"/>
        </w:rPr>
        <w:t xml:space="preserve">      </w:t>
      </w:r>
      <w:r>
        <w:rPr>
          <w:spacing w:val="-105"/>
          <w:sz w:val="24"/>
          <w:szCs w:val="24"/>
        </w:rPr>
        <w:t xml:space="preserve"> </w:t>
      </w:r>
      <w:r>
        <w:rPr>
          <w:spacing w:val="-14"/>
          <w:sz w:val="24"/>
          <w:szCs w:val="24"/>
        </w:rPr>
        <w:t>月</w:t>
      </w:r>
      <w:r>
        <w:rPr>
          <w:sz w:val="24"/>
          <w:szCs w:val="24"/>
          <w:u w:val="single" w:color="auto"/>
        </w:rPr>
        <w:t xml:space="preserve">      </w:t>
      </w:r>
      <w:r>
        <w:rPr>
          <w:spacing w:val="-70"/>
          <w:sz w:val="24"/>
          <w:szCs w:val="24"/>
        </w:rPr>
        <w:t xml:space="preserve"> </w:t>
      </w:r>
      <w:r>
        <w:rPr>
          <w:spacing w:val="-14"/>
          <w:sz w:val="24"/>
          <w:szCs w:val="24"/>
        </w:rPr>
        <w:t>日</w:t>
      </w:r>
    </w:p>
    <w:p>
      <w:pPr>
        <w:rPr>
          <w:spacing w:val="-17"/>
          <w:sz w:val="24"/>
          <w:szCs w:val="24"/>
        </w:rPr>
      </w:pPr>
    </w:p>
    <w:p>
      <w:pPr>
        <w:rPr>
          <w:spacing w:val="-17"/>
          <w:sz w:val="24"/>
          <w:szCs w:val="24"/>
        </w:rPr>
      </w:pPr>
      <w:r>
        <w:rPr>
          <w:spacing w:val="-17"/>
          <w:sz w:val="24"/>
          <w:szCs w:val="24"/>
        </w:rPr>
        <w:t>注：</w:t>
      </w:r>
    </w:p>
    <w:p>
      <w:pPr>
        <w:rPr>
          <w:spacing w:val="-1"/>
          <w:sz w:val="24"/>
          <w:szCs w:val="24"/>
        </w:rPr>
      </w:pPr>
    </w:p>
    <w:p>
      <w:pPr>
        <w:rPr>
          <w:spacing w:val="-2"/>
          <w:sz w:val="24"/>
          <w:szCs w:val="24"/>
        </w:rPr>
      </w:pPr>
      <w:r>
        <w:rPr>
          <w:spacing w:val="-1"/>
          <w:sz w:val="24"/>
          <w:szCs w:val="24"/>
        </w:rPr>
        <w:t>本协议仅在投标人</w:t>
      </w:r>
      <w:r>
        <w:rPr>
          <w:rFonts w:ascii="Arial" w:hAnsi="Arial" w:eastAsia="Arial" w:cs="Arial"/>
          <w:spacing w:val="-1"/>
          <w:sz w:val="24"/>
          <w:szCs w:val="24"/>
        </w:rPr>
        <w:t>“</w:t>
      </w:r>
      <w:r>
        <w:rPr>
          <w:spacing w:val="-1"/>
          <w:sz w:val="24"/>
          <w:szCs w:val="24"/>
        </w:rPr>
        <w:t>为落实政府采购政策</w:t>
      </w:r>
      <w:r>
        <w:rPr>
          <w:rFonts w:ascii="Arial" w:hAnsi="Arial" w:eastAsia="Arial" w:cs="Arial"/>
          <w:spacing w:val="-1"/>
          <w:sz w:val="24"/>
          <w:szCs w:val="24"/>
        </w:rPr>
        <w:t>”</w:t>
      </w:r>
      <w:r>
        <w:rPr>
          <w:spacing w:val="-1"/>
          <w:sz w:val="24"/>
          <w:szCs w:val="24"/>
        </w:rPr>
        <w:t>而向中小企业分包时必须提供，否则</w:t>
      </w:r>
      <w:r>
        <w:rPr>
          <w:b/>
          <w:bCs/>
          <w:spacing w:val="-2"/>
          <w:sz w:val="24"/>
          <w:szCs w:val="24"/>
        </w:rPr>
        <w:t>投标无效</w:t>
      </w:r>
      <w:r>
        <w:rPr>
          <w:spacing w:val="-2"/>
          <w:sz w:val="24"/>
          <w:szCs w:val="24"/>
        </w:rPr>
        <w:t>；</w:t>
      </w:r>
    </w:p>
    <w:p>
      <w:pPr>
        <w:rPr>
          <w:spacing w:val="-2"/>
          <w:sz w:val="24"/>
          <w:szCs w:val="24"/>
        </w:rPr>
      </w:pPr>
    </w:p>
    <w:p>
      <w:pPr>
        <w:rPr>
          <w:spacing w:val="-2"/>
          <w:sz w:val="24"/>
          <w:szCs w:val="24"/>
        </w:rPr>
      </w:pPr>
      <w:r>
        <w:rPr>
          <w:spacing w:val="-2"/>
          <w:sz w:val="24"/>
          <w:szCs w:val="24"/>
        </w:rPr>
        <w:t>且投标人须与所有拟分包单位分别签订《分包意向协议》，每单位签订一份，并在投标</w:t>
      </w:r>
    </w:p>
    <w:p>
      <w:pPr>
        <w:rPr>
          <w:spacing w:val="-1"/>
          <w:sz w:val="24"/>
          <w:szCs w:val="24"/>
        </w:rPr>
      </w:pPr>
    </w:p>
    <w:p>
      <w:pPr>
        <w:rPr>
          <w:rFonts w:ascii="宋体" w:hAnsi="宋体"/>
          <w:b/>
          <w:bCs/>
          <w:sz w:val="24"/>
          <w:szCs w:val="20"/>
        </w:rPr>
      </w:pPr>
      <w:r>
        <w:rPr>
          <w:spacing w:val="-1"/>
          <w:sz w:val="24"/>
          <w:szCs w:val="24"/>
        </w:rPr>
        <w:t>文件中提交全部协议原件的电子件，否则</w:t>
      </w:r>
      <w:r>
        <w:rPr>
          <w:b/>
          <w:bCs/>
          <w:spacing w:val="-1"/>
          <w:sz w:val="24"/>
          <w:szCs w:val="24"/>
        </w:rPr>
        <w:t>投标无效</w:t>
      </w:r>
      <w:r>
        <w:rPr>
          <w:spacing w:val="-1"/>
          <w:sz w:val="24"/>
          <w:szCs w:val="24"/>
        </w:rPr>
        <w:t>。</w:t>
      </w:r>
      <w:r>
        <w:rPr>
          <w:rFonts w:ascii="宋体" w:hAnsi="宋体"/>
          <w:b/>
          <w:bCs/>
          <w:sz w:val="24"/>
          <w:szCs w:val="20"/>
        </w:rPr>
        <w:br w:type="page"/>
      </w:r>
    </w:p>
    <w:p>
      <w:pPr>
        <w:spacing w:line="360" w:lineRule="auto"/>
        <w:outlineLvl w:val="2"/>
        <w:rPr>
          <w:rFonts w:ascii="宋体"/>
          <w:b/>
          <w:bCs/>
          <w:sz w:val="24"/>
          <w:szCs w:val="20"/>
        </w:rPr>
      </w:pPr>
      <w:r>
        <w:rPr>
          <w:rFonts w:ascii="宋体" w:hAnsi="宋体"/>
          <w:b/>
          <w:bCs/>
          <w:sz w:val="24"/>
          <w:szCs w:val="20"/>
        </w:rPr>
        <w:t xml:space="preserve">2-2 </w:t>
      </w:r>
      <w:r>
        <w:rPr>
          <w:rFonts w:hint="eastAsia" w:ascii="宋体" w:hAnsi="宋体"/>
          <w:b/>
          <w:bCs/>
          <w:sz w:val="24"/>
        </w:rPr>
        <w:t>其它落实政府采购政策的资格要求</w:t>
      </w:r>
      <w:r>
        <w:rPr>
          <w:rFonts w:hint="eastAsia" w:ascii="宋体" w:hAnsi="宋体"/>
          <w:b/>
          <w:bCs/>
          <w:sz w:val="24"/>
          <w:szCs w:val="20"/>
        </w:rPr>
        <w:t>（如有）</w:t>
      </w:r>
    </w:p>
    <w:p>
      <w:pPr>
        <w:widowControl/>
        <w:jc w:val="left"/>
        <w:rPr>
          <w:rFonts w:ascii="宋体"/>
          <w:sz w:val="24"/>
        </w:rPr>
      </w:pPr>
    </w:p>
    <w:p>
      <w:pPr>
        <w:pStyle w:val="189"/>
        <w:widowControl/>
        <w:spacing w:line="360" w:lineRule="auto"/>
        <w:jc w:val="left"/>
        <w:rPr>
          <w:rStyle w:val="278"/>
          <w:rFonts w:ascii="宋体" w:hAnsi="宋体" w:eastAsia="宋体" w:cs="宋体"/>
          <w:b/>
          <w:bCs/>
          <w:sz w:val="24"/>
          <w:szCs w:val="24"/>
        </w:rPr>
      </w:pPr>
      <w:r>
        <w:rPr>
          <w:rFonts w:ascii="宋体"/>
          <w:sz w:val="24"/>
        </w:rPr>
        <w:br w:type="page"/>
      </w:r>
      <w:r>
        <w:rPr>
          <w:rStyle w:val="278"/>
          <w:rFonts w:ascii="宋体" w:hAnsi="宋体" w:eastAsia="宋体" w:cs="宋体"/>
          <w:b/>
          <w:bCs/>
          <w:sz w:val="24"/>
          <w:szCs w:val="24"/>
        </w:rPr>
        <w:t xml:space="preserve">3 </w:t>
      </w:r>
      <w:r>
        <w:rPr>
          <w:rStyle w:val="278"/>
          <w:rFonts w:ascii="宋体" w:hAnsi="宋体" w:eastAsia="宋体" w:cs="宋体"/>
          <w:b/>
          <w:bCs/>
          <w:sz w:val="24"/>
          <w:szCs w:val="24"/>
          <w:lang w:val="zh-TW" w:eastAsia="zh-TW"/>
        </w:rPr>
        <w:t>本项目的特定资格要求（如有）</w:t>
      </w:r>
    </w:p>
    <w:p>
      <w:pPr>
        <w:pStyle w:val="189"/>
        <w:spacing w:line="360" w:lineRule="auto"/>
        <w:outlineLvl w:val="2"/>
        <w:rPr>
          <w:rStyle w:val="278"/>
          <w:rFonts w:ascii="宋体" w:hAnsi="宋体" w:eastAsia="宋体" w:cs="宋体"/>
          <w:b/>
          <w:bCs/>
          <w:sz w:val="24"/>
          <w:szCs w:val="24"/>
        </w:rPr>
      </w:pPr>
      <w:bookmarkStart w:id="813" w:name="_Toc110006883"/>
      <w:r>
        <w:rPr>
          <w:rStyle w:val="278"/>
          <w:rFonts w:ascii="宋体" w:hAnsi="宋体" w:eastAsia="宋体" w:cs="宋体"/>
          <w:b/>
          <w:bCs/>
          <w:sz w:val="24"/>
          <w:szCs w:val="24"/>
        </w:rPr>
        <w:t>3-1</w:t>
      </w:r>
      <w:r>
        <w:rPr>
          <w:rStyle w:val="278"/>
          <w:rFonts w:ascii="宋体" w:hAnsi="宋体" w:eastAsia="宋体" w:cs="宋体"/>
          <w:b/>
          <w:bCs/>
          <w:sz w:val="24"/>
          <w:szCs w:val="24"/>
          <w:lang w:val="zh-TW" w:eastAsia="zh-TW"/>
        </w:rPr>
        <w:t>联合协议（如有）（实质性格式）</w:t>
      </w:r>
      <w:bookmarkEnd w:id="813"/>
    </w:p>
    <w:p>
      <w:pPr>
        <w:pStyle w:val="189"/>
        <w:spacing w:line="360" w:lineRule="auto"/>
        <w:jc w:val="center"/>
        <w:rPr>
          <w:rStyle w:val="278"/>
          <w:rFonts w:ascii="宋体" w:hAnsi="宋体" w:eastAsia="宋体" w:cs="宋体"/>
          <w:b/>
          <w:bCs/>
          <w:sz w:val="36"/>
          <w:szCs w:val="36"/>
          <w:lang w:val="zh-TW" w:eastAsia="zh-TW"/>
        </w:rPr>
      </w:pPr>
      <w:r>
        <w:rPr>
          <w:rStyle w:val="278"/>
          <w:rFonts w:ascii="宋体" w:hAnsi="宋体" w:eastAsia="宋体" w:cs="宋体"/>
          <w:b/>
          <w:bCs/>
          <w:sz w:val="36"/>
          <w:szCs w:val="36"/>
          <w:lang w:val="zh-TW" w:eastAsia="zh-TW"/>
        </w:rPr>
        <w:t>联合协议</w:t>
      </w:r>
    </w:p>
    <w:p>
      <w:pPr>
        <w:pStyle w:val="189"/>
        <w:spacing w:line="360" w:lineRule="auto"/>
        <w:ind w:firstLine="828"/>
        <w:rPr>
          <w:rStyle w:val="278"/>
          <w:rFonts w:ascii="宋体" w:hAnsi="宋体" w:eastAsia="宋体" w:cs="宋体"/>
        </w:rPr>
      </w:pPr>
      <w:r>
        <w:rPr>
          <w:rStyle w:val="278"/>
          <w:rFonts w:ascii="宋体" w:hAnsi="宋体" w:eastAsia="宋体" w:cs="宋体"/>
          <w:sz w:val="24"/>
          <w:szCs w:val="24"/>
        </w:rPr>
        <w:t xml:space="preserve">______ </w:t>
      </w:r>
      <w:r>
        <w:rPr>
          <w:rStyle w:val="278"/>
          <w:rFonts w:ascii="宋体" w:hAnsi="宋体" w:eastAsia="宋体" w:cs="宋体"/>
          <w:sz w:val="24"/>
          <w:szCs w:val="24"/>
          <w:lang w:val="zh-TW" w:eastAsia="zh-TW"/>
        </w:rPr>
        <w:t xml:space="preserve">、 </w:t>
      </w:r>
      <w:r>
        <w:rPr>
          <w:rStyle w:val="278"/>
          <w:rFonts w:ascii="宋体" w:hAnsi="宋体" w:eastAsia="宋体" w:cs="宋体"/>
          <w:sz w:val="24"/>
          <w:szCs w:val="24"/>
        </w:rPr>
        <w:t xml:space="preserve">_____ </w:t>
      </w:r>
      <w:r>
        <w:rPr>
          <w:rStyle w:val="278"/>
          <w:rFonts w:ascii="宋体" w:hAnsi="宋体" w:eastAsia="宋体" w:cs="宋体"/>
          <w:sz w:val="24"/>
          <w:szCs w:val="24"/>
          <w:lang w:val="zh-TW" w:eastAsia="zh-TW"/>
        </w:rPr>
        <w:t xml:space="preserve">及 </w:t>
      </w:r>
      <w:r>
        <w:rPr>
          <w:rStyle w:val="278"/>
          <w:rFonts w:ascii="宋体" w:hAnsi="宋体" w:eastAsia="宋体" w:cs="宋体"/>
          <w:sz w:val="24"/>
          <w:szCs w:val="24"/>
        </w:rPr>
        <w:t>_____</w:t>
      </w:r>
      <w:r>
        <w:rPr>
          <w:rStyle w:val="278"/>
          <w:rFonts w:ascii="宋体" w:hAnsi="宋体" w:eastAsia="宋体" w:cs="宋体"/>
          <w:sz w:val="24"/>
          <w:szCs w:val="24"/>
          <w:lang w:val="zh-TW" w:eastAsia="zh-TW"/>
        </w:rPr>
        <w:t>就</w:t>
      </w:r>
      <w:r>
        <w:rPr>
          <w:rStyle w:val="278"/>
          <w:rFonts w:ascii="宋体" w:hAnsi="宋体" w:eastAsia="宋体" w:cs="宋体"/>
          <w:sz w:val="24"/>
          <w:szCs w:val="24"/>
        </w:rPr>
        <w:t>“________</w:t>
      </w:r>
      <w:r>
        <w:rPr>
          <w:rStyle w:val="278"/>
          <w:rFonts w:ascii="宋体" w:hAnsi="宋体" w:eastAsia="宋体" w:cs="宋体"/>
          <w:sz w:val="24"/>
          <w:szCs w:val="24"/>
          <w:lang w:val="zh-TW" w:eastAsia="zh-TW"/>
        </w:rPr>
        <w:t>（项目名称）</w:t>
      </w:r>
      <w:r>
        <w:rPr>
          <w:rStyle w:val="278"/>
          <w:rFonts w:ascii="宋体" w:hAnsi="宋体" w:eastAsia="宋体" w:cs="宋体"/>
          <w:sz w:val="24"/>
          <w:szCs w:val="24"/>
        </w:rPr>
        <w:t>”____</w:t>
      </w:r>
      <w:r>
        <w:rPr>
          <w:rStyle w:val="278"/>
          <w:rFonts w:ascii="宋体" w:hAnsi="宋体" w:eastAsia="宋体" w:cs="宋体"/>
          <w:sz w:val="24"/>
          <w:szCs w:val="24"/>
          <w:lang w:val="zh-TW" w:eastAsia="zh-TW"/>
        </w:rPr>
        <w:t>包招标项目的投标事宜，经各方充分协商一致，达成如下协议：</w:t>
      </w:r>
    </w:p>
    <w:p>
      <w:pPr>
        <w:pStyle w:val="189"/>
        <w:numPr>
          <w:ilvl w:val="0"/>
          <w:numId w:val="22"/>
        </w:numPr>
        <w:spacing w:line="360" w:lineRule="auto"/>
        <w:rPr>
          <w:rFonts w:ascii="宋体" w:hAnsi="宋体" w:eastAsia="宋体" w:cs="宋体"/>
          <w:sz w:val="24"/>
          <w:szCs w:val="24"/>
          <w:lang w:val="zh-TW" w:eastAsia="zh-TW"/>
        </w:rPr>
      </w:pPr>
      <w:r>
        <w:rPr>
          <w:rStyle w:val="278"/>
          <w:rFonts w:ascii="宋体" w:hAnsi="宋体" w:eastAsia="宋体" w:cs="宋体"/>
          <w:sz w:val="24"/>
          <w:szCs w:val="24"/>
          <w:lang w:val="zh-TW" w:eastAsia="zh-TW"/>
        </w:rPr>
        <w:t>由</w:t>
      </w:r>
      <w:r>
        <w:rPr>
          <w:rStyle w:val="278"/>
          <w:rFonts w:ascii="宋体" w:hAnsi="宋体" w:eastAsia="宋体" w:cs="宋体"/>
          <w:sz w:val="24"/>
          <w:szCs w:val="24"/>
        </w:rPr>
        <w:t>_________</w:t>
      </w:r>
      <w:r>
        <w:rPr>
          <w:rStyle w:val="278"/>
          <w:rFonts w:ascii="宋体" w:hAnsi="宋体" w:eastAsia="宋体" w:cs="宋体"/>
          <w:sz w:val="24"/>
          <w:szCs w:val="24"/>
          <w:lang w:val="zh-TW" w:eastAsia="zh-TW"/>
        </w:rPr>
        <w:t>牵头，</w:t>
      </w:r>
      <w:r>
        <w:rPr>
          <w:rStyle w:val="278"/>
          <w:rFonts w:ascii="宋体" w:hAnsi="宋体" w:eastAsia="宋体" w:cs="宋体"/>
          <w:sz w:val="24"/>
          <w:szCs w:val="24"/>
        </w:rPr>
        <w:t>_________</w:t>
      </w:r>
      <w:r>
        <w:rPr>
          <w:rStyle w:val="278"/>
          <w:rFonts w:ascii="宋体" w:hAnsi="宋体" w:eastAsia="宋体" w:cs="宋体"/>
          <w:sz w:val="24"/>
          <w:szCs w:val="24"/>
          <w:lang w:val="zh-TW" w:eastAsia="zh-TW"/>
        </w:rPr>
        <w:t>、</w:t>
      </w:r>
      <w:r>
        <w:rPr>
          <w:rStyle w:val="278"/>
          <w:rFonts w:ascii="宋体" w:hAnsi="宋体" w:eastAsia="宋体" w:cs="宋体"/>
          <w:sz w:val="24"/>
          <w:szCs w:val="24"/>
        </w:rPr>
        <w:t>__________</w:t>
      </w:r>
      <w:r>
        <w:rPr>
          <w:rStyle w:val="278"/>
          <w:rFonts w:ascii="宋体" w:hAnsi="宋体" w:eastAsia="宋体" w:cs="宋体"/>
          <w:sz w:val="24"/>
          <w:szCs w:val="24"/>
          <w:lang w:val="zh-TW" w:eastAsia="zh-TW"/>
        </w:rPr>
        <w:t>参加，组成联合体共同进行招标项目的投标工作。</w:t>
      </w:r>
    </w:p>
    <w:p>
      <w:pPr>
        <w:pStyle w:val="189"/>
        <w:numPr>
          <w:ilvl w:val="0"/>
          <w:numId w:val="22"/>
        </w:numPr>
        <w:spacing w:line="360" w:lineRule="auto"/>
        <w:rPr>
          <w:rFonts w:ascii="宋体" w:hAnsi="宋体" w:eastAsia="宋体" w:cs="宋体"/>
          <w:sz w:val="24"/>
          <w:szCs w:val="24"/>
        </w:rPr>
      </w:pPr>
      <w:r>
        <w:rPr>
          <w:rStyle w:val="278"/>
          <w:rFonts w:ascii="宋体" w:hAnsi="宋体" w:eastAsia="宋体" w:cs="宋体"/>
          <w:sz w:val="24"/>
          <w:szCs w:val="24"/>
        </w:rPr>
        <w:t>______</w:t>
      </w:r>
      <w:r>
        <w:rPr>
          <w:rStyle w:val="278"/>
          <w:rFonts w:ascii="宋体" w:hAnsi="宋体" w:eastAsia="宋体" w:cs="宋体"/>
          <w:sz w:val="24"/>
          <w:szCs w:val="24"/>
          <w:lang w:val="zh-TW" w:eastAsia="zh-TW"/>
        </w:rPr>
        <w:t>为本次投标的牵头人，联合体以牵头人的名义参加投标，联合体中标后，联合体各方共同与采购人签订合同，就采购合同约定的事项对采购人承担连带责任。</w:t>
      </w:r>
    </w:p>
    <w:p>
      <w:pPr>
        <w:pStyle w:val="189"/>
        <w:numPr>
          <w:ilvl w:val="0"/>
          <w:numId w:val="22"/>
        </w:numPr>
        <w:spacing w:line="360" w:lineRule="auto"/>
        <w:rPr>
          <w:rFonts w:ascii="宋体" w:hAnsi="宋体" w:eastAsia="宋体" w:cs="宋体"/>
          <w:sz w:val="24"/>
          <w:szCs w:val="24"/>
          <w:lang w:val="zh-TW" w:eastAsia="zh-TW"/>
        </w:rPr>
      </w:pPr>
      <w:r>
        <w:rPr>
          <w:rStyle w:val="278"/>
          <w:rFonts w:ascii="宋体" w:hAnsi="宋体" w:eastAsia="宋体" w:cs="宋体"/>
          <w:sz w:val="24"/>
          <w:szCs w:val="24"/>
          <w:lang w:val="zh-TW" w:eastAsia="zh-TW"/>
        </w:rPr>
        <w:t>联合体各方均同意由牵头人代表其他联合体成员单位按招标文件要求出具《授权委托书》。</w:t>
      </w:r>
    </w:p>
    <w:p>
      <w:pPr>
        <w:pStyle w:val="189"/>
        <w:numPr>
          <w:ilvl w:val="0"/>
          <w:numId w:val="22"/>
        </w:numPr>
        <w:spacing w:line="360" w:lineRule="auto"/>
        <w:rPr>
          <w:rFonts w:ascii="宋体" w:hAnsi="宋体" w:eastAsia="宋体" w:cs="宋体"/>
          <w:sz w:val="24"/>
          <w:szCs w:val="24"/>
          <w:lang w:val="zh-TW" w:eastAsia="zh-TW"/>
        </w:rPr>
      </w:pPr>
      <w:r>
        <w:rPr>
          <w:rStyle w:val="278"/>
          <w:rFonts w:ascii="宋体" w:hAnsi="宋体" w:eastAsia="宋体" w:cs="宋体"/>
          <w:sz w:val="24"/>
          <w:szCs w:val="24"/>
          <w:lang w:val="zh-TW" w:eastAsia="zh-TW"/>
        </w:rPr>
        <w:t>牵头人为项目的总负责单位；组织各参加方进行项目实施工作。</w:t>
      </w:r>
    </w:p>
    <w:p>
      <w:pPr>
        <w:pStyle w:val="189"/>
        <w:numPr>
          <w:ilvl w:val="0"/>
          <w:numId w:val="22"/>
        </w:numPr>
        <w:spacing w:line="360" w:lineRule="auto"/>
        <w:rPr>
          <w:rFonts w:ascii="宋体" w:hAnsi="宋体" w:eastAsia="宋体" w:cs="宋体"/>
          <w:sz w:val="24"/>
          <w:szCs w:val="24"/>
        </w:rPr>
      </w:pPr>
      <w:r>
        <w:rPr>
          <w:rStyle w:val="278"/>
          <w:rFonts w:ascii="宋体" w:hAnsi="宋体" w:eastAsia="宋体" w:cs="宋体"/>
          <w:sz w:val="24"/>
          <w:szCs w:val="24"/>
        </w:rPr>
        <w:t>______</w:t>
      </w:r>
      <w:r>
        <w:rPr>
          <w:rStyle w:val="278"/>
          <w:rFonts w:ascii="宋体" w:hAnsi="宋体" w:eastAsia="宋体" w:cs="宋体"/>
          <w:sz w:val="24"/>
          <w:szCs w:val="24"/>
          <w:lang w:val="zh-TW" w:eastAsia="zh-TW"/>
        </w:rPr>
        <w:t>负责</w:t>
      </w:r>
      <w:r>
        <w:rPr>
          <w:rStyle w:val="278"/>
          <w:rFonts w:ascii="宋体" w:hAnsi="宋体" w:eastAsia="宋体" w:cs="宋体"/>
          <w:sz w:val="24"/>
          <w:szCs w:val="24"/>
        </w:rPr>
        <w:t>_____</w:t>
      </w:r>
      <w:r>
        <w:rPr>
          <w:rStyle w:val="278"/>
          <w:rFonts w:ascii="宋体" w:hAnsi="宋体" w:eastAsia="宋体" w:cs="宋体"/>
          <w:sz w:val="24"/>
          <w:szCs w:val="24"/>
          <w:lang w:val="zh-TW" w:eastAsia="zh-TW"/>
        </w:rPr>
        <w:t>，具体工作范围、内容以投标文件及合同为准。</w:t>
      </w:r>
    </w:p>
    <w:p>
      <w:pPr>
        <w:pStyle w:val="189"/>
        <w:numPr>
          <w:ilvl w:val="0"/>
          <w:numId w:val="22"/>
        </w:numPr>
        <w:spacing w:line="360" w:lineRule="auto"/>
        <w:rPr>
          <w:rFonts w:ascii="宋体" w:hAnsi="宋体" w:eastAsia="宋体" w:cs="宋体"/>
          <w:sz w:val="24"/>
          <w:szCs w:val="24"/>
        </w:rPr>
      </w:pPr>
      <w:r>
        <w:rPr>
          <w:rStyle w:val="278"/>
          <w:rFonts w:ascii="宋体" w:hAnsi="宋体" w:eastAsia="宋体" w:cs="宋体"/>
          <w:sz w:val="24"/>
          <w:szCs w:val="24"/>
        </w:rPr>
        <w:t>______</w:t>
      </w:r>
      <w:r>
        <w:rPr>
          <w:rStyle w:val="278"/>
          <w:rFonts w:ascii="宋体" w:hAnsi="宋体" w:eastAsia="宋体" w:cs="宋体"/>
          <w:sz w:val="24"/>
          <w:szCs w:val="24"/>
          <w:lang w:val="zh-TW" w:eastAsia="zh-TW"/>
        </w:rPr>
        <w:t>负责</w:t>
      </w:r>
      <w:r>
        <w:rPr>
          <w:rStyle w:val="278"/>
          <w:rFonts w:ascii="宋体" w:hAnsi="宋体" w:eastAsia="宋体" w:cs="宋体"/>
          <w:sz w:val="24"/>
          <w:szCs w:val="24"/>
        </w:rPr>
        <w:t>_____</w:t>
      </w:r>
      <w:r>
        <w:rPr>
          <w:rStyle w:val="278"/>
          <w:rFonts w:ascii="宋体" w:hAnsi="宋体" w:eastAsia="宋体" w:cs="宋体"/>
          <w:sz w:val="24"/>
          <w:szCs w:val="24"/>
          <w:lang w:val="zh-TW" w:eastAsia="zh-TW"/>
        </w:rPr>
        <w:t>，具体工作范围、内容以投标文件及合同为准。</w:t>
      </w:r>
    </w:p>
    <w:p>
      <w:pPr>
        <w:pStyle w:val="189"/>
        <w:numPr>
          <w:ilvl w:val="0"/>
          <w:numId w:val="22"/>
        </w:numPr>
        <w:spacing w:line="360" w:lineRule="auto"/>
        <w:rPr>
          <w:rFonts w:ascii="宋体" w:hAnsi="宋体" w:eastAsia="宋体" w:cs="宋体"/>
          <w:sz w:val="24"/>
          <w:szCs w:val="24"/>
        </w:rPr>
      </w:pPr>
      <w:r>
        <w:rPr>
          <w:rStyle w:val="278"/>
          <w:rFonts w:ascii="宋体" w:hAnsi="宋体" w:eastAsia="宋体" w:cs="宋体"/>
          <w:sz w:val="24"/>
          <w:szCs w:val="24"/>
        </w:rPr>
        <w:t>______</w:t>
      </w:r>
      <w:r>
        <w:rPr>
          <w:rStyle w:val="278"/>
          <w:rFonts w:ascii="宋体" w:hAnsi="宋体" w:eastAsia="宋体" w:cs="宋体"/>
          <w:sz w:val="24"/>
          <w:szCs w:val="24"/>
          <w:lang w:val="zh-TW" w:eastAsia="zh-TW"/>
        </w:rPr>
        <w:t>负责</w:t>
      </w:r>
      <w:r>
        <w:rPr>
          <w:rStyle w:val="278"/>
          <w:rFonts w:ascii="宋体" w:hAnsi="宋体" w:eastAsia="宋体" w:cs="宋体"/>
          <w:sz w:val="24"/>
          <w:szCs w:val="24"/>
        </w:rPr>
        <w:t>_____</w:t>
      </w:r>
      <w:r>
        <w:rPr>
          <w:rStyle w:val="278"/>
          <w:rFonts w:ascii="宋体" w:hAnsi="宋体" w:eastAsia="宋体" w:cs="宋体"/>
          <w:sz w:val="24"/>
          <w:szCs w:val="24"/>
          <w:lang w:val="zh-TW" w:eastAsia="zh-TW"/>
        </w:rPr>
        <w:t>（如有），具体工作范围、内容以投标文件及合同为准。</w:t>
      </w:r>
    </w:p>
    <w:p>
      <w:pPr>
        <w:pStyle w:val="189"/>
        <w:numPr>
          <w:ilvl w:val="0"/>
          <w:numId w:val="22"/>
        </w:numPr>
        <w:spacing w:line="360" w:lineRule="auto"/>
        <w:rPr>
          <w:rFonts w:ascii="宋体" w:hAnsi="宋体" w:eastAsia="宋体" w:cs="宋体"/>
          <w:sz w:val="24"/>
          <w:szCs w:val="24"/>
          <w:lang w:val="zh-TW" w:eastAsia="zh-TW"/>
        </w:rPr>
      </w:pPr>
      <w:r>
        <w:rPr>
          <w:rStyle w:val="278"/>
          <w:rFonts w:ascii="宋体" w:hAnsi="宋体" w:eastAsia="宋体" w:cs="宋体"/>
          <w:sz w:val="24"/>
          <w:szCs w:val="24"/>
          <w:lang w:val="zh-TW" w:eastAsia="zh-TW"/>
        </w:rPr>
        <w:t>本项目联合协议合同总额为</w:t>
      </w:r>
      <w:r>
        <w:rPr>
          <w:rStyle w:val="278"/>
          <w:rFonts w:ascii="宋体" w:hAnsi="宋体" w:eastAsia="宋体" w:cs="宋体"/>
          <w:sz w:val="24"/>
          <w:szCs w:val="24"/>
        </w:rPr>
        <w:t>________</w:t>
      </w:r>
      <w:r>
        <w:rPr>
          <w:rStyle w:val="278"/>
          <w:rFonts w:ascii="宋体" w:hAnsi="宋体" w:eastAsia="宋体" w:cs="宋体"/>
          <w:sz w:val="24"/>
          <w:szCs w:val="24"/>
          <w:lang w:val="zh-TW" w:eastAsia="zh-TW"/>
        </w:rPr>
        <w:t>元，联合体各成员按照如下比例分摊（按联合体成员分别列明）：</w:t>
      </w:r>
    </w:p>
    <w:p>
      <w:pPr>
        <w:pStyle w:val="189"/>
        <w:tabs>
          <w:tab w:val="left" w:pos="720"/>
          <w:tab w:val="left" w:pos="900"/>
        </w:tabs>
        <w:spacing w:line="360" w:lineRule="auto"/>
        <w:ind w:left="851"/>
        <w:rPr>
          <w:rStyle w:val="278"/>
          <w:rFonts w:ascii="宋体" w:hAnsi="宋体" w:eastAsia="宋体" w:cs="宋体"/>
          <w:sz w:val="24"/>
          <w:szCs w:val="24"/>
        </w:rPr>
      </w:pPr>
      <w:r>
        <w:rPr>
          <w:rStyle w:val="278"/>
          <w:rFonts w:ascii="宋体" w:hAnsi="宋体" w:eastAsia="宋体" w:cs="宋体"/>
          <w:sz w:val="24"/>
          <w:szCs w:val="24"/>
          <w:lang w:val="zh-TW" w:eastAsia="zh-TW"/>
        </w:rPr>
        <w:t>（</w:t>
      </w:r>
      <w:r>
        <w:rPr>
          <w:rStyle w:val="278"/>
          <w:rFonts w:ascii="宋体" w:hAnsi="宋体" w:eastAsia="宋体" w:cs="宋体"/>
          <w:sz w:val="24"/>
          <w:szCs w:val="24"/>
        </w:rPr>
        <w:t>1</w:t>
      </w:r>
      <w:r>
        <w:rPr>
          <w:rStyle w:val="278"/>
          <w:rFonts w:ascii="宋体" w:hAnsi="宋体" w:eastAsia="宋体" w:cs="宋体"/>
          <w:sz w:val="24"/>
          <w:szCs w:val="24"/>
          <w:lang w:val="zh-TW" w:eastAsia="zh-TW"/>
        </w:rPr>
        <w:t>）</w:t>
      </w:r>
      <w:r>
        <w:rPr>
          <w:rStyle w:val="278"/>
          <w:rFonts w:ascii="宋体" w:hAnsi="宋体" w:eastAsia="宋体" w:cs="宋体"/>
          <w:sz w:val="24"/>
          <w:szCs w:val="24"/>
        </w:rPr>
        <w:t>______</w:t>
      </w:r>
      <w:r>
        <w:rPr>
          <w:rStyle w:val="278"/>
          <w:rFonts w:ascii="宋体" w:hAnsi="宋体" w:eastAsia="宋体" w:cs="宋体"/>
          <w:sz w:val="24"/>
          <w:szCs w:val="24"/>
          <w:lang w:val="zh-TW" w:eastAsia="zh-TW"/>
        </w:rPr>
        <w:t>为</w:t>
      </w:r>
      <w:r>
        <w:rPr>
          <w:rStyle w:val="278"/>
          <w:rFonts w:ascii="宋体" w:hAnsi="宋体" w:eastAsia="宋体" w:cs="宋体"/>
          <w:sz w:val="24"/>
          <w:szCs w:val="24"/>
        </w:rPr>
        <w:t>□</w:t>
      </w:r>
      <w:r>
        <w:rPr>
          <w:rStyle w:val="278"/>
          <w:rFonts w:ascii="宋体" w:hAnsi="宋体" w:eastAsia="宋体" w:cs="宋体"/>
          <w:sz w:val="24"/>
          <w:szCs w:val="24"/>
          <w:lang w:val="zh-TW" w:eastAsia="zh-TW"/>
        </w:rPr>
        <w:t>大型企业</w:t>
      </w:r>
      <w:r>
        <w:rPr>
          <w:rStyle w:val="278"/>
          <w:rFonts w:ascii="宋体" w:hAnsi="宋体" w:eastAsia="宋体" w:cs="宋体"/>
          <w:sz w:val="24"/>
          <w:szCs w:val="24"/>
        </w:rPr>
        <w:t>□</w:t>
      </w:r>
      <w:r>
        <w:rPr>
          <w:rStyle w:val="278"/>
          <w:rFonts w:ascii="宋体" w:hAnsi="宋体" w:eastAsia="宋体" w:cs="宋体"/>
          <w:sz w:val="24"/>
          <w:szCs w:val="24"/>
          <w:lang w:val="zh-TW" w:eastAsia="zh-TW"/>
        </w:rPr>
        <w:t>中型企业、</w:t>
      </w:r>
      <w:r>
        <w:rPr>
          <w:rStyle w:val="278"/>
          <w:rFonts w:ascii="宋体" w:hAnsi="宋体" w:eastAsia="宋体" w:cs="宋体"/>
          <w:sz w:val="24"/>
          <w:szCs w:val="24"/>
        </w:rPr>
        <w:t>□</w:t>
      </w:r>
      <w:r>
        <w:rPr>
          <w:rStyle w:val="278"/>
          <w:rFonts w:ascii="宋体" w:hAnsi="宋体" w:eastAsia="宋体" w:cs="宋体"/>
          <w:sz w:val="24"/>
          <w:szCs w:val="24"/>
          <w:lang w:val="zh-TW" w:eastAsia="zh-TW"/>
        </w:rPr>
        <w:t>小微企业（包含监狱企业、残疾人福利性单位）、</w:t>
      </w:r>
      <w:r>
        <w:rPr>
          <w:rStyle w:val="278"/>
          <w:rFonts w:ascii="宋体" w:hAnsi="宋体" w:eastAsia="宋体" w:cs="宋体"/>
          <w:sz w:val="24"/>
          <w:szCs w:val="24"/>
        </w:rPr>
        <w:t>□</w:t>
      </w:r>
      <w:r>
        <w:rPr>
          <w:rStyle w:val="278"/>
          <w:rFonts w:ascii="宋体" w:hAnsi="宋体" w:eastAsia="宋体" w:cs="宋体"/>
          <w:sz w:val="24"/>
          <w:szCs w:val="24"/>
          <w:lang w:val="zh-TW" w:eastAsia="zh-TW"/>
        </w:rPr>
        <w:t>其他，合同金额为</w:t>
      </w:r>
      <w:r>
        <w:rPr>
          <w:rStyle w:val="278"/>
          <w:rFonts w:ascii="宋体" w:hAnsi="宋体" w:eastAsia="宋体" w:cs="宋体"/>
          <w:sz w:val="24"/>
          <w:szCs w:val="24"/>
        </w:rPr>
        <w:t>_____</w:t>
      </w:r>
      <w:r>
        <w:rPr>
          <w:rStyle w:val="278"/>
          <w:rFonts w:ascii="宋体" w:hAnsi="宋体" w:eastAsia="宋体" w:cs="宋体"/>
          <w:sz w:val="24"/>
          <w:szCs w:val="24"/>
          <w:lang w:val="zh-TW" w:eastAsia="zh-TW"/>
        </w:rPr>
        <w:t>元；</w:t>
      </w:r>
    </w:p>
    <w:p>
      <w:pPr>
        <w:pStyle w:val="189"/>
        <w:tabs>
          <w:tab w:val="left" w:pos="720"/>
          <w:tab w:val="left" w:pos="900"/>
        </w:tabs>
        <w:spacing w:line="360" w:lineRule="auto"/>
        <w:ind w:left="851"/>
        <w:rPr>
          <w:rStyle w:val="278"/>
          <w:rFonts w:ascii="宋体" w:hAnsi="宋体" w:eastAsia="宋体" w:cs="宋体"/>
          <w:sz w:val="24"/>
          <w:szCs w:val="24"/>
        </w:rPr>
      </w:pPr>
      <w:r>
        <w:rPr>
          <w:rStyle w:val="278"/>
          <w:rFonts w:ascii="宋体" w:hAnsi="宋体" w:eastAsia="宋体" w:cs="宋体"/>
          <w:sz w:val="24"/>
          <w:szCs w:val="24"/>
          <w:lang w:val="zh-TW" w:eastAsia="zh-TW"/>
        </w:rPr>
        <w:t>（</w:t>
      </w:r>
      <w:r>
        <w:rPr>
          <w:rStyle w:val="278"/>
          <w:rFonts w:ascii="宋体" w:hAnsi="宋体" w:eastAsia="宋体" w:cs="宋体"/>
          <w:sz w:val="24"/>
          <w:szCs w:val="24"/>
        </w:rPr>
        <w:t>2</w:t>
      </w:r>
      <w:r>
        <w:rPr>
          <w:rStyle w:val="278"/>
          <w:rFonts w:ascii="宋体" w:hAnsi="宋体" w:eastAsia="宋体" w:cs="宋体"/>
          <w:sz w:val="24"/>
          <w:szCs w:val="24"/>
          <w:lang w:val="zh-TW" w:eastAsia="zh-TW"/>
        </w:rPr>
        <w:t>）</w:t>
      </w:r>
      <w:r>
        <w:rPr>
          <w:rStyle w:val="278"/>
          <w:rFonts w:ascii="宋体" w:hAnsi="宋体" w:eastAsia="宋体" w:cs="宋体"/>
          <w:sz w:val="24"/>
          <w:szCs w:val="24"/>
        </w:rPr>
        <w:t>______</w:t>
      </w:r>
      <w:r>
        <w:rPr>
          <w:rStyle w:val="278"/>
          <w:rFonts w:ascii="宋体" w:hAnsi="宋体" w:eastAsia="宋体" w:cs="宋体"/>
          <w:sz w:val="24"/>
          <w:szCs w:val="24"/>
          <w:lang w:val="zh-TW" w:eastAsia="zh-TW"/>
        </w:rPr>
        <w:t>为</w:t>
      </w:r>
      <w:r>
        <w:rPr>
          <w:rStyle w:val="278"/>
          <w:rFonts w:ascii="宋体" w:hAnsi="宋体" w:eastAsia="宋体" w:cs="宋体"/>
          <w:sz w:val="24"/>
          <w:szCs w:val="24"/>
        </w:rPr>
        <w:t>□</w:t>
      </w:r>
      <w:r>
        <w:rPr>
          <w:rStyle w:val="278"/>
          <w:rFonts w:ascii="宋体" w:hAnsi="宋体" w:eastAsia="宋体" w:cs="宋体"/>
          <w:sz w:val="24"/>
          <w:szCs w:val="24"/>
          <w:lang w:val="zh-TW" w:eastAsia="zh-TW"/>
        </w:rPr>
        <w:t>大型企业</w:t>
      </w:r>
      <w:r>
        <w:rPr>
          <w:rStyle w:val="278"/>
          <w:rFonts w:ascii="宋体" w:hAnsi="宋体" w:eastAsia="宋体" w:cs="宋体"/>
          <w:sz w:val="24"/>
          <w:szCs w:val="24"/>
        </w:rPr>
        <w:t>□</w:t>
      </w:r>
      <w:r>
        <w:rPr>
          <w:rStyle w:val="278"/>
          <w:rFonts w:ascii="宋体" w:hAnsi="宋体" w:eastAsia="宋体" w:cs="宋体"/>
          <w:sz w:val="24"/>
          <w:szCs w:val="24"/>
          <w:lang w:val="zh-TW" w:eastAsia="zh-TW"/>
        </w:rPr>
        <w:t>中型企业、</w:t>
      </w:r>
      <w:r>
        <w:rPr>
          <w:rStyle w:val="278"/>
          <w:rFonts w:ascii="宋体" w:hAnsi="宋体" w:eastAsia="宋体" w:cs="宋体"/>
          <w:sz w:val="24"/>
          <w:szCs w:val="24"/>
        </w:rPr>
        <w:t>□</w:t>
      </w:r>
      <w:r>
        <w:rPr>
          <w:rStyle w:val="278"/>
          <w:rFonts w:ascii="宋体" w:hAnsi="宋体" w:eastAsia="宋体" w:cs="宋体"/>
          <w:sz w:val="24"/>
          <w:szCs w:val="24"/>
          <w:lang w:val="zh-TW" w:eastAsia="zh-TW"/>
        </w:rPr>
        <w:t>小微企业（包含监狱企业、残疾人福利性单位）、</w:t>
      </w:r>
      <w:r>
        <w:rPr>
          <w:rStyle w:val="278"/>
          <w:rFonts w:ascii="宋体" w:hAnsi="宋体" w:eastAsia="宋体" w:cs="宋体"/>
          <w:sz w:val="24"/>
          <w:szCs w:val="24"/>
        </w:rPr>
        <w:t>□</w:t>
      </w:r>
      <w:r>
        <w:rPr>
          <w:rStyle w:val="278"/>
          <w:rFonts w:ascii="宋体" w:hAnsi="宋体" w:eastAsia="宋体" w:cs="宋体"/>
          <w:sz w:val="24"/>
          <w:szCs w:val="24"/>
          <w:lang w:val="zh-TW" w:eastAsia="zh-TW"/>
        </w:rPr>
        <w:t>其他，合同金额为</w:t>
      </w:r>
      <w:r>
        <w:rPr>
          <w:rStyle w:val="278"/>
          <w:rFonts w:ascii="宋体" w:hAnsi="宋体" w:eastAsia="宋体" w:cs="宋体"/>
          <w:sz w:val="24"/>
          <w:szCs w:val="24"/>
        </w:rPr>
        <w:t>_____</w:t>
      </w:r>
      <w:r>
        <w:rPr>
          <w:rStyle w:val="278"/>
          <w:rFonts w:ascii="宋体" w:hAnsi="宋体" w:eastAsia="宋体" w:cs="宋体"/>
          <w:sz w:val="24"/>
          <w:szCs w:val="24"/>
          <w:lang w:val="zh-TW" w:eastAsia="zh-TW"/>
        </w:rPr>
        <w:t>元；</w:t>
      </w:r>
    </w:p>
    <w:p>
      <w:pPr>
        <w:pStyle w:val="189"/>
        <w:tabs>
          <w:tab w:val="left" w:pos="720"/>
          <w:tab w:val="left" w:pos="900"/>
        </w:tabs>
        <w:spacing w:line="360" w:lineRule="auto"/>
        <w:ind w:left="851"/>
        <w:rPr>
          <w:rStyle w:val="278"/>
          <w:rFonts w:ascii="宋体" w:hAnsi="宋体" w:eastAsia="宋体" w:cs="宋体"/>
          <w:sz w:val="24"/>
          <w:szCs w:val="24"/>
        </w:rPr>
      </w:pPr>
      <w:r>
        <w:rPr>
          <w:rStyle w:val="278"/>
          <w:rFonts w:ascii="宋体" w:hAnsi="宋体" w:eastAsia="宋体" w:cs="宋体"/>
          <w:sz w:val="24"/>
          <w:szCs w:val="24"/>
          <w:lang w:val="zh-TW" w:eastAsia="zh-TW"/>
        </w:rPr>
        <w:t>（</w:t>
      </w:r>
      <w:r>
        <w:rPr>
          <w:rStyle w:val="278"/>
          <w:rFonts w:ascii="宋体" w:hAnsi="宋体" w:eastAsia="宋体" w:cs="宋体"/>
          <w:sz w:val="24"/>
          <w:szCs w:val="24"/>
        </w:rPr>
        <w:t>…</w:t>
      </w:r>
      <w:r>
        <w:rPr>
          <w:rStyle w:val="278"/>
          <w:rFonts w:ascii="宋体" w:hAnsi="宋体" w:eastAsia="宋体" w:cs="宋体"/>
          <w:sz w:val="24"/>
          <w:szCs w:val="24"/>
          <w:lang w:val="zh-TW" w:eastAsia="zh-TW"/>
        </w:rPr>
        <w:t>）</w:t>
      </w:r>
      <w:r>
        <w:rPr>
          <w:rStyle w:val="278"/>
          <w:rFonts w:ascii="宋体" w:hAnsi="宋体" w:eastAsia="宋体" w:cs="宋体"/>
          <w:sz w:val="24"/>
          <w:szCs w:val="24"/>
        </w:rPr>
        <w:t>______</w:t>
      </w:r>
      <w:r>
        <w:rPr>
          <w:rStyle w:val="278"/>
          <w:rFonts w:ascii="宋体" w:hAnsi="宋体" w:eastAsia="宋体" w:cs="宋体"/>
          <w:sz w:val="24"/>
          <w:szCs w:val="24"/>
          <w:lang w:val="zh-TW" w:eastAsia="zh-TW"/>
        </w:rPr>
        <w:t>为</w:t>
      </w:r>
      <w:r>
        <w:rPr>
          <w:rStyle w:val="278"/>
          <w:rFonts w:ascii="宋体" w:hAnsi="宋体" w:eastAsia="宋体" w:cs="宋体"/>
          <w:sz w:val="24"/>
          <w:szCs w:val="24"/>
        </w:rPr>
        <w:t>□</w:t>
      </w:r>
      <w:r>
        <w:rPr>
          <w:rStyle w:val="278"/>
          <w:rFonts w:ascii="宋体" w:hAnsi="宋体" w:eastAsia="宋体" w:cs="宋体"/>
          <w:sz w:val="24"/>
          <w:szCs w:val="24"/>
          <w:lang w:val="zh-TW" w:eastAsia="zh-TW"/>
        </w:rPr>
        <w:t>大型企业</w:t>
      </w:r>
      <w:r>
        <w:rPr>
          <w:rStyle w:val="278"/>
          <w:rFonts w:ascii="宋体" w:hAnsi="宋体" w:eastAsia="宋体" w:cs="宋体"/>
          <w:sz w:val="24"/>
          <w:szCs w:val="24"/>
        </w:rPr>
        <w:t>□</w:t>
      </w:r>
      <w:r>
        <w:rPr>
          <w:rStyle w:val="278"/>
          <w:rFonts w:ascii="宋体" w:hAnsi="宋体" w:eastAsia="宋体" w:cs="宋体"/>
          <w:sz w:val="24"/>
          <w:szCs w:val="24"/>
          <w:lang w:val="zh-TW" w:eastAsia="zh-TW"/>
        </w:rPr>
        <w:t>中型企业、</w:t>
      </w:r>
      <w:r>
        <w:rPr>
          <w:rStyle w:val="278"/>
          <w:rFonts w:ascii="宋体" w:hAnsi="宋体" w:eastAsia="宋体" w:cs="宋体"/>
          <w:sz w:val="24"/>
          <w:szCs w:val="24"/>
        </w:rPr>
        <w:t>□</w:t>
      </w:r>
      <w:r>
        <w:rPr>
          <w:rStyle w:val="278"/>
          <w:rFonts w:ascii="宋体" w:hAnsi="宋体" w:eastAsia="宋体" w:cs="宋体"/>
          <w:sz w:val="24"/>
          <w:szCs w:val="24"/>
          <w:lang w:val="zh-TW" w:eastAsia="zh-TW"/>
        </w:rPr>
        <w:t>小微企业（包含监狱企业、残疾人福利性单位）、</w:t>
      </w:r>
      <w:r>
        <w:rPr>
          <w:rStyle w:val="278"/>
          <w:rFonts w:ascii="宋体" w:hAnsi="宋体" w:eastAsia="宋体" w:cs="宋体"/>
          <w:sz w:val="24"/>
          <w:szCs w:val="24"/>
        </w:rPr>
        <w:t>□</w:t>
      </w:r>
      <w:r>
        <w:rPr>
          <w:rStyle w:val="278"/>
          <w:rFonts w:ascii="宋体" w:hAnsi="宋体" w:eastAsia="宋体" w:cs="宋体"/>
          <w:sz w:val="24"/>
          <w:szCs w:val="24"/>
          <w:lang w:val="zh-TW" w:eastAsia="zh-TW"/>
        </w:rPr>
        <w:t>其他，合同金额为</w:t>
      </w:r>
      <w:r>
        <w:rPr>
          <w:rStyle w:val="278"/>
          <w:rFonts w:ascii="宋体" w:hAnsi="宋体" w:eastAsia="宋体" w:cs="宋体"/>
          <w:sz w:val="24"/>
          <w:szCs w:val="24"/>
        </w:rPr>
        <w:t>_____</w:t>
      </w:r>
      <w:r>
        <w:rPr>
          <w:rStyle w:val="278"/>
          <w:rFonts w:ascii="宋体" w:hAnsi="宋体" w:eastAsia="宋体" w:cs="宋体"/>
          <w:sz w:val="24"/>
          <w:szCs w:val="24"/>
          <w:lang w:val="zh-TW" w:eastAsia="zh-TW"/>
        </w:rPr>
        <w:t>元。</w:t>
      </w:r>
    </w:p>
    <w:p>
      <w:pPr>
        <w:pStyle w:val="189"/>
        <w:numPr>
          <w:ilvl w:val="0"/>
          <w:numId w:val="0"/>
        </w:numPr>
        <w:spacing w:line="360" w:lineRule="auto"/>
        <w:ind w:firstLine="240" w:firstLineChars="100"/>
        <w:rPr>
          <w:rFonts w:ascii="宋体" w:hAnsi="宋体" w:eastAsia="宋体" w:cs="宋体"/>
          <w:sz w:val="24"/>
          <w:szCs w:val="24"/>
          <w:lang w:val="zh-TW" w:eastAsia="zh-TW"/>
        </w:rPr>
      </w:pPr>
      <w:r>
        <w:rPr>
          <w:rStyle w:val="278"/>
          <w:rFonts w:hint="eastAsia" w:ascii="宋体" w:hAnsi="宋体" w:eastAsia="宋体" w:cs="宋体"/>
          <w:sz w:val="24"/>
          <w:szCs w:val="24"/>
          <w:lang w:val="en-US" w:eastAsia="zh-CN"/>
        </w:rPr>
        <w:t>九.</w:t>
      </w:r>
      <w:r>
        <w:rPr>
          <w:rStyle w:val="278"/>
          <w:rFonts w:ascii="宋体" w:hAnsi="宋体" w:eastAsia="宋体" w:cs="宋体"/>
          <w:sz w:val="24"/>
          <w:szCs w:val="24"/>
          <w:lang w:val="zh-TW" w:eastAsia="zh-TW"/>
        </w:rPr>
        <w:t>以联合体形式参加政府采购活动的，联合体各方不得再单独参加或者与其他供应商另外组成联合体参加同一合同项下的政府采购活动。</w:t>
      </w:r>
    </w:p>
    <w:p>
      <w:pPr>
        <w:pStyle w:val="189"/>
        <w:numPr>
          <w:ilvl w:val="0"/>
          <w:numId w:val="0"/>
        </w:numPr>
        <w:spacing w:line="360" w:lineRule="auto"/>
        <w:ind w:left="180" w:leftChars="0"/>
        <w:rPr>
          <w:rFonts w:ascii="宋体" w:hAnsi="宋体" w:eastAsia="宋体" w:cs="宋体"/>
          <w:sz w:val="24"/>
          <w:szCs w:val="24"/>
          <w:lang w:val="zh-TW" w:eastAsia="zh-TW"/>
        </w:rPr>
      </w:pPr>
      <w:r>
        <w:rPr>
          <w:rStyle w:val="278"/>
          <w:rFonts w:hint="eastAsia" w:ascii="宋体" w:hAnsi="宋体" w:eastAsia="宋体" w:cs="宋体"/>
          <w:sz w:val="24"/>
          <w:szCs w:val="24"/>
          <w:lang w:val="en-US" w:eastAsia="zh-CN"/>
        </w:rPr>
        <w:t>十．</w:t>
      </w:r>
      <w:r>
        <w:rPr>
          <w:rStyle w:val="278"/>
          <w:rFonts w:ascii="宋体" w:hAnsi="宋体" w:eastAsia="宋体" w:cs="宋体"/>
          <w:sz w:val="24"/>
          <w:szCs w:val="24"/>
          <w:lang w:val="zh-TW" w:eastAsia="zh-TW"/>
        </w:rPr>
        <w:t>其他约定（如有）：</w:t>
      </w:r>
      <w:r>
        <w:rPr>
          <w:rStyle w:val="278"/>
          <w:rFonts w:ascii="宋体" w:hAnsi="宋体" w:eastAsia="宋体" w:cs="宋体"/>
          <w:sz w:val="24"/>
          <w:szCs w:val="24"/>
        </w:rPr>
        <w:t>_______</w:t>
      </w:r>
      <w:r>
        <w:rPr>
          <w:rStyle w:val="278"/>
          <w:rFonts w:ascii="宋体" w:hAnsi="宋体" w:eastAsia="宋体" w:cs="宋体"/>
          <w:sz w:val="24"/>
          <w:szCs w:val="24"/>
          <w:lang w:val="zh-TW" w:eastAsia="zh-TW"/>
        </w:rPr>
        <w:t>。</w:t>
      </w:r>
    </w:p>
    <w:p>
      <w:pPr>
        <w:pStyle w:val="189"/>
        <w:tabs>
          <w:tab w:val="left" w:pos="780"/>
        </w:tabs>
        <w:spacing w:line="360" w:lineRule="auto"/>
        <w:ind w:firstLine="480"/>
        <w:rPr>
          <w:rFonts w:ascii="宋体" w:hAnsi="宋体" w:eastAsia="宋体"/>
        </w:rPr>
      </w:pPr>
      <w:r>
        <w:rPr>
          <w:rStyle w:val="278"/>
          <w:rFonts w:ascii="宋体" w:hAnsi="宋体" w:eastAsia="宋体" w:cs="宋体"/>
          <w:sz w:val="24"/>
          <w:szCs w:val="24"/>
          <w:lang w:val="zh-TW" w:eastAsia="zh-TW"/>
        </w:rPr>
        <w:t>本协议自各方盖章后生效，采购合同履行完毕后自动失效。如未中标，本协议自动终止。</w:t>
      </w:r>
      <w:r>
        <w:rPr>
          <w:rStyle w:val="278"/>
          <w:rFonts w:ascii="宋体" w:hAnsi="宋体" w:eastAsia="宋体" w:cs="宋体"/>
          <w:sz w:val="24"/>
          <w:szCs w:val="24"/>
        </w:rPr>
        <w:br w:type="page"/>
      </w:r>
    </w:p>
    <w:p>
      <w:pPr>
        <w:pStyle w:val="189"/>
        <w:spacing w:line="360" w:lineRule="auto"/>
        <w:ind w:firstLine="471"/>
        <w:rPr>
          <w:rStyle w:val="278"/>
          <w:rFonts w:ascii="宋体" w:hAnsi="宋体" w:eastAsia="宋体" w:cs="宋体"/>
          <w:sz w:val="24"/>
          <w:szCs w:val="24"/>
        </w:rPr>
      </w:pPr>
      <w:r>
        <w:rPr>
          <w:rStyle w:val="278"/>
          <w:rFonts w:ascii="宋体" w:hAnsi="宋体" w:eastAsia="宋体" w:cs="宋体"/>
          <w:sz w:val="24"/>
          <w:szCs w:val="24"/>
          <w:lang w:val="zh-TW" w:eastAsia="zh-TW"/>
        </w:rPr>
        <w:t>联合体牵头人名称：</w:t>
      </w:r>
      <w:r>
        <w:rPr>
          <w:rStyle w:val="278"/>
          <w:rFonts w:ascii="宋体" w:hAnsi="宋体" w:eastAsia="宋体" w:cs="宋体"/>
          <w:sz w:val="24"/>
          <w:szCs w:val="24"/>
        </w:rPr>
        <w:t>______</w:t>
      </w:r>
      <w:r>
        <w:rPr>
          <w:rStyle w:val="278"/>
          <w:rFonts w:ascii="宋体" w:hAnsi="宋体" w:eastAsia="宋体" w:cs="宋体"/>
          <w:sz w:val="24"/>
          <w:szCs w:val="24"/>
        </w:rPr>
        <w:tab/>
      </w:r>
      <w:r>
        <w:rPr>
          <w:rStyle w:val="278"/>
          <w:rFonts w:ascii="宋体" w:hAnsi="宋体" w:eastAsia="宋体" w:cs="宋体"/>
          <w:sz w:val="24"/>
          <w:szCs w:val="24"/>
        </w:rPr>
        <w:tab/>
      </w:r>
      <w:r>
        <w:rPr>
          <w:rStyle w:val="278"/>
          <w:rFonts w:ascii="宋体" w:hAnsi="宋体" w:eastAsia="宋体" w:cs="宋体"/>
          <w:sz w:val="24"/>
          <w:szCs w:val="24"/>
        </w:rPr>
        <w:tab/>
      </w:r>
      <w:r>
        <w:rPr>
          <w:rStyle w:val="278"/>
          <w:rFonts w:ascii="宋体" w:hAnsi="宋体" w:eastAsia="宋体" w:cs="宋体"/>
          <w:sz w:val="24"/>
          <w:szCs w:val="24"/>
        </w:rPr>
        <w:tab/>
      </w:r>
      <w:r>
        <w:rPr>
          <w:rStyle w:val="278"/>
          <w:rFonts w:ascii="宋体" w:hAnsi="宋体" w:eastAsia="宋体" w:cs="宋体"/>
          <w:sz w:val="24"/>
          <w:szCs w:val="24"/>
        </w:rPr>
        <w:tab/>
      </w:r>
      <w:r>
        <w:rPr>
          <w:rStyle w:val="278"/>
          <w:rFonts w:ascii="宋体" w:hAnsi="宋体" w:eastAsia="宋体" w:cs="宋体"/>
          <w:sz w:val="24"/>
          <w:szCs w:val="24"/>
        </w:rPr>
        <w:t xml:space="preserve"> </w:t>
      </w:r>
      <w:r>
        <w:rPr>
          <w:rStyle w:val="278"/>
          <w:rFonts w:ascii="宋体" w:hAnsi="宋体" w:eastAsia="宋体" w:cs="宋体"/>
          <w:sz w:val="24"/>
          <w:szCs w:val="24"/>
          <w:lang w:val="zh-TW" w:eastAsia="zh-TW"/>
        </w:rPr>
        <w:t>联合体成员名称：</w:t>
      </w:r>
      <w:r>
        <w:rPr>
          <w:rStyle w:val="278"/>
          <w:rFonts w:ascii="宋体" w:hAnsi="宋体" w:eastAsia="宋体" w:cs="宋体"/>
          <w:sz w:val="24"/>
          <w:szCs w:val="24"/>
        </w:rPr>
        <w:t>______</w:t>
      </w:r>
    </w:p>
    <w:p>
      <w:pPr>
        <w:pStyle w:val="189"/>
        <w:spacing w:line="360" w:lineRule="auto"/>
        <w:ind w:firstLine="471"/>
        <w:rPr>
          <w:rStyle w:val="278"/>
          <w:rFonts w:ascii="宋体" w:hAnsi="宋体" w:eastAsia="宋体" w:cs="宋体"/>
          <w:sz w:val="24"/>
          <w:szCs w:val="24"/>
        </w:rPr>
      </w:pPr>
      <w:r>
        <w:rPr>
          <w:rStyle w:val="278"/>
          <w:rFonts w:ascii="宋体" w:hAnsi="宋体" w:eastAsia="宋体" w:cs="宋体"/>
          <w:sz w:val="24"/>
          <w:szCs w:val="24"/>
          <w:lang w:val="zh-TW" w:eastAsia="zh-TW"/>
        </w:rPr>
        <w:t>盖章：</w:t>
      </w:r>
      <w:r>
        <w:rPr>
          <w:rStyle w:val="278"/>
          <w:rFonts w:ascii="宋体" w:hAnsi="宋体" w:eastAsia="宋体" w:cs="宋体"/>
          <w:sz w:val="24"/>
          <w:szCs w:val="24"/>
        </w:rPr>
        <w:t>______</w:t>
      </w:r>
      <w:r>
        <w:rPr>
          <w:rStyle w:val="278"/>
          <w:rFonts w:ascii="宋体" w:hAnsi="宋体" w:eastAsia="宋体" w:cs="宋体"/>
          <w:sz w:val="24"/>
          <w:szCs w:val="24"/>
          <w:lang w:val="zh-TW" w:eastAsia="zh-TW"/>
        </w:rPr>
        <w:t xml:space="preserve">                           盖章：</w:t>
      </w:r>
      <w:r>
        <w:rPr>
          <w:rStyle w:val="278"/>
          <w:rFonts w:ascii="宋体" w:hAnsi="宋体" w:eastAsia="宋体" w:cs="宋体"/>
          <w:sz w:val="24"/>
          <w:szCs w:val="24"/>
        </w:rPr>
        <w:t>______</w:t>
      </w:r>
    </w:p>
    <w:p>
      <w:pPr>
        <w:pStyle w:val="189"/>
        <w:spacing w:line="360" w:lineRule="auto"/>
        <w:ind w:firstLine="471"/>
        <w:rPr>
          <w:rStyle w:val="278"/>
          <w:rFonts w:ascii="宋体" w:hAnsi="宋体" w:eastAsia="宋体" w:cs="宋体"/>
          <w:sz w:val="24"/>
          <w:szCs w:val="24"/>
        </w:rPr>
      </w:pPr>
    </w:p>
    <w:p>
      <w:pPr>
        <w:pStyle w:val="189"/>
        <w:spacing w:line="360" w:lineRule="auto"/>
        <w:ind w:firstLine="471"/>
        <w:rPr>
          <w:rStyle w:val="278"/>
          <w:rFonts w:ascii="宋体" w:hAnsi="宋体" w:eastAsia="宋体" w:cs="宋体"/>
          <w:sz w:val="24"/>
          <w:szCs w:val="24"/>
        </w:rPr>
      </w:pPr>
    </w:p>
    <w:p>
      <w:pPr>
        <w:pStyle w:val="189"/>
        <w:spacing w:line="360" w:lineRule="auto"/>
        <w:ind w:firstLine="471"/>
        <w:rPr>
          <w:rStyle w:val="278"/>
          <w:rFonts w:ascii="宋体" w:hAnsi="宋体" w:eastAsia="宋体" w:cs="宋体"/>
          <w:sz w:val="24"/>
          <w:szCs w:val="24"/>
        </w:rPr>
      </w:pPr>
      <w:r>
        <w:rPr>
          <w:rStyle w:val="278"/>
          <w:rFonts w:ascii="宋体" w:hAnsi="宋体" w:eastAsia="宋体" w:cs="宋体"/>
          <w:sz w:val="24"/>
          <w:szCs w:val="24"/>
          <w:lang w:val="zh-TW" w:eastAsia="zh-TW"/>
        </w:rPr>
        <w:t>联合体成员名称：</w:t>
      </w:r>
      <w:r>
        <w:rPr>
          <w:rStyle w:val="278"/>
          <w:rFonts w:ascii="宋体" w:hAnsi="宋体" w:eastAsia="宋体" w:cs="宋体"/>
          <w:sz w:val="24"/>
          <w:szCs w:val="24"/>
        </w:rPr>
        <w:t>______</w:t>
      </w:r>
    </w:p>
    <w:p>
      <w:pPr>
        <w:pStyle w:val="189"/>
        <w:spacing w:line="360" w:lineRule="auto"/>
        <w:ind w:firstLine="471"/>
        <w:rPr>
          <w:rStyle w:val="278"/>
          <w:rFonts w:ascii="宋体" w:hAnsi="宋体" w:eastAsia="宋体" w:cs="宋体"/>
          <w:sz w:val="24"/>
          <w:szCs w:val="24"/>
        </w:rPr>
      </w:pPr>
      <w:r>
        <w:rPr>
          <w:rStyle w:val="278"/>
          <w:rFonts w:ascii="宋体" w:hAnsi="宋体" w:eastAsia="宋体" w:cs="宋体"/>
          <w:sz w:val="24"/>
          <w:szCs w:val="24"/>
          <w:lang w:val="zh-TW" w:eastAsia="zh-TW"/>
        </w:rPr>
        <w:t>盖章：</w:t>
      </w:r>
      <w:r>
        <w:rPr>
          <w:rStyle w:val="278"/>
          <w:rFonts w:ascii="宋体" w:hAnsi="宋体" w:eastAsia="宋体" w:cs="宋体"/>
          <w:sz w:val="24"/>
          <w:szCs w:val="24"/>
        </w:rPr>
        <w:t xml:space="preserve">______                                </w:t>
      </w:r>
    </w:p>
    <w:p>
      <w:pPr>
        <w:pStyle w:val="189"/>
        <w:spacing w:line="360" w:lineRule="auto"/>
        <w:ind w:firstLine="471"/>
        <w:rPr>
          <w:rStyle w:val="278"/>
          <w:rFonts w:ascii="宋体" w:hAnsi="宋体" w:eastAsia="宋体" w:cs="宋体"/>
          <w:sz w:val="24"/>
          <w:szCs w:val="24"/>
        </w:rPr>
      </w:pPr>
    </w:p>
    <w:p>
      <w:pPr>
        <w:pStyle w:val="189"/>
        <w:spacing w:line="360" w:lineRule="auto"/>
        <w:ind w:firstLine="471"/>
        <w:rPr>
          <w:rStyle w:val="278"/>
          <w:rFonts w:ascii="宋体" w:hAnsi="宋体" w:eastAsia="宋体" w:cs="宋体"/>
          <w:sz w:val="24"/>
          <w:szCs w:val="24"/>
        </w:rPr>
      </w:pPr>
    </w:p>
    <w:p>
      <w:pPr>
        <w:pStyle w:val="189"/>
        <w:spacing w:line="360" w:lineRule="auto"/>
        <w:ind w:left="480"/>
        <w:jc w:val="right"/>
        <w:rPr>
          <w:rStyle w:val="278"/>
          <w:rFonts w:ascii="宋体" w:hAnsi="宋体" w:eastAsia="宋体" w:cs="宋体"/>
          <w:sz w:val="24"/>
          <w:szCs w:val="24"/>
        </w:rPr>
      </w:pPr>
    </w:p>
    <w:p>
      <w:pPr>
        <w:pStyle w:val="189"/>
        <w:spacing w:line="360" w:lineRule="auto"/>
        <w:ind w:left="480"/>
        <w:jc w:val="right"/>
        <w:rPr>
          <w:rStyle w:val="278"/>
          <w:rFonts w:ascii="宋体" w:hAnsi="宋体" w:eastAsia="宋体" w:cs="宋体"/>
          <w:sz w:val="24"/>
          <w:szCs w:val="24"/>
        </w:rPr>
      </w:pPr>
      <w:r>
        <w:rPr>
          <w:rStyle w:val="278"/>
          <w:rFonts w:ascii="宋体" w:hAnsi="宋体" w:eastAsia="宋体" w:cs="宋体"/>
          <w:sz w:val="24"/>
          <w:szCs w:val="24"/>
          <w:lang w:val="zh-TW" w:eastAsia="zh-TW"/>
        </w:rPr>
        <w:t>日期：</w:t>
      </w:r>
      <w:r>
        <w:rPr>
          <w:rStyle w:val="278"/>
          <w:rFonts w:ascii="宋体" w:hAnsi="宋体" w:eastAsia="宋体" w:cs="宋体"/>
          <w:sz w:val="24"/>
          <w:szCs w:val="24"/>
        </w:rPr>
        <w:t>_____</w:t>
      </w:r>
      <w:r>
        <w:rPr>
          <w:rStyle w:val="278"/>
          <w:rFonts w:ascii="宋体" w:hAnsi="宋体" w:eastAsia="宋体" w:cs="宋体"/>
          <w:sz w:val="24"/>
          <w:szCs w:val="24"/>
          <w:lang w:val="zh-TW" w:eastAsia="zh-TW"/>
        </w:rPr>
        <w:t>年</w:t>
      </w:r>
      <w:r>
        <w:rPr>
          <w:rStyle w:val="278"/>
          <w:rFonts w:ascii="宋体" w:hAnsi="宋体" w:eastAsia="宋体" w:cs="宋体"/>
          <w:sz w:val="24"/>
          <w:szCs w:val="24"/>
        </w:rPr>
        <w:t>______</w:t>
      </w:r>
      <w:r>
        <w:rPr>
          <w:rStyle w:val="278"/>
          <w:rFonts w:ascii="宋体" w:hAnsi="宋体" w:eastAsia="宋体" w:cs="宋体"/>
          <w:sz w:val="24"/>
          <w:szCs w:val="24"/>
          <w:lang w:val="zh-TW" w:eastAsia="zh-TW"/>
        </w:rPr>
        <w:t>月</w:t>
      </w:r>
      <w:r>
        <w:rPr>
          <w:rStyle w:val="278"/>
          <w:rFonts w:ascii="宋体" w:hAnsi="宋体" w:eastAsia="宋体" w:cs="宋体"/>
          <w:sz w:val="24"/>
          <w:szCs w:val="24"/>
        </w:rPr>
        <w:t>______</w:t>
      </w:r>
      <w:r>
        <w:rPr>
          <w:rStyle w:val="278"/>
          <w:rFonts w:ascii="宋体" w:hAnsi="宋体" w:eastAsia="宋体" w:cs="宋体"/>
          <w:sz w:val="24"/>
          <w:szCs w:val="24"/>
          <w:lang w:val="zh-TW" w:eastAsia="zh-TW"/>
        </w:rPr>
        <w:t>日</w:t>
      </w:r>
    </w:p>
    <w:p>
      <w:pPr>
        <w:pStyle w:val="189"/>
        <w:spacing w:line="360" w:lineRule="auto"/>
        <w:ind w:left="480"/>
        <w:jc w:val="right"/>
        <w:rPr>
          <w:rStyle w:val="278"/>
          <w:rFonts w:ascii="宋体" w:hAnsi="宋体" w:eastAsia="宋体" w:cs="宋体"/>
          <w:b/>
          <w:bCs/>
          <w:sz w:val="24"/>
          <w:szCs w:val="24"/>
        </w:rPr>
      </w:pPr>
    </w:p>
    <w:p>
      <w:pPr>
        <w:pStyle w:val="189"/>
        <w:tabs>
          <w:tab w:val="left" w:pos="8280"/>
        </w:tabs>
        <w:spacing w:line="360" w:lineRule="auto"/>
        <w:ind w:firstLine="480"/>
        <w:rPr>
          <w:rStyle w:val="278"/>
          <w:rFonts w:ascii="宋体" w:hAnsi="宋体" w:eastAsia="宋体" w:cs="宋体"/>
          <w:sz w:val="24"/>
          <w:szCs w:val="24"/>
        </w:rPr>
      </w:pPr>
    </w:p>
    <w:p>
      <w:pPr>
        <w:pStyle w:val="189"/>
        <w:tabs>
          <w:tab w:val="left" w:pos="8280"/>
        </w:tabs>
        <w:spacing w:line="360" w:lineRule="auto"/>
        <w:ind w:firstLine="480"/>
        <w:rPr>
          <w:rStyle w:val="278"/>
          <w:rFonts w:ascii="宋体" w:hAnsi="宋体" w:eastAsia="宋体" w:cs="宋体"/>
          <w:sz w:val="24"/>
          <w:szCs w:val="24"/>
        </w:rPr>
      </w:pPr>
    </w:p>
    <w:p>
      <w:pPr>
        <w:widowControl/>
        <w:spacing w:line="360" w:lineRule="auto"/>
        <w:jc w:val="left"/>
        <w:outlineLvl w:val="9"/>
        <w:rPr>
          <w:rStyle w:val="278"/>
          <w:rFonts w:ascii="宋体" w:hAnsi="宋体" w:cs="宋体"/>
          <w:sz w:val="24"/>
          <w:lang w:val="zh-TW" w:eastAsia="zh-TW"/>
        </w:rPr>
      </w:pPr>
      <w:r>
        <w:rPr>
          <w:rStyle w:val="278"/>
          <w:rFonts w:ascii="宋体" w:hAnsi="宋体" w:cs="宋体"/>
          <w:sz w:val="24"/>
          <w:lang w:val="zh-TW" w:eastAsia="zh-TW"/>
        </w:rPr>
        <w:t>注：</w:t>
      </w:r>
    </w:p>
    <w:p>
      <w:pPr>
        <w:widowControl/>
        <w:spacing w:line="360" w:lineRule="auto"/>
        <w:jc w:val="left"/>
        <w:outlineLvl w:val="9"/>
        <w:rPr>
          <w:spacing w:val="-7"/>
          <w:sz w:val="24"/>
          <w:szCs w:val="24"/>
        </w:rPr>
      </w:pPr>
      <w:r>
        <w:rPr>
          <w:rStyle w:val="278"/>
          <w:rFonts w:hint="eastAsia" w:ascii="宋体" w:hAnsi="宋体" w:cs="宋体"/>
          <w:sz w:val="24"/>
          <w:lang w:val="en-US" w:eastAsia="zh-CN"/>
        </w:rPr>
        <w:t>1、</w:t>
      </w:r>
      <w:r>
        <w:rPr>
          <w:spacing w:val="2"/>
          <w:sz w:val="24"/>
          <w:szCs w:val="24"/>
        </w:rPr>
        <w:t>如本项目（包）接受供应商以联合体形式参加采购活动，且供应商以联</w:t>
      </w:r>
      <w:r>
        <w:rPr>
          <w:spacing w:val="1"/>
          <w:sz w:val="24"/>
          <w:szCs w:val="24"/>
        </w:rPr>
        <w:t>合体形</w:t>
      </w:r>
      <w:r>
        <w:rPr>
          <w:spacing w:val="-7"/>
          <w:sz w:val="24"/>
          <w:szCs w:val="24"/>
        </w:rPr>
        <w:t>式参与时，须提供《联合协议》，否则</w:t>
      </w:r>
      <w:r>
        <w:rPr>
          <w:b/>
          <w:bCs/>
          <w:spacing w:val="-7"/>
          <w:sz w:val="24"/>
          <w:szCs w:val="24"/>
        </w:rPr>
        <w:t>投标无效</w:t>
      </w:r>
      <w:r>
        <w:rPr>
          <w:spacing w:val="-7"/>
          <w:sz w:val="24"/>
          <w:szCs w:val="24"/>
        </w:rPr>
        <w:t>。</w:t>
      </w:r>
    </w:p>
    <w:p>
      <w:pPr>
        <w:widowControl/>
        <w:spacing w:line="360" w:lineRule="auto"/>
        <w:jc w:val="left"/>
        <w:outlineLvl w:val="9"/>
        <w:rPr>
          <w:spacing w:val="-7"/>
          <w:sz w:val="24"/>
          <w:szCs w:val="24"/>
        </w:rPr>
      </w:pPr>
      <w:r>
        <w:rPr>
          <w:rFonts w:hint="eastAsia"/>
          <w:spacing w:val="-2"/>
          <w:sz w:val="24"/>
          <w:szCs w:val="24"/>
          <w:lang w:val="en-US" w:eastAsia="zh-CN"/>
        </w:rPr>
        <w:t>2、</w:t>
      </w:r>
      <w:r>
        <w:rPr>
          <w:spacing w:val="-2"/>
          <w:sz w:val="24"/>
          <w:szCs w:val="24"/>
        </w:rPr>
        <w:t>联合体各方成员需在本协议上共同盖章。</w:t>
      </w:r>
    </w:p>
    <w:p>
      <w:pPr>
        <w:pStyle w:val="42"/>
        <w:ind w:firstLine="480"/>
      </w:pPr>
      <w:r>
        <w:br w:type="page"/>
      </w:r>
    </w:p>
    <w:p>
      <w:pPr>
        <w:spacing w:line="360" w:lineRule="auto"/>
        <w:rPr>
          <w:rFonts w:ascii="宋体" w:hAnsi="宋体" w:eastAsia="PMingLiU" w:cs="宋体"/>
          <w:b/>
          <w:bCs/>
          <w:sz w:val="24"/>
          <w:lang w:val="zh-TW" w:eastAsia="zh-TW"/>
        </w:rPr>
      </w:pPr>
      <w:bookmarkStart w:id="814" w:name="_Toc110006884"/>
      <w:r>
        <w:rPr>
          <w:rStyle w:val="278"/>
          <w:rFonts w:ascii="宋体" w:hAnsi="宋体" w:cs="宋体"/>
          <w:b/>
          <w:bCs/>
          <w:sz w:val="24"/>
        </w:rPr>
        <w:t>3-3</w:t>
      </w:r>
      <w:r>
        <w:rPr>
          <w:rStyle w:val="278"/>
          <w:rFonts w:ascii="宋体" w:hAnsi="宋体" w:cs="宋体"/>
          <w:b/>
          <w:bCs/>
          <w:sz w:val="24"/>
          <w:lang w:val="zh-TW" w:eastAsia="zh-TW"/>
        </w:rPr>
        <w:t>其他特定资格要求</w:t>
      </w:r>
      <w:bookmarkEnd w:id="814"/>
      <w:r>
        <w:rPr>
          <w:rStyle w:val="278"/>
          <w:rFonts w:ascii="宋体" w:hAnsi="宋体" w:cs="宋体"/>
          <w:b/>
          <w:bCs/>
          <w:sz w:val="24"/>
          <w:lang w:val="zh-TW" w:eastAsia="zh-TW"/>
        </w:rPr>
        <w:t>：如有</w:t>
      </w:r>
    </w:p>
    <w:p>
      <w:pPr>
        <w:rPr>
          <w:rFonts w:ascii="宋体"/>
          <w:sz w:val="24"/>
          <w:szCs w:val="20"/>
        </w:rPr>
      </w:pPr>
      <w:r>
        <w:rPr>
          <w:rFonts w:ascii="宋体"/>
          <w:sz w:val="24"/>
          <w:szCs w:val="20"/>
        </w:rPr>
        <w:br w:type="page"/>
      </w:r>
    </w:p>
    <w:p>
      <w:pPr>
        <w:pStyle w:val="37"/>
      </w:pPr>
    </w:p>
    <w:p>
      <w:pPr>
        <w:pStyle w:val="189"/>
        <w:spacing w:line="360" w:lineRule="auto"/>
        <w:outlineLvl w:val="2"/>
        <w:rPr>
          <w:rStyle w:val="278"/>
          <w:rFonts w:ascii="宋体" w:hAnsi="宋体" w:eastAsia="宋体" w:cs="宋体"/>
          <w:b/>
          <w:bCs/>
          <w:sz w:val="24"/>
          <w:szCs w:val="24"/>
        </w:rPr>
      </w:pPr>
      <w:bookmarkStart w:id="815" w:name="_Toc110006885"/>
      <w:r>
        <w:rPr>
          <w:rStyle w:val="278"/>
          <w:rFonts w:ascii="宋体" w:hAnsi="宋体" w:eastAsia="宋体" w:cs="宋体"/>
          <w:b/>
          <w:bCs/>
          <w:sz w:val="24"/>
          <w:szCs w:val="24"/>
        </w:rPr>
        <w:t xml:space="preserve">4 </w:t>
      </w:r>
      <w:r>
        <w:rPr>
          <w:rStyle w:val="278"/>
          <w:rFonts w:ascii="宋体" w:hAnsi="宋体" w:eastAsia="宋体" w:cs="宋体"/>
          <w:b/>
          <w:bCs/>
          <w:sz w:val="24"/>
          <w:szCs w:val="24"/>
          <w:lang w:val="zh-TW" w:eastAsia="zh-TW"/>
        </w:rPr>
        <w:t>投标保证金凭证</w:t>
      </w:r>
      <w:r>
        <w:rPr>
          <w:rStyle w:val="278"/>
          <w:rFonts w:ascii="宋体" w:hAnsi="宋体" w:eastAsia="宋体" w:cs="宋体"/>
          <w:b/>
          <w:bCs/>
          <w:sz w:val="24"/>
          <w:szCs w:val="24"/>
        </w:rPr>
        <w:t>/</w:t>
      </w:r>
      <w:r>
        <w:rPr>
          <w:rStyle w:val="278"/>
          <w:rFonts w:ascii="宋体" w:hAnsi="宋体" w:eastAsia="宋体" w:cs="宋体"/>
          <w:b/>
          <w:bCs/>
          <w:sz w:val="24"/>
          <w:szCs w:val="24"/>
          <w:lang w:val="zh-TW" w:eastAsia="zh-TW"/>
        </w:rPr>
        <w:t>交款单据电子件</w:t>
      </w:r>
      <w:bookmarkEnd w:id="815"/>
      <w:r>
        <w:rPr>
          <w:rStyle w:val="278"/>
          <w:rFonts w:ascii="宋体" w:hAnsi="宋体" w:eastAsia="宋体" w:cs="宋体"/>
          <w:b/>
          <w:bCs/>
          <w:sz w:val="24"/>
          <w:szCs w:val="24"/>
          <w:lang w:val="zh-TW" w:eastAsia="zh-TW"/>
        </w:rPr>
        <w:t>（复印件加盖投标人公章）</w:t>
      </w:r>
    </w:p>
    <w:p>
      <w:r>
        <w:br w:type="page"/>
      </w:r>
    </w:p>
    <w:p>
      <w:pPr>
        <w:pStyle w:val="37"/>
      </w:pPr>
    </w:p>
    <w:p>
      <w:pPr>
        <w:keepNext/>
        <w:keepLines/>
        <w:autoSpaceDE w:val="0"/>
        <w:autoSpaceDN w:val="0"/>
        <w:adjustRightInd w:val="0"/>
        <w:spacing w:before="120" w:line="300" w:lineRule="auto"/>
        <w:jc w:val="left"/>
        <w:outlineLvl w:val="1"/>
        <w:rPr>
          <w:rFonts w:ascii="宋体"/>
          <w:b/>
          <w:spacing w:val="20"/>
          <w:sz w:val="24"/>
        </w:rPr>
      </w:pPr>
      <w:r>
        <w:rPr>
          <w:rFonts w:hint="eastAsia" w:ascii="宋体" w:hAnsi="宋体"/>
          <w:b/>
          <w:spacing w:val="20"/>
          <w:sz w:val="24"/>
        </w:rPr>
        <w:t>二、商务技术文件格式</w:t>
      </w:r>
    </w:p>
    <w:p>
      <w:pPr>
        <w:rPr>
          <w:rFonts w:ascii="宋体"/>
          <w:b/>
          <w:spacing w:val="20"/>
          <w:szCs w:val="21"/>
        </w:rPr>
      </w:pPr>
    </w:p>
    <w:p>
      <w:pPr>
        <w:rPr>
          <w:rFonts w:ascii="宋体"/>
          <w:b/>
          <w:sz w:val="24"/>
        </w:rPr>
      </w:pPr>
      <w:r>
        <w:rPr>
          <w:rFonts w:hint="eastAsia" w:ascii="宋体" w:hAnsi="宋体"/>
          <w:b/>
          <w:spacing w:val="20"/>
          <w:sz w:val="24"/>
        </w:rPr>
        <w:t>投标文件（商务技术文件）</w:t>
      </w:r>
      <w:r>
        <w:rPr>
          <w:rFonts w:hint="eastAsia" w:ascii="宋体" w:hAnsi="宋体"/>
          <w:b/>
          <w:sz w:val="24"/>
        </w:rPr>
        <w:t>封面（非实质性格式）</w:t>
      </w:r>
    </w:p>
    <w:p>
      <w:pPr>
        <w:jc w:val="center"/>
        <w:rPr>
          <w:rFonts w:ascii="宋体"/>
          <w:szCs w:val="21"/>
        </w:rPr>
      </w:pPr>
    </w:p>
    <w:p>
      <w:pPr>
        <w:jc w:val="center"/>
        <w:rPr>
          <w:rFonts w:ascii="宋体"/>
          <w:b/>
          <w:spacing w:val="60"/>
          <w:sz w:val="84"/>
          <w:szCs w:val="84"/>
        </w:rPr>
      </w:pPr>
      <w:r>
        <w:rPr>
          <w:rFonts w:hint="eastAsia" w:ascii="宋体" w:hAnsi="宋体"/>
          <w:b/>
          <w:spacing w:val="60"/>
          <w:sz w:val="84"/>
          <w:szCs w:val="84"/>
        </w:rPr>
        <w:t>投</w:t>
      </w:r>
      <w:r>
        <w:rPr>
          <w:rFonts w:ascii="宋体" w:hAnsi="宋体"/>
          <w:b/>
          <w:spacing w:val="60"/>
          <w:sz w:val="84"/>
          <w:szCs w:val="84"/>
        </w:rPr>
        <w:t xml:space="preserve"> </w:t>
      </w:r>
      <w:r>
        <w:rPr>
          <w:rFonts w:hint="eastAsia" w:ascii="宋体" w:hAnsi="宋体"/>
          <w:b/>
          <w:spacing w:val="60"/>
          <w:sz w:val="84"/>
          <w:szCs w:val="84"/>
        </w:rPr>
        <w:t>标</w:t>
      </w:r>
      <w:r>
        <w:rPr>
          <w:rFonts w:ascii="宋体" w:hAnsi="宋体"/>
          <w:b/>
          <w:spacing w:val="60"/>
          <w:sz w:val="84"/>
          <w:szCs w:val="84"/>
        </w:rPr>
        <w:t xml:space="preserve"> </w:t>
      </w:r>
      <w:r>
        <w:rPr>
          <w:rFonts w:hint="eastAsia" w:ascii="宋体" w:hAnsi="宋体"/>
          <w:b/>
          <w:spacing w:val="60"/>
          <w:sz w:val="84"/>
          <w:szCs w:val="84"/>
        </w:rPr>
        <w:t>文</w:t>
      </w:r>
      <w:r>
        <w:rPr>
          <w:rFonts w:ascii="宋体" w:hAnsi="宋体"/>
          <w:b/>
          <w:spacing w:val="60"/>
          <w:sz w:val="84"/>
          <w:szCs w:val="84"/>
        </w:rPr>
        <w:t xml:space="preserve"> </w:t>
      </w:r>
      <w:r>
        <w:rPr>
          <w:rFonts w:hint="eastAsia" w:ascii="宋体" w:hAnsi="宋体"/>
          <w:b/>
          <w:spacing w:val="60"/>
          <w:sz w:val="84"/>
          <w:szCs w:val="84"/>
        </w:rPr>
        <w:t>件</w:t>
      </w:r>
    </w:p>
    <w:p>
      <w:pPr>
        <w:jc w:val="center"/>
        <w:rPr>
          <w:rFonts w:ascii="宋体"/>
          <w:b/>
          <w:spacing w:val="60"/>
          <w:sz w:val="52"/>
          <w:szCs w:val="52"/>
        </w:rPr>
      </w:pPr>
      <w:r>
        <w:rPr>
          <w:rFonts w:hint="eastAsia" w:ascii="宋体" w:hAnsi="宋体"/>
          <w:b/>
          <w:spacing w:val="60"/>
          <w:sz w:val="52"/>
          <w:szCs w:val="52"/>
        </w:rPr>
        <w:t>（商务技术文件）</w:t>
      </w:r>
    </w:p>
    <w:p>
      <w:pPr>
        <w:ind w:firstLine="542" w:firstLineChars="150"/>
        <w:rPr>
          <w:rFonts w:ascii="宋体"/>
          <w:b/>
          <w:spacing w:val="20"/>
          <w:sz w:val="32"/>
          <w:szCs w:val="32"/>
        </w:rPr>
      </w:pPr>
    </w:p>
    <w:p>
      <w:pPr>
        <w:ind w:firstLine="542" w:firstLineChars="150"/>
        <w:rPr>
          <w:rFonts w:ascii="宋体"/>
          <w:b/>
          <w:spacing w:val="20"/>
          <w:sz w:val="32"/>
          <w:szCs w:val="32"/>
        </w:rPr>
      </w:pPr>
    </w:p>
    <w:p>
      <w:pPr>
        <w:pStyle w:val="37"/>
      </w:pPr>
    </w:p>
    <w:p>
      <w:pPr>
        <w:ind w:firstLine="542" w:firstLineChars="150"/>
        <w:rPr>
          <w:rFonts w:ascii="宋体" w:hAnsi="宋体"/>
          <w:b/>
          <w:spacing w:val="20"/>
          <w:sz w:val="32"/>
          <w:szCs w:val="32"/>
        </w:rPr>
      </w:pPr>
      <w:r>
        <w:rPr>
          <w:rFonts w:hint="eastAsia" w:ascii="宋体" w:hAnsi="宋体"/>
          <w:b/>
          <w:spacing w:val="20"/>
          <w:sz w:val="32"/>
          <w:szCs w:val="32"/>
        </w:rPr>
        <w:t>项目名称</w:t>
      </w:r>
      <w:r>
        <w:rPr>
          <w:rFonts w:ascii="宋体" w:hAnsi="宋体"/>
          <w:b/>
          <w:spacing w:val="20"/>
          <w:sz w:val="32"/>
          <w:szCs w:val="32"/>
        </w:rPr>
        <w:t>:</w:t>
      </w:r>
    </w:p>
    <w:p>
      <w:pPr>
        <w:pStyle w:val="37"/>
      </w:pPr>
    </w:p>
    <w:p>
      <w:pPr>
        <w:ind w:firstLine="542" w:firstLineChars="150"/>
        <w:rPr>
          <w:rFonts w:ascii="宋体"/>
          <w:b/>
          <w:spacing w:val="20"/>
          <w:sz w:val="32"/>
          <w:szCs w:val="32"/>
        </w:rPr>
      </w:pPr>
      <w:r>
        <w:rPr>
          <w:rFonts w:hint="eastAsia" w:ascii="宋体" w:hAnsi="宋体"/>
          <w:b/>
          <w:spacing w:val="20"/>
          <w:sz w:val="32"/>
          <w:szCs w:val="32"/>
        </w:rPr>
        <w:t>项目代理编号/</w:t>
      </w:r>
      <w:r>
        <w:rPr>
          <w:rFonts w:ascii="宋体" w:hAnsi="宋体"/>
          <w:b/>
          <w:spacing w:val="20"/>
          <w:sz w:val="32"/>
          <w:szCs w:val="32"/>
        </w:rPr>
        <w:t>包号</w:t>
      </w:r>
      <w:r>
        <w:rPr>
          <w:rFonts w:hint="eastAsia" w:ascii="宋体" w:hAnsi="宋体"/>
          <w:b/>
          <w:spacing w:val="20"/>
          <w:sz w:val="32"/>
          <w:szCs w:val="32"/>
        </w:rPr>
        <w:t>：</w:t>
      </w:r>
    </w:p>
    <w:p>
      <w:pPr>
        <w:ind w:firstLine="542" w:firstLineChars="150"/>
        <w:rPr>
          <w:rFonts w:ascii="宋体"/>
          <w:b/>
          <w:spacing w:val="20"/>
          <w:sz w:val="32"/>
          <w:szCs w:val="32"/>
        </w:rPr>
      </w:pPr>
    </w:p>
    <w:p>
      <w:pPr>
        <w:ind w:firstLine="542" w:firstLineChars="150"/>
        <w:rPr>
          <w:rFonts w:ascii="宋体"/>
          <w:b/>
          <w:spacing w:val="20"/>
          <w:sz w:val="32"/>
          <w:szCs w:val="32"/>
        </w:rPr>
      </w:pPr>
    </w:p>
    <w:p>
      <w:pPr>
        <w:jc w:val="center"/>
        <w:rPr>
          <w:rFonts w:ascii="宋体"/>
          <w:b/>
          <w:sz w:val="32"/>
          <w:szCs w:val="32"/>
        </w:rPr>
      </w:pPr>
    </w:p>
    <w:p>
      <w:pPr>
        <w:jc w:val="center"/>
        <w:rPr>
          <w:rFonts w:ascii="宋体"/>
          <w:b/>
          <w:sz w:val="32"/>
          <w:szCs w:val="32"/>
        </w:rPr>
      </w:pPr>
    </w:p>
    <w:p>
      <w:pPr>
        <w:jc w:val="center"/>
        <w:rPr>
          <w:rFonts w:ascii="宋体"/>
          <w:b/>
          <w:sz w:val="32"/>
          <w:szCs w:val="32"/>
        </w:rPr>
      </w:pPr>
    </w:p>
    <w:p>
      <w:pPr>
        <w:jc w:val="center"/>
        <w:rPr>
          <w:rFonts w:ascii="宋体"/>
          <w:b/>
          <w:spacing w:val="20"/>
          <w:sz w:val="32"/>
          <w:szCs w:val="32"/>
        </w:rPr>
      </w:pPr>
    </w:p>
    <w:p>
      <w:pPr>
        <w:jc w:val="center"/>
        <w:rPr>
          <w:rFonts w:ascii="宋体"/>
          <w:b/>
          <w:spacing w:val="20"/>
          <w:sz w:val="32"/>
          <w:szCs w:val="32"/>
        </w:rPr>
      </w:pPr>
    </w:p>
    <w:p>
      <w:pPr>
        <w:jc w:val="center"/>
        <w:rPr>
          <w:rFonts w:ascii="宋体"/>
          <w:b/>
          <w:spacing w:val="20"/>
          <w:sz w:val="32"/>
          <w:szCs w:val="32"/>
        </w:rPr>
      </w:pPr>
    </w:p>
    <w:p>
      <w:pPr>
        <w:spacing w:line="360" w:lineRule="auto"/>
        <w:ind w:firstLine="1445" w:firstLineChars="400"/>
        <w:jc w:val="left"/>
        <w:rPr>
          <w:rFonts w:ascii="宋体"/>
          <w:b/>
          <w:spacing w:val="20"/>
          <w:sz w:val="32"/>
          <w:szCs w:val="32"/>
        </w:rPr>
      </w:pPr>
      <w:r>
        <w:rPr>
          <w:rFonts w:hint="eastAsia" w:ascii="宋体" w:hAnsi="宋体"/>
          <w:b/>
          <w:spacing w:val="20"/>
          <w:sz w:val="32"/>
          <w:szCs w:val="32"/>
        </w:rPr>
        <w:t>投标人名称：</w:t>
      </w:r>
    </w:p>
    <w:p>
      <w:pPr>
        <w:jc w:val="center"/>
        <w:rPr>
          <w:rFonts w:ascii="宋体"/>
          <w:b/>
          <w:sz w:val="32"/>
          <w:szCs w:val="32"/>
        </w:rPr>
      </w:pPr>
    </w:p>
    <w:p>
      <w:pPr>
        <w:widowControl/>
        <w:jc w:val="left"/>
        <w:rPr>
          <w:rFonts w:ascii="宋体"/>
          <w:b/>
          <w:sz w:val="24"/>
        </w:rPr>
      </w:pPr>
      <w:r>
        <w:rPr>
          <w:rFonts w:ascii="宋体"/>
          <w:b/>
          <w:sz w:val="24"/>
        </w:rPr>
        <w:br w:type="page"/>
      </w:r>
    </w:p>
    <w:p>
      <w:pPr>
        <w:spacing w:line="360" w:lineRule="auto"/>
        <w:outlineLvl w:val="2"/>
        <w:rPr>
          <w:rFonts w:ascii="宋体"/>
          <w:sz w:val="24"/>
          <w:szCs w:val="20"/>
        </w:rPr>
      </w:pPr>
      <w:bookmarkStart w:id="816" w:name="_Hlt520274121"/>
      <w:bookmarkEnd w:id="816"/>
      <w:bookmarkStart w:id="817" w:name="_Hlt520343392"/>
      <w:bookmarkEnd w:id="817"/>
      <w:bookmarkStart w:id="818" w:name="_Hlt520274407"/>
      <w:bookmarkEnd w:id="818"/>
      <w:bookmarkStart w:id="819" w:name="_Hlt520274065"/>
      <w:bookmarkEnd w:id="819"/>
      <w:bookmarkStart w:id="820" w:name="_Hlt520355504"/>
      <w:bookmarkEnd w:id="820"/>
      <w:bookmarkStart w:id="821" w:name="_Hlt520271212"/>
      <w:bookmarkEnd w:id="821"/>
      <w:bookmarkStart w:id="822" w:name="_Hlt520274393"/>
      <w:bookmarkEnd w:id="822"/>
      <w:bookmarkStart w:id="823" w:name="_Hlt520350918"/>
      <w:bookmarkEnd w:id="823"/>
      <w:bookmarkStart w:id="824" w:name="_Hlt520273711"/>
      <w:bookmarkEnd w:id="824"/>
      <w:bookmarkStart w:id="825" w:name="_Hlt520343000"/>
      <w:bookmarkEnd w:id="825"/>
      <w:bookmarkStart w:id="826" w:name="_Ref467988698"/>
      <w:bookmarkStart w:id="827" w:name="_Toc480942349"/>
      <w:bookmarkStart w:id="828" w:name="_Toc226309800"/>
      <w:bookmarkStart w:id="829" w:name="_Toc226965746"/>
      <w:bookmarkStart w:id="830" w:name="_Toc195842921"/>
      <w:bookmarkStart w:id="831" w:name="_Toc520356217"/>
      <w:bookmarkStart w:id="832" w:name="_Toc150480794"/>
      <w:bookmarkStart w:id="833" w:name="_Toc142311058"/>
      <w:bookmarkStart w:id="834" w:name="_Toc150774761"/>
      <w:bookmarkStart w:id="835" w:name="_Toc127151556"/>
      <w:bookmarkStart w:id="836" w:name="_Toc226965829"/>
      <w:bookmarkStart w:id="837" w:name="_Toc226337252"/>
      <w:r>
        <w:rPr>
          <w:rFonts w:ascii="宋体" w:hAnsi="宋体"/>
          <w:sz w:val="24"/>
        </w:rPr>
        <w:t>1</w:t>
      </w:r>
      <w:r>
        <w:rPr>
          <w:rFonts w:ascii="宋体" w:hAnsi="宋体"/>
          <w:sz w:val="24"/>
          <w:szCs w:val="20"/>
        </w:rPr>
        <w:t xml:space="preserve">  </w:t>
      </w:r>
      <w:r>
        <w:rPr>
          <w:rFonts w:hint="eastAsia" w:ascii="宋体" w:hAnsi="宋体"/>
          <w:sz w:val="24"/>
        </w:rPr>
        <w:t>投标</w:t>
      </w:r>
      <w:bookmarkEnd w:id="826"/>
      <w:bookmarkEnd w:id="827"/>
      <w:r>
        <w:rPr>
          <w:rFonts w:hint="eastAsia" w:ascii="宋体" w:hAnsi="宋体"/>
          <w:sz w:val="24"/>
        </w:rPr>
        <w:t>书</w:t>
      </w:r>
      <w:bookmarkEnd w:id="828"/>
      <w:bookmarkEnd w:id="829"/>
      <w:bookmarkEnd w:id="830"/>
      <w:bookmarkEnd w:id="831"/>
      <w:bookmarkEnd w:id="832"/>
      <w:bookmarkEnd w:id="833"/>
      <w:bookmarkEnd w:id="834"/>
      <w:bookmarkEnd w:id="835"/>
      <w:bookmarkEnd w:id="836"/>
      <w:bookmarkEnd w:id="837"/>
      <w:r>
        <w:rPr>
          <w:rFonts w:hint="eastAsia" w:ascii="宋体" w:hAnsi="宋体"/>
          <w:sz w:val="24"/>
          <w:szCs w:val="20"/>
        </w:rPr>
        <w:t>（实质性格式）</w:t>
      </w:r>
    </w:p>
    <w:p>
      <w:pPr>
        <w:tabs>
          <w:tab w:val="left" w:pos="5580"/>
        </w:tabs>
        <w:spacing w:line="360" w:lineRule="auto"/>
        <w:rPr>
          <w:rFonts w:ascii="宋体"/>
          <w:sz w:val="24"/>
        </w:rPr>
      </w:pPr>
    </w:p>
    <w:p>
      <w:pPr>
        <w:spacing w:line="360" w:lineRule="auto"/>
        <w:jc w:val="center"/>
        <w:rPr>
          <w:rFonts w:ascii="宋体"/>
          <w:b/>
          <w:sz w:val="36"/>
          <w:szCs w:val="36"/>
        </w:rPr>
      </w:pPr>
      <w:r>
        <w:rPr>
          <w:rFonts w:hint="eastAsia" w:ascii="宋体" w:hAnsi="宋体"/>
          <w:b/>
          <w:sz w:val="36"/>
          <w:szCs w:val="36"/>
        </w:rPr>
        <w:t>投标书</w:t>
      </w:r>
    </w:p>
    <w:p>
      <w:pPr>
        <w:tabs>
          <w:tab w:val="left" w:pos="5580"/>
        </w:tabs>
        <w:spacing w:line="360" w:lineRule="auto"/>
        <w:rPr>
          <w:rFonts w:ascii="宋体"/>
          <w:sz w:val="24"/>
        </w:rPr>
      </w:pPr>
      <w:r>
        <w:rPr>
          <w:rFonts w:hint="eastAsia" w:ascii="宋体" w:hAnsi="宋体"/>
          <w:sz w:val="24"/>
        </w:rPr>
        <w:t>致：</w:t>
      </w:r>
      <w:r>
        <w:rPr>
          <w:rFonts w:hint="eastAsia" w:ascii="宋体" w:hAnsi="宋体"/>
          <w:sz w:val="24"/>
          <w:u w:val="single"/>
        </w:rPr>
        <w:t>（采购人或采购代理机构）</w:t>
      </w:r>
    </w:p>
    <w:p>
      <w:pPr>
        <w:tabs>
          <w:tab w:val="left" w:pos="5580"/>
        </w:tabs>
        <w:spacing w:line="360" w:lineRule="auto"/>
        <w:rPr>
          <w:rFonts w:ascii="宋体"/>
          <w:sz w:val="24"/>
          <w:szCs w:val="20"/>
        </w:rPr>
      </w:pPr>
    </w:p>
    <w:p>
      <w:pPr>
        <w:tabs>
          <w:tab w:val="left" w:pos="5580"/>
        </w:tabs>
        <w:spacing w:line="360" w:lineRule="auto"/>
        <w:ind w:firstLine="408"/>
        <w:rPr>
          <w:rFonts w:ascii="宋体"/>
          <w:sz w:val="24"/>
          <w:szCs w:val="20"/>
        </w:rPr>
      </w:pPr>
      <w:r>
        <w:rPr>
          <w:rFonts w:hint="eastAsia" w:ascii="宋体" w:hAnsi="宋体"/>
          <w:sz w:val="24"/>
          <w:szCs w:val="20"/>
        </w:rPr>
        <w:t>我方参加你方就</w:t>
      </w:r>
      <w:r>
        <w:rPr>
          <w:rFonts w:ascii="宋体" w:hAnsi="宋体"/>
          <w:sz w:val="24"/>
          <w:szCs w:val="20"/>
        </w:rPr>
        <w:t>___________</w:t>
      </w:r>
      <w:r>
        <w:rPr>
          <w:rFonts w:hint="eastAsia" w:ascii="宋体" w:hAnsi="宋体"/>
          <w:sz w:val="24"/>
          <w:szCs w:val="20"/>
        </w:rPr>
        <w:t>（项目名称，项目代理编号/</w:t>
      </w:r>
      <w:r>
        <w:rPr>
          <w:rFonts w:ascii="宋体" w:hAnsi="宋体"/>
          <w:sz w:val="24"/>
          <w:szCs w:val="20"/>
        </w:rPr>
        <w:t>包号</w:t>
      </w:r>
      <w:r>
        <w:rPr>
          <w:rFonts w:hint="eastAsia" w:ascii="宋体" w:hAnsi="宋体"/>
          <w:sz w:val="24"/>
          <w:szCs w:val="20"/>
        </w:rPr>
        <w:t>）组织的招标活动，并对此项目进行投标。</w:t>
      </w:r>
    </w:p>
    <w:p>
      <w:pPr>
        <w:tabs>
          <w:tab w:val="left" w:pos="5580"/>
        </w:tabs>
        <w:spacing w:line="360" w:lineRule="auto"/>
        <w:ind w:firstLine="408"/>
        <w:rPr>
          <w:rFonts w:ascii="宋体"/>
          <w:sz w:val="24"/>
          <w:szCs w:val="20"/>
        </w:rPr>
      </w:pPr>
      <w:r>
        <w:rPr>
          <w:rFonts w:ascii="宋体" w:hAnsi="宋体"/>
          <w:sz w:val="24"/>
          <w:szCs w:val="20"/>
        </w:rPr>
        <w:t xml:space="preserve">1. </w:t>
      </w:r>
      <w:r>
        <w:rPr>
          <w:rFonts w:hint="eastAsia" w:ascii="宋体" w:hAnsi="宋体"/>
          <w:sz w:val="24"/>
          <w:szCs w:val="20"/>
        </w:rPr>
        <w:t>我方</w:t>
      </w:r>
      <w:r>
        <w:rPr>
          <w:rFonts w:hint="eastAsia" w:ascii="宋体" w:hAnsi="宋体"/>
          <w:sz w:val="24"/>
        </w:rPr>
        <w:t>已详细审查全部招标文件</w:t>
      </w:r>
      <w:r>
        <w:rPr>
          <w:rFonts w:hint="eastAsia" w:ascii="宋体" w:hAnsi="宋体"/>
          <w:sz w:val="24"/>
          <w:szCs w:val="20"/>
        </w:rPr>
        <w:t>，自愿参与投标并承诺如下：</w:t>
      </w:r>
    </w:p>
    <w:p>
      <w:pPr>
        <w:tabs>
          <w:tab w:val="left" w:pos="720"/>
          <w:tab w:val="left" w:pos="900"/>
        </w:tabs>
        <w:spacing w:line="360" w:lineRule="auto"/>
        <w:ind w:left="360" w:firstLine="72" w:firstLineChars="30"/>
        <w:rPr>
          <w:rFonts w:ascii="宋体"/>
          <w:sz w:val="24"/>
          <w:szCs w:val="20"/>
        </w:rPr>
      </w:pPr>
      <w:r>
        <w:rPr>
          <w:rFonts w:hint="eastAsia" w:ascii="宋体" w:hAnsi="宋体"/>
          <w:sz w:val="24"/>
          <w:szCs w:val="20"/>
        </w:rPr>
        <w:t>（</w:t>
      </w:r>
      <w:r>
        <w:rPr>
          <w:rFonts w:ascii="宋体" w:hAnsi="宋体"/>
          <w:sz w:val="24"/>
          <w:szCs w:val="20"/>
        </w:rPr>
        <w:t>1</w:t>
      </w:r>
      <w:r>
        <w:rPr>
          <w:rFonts w:hint="eastAsia" w:ascii="宋体" w:hAnsi="宋体"/>
          <w:sz w:val="24"/>
          <w:szCs w:val="20"/>
        </w:rPr>
        <w:t>）本投标有效期为自提交投标文件的截止之日起</w:t>
      </w:r>
      <w:r>
        <w:rPr>
          <w:rFonts w:ascii="宋体" w:hAnsi="宋体"/>
          <w:sz w:val="24"/>
        </w:rPr>
        <w:t>_____</w:t>
      </w:r>
      <w:r>
        <w:rPr>
          <w:rFonts w:hint="eastAsia" w:ascii="宋体" w:hAnsi="宋体"/>
          <w:sz w:val="24"/>
          <w:szCs w:val="20"/>
        </w:rPr>
        <w:t>个日历日。</w:t>
      </w:r>
    </w:p>
    <w:p>
      <w:pPr>
        <w:tabs>
          <w:tab w:val="left" w:pos="720"/>
          <w:tab w:val="left" w:pos="900"/>
        </w:tabs>
        <w:spacing w:line="360" w:lineRule="auto"/>
        <w:ind w:left="360" w:firstLine="72" w:firstLineChars="30"/>
        <w:rPr>
          <w:rFonts w:ascii="宋体"/>
          <w:sz w:val="24"/>
          <w:szCs w:val="20"/>
        </w:rPr>
      </w:pPr>
      <w:r>
        <w:rPr>
          <w:rFonts w:hint="eastAsia" w:ascii="宋体" w:hAnsi="宋体"/>
          <w:sz w:val="24"/>
          <w:szCs w:val="20"/>
        </w:rPr>
        <w:t>（</w:t>
      </w:r>
      <w:r>
        <w:rPr>
          <w:rFonts w:ascii="宋体" w:hAnsi="宋体"/>
          <w:sz w:val="24"/>
          <w:szCs w:val="20"/>
        </w:rPr>
        <w:t>2</w:t>
      </w:r>
      <w:r>
        <w:rPr>
          <w:rFonts w:hint="eastAsia" w:ascii="宋体" w:hAnsi="宋体"/>
          <w:sz w:val="24"/>
          <w:szCs w:val="20"/>
        </w:rPr>
        <w:t>）除合同条款及采购需求偏离表列出的偏离外，我方响应招标文件的全部要求。</w:t>
      </w:r>
    </w:p>
    <w:p>
      <w:pPr>
        <w:tabs>
          <w:tab w:val="left" w:pos="5580"/>
        </w:tabs>
        <w:spacing w:line="360" w:lineRule="auto"/>
        <w:ind w:firstLine="420" w:firstLineChars="175"/>
        <w:rPr>
          <w:rFonts w:ascii="宋体"/>
          <w:sz w:val="24"/>
          <w:szCs w:val="20"/>
        </w:rPr>
      </w:pPr>
      <w:r>
        <w:rPr>
          <w:rFonts w:hint="eastAsia" w:ascii="宋体" w:hAnsi="宋体"/>
          <w:sz w:val="24"/>
          <w:szCs w:val="20"/>
        </w:rPr>
        <w:t>（</w:t>
      </w:r>
      <w:r>
        <w:rPr>
          <w:rFonts w:ascii="宋体" w:hAnsi="宋体"/>
          <w:sz w:val="24"/>
          <w:szCs w:val="20"/>
        </w:rPr>
        <w:t>3</w:t>
      </w:r>
      <w:r>
        <w:rPr>
          <w:rFonts w:hint="eastAsia" w:ascii="宋体" w:hAnsi="宋体"/>
          <w:sz w:val="24"/>
          <w:szCs w:val="20"/>
        </w:rPr>
        <w:t>）我方已提供的全部文件资料是真实、准确的，并对此承担一切法律后果。</w:t>
      </w:r>
    </w:p>
    <w:p>
      <w:pPr>
        <w:tabs>
          <w:tab w:val="left" w:pos="5580"/>
        </w:tabs>
        <w:spacing w:line="360" w:lineRule="auto"/>
        <w:ind w:firstLine="420" w:firstLineChars="175"/>
        <w:rPr>
          <w:rFonts w:ascii="宋体"/>
          <w:sz w:val="24"/>
        </w:rPr>
      </w:pPr>
      <w:r>
        <w:rPr>
          <w:rFonts w:hint="eastAsia" w:ascii="宋体" w:hAnsi="宋体"/>
          <w:sz w:val="24"/>
          <w:szCs w:val="20"/>
        </w:rPr>
        <w:t>（</w:t>
      </w:r>
      <w:r>
        <w:rPr>
          <w:rFonts w:ascii="宋体" w:hAnsi="宋体"/>
          <w:sz w:val="24"/>
          <w:szCs w:val="20"/>
        </w:rPr>
        <w:t>4</w:t>
      </w:r>
      <w:r>
        <w:rPr>
          <w:rFonts w:hint="eastAsia" w:ascii="宋体" w:hAnsi="宋体"/>
          <w:sz w:val="24"/>
          <w:szCs w:val="20"/>
        </w:rPr>
        <w:t>）如我方中标，我方将在法律规定的期限内与你方签订合同，按照招标文件要求提交履约保证金，并在合同约定的期限内完成合同规定的全部义务。</w:t>
      </w:r>
    </w:p>
    <w:p>
      <w:pPr>
        <w:spacing w:line="360" w:lineRule="auto"/>
        <w:ind w:left="420"/>
        <w:rPr>
          <w:rFonts w:ascii="宋体"/>
          <w:sz w:val="24"/>
        </w:rPr>
      </w:pPr>
      <w:r>
        <w:rPr>
          <w:rFonts w:ascii="宋体" w:hAnsi="宋体"/>
          <w:sz w:val="24"/>
        </w:rPr>
        <w:t xml:space="preserve">2. </w:t>
      </w:r>
      <w:r>
        <w:rPr>
          <w:rFonts w:hint="eastAsia" w:ascii="宋体" w:hAnsi="宋体"/>
          <w:sz w:val="24"/>
        </w:rPr>
        <w:t>其他补充条款（如有）：</w:t>
      </w:r>
      <w:r>
        <w:rPr>
          <w:rFonts w:ascii="宋体" w:hAnsi="宋体"/>
          <w:sz w:val="24"/>
          <w:szCs w:val="20"/>
        </w:rPr>
        <w:t>___________</w:t>
      </w:r>
      <w:r>
        <w:rPr>
          <w:rFonts w:hint="eastAsia" w:ascii="宋体" w:hAnsi="宋体"/>
          <w:sz w:val="24"/>
        </w:rPr>
        <w:t>。</w:t>
      </w:r>
    </w:p>
    <w:p>
      <w:pPr>
        <w:spacing w:line="360" w:lineRule="auto"/>
        <w:ind w:firstLine="480" w:firstLineChars="200"/>
        <w:rPr>
          <w:rFonts w:ascii="宋体"/>
          <w:sz w:val="24"/>
        </w:rPr>
      </w:pPr>
      <w:r>
        <w:rPr>
          <w:rFonts w:hint="eastAsia" w:ascii="宋体" w:hAnsi="宋体"/>
          <w:sz w:val="24"/>
        </w:rPr>
        <w:t>与本投标有关的一切正式往来信函请寄：</w:t>
      </w:r>
    </w:p>
    <w:p>
      <w:pPr>
        <w:tabs>
          <w:tab w:val="left" w:pos="5580"/>
        </w:tabs>
        <w:spacing w:line="360" w:lineRule="auto"/>
        <w:ind w:left="420"/>
        <w:rPr>
          <w:rFonts w:ascii="宋体"/>
          <w:sz w:val="24"/>
          <w:szCs w:val="20"/>
        </w:rPr>
      </w:pPr>
    </w:p>
    <w:p>
      <w:pPr>
        <w:tabs>
          <w:tab w:val="left" w:pos="5580"/>
        </w:tabs>
        <w:spacing w:line="360" w:lineRule="auto"/>
        <w:ind w:left="420"/>
        <w:rPr>
          <w:rFonts w:ascii="宋体"/>
          <w:sz w:val="24"/>
          <w:szCs w:val="20"/>
        </w:rPr>
      </w:pPr>
      <w:r>
        <w:rPr>
          <w:rFonts w:hint="eastAsia" w:ascii="宋体" w:hAnsi="宋体"/>
          <w:sz w:val="24"/>
          <w:szCs w:val="20"/>
        </w:rPr>
        <w:t>地址</w:t>
      </w:r>
      <w:r>
        <w:rPr>
          <w:rFonts w:ascii="宋体" w:hAnsi="宋体"/>
          <w:sz w:val="24"/>
          <w:szCs w:val="20"/>
        </w:rPr>
        <w:t xml:space="preserve">_________________________     </w:t>
      </w:r>
      <w:r>
        <w:rPr>
          <w:rFonts w:hint="eastAsia" w:ascii="宋体" w:hAnsi="宋体"/>
          <w:sz w:val="24"/>
          <w:szCs w:val="20"/>
        </w:rPr>
        <w:t>传真</w:t>
      </w:r>
      <w:r>
        <w:rPr>
          <w:rFonts w:ascii="宋体" w:hAnsi="宋体"/>
          <w:sz w:val="24"/>
          <w:szCs w:val="20"/>
        </w:rPr>
        <w:t>____________________________</w:t>
      </w:r>
    </w:p>
    <w:p>
      <w:pPr>
        <w:tabs>
          <w:tab w:val="left" w:pos="5580"/>
        </w:tabs>
        <w:spacing w:line="360" w:lineRule="auto"/>
        <w:ind w:left="420"/>
        <w:rPr>
          <w:rFonts w:ascii="宋体"/>
          <w:sz w:val="24"/>
          <w:szCs w:val="20"/>
        </w:rPr>
      </w:pPr>
      <w:r>
        <w:rPr>
          <w:rFonts w:hint="eastAsia" w:ascii="宋体" w:hAnsi="宋体"/>
          <w:sz w:val="24"/>
          <w:szCs w:val="20"/>
        </w:rPr>
        <w:t>电话</w:t>
      </w:r>
      <w:r>
        <w:rPr>
          <w:rFonts w:ascii="宋体" w:hAnsi="宋体"/>
          <w:sz w:val="24"/>
          <w:szCs w:val="20"/>
        </w:rPr>
        <w:t xml:space="preserve">_________________________     </w:t>
      </w:r>
      <w:r>
        <w:rPr>
          <w:rFonts w:hint="eastAsia" w:ascii="宋体" w:hAnsi="宋体"/>
          <w:sz w:val="24"/>
          <w:szCs w:val="20"/>
        </w:rPr>
        <w:t>电子函件</w:t>
      </w:r>
      <w:r>
        <w:rPr>
          <w:rFonts w:ascii="宋体" w:hAnsi="宋体"/>
          <w:sz w:val="24"/>
          <w:szCs w:val="20"/>
        </w:rPr>
        <w:t>________________________</w:t>
      </w:r>
    </w:p>
    <w:p>
      <w:pPr>
        <w:tabs>
          <w:tab w:val="left" w:pos="5580"/>
        </w:tabs>
        <w:spacing w:line="360" w:lineRule="auto"/>
        <w:ind w:left="420"/>
        <w:rPr>
          <w:rFonts w:ascii="宋体"/>
          <w:sz w:val="24"/>
          <w:szCs w:val="20"/>
        </w:rPr>
      </w:pPr>
    </w:p>
    <w:p>
      <w:pPr>
        <w:tabs>
          <w:tab w:val="left" w:pos="5580"/>
        </w:tabs>
        <w:spacing w:line="360" w:lineRule="auto"/>
        <w:ind w:left="420"/>
        <w:rPr>
          <w:rFonts w:ascii="宋体"/>
          <w:sz w:val="24"/>
          <w:szCs w:val="20"/>
        </w:rPr>
      </w:pPr>
      <w:r>
        <w:rPr>
          <w:rFonts w:hint="eastAsia" w:ascii="宋体" w:hAnsi="宋体"/>
          <w:sz w:val="24"/>
          <w:szCs w:val="20"/>
        </w:rPr>
        <w:t>投标人名称（加盖公章）</w:t>
      </w:r>
      <w:r>
        <w:rPr>
          <w:rFonts w:ascii="宋体" w:hAnsi="宋体"/>
          <w:sz w:val="24"/>
          <w:szCs w:val="20"/>
        </w:rPr>
        <w:t xml:space="preserve"> ___________</w:t>
      </w:r>
    </w:p>
    <w:p>
      <w:pPr>
        <w:tabs>
          <w:tab w:val="left" w:pos="5580"/>
        </w:tabs>
        <w:spacing w:line="360" w:lineRule="auto"/>
        <w:ind w:left="420"/>
        <w:rPr>
          <w:rFonts w:ascii="宋体"/>
          <w:sz w:val="24"/>
          <w:szCs w:val="20"/>
        </w:rPr>
      </w:pPr>
      <w:r>
        <w:rPr>
          <w:rFonts w:hint="eastAsia" w:ascii="宋体" w:hAnsi="宋体"/>
          <w:sz w:val="24"/>
          <w:szCs w:val="20"/>
        </w:rPr>
        <w:t>日期：</w:t>
      </w:r>
      <w:r>
        <w:rPr>
          <w:rFonts w:ascii="宋体" w:hAnsi="宋体"/>
          <w:sz w:val="24"/>
          <w:szCs w:val="20"/>
        </w:rPr>
        <w:t>_____</w:t>
      </w:r>
      <w:r>
        <w:rPr>
          <w:rFonts w:hint="eastAsia" w:ascii="宋体" w:hAnsi="宋体"/>
          <w:sz w:val="24"/>
          <w:szCs w:val="20"/>
        </w:rPr>
        <w:t>年</w:t>
      </w:r>
      <w:r>
        <w:rPr>
          <w:rFonts w:ascii="宋体" w:hAnsi="宋体"/>
          <w:sz w:val="24"/>
          <w:szCs w:val="20"/>
        </w:rPr>
        <w:t>______</w:t>
      </w:r>
      <w:r>
        <w:rPr>
          <w:rFonts w:hint="eastAsia" w:ascii="宋体" w:hAnsi="宋体"/>
          <w:sz w:val="24"/>
          <w:szCs w:val="20"/>
        </w:rPr>
        <w:t>月</w:t>
      </w:r>
      <w:r>
        <w:rPr>
          <w:rFonts w:ascii="宋体" w:hAnsi="宋体"/>
          <w:sz w:val="24"/>
          <w:szCs w:val="20"/>
        </w:rPr>
        <w:t>______</w:t>
      </w:r>
      <w:r>
        <w:rPr>
          <w:rFonts w:hint="eastAsia" w:ascii="宋体" w:hAnsi="宋体"/>
          <w:sz w:val="24"/>
          <w:szCs w:val="20"/>
        </w:rPr>
        <w:t>日</w:t>
      </w:r>
      <w:r>
        <w:rPr>
          <w:rFonts w:ascii="宋体" w:hAnsi="宋体"/>
          <w:sz w:val="24"/>
          <w:szCs w:val="20"/>
        </w:rPr>
        <w:t xml:space="preserve">    </w:t>
      </w:r>
    </w:p>
    <w:p>
      <w:pPr>
        <w:tabs>
          <w:tab w:val="left" w:pos="5580"/>
        </w:tabs>
        <w:spacing w:line="360" w:lineRule="auto"/>
        <w:ind w:left="420"/>
        <w:rPr>
          <w:rFonts w:ascii="宋体"/>
          <w:sz w:val="24"/>
          <w:szCs w:val="20"/>
          <w:u w:val="single"/>
        </w:rPr>
      </w:pPr>
    </w:p>
    <w:p>
      <w:pPr>
        <w:widowControl/>
        <w:jc w:val="left"/>
        <w:rPr>
          <w:rFonts w:ascii="宋体"/>
          <w:sz w:val="24"/>
        </w:rPr>
      </w:pPr>
      <w:bookmarkStart w:id="838" w:name="_Hlt520356243"/>
      <w:bookmarkEnd w:id="838"/>
      <w:bookmarkStart w:id="839" w:name="_Hlt520355938"/>
      <w:bookmarkEnd w:id="839"/>
      <w:bookmarkStart w:id="840" w:name="_Toc226965747"/>
      <w:bookmarkStart w:id="841" w:name="_Toc195842922"/>
      <w:bookmarkStart w:id="842" w:name="_Toc305158825"/>
      <w:bookmarkStart w:id="843" w:name="_Toc520356218"/>
      <w:bookmarkStart w:id="844" w:name="_Toc264969247"/>
      <w:bookmarkStart w:id="845" w:name="_Toc226309801"/>
      <w:bookmarkStart w:id="846" w:name="_Toc226337253"/>
      <w:bookmarkStart w:id="847" w:name="_Ref467988705"/>
      <w:bookmarkStart w:id="848" w:name="_Toc127151557"/>
      <w:bookmarkStart w:id="849" w:name="_Toc226965830"/>
      <w:bookmarkStart w:id="850" w:name="_Toc305158899"/>
      <w:bookmarkStart w:id="851" w:name="_Toc150480795"/>
      <w:bookmarkStart w:id="852" w:name="_Toc265228395"/>
      <w:bookmarkStart w:id="853" w:name="_Toc150774762"/>
      <w:bookmarkStart w:id="854" w:name="_Toc480942350"/>
      <w:bookmarkStart w:id="855" w:name="_Toc142311059"/>
      <w:r>
        <w:rPr>
          <w:rFonts w:ascii="宋体"/>
          <w:sz w:val="24"/>
        </w:rPr>
        <w:br w:type="page"/>
      </w:r>
    </w:p>
    <w:p>
      <w:pPr>
        <w:spacing w:line="360" w:lineRule="auto"/>
        <w:outlineLvl w:val="2"/>
        <w:rPr>
          <w:rFonts w:ascii="宋体"/>
          <w:sz w:val="24"/>
        </w:rPr>
      </w:pPr>
      <w:r>
        <w:rPr>
          <w:rFonts w:ascii="宋体" w:hAnsi="宋体"/>
          <w:sz w:val="24"/>
        </w:rPr>
        <w:t xml:space="preserve">2  </w:t>
      </w:r>
      <w:r>
        <w:rPr>
          <w:rFonts w:hint="eastAsia" w:ascii="宋体" w:hAnsi="宋体"/>
          <w:sz w:val="24"/>
        </w:rPr>
        <w:t>授权委托书（实质性格式）</w:t>
      </w:r>
    </w:p>
    <w:p>
      <w:pPr>
        <w:spacing w:line="360" w:lineRule="exact"/>
        <w:jc w:val="center"/>
        <w:rPr>
          <w:rFonts w:ascii="宋体"/>
          <w:b/>
          <w:sz w:val="36"/>
          <w:szCs w:val="36"/>
        </w:rPr>
      </w:pPr>
      <w:r>
        <w:rPr>
          <w:rFonts w:hint="eastAsia" w:ascii="宋体" w:hAnsi="宋体"/>
          <w:b/>
          <w:sz w:val="36"/>
          <w:szCs w:val="36"/>
        </w:rPr>
        <w:t>授权委托书</w:t>
      </w:r>
    </w:p>
    <w:p>
      <w:pPr>
        <w:spacing w:line="360" w:lineRule="auto"/>
        <w:ind w:firstLine="420"/>
        <w:rPr>
          <w:rFonts w:ascii="宋体"/>
          <w:sz w:val="24"/>
          <w:szCs w:val="20"/>
        </w:rPr>
      </w:pPr>
    </w:p>
    <w:p>
      <w:pPr>
        <w:spacing w:line="360" w:lineRule="auto"/>
        <w:ind w:firstLine="420"/>
        <w:rPr>
          <w:rFonts w:ascii="宋体"/>
          <w:sz w:val="24"/>
          <w:szCs w:val="20"/>
        </w:rPr>
      </w:pPr>
      <w:r>
        <w:rPr>
          <w:rFonts w:hint="eastAsia" w:ascii="宋体" w:hAnsi="宋体"/>
          <w:sz w:val="24"/>
          <w:szCs w:val="20"/>
        </w:rPr>
        <w:t>本人</w:t>
      </w:r>
      <w:r>
        <w:rPr>
          <w:rFonts w:ascii="宋体" w:hAnsi="宋体"/>
          <w:sz w:val="24"/>
          <w:lang w:val="zh-CN"/>
        </w:rPr>
        <w:t>_______</w:t>
      </w:r>
      <w:r>
        <w:rPr>
          <w:rFonts w:hint="eastAsia" w:ascii="宋体" w:hAnsi="宋体"/>
          <w:sz w:val="24"/>
          <w:szCs w:val="20"/>
        </w:rPr>
        <w:t>（姓名）系</w:t>
      </w:r>
      <w:r>
        <w:rPr>
          <w:rFonts w:ascii="宋体" w:hAnsi="宋体"/>
          <w:sz w:val="24"/>
          <w:lang w:val="zh-CN"/>
        </w:rPr>
        <w:t>________________</w:t>
      </w:r>
      <w:r>
        <w:rPr>
          <w:rFonts w:hint="eastAsia" w:ascii="宋体" w:hAnsi="宋体"/>
          <w:sz w:val="24"/>
          <w:szCs w:val="20"/>
        </w:rPr>
        <w:t>（投标人名称）的法定代表人（单位负责人），现委托</w:t>
      </w:r>
      <w:r>
        <w:rPr>
          <w:rFonts w:ascii="宋体" w:hAnsi="宋体"/>
          <w:sz w:val="24"/>
          <w:lang w:val="zh-CN"/>
        </w:rPr>
        <w:t>_______</w:t>
      </w:r>
      <w:r>
        <w:rPr>
          <w:rFonts w:hint="eastAsia" w:ascii="宋体" w:hAnsi="宋体"/>
          <w:sz w:val="24"/>
          <w:szCs w:val="20"/>
        </w:rPr>
        <w:t>（姓名）为我方代理人。代理人根据授权，以我方名义签署、澄清确认、提交、撤回、修改</w:t>
      </w:r>
      <w:r>
        <w:rPr>
          <w:rFonts w:ascii="宋体" w:hAnsi="宋体"/>
          <w:sz w:val="24"/>
          <w:lang w:val="zh-CN"/>
        </w:rPr>
        <w:t>________________</w:t>
      </w:r>
      <w:r>
        <w:rPr>
          <w:rFonts w:hint="eastAsia" w:ascii="宋体" w:hAnsi="宋体"/>
          <w:sz w:val="24"/>
          <w:szCs w:val="20"/>
        </w:rPr>
        <w:t>（项目名称）投标文件和处理有关事宜，其法律后果由我方承担。</w:t>
      </w:r>
    </w:p>
    <w:p>
      <w:pPr>
        <w:spacing w:line="360" w:lineRule="auto"/>
        <w:ind w:firstLine="420"/>
        <w:rPr>
          <w:rFonts w:ascii="宋体"/>
          <w:sz w:val="24"/>
          <w:szCs w:val="20"/>
        </w:rPr>
      </w:pPr>
      <w:r>
        <w:rPr>
          <w:rFonts w:hint="eastAsia" w:ascii="宋体" w:hAnsi="宋体"/>
          <w:sz w:val="24"/>
          <w:szCs w:val="20"/>
        </w:rPr>
        <w:t>委托期限：自本授权委托书签署之日起至投标有效期届满之日止。</w:t>
      </w:r>
    </w:p>
    <w:p>
      <w:pPr>
        <w:spacing w:line="360" w:lineRule="auto"/>
        <w:ind w:firstLine="420"/>
        <w:rPr>
          <w:rFonts w:ascii="宋体"/>
          <w:sz w:val="24"/>
          <w:szCs w:val="20"/>
        </w:rPr>
      </w:pPr>
      <w:r>
        <w:rPr>
          <w:rFonts w:hint="eastAsia" w:ascii="宋体" w:hAnsi="宋体"/>
          <w:sz w:val="24"/>
          <w:szCs w:val="20"/>
        </w:rPr>
        <w:t>代理人无转委托权。</w:t>
      </w:r>
    </w:p>
    <w:p>
      <w:pPr>
        <w:spacing w:line="360" w:lineRule="auto"/>
        <w:rPr>
          <w:rFonts w:ascii="宋体" w:hAnsi="宋体"/>
          <w:sz w:val="24"/>
        </w:rPr>
      </w:pPr>
    </w:p>
    <w:p>
      <w:pPr>
        <w:spacing w:line="360" w:lineRule="auto"/>
        <w:rPr>
          <w:rFonts w:ascii="宋体"/>
          <w:sz w:val="24"/>
          <w:lang w:val="zh-CN"/>
        </w:rPr>
      </w:pPr>
      <w:r>
        <w:rPr>
          <w:rFonts w:hint="eastAsia" w:ascii="宋体" w:hAnsi="宋体"/>
          <w:sz w:val="24"/>
        </w:rPr>
        <w:t>投标人名称（加盖公章）</w:t>
      </w:r>
      <w:r>
        <w:rPr>
          <w:rFonts w:hint="eastAsia" w:ascii="宋体" w:hAnsi="宋体"/>
          <w:sz w:val="24"/>
          <w:lang w:val="zh-CN"/>
        </w:rPr>
        <w:t>：</w:t>
      </w:r>
      <w:r>
        <w:rPr>
          <w:rFonts w:ascii="宋体" w:hAnsi="宋体"/>
          <w:sz w:val="24"/>
          <w:lang w:val="zh-CN"/>
        </w:rPr>
        <w:t>________________</w:t>
      </w:r>
    </w:p>
    <w:p>
      <w:pPr>
        <w:spacing w:line="360" w:lineRule="auto"/>
        <w:rPr>
          <w:rFonts w:ascii="宋体"/>
          <w:sz w:val="24"/>
          <w:szCs w:val="20"/>
        </w:rPr>
      </w:pPr>
      <w:r>
        <w:rPr>
          <w:rFonts w:hint="eastAsia" w:ascii="宋体" w:hAnsi="宋体"/>
          <w:sz w:val="24"/>
          <w:szCs w:val="20"/>
        </w:rPr>
        <w:t>法定代表人（单位负责人）（签字或盖章）：</w:t>
      </w:r>
      <w:r>
        <w:rPr>
          <w:rFonts w:ascii="宋体" w:hAnsi="宋体"/>
          <w:sz w:val="24"/>
          <w:lang w:val="zh-CN"/>
        </w:rPr>
        <w:t>________________</w:t>
      </w:r>
    </w:p>
    <w:p>
      <w:pPr>
        <w:autoSpaceDE w:val="0"/>
        <w:autoSpaceDN w:val="0"/>
        <w:adjustRightInd w:val="0"/>
        <w:snapToGrid w:val="0"/>
        <w:spacing w:line="360" w:lineRule="auto"/>
        <w:rPr>
          <w:rFonts w:ascii="宋体"/>
          <w:sz w:val="24"/>
          <w:lang w:val="zh-CN"/>
        </w:rPr>
      </w:pPr>
      <w:r>
        <w:rPr>
          <w:rFonts w:hint="eastAsia" w:ascii="宋体" w:hAnsi="宋体"/>
          <w:sz w:val="24"/>
        </w:rPr>
        <w:t>委托代理人（签字</w:t>
      </w:r>
      <w:r>
        <w:rPr>
          <w:rFonts w:ascii="宋体" w:hAnsi="宋体"/>
          <w:sz w:val="24"/>
        </w:rPr>
        <w:t>或</w:t>
      </w:r>
      <w:r>
        <w:rPr>
          <w:rFonts w:hint="eastAsia" w:ascii="宋体" w:hAnsi="宋体"/>
          <w:sz w:val="24"/>
        </w:rPr>
        <w:t>盖章）：</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pPr>
        <w:autoSpaceDE w:val="0"/>
        <w:autoSpaceDN w:val="0"/>
        <w:adjustRightInd w:val="0"/>
        <w:snapToGrid w:val="0"/>
        <w:spacing w:line="360" w:lineRule="auto"/>
        <w:rPr>
          <w:rFonts w:ascii="宋体"/>
          <w:sz w:val="24"/>
          <w:lang w:val="zh-CN"/>
        </w:rPr>
      </w:pPr>
      <w:r>
        <w:rPr>
          <w:rFonts w:hint="eastAsia" w:ascii="宋体" w:hAnsi="宋体"/>
          <w:sz w:val="24"/>
        </w:rPr>
        <w:t>日期：</w:t>
      </w:r>
      <w:r>
        <w:rPr>
          <w:rFonts w:ascii="宋体" w:hAnsi="宋体"/>
          <w:sz w:val="24"/>
        </w:rPr>
        <w:t>_____</w:t>
      </w:r>
      <w:r>
        <w:rPr>
          <w:rFonts w:hint="eastAsia" w:ascii="宋体" w:hAnsi="宋体"/>
          <w:sz w:val="24"/>
        </w:rPr>
        <w:t>年</w:t>
      </w:r>
      <w:r>
        <w:rPr>
          <w:rFonts w:ascii="宋体" w:hAnsi="宋体"/>
          <w:sz w:val="24"/>
        </w:rPr>
        <w:t>______</w:t>
      </w:r>
      <w:r>
        <w:rPr>
          <w:rFonts w:hint="eastAsia" w:ascii="宋体" w:hAnsi="宋体"/>
          <w:sz w:val="24"/>
        </w:rPr>
        <w:t>月</w:t>
      </w:r>
      <w:r>
        <w:rPr>
          <w:rFonts w:ascii="宋体" w:hAnsi="宋体"/>
          <w:sz w:val="24"/>
        </w:rPr>
        <w:t>______</w:t>
      </w:r>
      <w:r>
        <w:rPr>
          <w:rFonts w:hint="eastAsia" w:ascii="宋体" w:hAnsi="宋体"/>
          <w:sz w:val="24"/>
        </w:rPr>
        <w:t>日</w:t>
      </w:r>
    </w:p>
    <w:p>
      <w:pPr>
        <w:tabs>
          <w:tab w:val="left" w:pos="5580"/>
        </w:tabs>
        <w:spacing w:line="360" w:lineRule="auto"/>
        <w:ind w:firstLine="480" w:firstLineChars="200"/>
        <w:rPr>
          <w:rFonts w:ascii="宋体"/>
          <w:sz w:val="24"/>
          <w:szCs w:val="20"/>
        </w:rPr>
      </w:pPr>
    </w:p>
    <w:p>
      <w:pPr>
        <w:tabs>
          <w:tab w:val="left" w:pos="5580"/>
        </w:tabs>
        <w:spacing w:line="360" w:lineRule="auto"/>
        <w:jc w:val="left"/>
        <w:rPr>
          <w:rFonts w:ascii="宋体"/>
          <w:sz w:val="24"/>
          <w:szCs w:val="20"/>
        </w:rPr>
      </w:pPr>
      <w:r>
        <w:rPr>
          <w:rFonts w:hint="eastAsia" w:ascii="宋体" w:hAnsi="宋体"/>
          <w:sz w:val="24"/>
          <w:szCs w:val="20"/>
        </w:rPr>
        <w:t>法定代表人及委托代理人身份证明文件复印件：</w:t>
      </w:r>
    </w:p>
    <w:tbl>
      <w:tblPr>
        <w:tblStyle w:val="43"/>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jc w:val="center"/>
        </w:trPr>
        <w:tc>
          <w:tcPr>
            <w:tcW w:w="9412" w:type="dxa"/>
          </w:tcPr>
          <w:p>
            <w:pPr>
              <w:tabs>
                <w:tab w:val="left" w:pos="5580"/>
              </w:tabs>
              <w:spacing w:line="360" w:lineRule="auto"/>
              <w:jc w:val="center"/>
              <w:rPr>
                <w:rFonts w:ascii="宋体"/>
                <w:sz w:val="24"/>
                <w:szCs w:val="20"/>
              </w:rPr>
            </w:pPr>
          </w:p>
          <w:p>
            <w:pPr>
              <w:tabs>
                <w:tab w:val="left" w:pos="5580"/>
              </w:tabs>
              <w:spacing w:line="360" w:lineRule="auto"/>
              <w:jc w:val="left"/>
              <w:rPr>
                <w:rFonts w:ascii="宋体"/>
                <w:sz w:val="24"/>
                <w:szCs w:val="20"/>
              </w:rPr>
            </w:pPr>
          </w:p>
          <w:p>
            <w:pPr>
              <w:tabs>
                <w:tab w:val="left" w:pos="5580"/>
              </w:tabs>
              <w:spacing w:line="360" w:lineRule="auto"/>
              <w:jc w:val="left"/>
              <w:rPr>
                <w:rFonts w:ascii="宋体"/>
                <w:sz w:val="24"/>
                <w:szCs w:val="20"/>
              </w:rPr>
            </w:pPr>
          </w:p>
        </w:tc>
      </w:tr>
    </w:tbl>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sz w:val="24"/>
          <w:szCs w:val="20"/>
        </w:rPr>
      </w:pPr>
      <w:r>
        <w:rPr>
          <w:rFonts w:hint="eastAsia" w:ascii="宋体" w:hAnsi="宋体"/>
          <w:sz w:val="24"/>
          <w:szCs w:val="20"/>
        </w:rPr>
        <w:t>说明：</w:t>
      </w:r>
    </w:p>
    <w:p>
      <w:pPr>
        <w:tabs>
          <w:tab w:val="left" w:pos="5580"/>
        </w:tabs>
        <w:spacing w:line="360" w:lineRule="auto"/>
        <w:jc w:val="left"/>
        <w:rPr>
          <w:rFonts w:ascii="宋体" w:hAnsi="宋体"/>
          <w:sz w:val="24"/>
          <w:szCs w:val="20"/>
        </w:rPr>
      </w:pPr>
      <w:r>
        <w:rPr>
          <w:rFonts w:ascii="宋体" w:hAnsi="宋体"/>
          <w:sz w:val="24"/>
          <w:szCs w:val="20"/>
        </w:rPr>
        <w:t>1.</w:t>
      </w:r>
      <w:r>
        <w:rPr>
          <w:rFonts w:hint="eastAsia" w:ascii="宋体" w:hAnsi="宋体"/>
          <w:sz w:val="24"/>
          <w:szCs w:val="20"/>
        </w:rPr>
        <w:t>若供应商为事业单位或其他组织或分支机构，则法定代表人（单位负责人）处的签署人可为单位负责人。</w:t>
      </w:r>
    </w:p>
    <w:p>
      <w:pPr>
        <w:tabs>
          <w:tab w:val="left" w:pos="5580"/>
        </w:tabs>
        <w:spacing w:line="360" w:lineRule="auto"/>
        <w:jc w:val="left"/>
        <w:rPr>
          <w:rFonts w:ascii="宋体" w:hAnsi="宋体"/>
          <w:sz w:val="24"/>
          <w:szCs w:val="20"/>
        </w:rPr>
      </w:pPr>
      <w:r>
        <w:rPr>
          <w:rFonts w:ascii="宋体" w:hAnsi="宋体"/>
          <w:sz w:val="24"/>
          <w:szCs w:val="20"/>
        </w:rPr>
        <w:t>2.</w:t>
      </w:r>
      <w:r>
        <w:rPr>
          <w:rFonts w:hint="eastAsia" w:ascii="宋体" w:hAnsi="宋体"/>
          <w:sz w:val="24"/>
          <w:szCs w:val="20"/>
        </w:rPr>
        <w:t>若投标文件中签字之处均为法定代表人（单位负责人）本人签署，则可不</w:t>
      </w:r>
      <w:r>
        <w:rPr>
          <w:rFonts w:hint="eastAsia" w:ascii="宋体" w:hAnsi="宋体" w:cs="宋体"/>
          <w:sz w:val="24"/>
          <w:szCs w:val="20"/>
        </w:rPr>
        <w:t>提</w:t>
      </w:r>
      <w:r>
        <w:rPr>
          <w:rFonts w:hint="eastAsia" w:ascii="宋体" w:hAnsi="宋体"/>
          <w:sz w:val="24"/>
          <w:szCs w:val="20"/>
        </w:rPr>
        <w:t>供本《授权委托书》，但须</w:t>
      </w:r>
      <w:r>
        <w:rPr>
          <w:rFonts w:hint="eastAsia" w:ascii="宋体" w:hAnsi="宋体" w:cs="宋体"/>
          <w:sz w:val="24"/>
          <w:szCs w:val="20"/>
        </w:rPr>
        <w:t>提</w:t>
      </w:r>
      <w:r>
        <w:rPr>
          <w:rFonts w:hint="eastAsia" w:ascii="宋体" w:hAnsi="宋体"/>
          <w:sz w:val="24"/>
          <w:szCs w:val="20"/>
        </w:rPr>
        <w:t>供《法定代表人（单位负责人）身份证明》；否则，不需要</w:t>
      </w:r>
      <w:r>
        <w:rPr>
          <w:rFonts w:hint="eastAsia" w:ascii="宋体" w:hAnsi="宋体" w:cs="宋体"/>
          <w:sz w:val="24"/>
          <w:szCs w:val="20"/>
        </w:rPr>
        <w:t>提</w:t>
      </w:r>
      <w:r>
        <w:rPr>
          <w:rFonts w:hint="eastAsia" w:ascii="宋体" w:hAnsi="宋体"/>
          <w:sz w:val="24"/>
          <w:szCs w:val="20"/>
        </w:rPr>
        <w:t>供《法定代表人（单位负责人）身份证明》。</w:t>
      </w:r>
    </w:p>
    <w:p>
      <w:pPr>
        <w:tabs>
          <w:tab w:val="left" w:pos="5580"/>
        </w:tabs>
        <w:spacing w:line="360" w:lineRule="auto"/>
        <w:jc w:val="left"/>
        <w:rPr>
          <w:rFonts w:ascii="宋体" w:hAnsi="宋体"/>
          <w:sz w:val="24"/>
          <w:szCs w:val="20"/>
        </w:rPr>
      </w:pPr>
      <w:r>
        <w:rPr>
          <w:rFonts w:ascii="宋体" w:hAnsi="宋体"/>
          <w:sz w:val="24"/>
          <w:szCs w:val="20"/>
        </w:rPr>
        <w:t>3.</w:t>
      </w:r>
      <w:r>
        <w:rPr>
          <w:rFonts w:hint="eastAsia" w:ascii="宋体" w:hAnsi="宋体"/>
          <w:sz w:val="24"/>
          <w:szCs w:val="20"/>
        </w:rPr>
        <w:t>供应商为自然人的情形，可不</w:t>
      </w:r>
      <w:r>
        <w:rPr>
          <w:rFonts w:hint="eastAsia" w:ascii="宋体" w:hAnsi="宋体" w:cs="宋体"/>
          <w:sz w:val="24"/>
          <w:szCs w:val="20"/>
        </w:rPr>
        <w:t>提</w:t>
      </w:r>
      <w:r>
        <w:rPr>
          <w:rFonts w:hint="eastAsia" w:ascii="宋体" w:hAnsi="宋体"/>
          <w:sz w:val="24"/>
          <w:szCs w:val="20"/>
        </w:rPr>
        <w:t>供本《授权委托书》。</w:t>
      </w:r>
    </w:p>
    <w:p>
      <w:pPr>
        <w:tabs>
          <w:tab w:val="left" w:pos="5580"/>
        </w:tabs>
        <w:spacing w:line="360" w:lineRule="auto"/>
        <w:jc w:val="left"/>
        <w:rPr>
          <w:rFonts w:ascii="宋体"/>
          <w:sz w:val="30"/>
          <w:szCs w:val="30"/>
        </w:rPr>
      </w:pPr>
      <w:r>
        <w:rPr>
          <w:rFonts w:ascii="宋体" w:hAnsi="宋体"/>
          <w:sz w:val="24"/>
          <w:szCs w:val="20"/>
        </w:rPr>
        <w:t>4.</w:t>
      </w:r>
      <w:r>
        <w:rPr>
          <w:rFonts w:hint="eastAsia" w:ascii="宋体" w:hAnsi="宋体"/>
          <w:sz w:val="24"/>
          <w:szCs w:val="20"/>
        </w:rPr>
        <w:t>供应商应随本《授权委托书》同时</w:t>
      </w:r>
      <w:r>
        <w:rPr>
          <w:rFonts w:hint="eastAsia" w:ascii="宋体" w:hAnsi="宋体" w:cs="宋体"/>
          <w:sz w:val="24"/>
          <w:szCs w:val="20"/>
        </w:rPr>
        <w:t>提</w:t>
      </w:r>
      <w:r>
        <w:rPr>
          <w:rFonts w:hint="eastAsia" w:ascii="宋体" w:hAnsi="宋体"/>
          <w:sz w:val="24"/>
          <w:szCs w:val="20"/>
        </w:rPr>
        <w:t>供法定代表人（单位负责人）及委托代理人的有效的身份证、护照等身份证明文件电子件。</w:t>
      </w:r>
      <w:r>
        <w:rPr>
          <w:rFonts w:hint="eastAsia" w:ascii="宋体" w:hAnsi="宋体" w:cs="宋体"/>
          <w:sz w:val="24"/>
          <w:szCs w:val="20"/>
        </w:rPr>
        <w:t>提</w:t>
      </w:r>
      <w:r>
        <w:rPr>
          <w:rFonts w:hint="eastAsia" w:ascii="宋体" w:hAnsi="宋体"/>
          <w:sz w:val="24"/>
          <w:szCs w:val="20"/>
        </w:rPr>
        <w:t>供身份证的，应同时</w:t>
      </w:r>
      <w:r>
        <w:rPr>
          <w:rFonts w:hint="eastAsia" w:ascii="宋体" w:hAnsi="宋体" w:cs="宋体"/>
          <w:sz w:val="24"/>
          <w:szCs w:val="20"/>
        </w:rPr>
        <w:t>提</w:t>
      </w:r>
      <w:r>
        <w:rPr>
          <w:rFonts w:hint="eastAsia" w:ascii="宋体" w:hAnsi="宋体"/>
          <w:sz w:val="24"/>
          <w:szCs w:val="20"/>
        </w:rPr>
        <w:t>供身份证双面复印件。</w:t>
      </w:r>
      <w:r>
        <w:rPr>
          <w:rFonts w:ascii="宋体"/>
          <w:sz w:val="30"/>
          <w:szCs w:val="30"/>
        </w:rPr>
        <w:br w:type="page"/>
      </w:r>
    </w:p>
    <w:p>
      <w:pPr>
        <w:spacing w:line="360" w:lineRule="exact"/>
        <w:jc w:val="center"/>
        <w:rPr>
          <w:rFonts w:ascii="宋体" w:hAnsi="宋体"/>
          <w:b/>
          <w:sz w:val="36"/>
          <w:szCs w:val="36"/>
        </w:rPr>
      </w:pPr>
      <w:r>
        <w:rPr>
          <w:rFonts w:hint="eastAsia" w:ascii="宋体" w:hAnsi="宋体"/>
          <w:b/>
          <w:sz w:val="36"/>
          <w:szCs w:val="36"/>
        </w:rPr>
        <w:t>附：法定代表人（单位负责人）身份证明</w:t>
      </w:r>
    </w:p>
    <w:p>
      <w:pPr>
        <w:pStyle w:val="37"/>
      </w:pPr>
    </w:p>
    <w:p>
      <w:pPr>
        <w:kinsoku w:val="0"/>
        <w:overflowPunct w:val="0"/>
        <w:spacing w:line="200" w:lineRule="exact"/>
        <w:rPr>
          <w:rFonts w:ascii="宋体"/>
          <w:sz w:val="20"/>
          <w:szCs w:val="20"/>
        </w:rPr>
      </w:pPr>
    </w:p>
    <w:p>
      <w:pPr>
        <w:tabs>
          <w:tab w:val="left" w:pos="5580"/>
        </w:tabs>
        <w:spacing w:line="360" w:lineRule="auto"/>
        <w:rPr>
          <w:rFonts w:ascii="宋体"/>
          <w:sz w:val="24"/>
        </w:rPr>
      </w:pPr>
      <w:r>
        <w:rPr>
          <w:rFonts w:hint="eastAsia" w:ascii="宋体" w:hAnsi="宋体"/>
          <w:sz w:val="24"/>
        </w:rPr>
        <w:t>致：</w:t>
      </w:r>
      <w:r>
        <w:rPr>
          <w:rFonts w:hint="eastAsia" w:ascii="宋体" w:hAnsi="宋体"/>
          <w:sz w:val="24"/>
          <w:u w:val="singl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7"/>
        <w:tabs>
          <w:tab w:val="left" w:pos="1690"/>
          <w:tab w:val="left" w:pos="3400"/>
          <w:tab w:val="left" w:pos="5110"/>
          <w:tab w:val="left" w:pos="6821"/>
        </w:tabs>
        <w:kinsoku w:val="0"/>
        <w:overflowPunct w:val="0"/>
        <w:spacing w:line="335" w:lineRule="exact"/>
      </w:pPr>
      <w:r>
        <w:rPr>
          <w:rFonts w:hint="eastAsia"/>
        </w:rPr>
        <w:t>姓名：</w:t>
      </w:r>
      <w:r>
        <w:t>____</w:t>
      </w:r>
      <w:r>
        <w:rPr>
          <w:rFonts w:hint="eastAsia"/>
        </w:rPr>
        <w:t>性别：</w:t>
      </w:r>
      <w:r>
        <w:t>____</w:t>
      </w:r>
      <w:r>
        <w:rPr>
          <w:rFonts w:hint="eastAsia"/>
        </w:rPr>
        <w:t>年龄：</w:t>
      </w:r>
      <w:r>
        <w:t>____</w:t>
      </w:r>
      <w:r>
        <w:rPr>
          <w:rFonts w:hint="eastAsia"/>
        </w:rPr>
        <w:t>职务：</w:t>
      </w:r>
      <w:r>
        <w:t>____</w:t>
      </w:r>
    </w:p>
    <w:p>
      <w:pPr>
        <w:pStyle w:val="17"/>
        <w:tabs>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 w:val="clear" w:pos="567"/>
        </w:tabs>
        <w:kinsoku w:val="0"/>
        <w:overflowPunct w:val="0"/>
        <w:spacing w:line="335" w:lineRule="exact"/>
      </w:pPr>
      <w:r>
        <w:rPr>
          <w:rFonts w:hint="eastAsia"/>
        </w:rPr>
        <w:t>系</w:t>
      </w:r>
      <w:r>
        <w:rPr>
          <w:u w:val="single"/>
        </w:rPr>
        <w:tab/>
      </w:r>
      <w:r>
        <w:rPr>
          <w:rFonts w:hint="eastAsia"/>
        </w:rPr>
        <w:t>（投标人名称）的法定代表人（单位负责人）。</w:t>
      </w: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kinsoku w:val="0"/>
        <w:overflowPunct w:val="0"/>
        <w:spacing w:line="583" w:lineRule="auto"/>
        <w:ind w:right="-46"/>
        <w:rPr>
          <w:spacing w:val="-3"/>
        </w:rPr>
      </w:pPr>
      <w:r>
        <w:rPr>
          <w:rFonts w:hint="eastAsia"/>
        </w:rPr>
        <w:t>附：</w:t>
      </w:r>
      <w:r>
        <w:rPr>
          <w:rFonts w:hint="eastAsia"/>
          <w:spacing w:val="-3"/>
        </w:rPr>
        <w:t>法定代表人（单位负责人）身份证、护照等身份证明文件复印件。</w:t>
      </w:r>
    </w:p>
    <w:tbl>
      <w:tblPr>
        <w:tblStyle w:val="4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8" w:hRule="atLeast"/>
        </w:trPr>
        <w:tc>
          <w:tcPr>
            <w:tcW w:w="9493" w:type="dxa"/>
          </w:tcPr>
          <w:p>
            <w:pPr>
              <w:tabs>
                <w:tab w:val="left" w:pos="5580"/>
              </w:tabs>
              <w:spacing w:line="360" w:lineRule="auto"/>
              <w:jc w:val="left"/>
              <w:rPr>
                <w:rFonts w:ascii="宋体"/>
                <w:sz w:val="24"/>
                <w:szCs w:val="20"/>
              </w:rPr>
            </w:pPr>
          </w:p>
          <w:p>
            <w:pPr>
              <w:tabs>
                <w:tab w:val="left" w:pos="5580"/>
              </w:tabs>
              <w:spacing w:line="360" w:lineRule="auto"/>
              <w:jc w:val="left"/>
              <w:rPr>
                <w:rFonts w:ascii="宋体"/>
                <w:sz w:val="24"/>
                <w:szCs w:val="20"/>
              </w:rPr>
            </w:pPr>
          </w:p>
          <w:p>
            <w:pPr>
              <w:tabs>
                <w:tab w:val="left" w:pos="5580"/>
              </w:tabs>
              <w:spacing w:line="360" w:lineRule="auto"/>
              <w:jc w:val="left"/>
              <w:rPr>
                <w:rFonts w:ascii="宋体"/>
                <w:sz w:val="24"/>
                <w:szCs w:val="20"/>
              </w:rPr>
            </w:pPr>
          </w:p>
        </w:tc>
      </w:tr>
    </w:tbl>
    <w:p>
      <w:pPr>
        <w:pStyle w:val="17"/>
        <w:kinsoku w:val="0"/>
        <w:overflowPunct w:val="0"/>
        <w:spacing w:line="583" w:lineRule="auto"/>
        <w:ind w:right="4305"/>
        <w:rPr>
          <w:spacing w:val="-3"/>
        </w:rPr>
      </w:pPr>
    </w:p>
    <w:p>
      <w:pPr>
        <w:autoSpaceDE w:val="0"/>
        <w:autoSpaceDN w:val="0"/>
        <w:adjustRightInd w:val="0"/>
        <w:snapToGrid w:val="0"/>
        <w:spacing w:line="360" w:lineRule="auto"/>
        <w:rPr>
          <w:rFonts w:ascii="宋体"/>
          <w:sz w:val="24"/>
          <w:lang w:val="zh-CN"/>
        </w:rPr>
      </w:pPr>
      <w:r>
        <w:rPr>
          <w:rFonts w:hint="eastAsia" w:ascii="宋体" w:hAnsi="宋体"/>
          <w:sz w:val="24"/>
        </w:rPr>
        <w:t>投标人名称（加盖公章）</w:t>
      </w:r>
      <w:r>
        <w:rPr>
          <w:rFonts w:hint="eastAsia" w:ascii="宋体" w:hAnsi="宋体"/>
          <w:sz w:val="24"/>
          <w:lang w:val="zh-CN"/>
        </w:rPr>
        <w:t>：</w:t>
      </w:r>
      <w:r>
        <w:rPr>
          <w:rFonts w:ascii="宋体" w:hAnsi="宋体"/>
          <w:sz w:val="24"/>
          <w:lang w:val="zh-CN"/>
        </w:rPr>
        <w:t>________________</w:t>
      </w:r>
    </w:p>
    <w:p>
      <w:pPr>
        <w:pStyle w:val="17"/>
        <w:kinsoku w:val="0"/>
        <w:overflowPunct w:val="0"/>
        <w:spacing w:line="583" w:lineRule="auto"/>
        <w:ind w:right="95"/>
        <w:rPr>
          <w:spacing w:val="-3"/>
        </w:rPr>
      </w:pPr>
      <w:r>
        <w:rPr>
          <w:rFonts w:hint="eastAsia"/>
          <w:spacing w:val="-3"/>
        </w:rPr>
        <w:t>法定代表人（</w:t>
      </w:r>
      <w:r>
        <w:rPr>
          <w:rFonts w:hint="eastAsia"/>
        </w:rPr>
        <w:t>单位负责人</w:t>
      </w:r>
      <w:r>
        <w:rPr>
          <w:rFonts w:hint="eastAsia"/>
          <w:spacing w:val="-3"/>
        </w:rPr>
        <w:t>）（签字或盖章）：</w:t>
      </w:r>
      <w:r>
        <w:rPr>
          <w:spacing w:val="-3"/>
        </w:rPr>
        <w:t>_______</w:t>
      </w:r>
    </w:p>
    <w:p>
      <w:pPr>
        <w:autoSpaceDE w:val="0"/>
        <w:autoSpaceDN w:val="0"/>
        <w:adjustRightInd w:val="0"/>
        <w:snapToGrid w:val="0"/>
        <w:spacing w:line="360" w:lineRule="auto"/>
        <w:rPr>
          <w:rFonts w:ascii="宋体"/>
          <w:sz w:val="24"/>
        </w:rPr>
      </w:pPr>
    </w:p>
    <w:p>
      <w:pPr>
        <w:autoSpaceDE w:val="0"/>
        <w:autoSpaceDN w:val="0"/>
        <w:adjustRightInd w:val="0"/>
        <w:snapToGrid w:val="0"/>
        <w:spacing w:line="360" w:lineRule="auto"/>
        <w:rPr>
          <w:rFonts w:ascii="宋体"/>
          <w:sz w:val="24"/>
          <w:lang w:val="zh-CN"/>
        </w:rPr>
      </w:pPr>
      <w:r>
        <w:rPr>
          <w:rFonts w:hint="eastAsia" w:ascii="宋体" w:hAnsi="宋体"/>
          <w:sz w:val="24"/>
        </w:rPr>
        <w:t>日期：</w:t>
      </w:r>
      <w:r>
        <w:rPr>
          <w:rFonts w:ascii="宋体" w:hAnsi="宋体"/>
          <w:sz w:val="24"/>
        </w:rPr>
        <w:t>_____</w:t>
      </w:r>
      <w:r>
        <w:rPr>
          <w:rFonts w:hint="eastAsia" w:ascii="宋体" w:hAnsi="宋体"/>
          <w:sz w:val="24"/>
        </w:rPr>
        <w:t>年</w:t>
      </w:r>
      <w:r>
        <w:rPr>
          <w:rFonts w:ascii="宋体" w:hAnsi="宋体"/>
          <w:sz w:val="24"/>
        </w:rPr>
        <w:t>______</w:t>
      </w:r>
      <w:r>
        <w:rPr>
          <w:rFonts w:hint="eastAsia" w:ascii="宋体" w:hAnsi="宋体"/>
          <w:sz w:val="24"/>
        </w:rPr>
        <w:t>月</w:t>
      </w:r>
      <w:r>
        <w:rPr>
          <w:rFonts w:ascii="宋体" w:hAnsi="宋体"/>
          <w:sz w:val="24"/>
        </w:rPr>
        <w:t>______</w:t>
      </w:r>
      <w:r>
        <w:rPr>
          <w:rFonts w:hint="eastAsia" w:ascii="宋体" w:hAnsi="宋体"/>
          <w:sz w:val="24"/>
        </w:rPr>
        <w:t>日</w:t>
      </w:r>
    </w:p>
    <w:p>
      <w:pPr>
        <w:widowControl/>
        <w:jc w:val="left"/>
        <w:rPr>
          <w:rFonts w:ascii="宋体"/>
          <w:i/>
          <w:sz w:val="24"/>
          <w:szCs w:val="20"/>
          <w:u w:val="single"/>
        </w:rPr>
      </w:pPr>
    </w:p>
    <w:p>
      <w:pPr>
        <w:widowControl/>
        <w:jc w:val="left"/>
        <w:rPr>
          <w:rFonts w:ascii="宋体"/>
          <w:sz w:val="24"/>
          <w:szCs w:val="20"/>
        </w:rPr>
      </w:pPr>
      <w:r>
        <w:rPr>
          <w:rFonts w:ascii="宋体"/>
          <w:sz w:val="24"/>
          <w:szCs w:val="20"/>
        </w:rPr>
        <w:br w:type="page"/>
      </w:r>
    </w:p>
    <w:p>
      <w:pPr>
        <w:spacing w:line="360" w:lineRule="auto"/>
        <w:outlineLvl w:val="2"/>
        <w:rPr>
          <w:rFonts w:ascii="宋体" w:hAnsi="宋体"/>
          <w:sz w:val="24"/>
          <w:szCs w:val="20"/>
        </w:rPr>
      </w:pPr>
      <w:r>
        <w:rPr>
          <w:rFonts w:ascii="宋体" w:hAnsi="宋体"/>
          <w:sz w:val="24"/>
          <w:szCs w:val="20"/>
        </w:rPr>
        <w:t xml:space="preserve">3  </w:t>
      </w:r>
      <w:r>
        <w:rPr>
          <w:rFonts w:hint="eastAsia" w:ascii="宋体" w:hAnsi="宋体"/>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hint="eastAsia" w:ascii="宋体" w:hAnsi="宋体"/>
          <w:sz w:val="24"/>
          <w:szCs w:val="20"/>
        </w:rPr>
        <w:t>（实质性格式）</w:t>
      </w:r>
    </w:p>
    <w:p>
      <w:pPr>
        <w:spacing w:line="360" w:lineRule="auto"/>
        <w:rPr>
          <w:rFonts w:ascii="宋体"/>
          <w:sz w:val="24"/>
          <w:szCs w:val="20"/>
        </w:rPr>
      </w:pPr>
    </w:p>
    <w:p>
      <w:pPr>
        <w:spacing w:line="360" w:lineRule="exact"/>
        <w:jc w:val="center"/>
        <w:rPr>
          <w:rFonts w:ascii="宋体"/>
          <w:b/>
          <w:color w:val="000000"/>
          <w:sz w:val="36"/>
          <w:szCs w:val="36"/>
        </w:rPr>
      </w:pPr>
      <w:bookmarkStart w:id="856" w:name="_Toc264969248"/>
      <w:bookmarkStart w:id="857" w:name="_Toc305158900"/>
      <w:bookmarkStart w:id="858" w:name="_Toc265228396"/>
      <w:bookmarkStart w:id="859" w:name="_Toc305158826"/>
      <w:bookmarkStart w:id="860" w:name="_Toc226965831"/>
      <w:bookmarkStart w:id="861" w:name="_Toc226965748"/>
      <w:bookmarkStart w:id="862" w:name="_Toc164608827"/>
      <w:bookmarkStart w:id="863" w:name="_Toc164608672"/>
      <w:bookmarkStart w:id="864" w:name="_Toc226337254"/>
      <w:bookmarkStart w:id="865" w:name="_Toc195842923"/>
      <w:bookmarkStart w:id="866" w:name="_Toc226309802"/>
      <w:bookmarkStart w:id="867" w:name="_Toc142311060"/>
      <w:bookmarkStart w:id="868" w:name="_Toc226965749"/>
      <w:bookmarkStart w:id="869" w:name="_Toc305158827"/>
      <w:bookmarkStart w:id="870" w:name="_Toc127151558"/>
      <w:bookmarkStart w:id="871" w:name="_Toc305158901"/>
      <w:bookmarkStart w:id="872" w:name="_Toc150774763"/>
      <w:bookmarkStart w:id="873" w:name="_Toc195842924"/>
      <w:bookmarkStart w:id="874" w:name="_Toc226309803"/>
      <w:bookmarkStart w:id="875" w:name="_Toc265228397"/>
      <w:bookmarkStart w:id="876" w:name="_Toc264969249"/>
      <w:bookmarkStart w:id="877" w:name="_Toc150480796"/>
      <w:bookmarkStart w:id="878" w:name="_Toc226965832"/>
      <w:bookmarkStart w:id="879" w:name="_Toc226337255"/>
      <w:r>
        <w:rPr>
          <w:rFonts w:hint="eastAsia" w:ascii="宋体" w:hAnsi="宋体"/>
          <w:b/>
          <w:color w:val="000000"/>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pPr>
        <w:tabs>
          <w:tab w:val="left" w:pos="1800"/>
          <w:tab w:val="left" w:pos="5580"/>
        </w:tabs>
        <w:spacing w:line="360" w:lineRule="auto"/>
        <w:jc w:val="left"/>
        <w:rPr>
          <w:rFonts w:ascii="宋体"/>
          <w:i/>
          <w:color w:val="FF0000"/>
          <w:sz w:val="24"/>
        </w:rPr>
      </w:pPr>
    </w:p>
    <w:p>
      <w:pPr>
        <w:tabs>
          <w:tab w:val="left" w:pos="1800"/>
          <w:tab w:val="left" w:pos="5580"/>
        </w:tabs>
        <w:spacing w:line="360" w:lineRule="auto"/>
        <w:ind w:firstLine="240" w:firstLineChars="100"/>
        <w:jc w:val="left"/>
        <w:rPr>
          <w:rFonts w:ascii="宋体"/>
          <w:sz w:val="24"/>
          <w:u w:val="single"/>
        </w:rPr>
      </w:pPr>
      <w:r>
        <w:rPr>
          <w:rFonts w:hint="eastAsia" w:ascii="宋体" w:hAnsi="宋体"/>
          <w:sz w:val="24"/>
        </w:rPr>
        <w:t>项目代理编号</w:t>
      </w:r>
      <w:r>
        <w:rPr>
          <w:rFonts w:hint="eastAsia" w:ascii="宋体" w:hAnsi="宋体"/>
          <w:sz w:val="24"/>
          <w:szCs w:val="20"/>
        </w:rPr>
        <w:t>/</w:t>
      </w:r>
      <w:r>
        <w:rPr>
          <w:rFonts w:ascii="宋体" w:hAnsi="宋体"/>
          <w:sz w:val="24"/>
          <w:szCs w:val="20"/>
        </w:rPr>
        <w:t>包号</w:t>
      </w:r>
      <w:r>
        <w:rPr>
          <w:rFonts w:hint="eastAsia" w:ascii="宋体" w:hAnsi="宋体"/>
          <w:sz w:val="24"/>
        </w:rPr>
        <w:t>：</w:t>
      </w:r>
      <w:r>
        <w:rPr>
          <w:rFonts w:ascii="宋体" w:hAnsi="宋体"/>
          <w:sz w:val="24"/>
        </w:rPr>
        <w:t xml:space="preserve">______       </w:t>
      </w:r>
      <w:r>
        <w:rPr>
          <w:rFonts w:hint="eastAsia" w:ascii="宋体" w:hAnsi="宋体"/>
          <w:sz w:val="24"/>
        </w:rPr>
        <w:t>项目名称：</w:t>
      </w:r>
      <w:r>
        <w:rPr>
          <w:rFonts w:ascii="宋体" w:hAnsi="宋体"/>
          <w:sz w:val="24"/>
          <w:u w:val="single"/>
        </w:rPr>
        <w:t xml:space="preserve">            </w:t>
      </w:r>
      <w:r>
        <w:rPr>
          <w:rFonts w:ascii="宋体" w:hAnsi="宋体"/>
          <w:sz w:val="24"/>
        </w:rPr>
        <w:t xml:space="preserve">     </w:t>
      </w:r>
      <w:r>
        <w:rPr>
          <w:rFonts w:hint="eastAsia" w:ascii="宋体" w:hAnsi="宋体"/>
          <w:sz w:val="24"/>
        </w:rPr>
        <w:t>报价单位：</w:t>
      </w:r>
      <w:r>
        <w:rPr>
          <w:rFonts w:hint="eastAsia" w:ascii="宋体" w:hAnsi="宋体"/>
          <w:sz w:val="24"/>
          <w:u w:val="single"/>
        </w:rPr>
        <w:t>人民币元</w:t>
      </w:r>
    </w:p>
    <w:tbl>
      <w:tblPr>
        <w:tblStyle w:val="43"/>
        <w:tblW w:w="48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2"/>
        <w:gridCol w:w="2953"/>
        <w:gridCol w:w="1584"/>
        <w:gridCol w:w="1584"/>
        <w:gridCol w:w="1309"/>
        <w:gridCol w:w="1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67" w:type="pct"/>
            <w:vMerge w:val="restart"/>
            <w:vAlign w:val="center"/>
          </w:tcPr>
          <w:p>
            <w:pPr>
              <w:tabs>
                <w:tab w:val="left" w:pos="5580"/>
              </w:tabs>
              <w:jc w:val="center"/>
              <w:rPr>
                <w:rFonts w:ascii="宋体"/>
                <w:b/>
                <w:sz w:val="24"/>
              </w:rPr>
            </w:pPr>
            <w:r>
              <w:rPr>
                <w:rFonts w:hint="eastAsia" w:ascii="宋体" w:hAnsi="宋体"/>
                <w:b/>
                <w:sz w:val="24"/>
              </w:rPr>
              <w:t>包号</w:t>
            </w:r>
          </w:p>
        </w:tc>
        <w:tc>
          <w:tcPr>
            <w:tcW w:w="1566" w:type="pct"/>
            <w:vMerge w:val="restart"/>
            <w:vAlign w:val="center"/>
          </w:tcPr>
          <w:p>
            <w:pPr>
              <w:tabs>
                <w:tab w:val="left" w:pos="5580"/>
              </w:tabs>
              <w:jc w:val="center"/>
              <w:rPr>
                <w:rFonts w:ascii="宋体"/>
                <w:b/>
                <w:sz w:val="24"/>
              </w:rPr>
            </w:pPr>
            <w:r>
              <w:rPr>
                <w:rFonts w:hint="eastAsia" w:ascii="宋体" w:hAnsi="宋体"/>
                <w:b/>
                <w:sz w:val="24"/>
              </w:rPr>
              <w:t>投标人名称</w:t>
            </w:r>
          </w:p>
        </w:tc>
        <w:tc>
          <w:tcPr>
            <w:tcW w:w="1679" w:type="pct"/>
            <w:gridSpan w:val="2"/>
            <w:vAlign w:val="center"/>
          </w:tcPr>
          <w:p>
            <w:pPr>
              <w:tabs>
                <w:tab w:val="left" w:pos="5580"/>
              </w:tabs>
              <w:jc w:val="center"/>
              <w:rPr>
                <w:rFonts w:ascii="宋体"/>
                <w:b/>
                <w:sz w:val="24"/>
              </w:rPr>
            </w:pPr>
            <w:r>
              <w:rPr>
                <w:rFonts w:hint="eastAsia" w:ascii="宋体" w:hAnsi="宋体"/>
                <w:b/>
                <w:sz w:val="24"/>
              </w:rPr>
              <w:t>投标报价</w:t>
            </w:r>
          </w:p>
        </w:tc>
        <w:tc>
          <w:tcPr>
            <w:tcW w:w="694" w:type="pct"/>
            <w:vAlign w:val="center"/>
          </w:tcPr>
          <w:p>
            <w:pPr>
              <w:tabs>
                <w:tab w:val="left" w:pos="5580"/>
              </w:tabs>
              <w:jc w:val="center"/>
              <w:rPr>
                <w:rFonts w:ascii="宋体" w:hAnsi="宋体"/>
                <w:b/>
                <w:sz w:val="24"/>
              </w:rPr>
            </w:pPr>
            <w:r>
              <w:rPr>
                <w:rFonts w:hint="eastAsia" w:ascii="宋体" w:hAnsi="宋体"/>
                <w:b/>
                <w:sz w:val="24"/>
              </w:rPr>
              <w:t>交货期</w:t>
            </w:r>
          </w:p>
        </w:tc>
        <w:tc>
          <w:tcPr>
            <w:tcW w:w="694" w:type="pct"/>
            <w:vAlign w:val="center"/>
          </w:tcPr>
          <w:p>
            <w:pPr>
              <w:tabs>
                <w:tab w:val="left" w:pos="5580"/>
              </w:tabs>
              <w:jc w:val="center"/>
              <w:rPr>
                <w:rFonts w:ascii="宋体" w:hAnsi="宋体"/>
                <w:b/>
                <w:sz w:val="24"/>
              </w:rPr>
            </w:pPr>
            <w:r>
              <w:rPr>
                <w:rFonts w:hint="eastAsia" w:ascii="宋体" w:hAnsi="宋体"/>
                <w:b/>
                <w:sz w:val="24"/>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67" w:type="pct"/>
            <w:vMerge w:val="continue"/>
            <w:vAlign w:val="center"/>
          </w:tcPr>
          <w:p>
            <w:pPr>
              <w:tabs>
                <w:tab w:val="left" w:pos="5580"/>
              </w:tabs>
              <w:jc w:val="center"/>
              <w:rPr>
                <w:rFonts w:ascii="宋体"/>
                <w:sz w:val="24"/>
              </w:rPr>
            </w:pPr>
          </w:p>
        </w:tc>
        <w:tc>
          <w:tcPr>
            <w:tcW w:w="1566" w:type="pct"/>
            <w:vMerge w:val="continue"/>
            <w:vAlign w:val="center"/>
          </w:tcPr>
          <w:p>
            <w:pPr>
              <w:tabs>
                <w:tab w:val="left" w:pos="5580"/>
              </w:tabs>
              <w:jc w:val="center"/>
              <w:rPr>
                <w:rFonts w:ascii="宋体"/>
                <w:sz w:val="24"/>
              </w:rPr>
            </w:pPr>
          </w:p>
        </w:tc>
        <w:tc>
          <w:tcPr>
            <w:tcW w:w="840" w:type="pct"/>
            <w:vAlign w:val="center"/>
          </w:tcPr>
          <w:p>
            <w:pPr>
              <w:tabs>
                <w:tab w:val="left" w:pos="5580"/>
              </w:tabs>
              <w:jc w:val="center"/>
              <w:rPr>
                <w:rFonts w:ascii="宋体"/>
                <w:b/>
                <w:sz w:val="24"/>
              </w:rPr>
            </w:pPr>
            <w:r>
              <w:rPr>
                <w:rFonts w:hint="eastAsia" w:ascii="宋体" w:hAnsi="宋体"/>
                <w:b/>
                <w:sz w:val="24"/>
              </w:rPr>
              <w:t>大写</w:t>
            </w:r>
          </w:p>
        </w:tc>
        <w:tc>
          <w:tcPr>
            <w:tcW w:w="840" w:type="pct"/>
            <w:vAlign w:val="center"/>
          </w:tcPr>
          <w:p>
            <w:pPr>
              <w:tabs>
                <w:tab w:val="left" w:pos="5580"/>
              </w:tabs>
              <w:jc w:val="center"/>
              <w:rPr>
                <w:rFonts w:ascii="宋体"/>
                <w:b/>
                <w:sz w:val="24"/>
              </w:rPr>
            </w:pPr>
            <w:r>
              <w:rPr>
                <w:rFonts w:hint="eastAsia" w:ascii="宋体" w:hAnsi="宋体"/>
                <w:b/>
                <w:sz w:val="24"/>
              </w:rPr>
              <w:t>小写</w:t>
            </w:r>
          </w:p>
        </w:tc>
        <w:tc>
          <w:tcPr>
            <w:tcW w:w="694" w:type="pct"/>
            <w:vMerge w:val="restart"/>
            <w:vAlign w:val="center"/>
          </w:tcPr>
          <w:p>
            <w:pPr>
              <w:tabs>
                <w:tab w:val="left" w:pos="5580"/>
              </w:tabs>
              <w:jc w:val="center"/>
              <w:rPr>
                <w:rFonts w:ascii="宋体" w:hAnsi="宋体"/>
                <w:b/>
                <w:sz w:val="24"/>
              </w:rPr>
            </w:pPr>
          </w:p>
        </w:tc>
        <w:tc>
          <w:tcPr>
            <w:tcW w:w="694" w:type="pct"/>
            <w:vMerge w:val="restart"/>
            <w:vAlign w:val="center"/>
          </w:tcPr>
          <w:p>
            <w:pPr>
              <w:tabs>
                <w:tab w:val="left" w:pos="5580"/>
              </w:tabs>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67" w:type="pct"/>
            <w:vAlign w:val="center"/>
          </w:tcPr>
          <w:p>
            <w:pPr>
              <w:tabs>
                <w:tab w:val="left" w:pos="5580"/>
              </w:tabs>
              <w:jc w:val="center"/>
              <w:rPr>
                <w:rFonts w:ascii="宋体"/>
                <w:sz w:val="24"/>
              </w:rPr>
            </w:pPr>
          </w:p>
        </w:tc>
        <w:tc>
          <w:tcPr>
            <w:tcW w:w="1566" w:type="pct"/>
            <w:vAlign w:val="center"/>
          </w:tcPr>
          <w:p>
            <w:pPr>
              <w:tabs>
                <w:tab w:val="left" w:pos="5580"/>
              </w:tabs>
              <w:jc w:val="center"/>
              <w:rPr>
                <w:rFonts w:ascii="宋体"/>
                <w:sz w:val="24"/>
              </w:rPr>
            </w:pPr>
          </w:p>
        </w:tc>
        <w:tc>
          <w:tcPr>
            <w:tcW w:w="840" w:type="pct"/>
            <w:vAlign w:val="center"/>
          </w:tcPr>
          <w:p>
            <w:pPr>
              <w:tabs>
                <w:tab w:val="left" w:pos="5580"/>
              </w:tabs>
              <w:jc w:val="center"/>
              <w:rPr>
                <w:rFonts w:ascii="宋体"/>
                <w:sz w:val="24"/>
              </w:rPr>
            </w:pPr>
          </w:p>
        </w:tc>
        <w:tc>
          <w:tcPr>
            <w:tcW w:w="840" w:type="pct"/>
            <w:vAlign w:val="center"/>
          </w:tcPr>
          <w:p>
            <w:pPr>
              <w:tabs>
                <w:tab w:val="left" w:pos="5580"/>
              </w:tabs>
              <w:jc w:val="center"/>
              <w:rPr>
                <w:rFonts w:ascii="宋体"/>
                <w:sz w:val="24"/>
              </w:rPr>
            </w:pPr>
          </w:p>
        </w:tc>
        <w:tc>
          <w:tcPr>
            <w:tcW w:w="694" w:type="pct"/>
            <w:vMerge w:val="continue"/>
            <w:vAlign w:val="center"/>
          </w:tcPr>
          <w:p>
            <w:pPr>
              <w:tabs>
                <w:tab w:val="left" w:pos="5580"/>
              </w:tabs>
              <w:jc w:val="center"/>
              <w:rPr>
                <w:rFonts w:ascii="宋体"/>
                <w:sz w:val="24"/>
              </w:rPr>
            </w:pPr>
          </w:p>
        </w:tc>
        <w:tc>
          <w:tcPr>
            <w:tcW w:w="694" w:type="pct"/>
            <w:vMerge w:val="continue"/>
            <w:vAlign w:val="center"/>
          </w:tcPr>
          <w:p>
            <w:pPr>
              <w:tabs>
                <w:tab w:val="left" w:pos="5580"/>
              </w:tabs>
              <w:jc w:val="center"/>
              <w:rPr>
                <w:rFonts w:ascii="宋体"/>
                <w:sz w:val="24"/>
              </w:rPr>
            </w:pPr>
          </w:p>
        </w:tc>
      </w:tr>
    </w:tbl>
    <w:p>
      <w:pPr>
        <w:autoSpaceDE w:val="0"/>
        <w:autoSpaceDN w:val="0"/>
        <w:adjustRightInd w:val="0"/>
        <w:jc w:val="left"/>
        <w:rPr>
          <w:rFonts w:ascii="宋体"/>
          <w:kern w:val="0"/>
          <w:sz w:val="24"/>
        </w:rPr>
      </w:pPr>
    </w:p>
    <w:p>
      <w:pPr>
        <w:autoSpaceDE w:val="0"/>
        <w:autoSpaceDN w:val="0"/>
        <w:adjustRightInd w:val="0"/>
        <w:jc w:val="left"/>
        <w:rPr>
          <w:rFonts w:ascii="宋体"/>
          <w:sz w:val="24"/>
          <w:szCs w:val="20"/>
        </w:rPr>
      </w:pPr>
      <w:r>
        <w:rPr>
          <w:rFonts w:hint="eastAsia" w:ascii="宋体" w:hAnsi="宋体"/>
          <w:kern w:val="0"/>
          <w:sz w:val="24"/>
        </w:rPr>
        <w:t>注：</w:t>
      </w:r>
      <w:r>
        <w:rPr>
          <w:rFonts w:ascii="宋体" w:hAnsi="宋体"/>
          <w:kern w:val="0"/>
          <w:sz w:val="24"/>
        </w:rPr>
        <w:t>1</w:t>
      </w:r>
      <w:r>
        <w:rPr>
          <w:rFonts w:ascii="宋体"/>
          <w:sz w:val="24"/>
          <w:szCs w:val="20"/>
        </w:rPr>
        <w:t>.</w:t>
      </w:r>
      <w:r>
        <w:rPr>
          <w:rFonts w:hint="eastAsia" w:ascii="宋体" w:hAnsi="宋体"/>
          <w:sz w:val="24"/>
          <w:szCs w:val="20"/>
        </w:rPr>
        <w:t>此表中，每包的投标报价应和《投标分项报价表》中的总价相一致。</w:t>
      </w:r>
    </w:p>
    <w:p>
      <w:pPr>
        <w:tabs>
          <w:tab w:val="left" w:pos="5580"/>
        </w:tabs>
        <w:ind w:firstLine="480" w:firstLineChars="200"/>
        <w:rPr>
          <w:rFonts w:ascii="宋体"/>
          <w:sz w:val="24"/>
          <w:szCs w:val="20"/>
        </w:rPr>
      </w:pPr>
      <w:r>
        <w:rPr>
          <w:rFonts w:ascii="宋体" w:hAnsi="宋体"/>
          <w:sz w:val="24"/>
          <w:szCs w:val="20"/>
        </w:rPr>
        <w:t>2.</w:t>
      </w:r>
      <w:r>
        <w:rPr>
          <w:rFonts w:hint="eastAsia" w:ascii="宋体" w:hAnsi="宋体"/>
          <w:sz w:val="24"/>
          <w:szCs w:val="20"/>
        </w:rPr>
        <w:t>本表必须按包分别填写。</w:t>
      </w:r>
    </w:p>
    <w:p>
      <w:pPr>
        <w:autoSpaceDE w:val="0"/>
        <w:autoSpaceDN w:val="0"/>
        <w:adjustRightInd w:val="0"/>
        <w:snapToGrid w:val="0"/>
        <w:spacing w:before="25" w:after="25" w:line="360" w:lineRule="auto"/>
        <w:rPr>
          <w:rFonts w:ascii="宋体"/>
          <w:sz w:val="24"/>
        </w:rPr>
      </w:pPr>
    </w:p>
    <w:p>
      <w:pPr>
        <w:autoSpaceDE w:val="0"/>
        <w:autoSpaceDN w:val="0"/>
        <w:adjustRightInd w:val="0"/>
        <w:snapToGrid w:val="0"/>
        <w:spacing w:before="25" w:after="25" w:line="360" w:lineRule="auto"/>
        <w:rPr>
          <w:rFonts w:ascii="宋体"/>
          <w:sz w:val="24"/>
          <w:lang w:val="zh-CN"/>
        </w:rPr>
      </w:pPr>
      <w:r>
        <w:rPr>
          <w:rFonts w:ascii="宋体" w:hAnsi="宋体"/>
          <w:sz w:val="24"/>
          <w:lang w:val="zh-CN"/>
        </w:rPr>
        <w:t xml:space="preserve">                         </w:t>
      </w:r>
    </w:p>
    <w:p>
      <w:pPr>
        <w:autoSpaceDE w:val="0"/>
        <w:autoSpaceDN w:val="0"/>
        <w:adjustRightInd w:val="0"/>
        <w:snapToGrid w:val="0"/>
        <w:spacing w:before="25" w:after="25" w:line="360" w:lineRule="auto"/>
        <w:rPr>
          <w:rFonts w:ascii="宋体"/>
          <w:sz w:val="24"/>
          <w:lang w:val="zh-CN"/>
        </w:rPr>
      </w:pPr>
      <w:r>
        <w:rPr>
          <w:rFonts w:hint="eastAsia" w:ascii="宋体" w:hAnsi="宋体"/>
          <w:sz w:val="24"/>
        </w:rPr>
        <w:t>投标人名称（加盖公章）</w:t>
      </w:r>
      <w:r>
        <w:rPr>
          <w:rFonts w:hint="eastAsia" w:ascii="宋体" w:hAnsi="宋体"/>
          <w:sz w:val="24"/>
          <w:lang w:val="zh-CN"/>
        </w:rPr>
        <w:t>：</w:t>
      </w:r>
      <w:r>
        <w:rPr>
          <w:rFonts w:ascii="宋体" w:hAnsi="宋体"/>
          <w:sz w:val="24"/>
          <w:lang w:val="zh-CN"/>
        </w:rPr>
        <w:t>____________</w:t>
      </w:r>
    </w:p>
    <w:p>
      <w:pPr>
        <w:autoSpaceDE w:val="0"/>
        <w:autoSpaceDN w:val="0"/>
        <w:adjustRightInd w:val="0"/>
        <w:snapToGrid w:val="0"/>
        <w:spacing w:before="25" w:after="25" w:line="360" w:lineRule="auto"/>
        <w:rPr>
          <w:rFonts w:ascii="宋体"/>
          <w:sz w:val="24"/>
          <w:lang w:val="zh-CN"/>
        </w:rPr>
      </w:pPr>
      <w:r>
        <w:rPr>
          <w:rFonts w:hint="eastAsia" w:ascii="宋体" w:hAnsi="宋体"/>
          <w:sz w:val="24"/>
          <w:szCs w:val="20"/>
        </w:rPr>
        <w:t>日期：</w:t>
      </w:r>
      <w:r>
        <w:rPr>
          <w:rFonts w:ascii="宋体" w:hAnsi="宋体"/>
          <w:sz w:val="24"/>
          <w:szCs w:val="20"/>
        </w:rPr>
        <w:t>_____</w:t>
      </w:r>
      <w:r>
        <w:rPr>
          <w:rFonts w:hint="eastAsia" w:ascii="宋体" w:hAnsi="宋体"/>
          <w:sz w:val="24"/>
          <w:szCs w:val="20"/>
        </w:rPr>
        <w:t>年</w:t>
      </w:r>
      <w:r>
        <w:rPr>
          <w:rFonts w:ascii="宋体" w:hAnsi="宋体"/>
          <w:sz w:val="24"/>
          <w:szCs w:val="20"/>
        </w:rPr>
        <w:t>______</w:t>
      </w:r>
      <w:r>
        <w:rPr>
          <w:rFonts w:hint="eastAsia" w:ascii="宋体" w:hAnsi="宋体"/>
          <w:sz w:val="24"/>
          <w:szCs w:val="20"/>
        </w:rPr>
        <w:t>月</w:t>
      </w:r>
      <w:r>
        <w:rPr>
          <w:rFonts w:ascii="宋体" w:hAnsi="宋体"/>
          <w:sz w:val="24"/>
          <w:szCs w:val="20"/>
        </w:rPr>
        <w:t>______</w:t>
      </w:r>
      <w:r>
        <w:rPr>
          <w:rFonts w:hint="eastAsia" w:ascii="宋体" w:hAnsi="宋体"/>
          <w:sz w:val="24"/>
          <w:szCs w:val="20"/>
        </w:rPr>
        <w:t>日</w:t>
      </w:r>
      <w:r>
        <w:rPr>
          <w:rFonts w:ascii="宋体" w:hAnsi="宋体"/>
          <w:sz w:val="24"/>
          <w:szCs w:val="20"/>
        </w:rPr>
        <w:t xml:space="preserve">   </w:t>
      </w:r>
    </w:p>
    <w:p>
      <w:pPr>
        <w:widowControl/>
        <w:jc w:val="left"/>
        <w:rPr>
          <w:rFonts w:ascii="宋体"/>
          <w:sz w:val="24"/>
          <w:szCs w:val="20"/>
        </w:rPr>
      </w:pPr>
      <w:r>
        <w:rPr>
          <w:rFonts w:ascii="宋体"/>
          <w:sz w:val="24"/>
          <w:szCs w:val="20"/>
        </w:rPr>
        <w:br w:type="page"/>
      </w:r>
    </w:p>
    <w:p>
      <w:pPr>
        <w:pStyle w:val="37"/>
        <w:sectPr>
          <w:headerReference r:id="rId10" w:type="default"/>
          <w:footerReference r:id="rId11" w:type="default"/>
          <w:pgSz w:w="11907" w:h="16840"/>
          <w:pgMar w:top="1418" w:right="850" w:bottom="1418" w:left="1276" w:header="851" w:footer="851" w:gutter="0"/>
          <w:cols w:space="720" w:num="1"/>
          <w:docGrid w:linePitch="462" w:charSpace="0"/>
        </w:sectPr>
      </w:pPr>
    </w:p>
    <w:p>
      <w:pPr>
        <w:pStyle w:val="37"/>
      </w:pPr>
    </w:p>
    <w:p>
      <w:pPr>
        <w:spacing w:line="360" w:lineRule="auto"/>
        <w:outlineLvl w:val="2"/>
        <w:rPr>
          <w:rFonts w:ascii="宋体" w:hAnsi="宋体"/>
          <w:sz w:val="24"/>
          <w:szCs w:val="20"/>
        </w:rPr>
      </w:pPr>
      <w:r>
        <w:rPr>
          <w:rFonts w:hint="eastAsia" w:ascii="宋体" w:hAnsi="宋体"/>
          <w:sz w:val="24"/>
          <w:szCs w:val="20"/>
        </w:rPr>
        <w:t>4投标分项报价表（实质性格式）</w:t>
      </w:r>
    </w:p>
    <w:p>
      <w:pPr>
        <w:pStyle w:val="37"/>
      </w:pPr>
    </w:p>
    <w:p>
      <w:pPr>
        <w:spacing w:line="360" w:lineRule="exact"/>
        <w:jc w:val="center"/>
        <w:rPr>
          <w:rFonts w:ascii="宋体"/>
          <w:sz w:val="36"/>
          <w:szCs w:val="36"/>
        </w:rPr>
      </w:pPr>
    </w:p>
    <w:p>
      <w:pPr>
        <w:spacing w:line="360" w:lineRule="exact"/>
        <w:jc w:val="center"/>
        <w:rPr>
          <w:rFonts w:ascii="宋体"/>
          <w:b/>
          <w:sz w:val="36"/>
          <w:szCs w:val="36"/>
        </w:rPr>
      </w:pPr>
      <w:r>
        <w:rPr>
          <w:rFonts w:hint="eastAsia" w:ascii="宋体" w:hAnsi="宋体"/>
          <w:b/>
          <w:sz w:val="36"/>
          <w:szCs w:val="36"/>
        </w:rPr>
        <w:t>投标分项报价表</w:t>
      </w:r>
    </w:p>
    <w:p>
      <w:pPr>
        <w:spacing w:line="260" w:lineRule="exact"/>
        <w:jc w:val="center"/>
        <w:rPr>
          <w:rFonts w:ascii="宋体"/>
          <w:sz w:val="36"/>
          <w:szCs w:val="36"/>
        </w:rPr>
      </w:pPr>
    </w:p>
    <w:p>
      <w:pPr>
        <w:tabs>
          <w:tab w:val="left" w:pos="1800"/>
          <w:tab w:val="left" w:pos="5580"/>
        </w:tabs>
        <w:ind w:firstLine="480" w:firstLineChars="200"/>
        <w:rPr>
          <w:rFonts w:ascii="宋体"/>
          <w:sz w:val="24"/>
        </w:rPr>
      </w:pPr>
      <w:r>
        <w:rPr>
          <w:rFonts w:hint="eastAsia" w:ascii="宋体" w:hAnsi="宋体"/>
          <w:sz w:val="24"/>
        </w:rPr>
        <w:t>项目代理编号/</w:t>
      </w:r>
      <w:r>
        <w:rPr>
          <w:rFonts w:ascii="宋体" w:hAnsi="宋体"/>
          <w:sz w:val="24"/>
        </w:rPr>
        <w:t>包号</w:t>
      </w:r>
      <w:r>
        <w:rPr>
          <w:rFonts w:hint="eastAsia" w:ascii="宋体" w:hAnsi="宋体"/>
          <w:sz w:val="24"/>
        </w:rPr>
        <w:t>：</w:t>
      </w:r>
      <w:r>
        <w:rPr>
          <w:rFonts w:ascii="宋体" w:hAnsi="宋体"/>
          <w:sz w:val="24"/>
        </w:rPr>
        <w:t xml:space="preserve">________      </w:t>
      </w:r>
      <w:r>
        <w:rPr>
          <w:rFonts w:hint="eastAsia" w:ascii="宋体" w:hAnsi="宋体"/>
          <w:sz w:val="24"/>
        </w:rPr>
        <w:t>项目名称：</w:t>
      </w:r>
      <w:r>
        <w:rPr>
          <w:rFonts w:ascii="宋体" w:hAnsi="宋体"/>
          <w:sz w:val="24"/>
        </w:rPr>
        <w:t xml:space="preserve">__________                                        </w:t>
      </w:r>
      <w:r>
        <w:rPr>
          <w:rFonts w:hint="eastAsia" w:ascii="宋体" w:hAnsi="宋体"/>
          <w:sz w:val="24"/>
        </w:rPr>
        <w:t>报价单位：</w:t>
      </w:r>
      <w:r>
        <w:rPr>
          <w:rFonts w:hint="eastAsia" w:ascii="宋体" w:hAnsi="宋体"/>
          <w:sz w:val="24"/>
          <w:u w:val="single"/>
        </w:rPr>
        <w:t>人民币元</w:t>
      </w:r>
    </w:p>
    <w:tbl>
      <w:tblPr>
        <w:tblStyle w:val="43"/>
        <w:tblW w:w="13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943"/>
        <w:gridCol w:w="1364"/>
        <w:gridCol w:w="1277"/>
        <w:gridCol w:w="1517"/>
        <w:gridCol w:w="1517"/>
        <w:gridCol w:w="1517"/>
        <w:gridCol w:w="1055"/>
        <w:gridCol w:w="1055"/>
        <w:gridCol w:w="833"/>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10" w:type="dxa"/>
            <w:vAlign w:val="center"/>
          </w:tcPr>
          <w:p>
            <w:pPr>
              <w:adjustRightInd w:val="0"/>
              <w:snapToGrid w:val="0"/>
              <w:jc w:val="left"/>
              <w:rPr>
                <w:rFonts w:ascii="宋体"/>
                <w:b/>
                <w:sz w:val="24"/>
              </w:rPr>
            </w:pPr>
            <w:r>
              <w:rPr>
                <w:rFonts w:hint="eastAsia" w:ascii="宋体" w:hAnsi="宋体"/>
                <w:b/>
                <w:sz w:val="24"/>
              </w:rPr>
              <w:t>序号</w:t>
            </w:r>
          </w:p>
        </w:tc>
        <w:tc>
          <w:tcPr>
            <w:tcW w:w="1943" w:type="dxa"/>
            <w:vAlign w:val="center"/>
          </w:tcPr>
          <w:p>
            <w:pPr>
              <w:adjustRightInd w:val="0"/>
              <w:snapToGrid w:val="0"/>
              <w:jc w:val="center"/>
              <w:rPr>
                <w:rFonts w:ascii="宋体"/>
                <w:b/>
                <w:sz w:val="24"/>
              </w:rPr>
            </w:pPr>
            <w:r>
              <w:rPr>
                <w:rFonts w:hint="eastAsia" w:ascii="宋体" w:hAnsi="宋体"/>
                <w:b/>
                <w:sz w:val="24"/>
              </w:rPr>
              <w:t>分项名称</w:t>
            </w:r>
          </w:p>
        </w:tc>
        <w:tc>
          <w:tcPr>
            <w:tcW w:w="1364" w:type="dxa"/>
            <w:vAlign w:val="center"/>
          </w:tcPr>
          <w:p>
            <w:pPr>
              <w:adjustRightInd w:val="0"/>
              <w:snapToGrid w:val="0"/>
              <w:jc w:val="center"/>
              <w:rPr>
                <w:rFonts w:ascii="宋体"/>
                <w:b/>
                <w:sz w:val="24"/>
              </w:rPr>
            </w:pPr>
            <w:r>
              <w:rPr>
                <w:rFonts w:hint="eastAsia" w:ascii="宋体" w:hAnsi="宋体"/>
                <w:b/>
                <w:sz w:val="24"/>
              </w:rPr>
              <w:t>制造商</w:t>
            </w:r>
          </w:p>
        </w:tc>
        <w:tc>
          <w:tcPr>
            <w:tcW w:w="1277" w:type="dxa"/>
            <w:vAlign w:val="center"/>
          </w:tcPr>
          <w:p>
            <w:pPr>
              <w:adjustRightInd w:val="0"/>
              <w:snapToGrid w:val="0"/>
              <w:jc w:val="center"/>
              <w:rPr>
                <w:rFonts w:ascii="宋体"/>
                <w:b/>
                <w:sz w:val="24"/>
              </w:rPr>
            </w:pPr>
            <w:r>
              <w:rPr>
                <w:rFonts w:hint="eastAsia" w:ascii="宋体" w:hAnsi="宋体"/>
                <w:b/>
                <w:sz w:val="24"/>
              </w:rPr>
              <w:t>产地/</w:t>
            </w:r>
            <w:r>
              <w:rPr>
                <w:rFonts w:ascii="宋体" w:hAnsi="宋体"/>
                <w:b/>
                <w:sz w:val="24"/>
              </w:rPr>
              <w:t>国别</w:t>
            </w:r>
          </w:p>
        </w:tc>
        <w:tc>
          <w:tcPr>
            <w:tcW w:w="1517" w:type="dxa"/>
            <w:vAlign w:val="center"/>
          </w:tcPr>
          <w:p>
            <w:pPr>
              <w:adjustRightInd w:val="0"/>
              <w:snapToGrid w:val="0"/>
              <w:jc w:val="center"/>
              <w:rPr>
                <w:rFonts w:ascii="宋体" w:hAnsi="宋体"/>
                <w:b/>
                <w:sz w:val="24"/>
              </w:rPr>
            </w:pPr>
            <w:r>
              <w:rPr>
                <w:rFonts w:hint="eastAsia" w:ascii="宋体" w:hAnsi="宋体"/>
                <w:b/>
                <w:sz w:val="24"/>
              </w:rPr>
              <w:t>制造商</w:t>
            </w:r>
          </w:p>
          <w:p>
            <w:pPr>
              <w:adjustRightInd w:val="0"/>
              <w:snapToGrid w:val="0"/>
              <w:jc w:val="center"/>
              <w:rPr>
                <w:rFonts w:ascii="宋体" w:hAnsi="宋体"/>
                <w:b/>
                <w:sz w:val="24"/>
              </w:rPr>
            </w:pPr>
            <w:r>
              <w:rPr>
                <w:rFonts w:hint="eastAsia" w:ascii="宋体" w:hAnsi="宋体"/>
                <w:b/>
                <w:sz w:val="24"/>
              </w:rPr>
              <w:t>统一信用代</w:t>
            </w:r>
          </w:p>
          <w:p>
            <w:pPr>
              <w:adjustRightInd w:val="0"/>
              <w:snapToGrid w:val="0"/>
              <w:jc w:val="center"/>
              <w:rPr>
                <w:rFonts w:ascii="宋体" w:hAnsi="宋体"/>
                <w:b/>
                <w:sz w:val="24"/>
              </w:rPr>
            </w:pPr>
            <w:r>
              <w:rPr>
                <w:rFonts w:hint="eastAsia" w:ascii="宋体" w:hAnsi="宋体"/>
                <w:b/>
                <w:sz w:val="24"/>
              </w:rPr>
              <w:t>码</w:t>
            </w:r>
          </w:p>
        </w:tc>
        <w:tc>
          <w:tcPr>
            <w:tcW w:w="1517" w:type="dxa"/>
            <w:vAlign w:val="center"/>
          </w:tcPr>
          <w:p>
            <w:pPr>
              <w:adjustRightInd w:val="0"/>
              <w:snapToGrid w:val="0"/>
              <w:jc w:val="center"/>
              <w:rPr>
                <w:rFonts w:ascii="宋体" w:hAnsi="宋体"/>
                <w:b/>
                <w:sz w:val="24"/>
              </w:rPr>
            </w:pPr>
            <w:r>
              <w:rPr>
                <w:rFonts w:hint="eastAsia" w:ascii="宋体" w:hAnsi="宋体"/>
                <w:b/>
                <w:sz w:val="24"/>
              </w:rPr>
              <w:t>制造商</w:t>
            </w:r>
          </w:p>
          <w:p>
            <w:pPr>
              <w:adjustRightInd w:val="0"/>
              <w:snapToGrid w:val="0"/>
              <w:jc w:val="center"/>
              <w:rPr>
                <w:rFonts w:ascii="宋体" w:hAnsi="宋体"/>
                <w:b/>
                <w:sz w:val="24"/>
              </w:rPr>
            </w:pPr>
            <w:r>
              <w:rPr>
                <w:rFonts w:hint="eastAsia" w:ascii="宋体" w:hAnsi="宋体"/>
                <w:b/>
                <w:sz w:val="24"/>
              </w:rPr>
              <w:t>规模</w:t>
            </w:r>
          </w:p>
        </w:tc>
        <w:tc>
          <w:tcPr>
            <w:tcW w:w="1517" w:type="dxa"/>
            <w:vAlign w:val="center"/>
          </w:tcPr>
          <w:p>
            <w:pPr>
              <w:adjustRightInd w:val="0"/>
              <w:snapToGrid w:val="0"/>
              <w:jc w:val="center"/>
              <w:rPr>
                <w:rFonts w:ascii="宋体"/>
                <w:b/>
                <w:sz w:val="24"/>
              </w:rPr>
            </w:pPr>
            <w:r>
              <w:rPr>
                <w:rFonts w:hint="eastAsia" w:ascii="宋体" w:hAnsi="宋体"/>
                <w:b/>
                <w:sz w:val="24"/>
              </w:rPr>
              <w:t>品牌</w:t>
            </w:r>
          </w:p>
        </w:tc>
        <w:tc>
          <w:tcPr>
            <w:tcW w:w="1055" w:type="dxa"/>
            <w:vAlign w:val="center"/>
          </w:tcPr>
          <w:p>
            <w:pPr>
              <w:adjustRightInd w:val="0"/>
              <w:snapToGrid w:val="0"/>
              <w:jc w:val="center"/>
              <w:rPr>
                <w:rFonts w:ascii="宋体" w:hAnsi="宋体"/>
                <w:b/>
                <w:sz w:val="24"/>
              </w:rPr>
            </w:pPr>
            <w:r>
              <w:rPr>
                <w:rFonts w:hint="eastAsia" w:ascii="宋体" w:hAnsi="宋体"/>
                <w:b/>
                <w:sz w:val="24"/>
              </w:rPr>
              <w:t>规格、型号</w:t>
            </w:r>
          </w:p>
        </w:tc>
        <w:tc>
          <w:tcPr>
            <w:tcW w:w="1055" w:type="dxa"/>
            <w:vAlign w:val="center"/>
          </w:tcPr>
          <w:p>
            <w:pPr>
              <w:adjustRightInd w:val="0"/>
              <w:snapToGrid w:val="0"/>
              <w:jc w:val="center"/>
              <w:rPr>
                <w:rFonts w:ascii="宋体"/>
                <w:b/>
                <w:sz w:val="24"/>
              </w:rPr>
            </w:pPr>
            <w:r>
              <w:rPr>
                <w:rFonts w:hint="eastAsia" w:ascii="宋体" w:hAnsi="宋体"/>
                <w:b/>
                <w:sz w:val="24"/>
              </w:rPr>
              <w:t>单价（元）</w:t>
            </w:r>
          </w:p>
        </w:tc>
        <w:tc>
          <w:tcPr>
            <w:tcW w:w="833" w:type="dxa"/>
            <w:vAlign w:val="center"/>
          </w:tcPr>
          <w:p>
            <w:pPr>
              <w:adjustRightInd w:val="0"/>
              <w:snapToGrid w:val="0"/>
              <w:jc w:val="center"/>
              <w:rPr>
                <w:rFonts w:ascii="宋体"/>
                <w:b/>
                <w:sz w:val="24"/>
              </w:rPr>
            </w:pPr>
            <w:r>
              <w:rPr>
                <w:rFonts w:hint="eastAsia" w:ascii="宋体" w:hAnsi="宋体"/>
                <w:b/>
                <w:sz w:val="24"/>
              </w:rPr>
              <w:t>数量</w:t>
            </w:r>
          </w:p>
        </w:tc>
        <w:tc>
          <w:tcPr>
            <w:tcW w:w="1009" w:type="dxa"/>
            <w:vAlign w:val="center"/>
          </w:tcPr>
          <w:p>
            <w:pPr>
              <w:adjustRightInd w:val="0"/>
              <w:snapToGrid w:val="0"/>
              <w:jc w:val="center"/>
              <w:rPr>
                <w:rFonts w:ascii="宋体"/>
                <w:b/>
                <w:sz w:val="24"/>
              </w:rPr>
            </w:pPr>
            <w:r>
              <w:rPr>
                <w:rFonts w:hint="eastAsia" w:ascii="宋体" w:hAnsi="宋体"/>
                <w:b/>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Align w:val="center"/>
          </w:tcPr>
          <w:p>
            <w:pPr>
              <w:adjustRightInd w:val="0"/>
              <w:snapToGrid w:val="0"/>
              <w:jc w:val="center"/>
              <w:rPr>
                <w:rFonts w:ascii="宋体"/>
                <w:sz w:val="24"/>
              </w:rPr>
            </w:pPr>
            <w:r>
              <w:rPr>
                <w:rFonts w:ascii="宋体" w:hAnsi="宋体"/>
                <w:sz w:val="24"/>
              </w:rPr>
              <w:t>1</w:t>
            </w:r>
          </w:p>
        </w:tc>
        <w:tc>
          <w:tcPr>
            <w:tcW w:w="1943" w:type="dxa"/>
            <w:vAlign w:val="center"/>
          </w:tcPr>
          <w:p>
            <w:pPr>
              <w:adjustRightInd w:val="0"/>
              <w:snapToGrid w:val="0"/>
              <w:jc w:val="left"/>
              <w:rPr>
                <w:rFonts w:ascii="宋体"/>
                <w:sz w:val="24"/>
              </w:rPr>
            </w:pPr>
          </w:p>
        </w:tc>
        <w:tc>
          <w:tcPr>
            <w:tcW w:w="1364" w:type="dxa"/>
            <w:vAlign w:val="center"/>
          </w:tcPr>
          <w:p>
            <w:pPr>
              <w:adjustRightInd w:val="0"/>
              <w:snapToGrid w:val="0"/>
              <w:jc w:val="left"/>
              <w:rPr>
                <w:rFonts w:ascii="宋体"/>
                <w:sz w:val="24"/>
              </w:rPr>
            </w:pPr>
          </w:p>
        </w:tc>
        <w:tc>
          <w:tcPr>
            <w:tcW w:w="127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vAlign w:val="center"/>
          </w:tcPr>
          <w:p>
            <w:pPr>
              <w:adjustRightInd w:val="0"/>
              <w:snapToGrid w:val="0"/>
              <w:jc w:val="left"/>
              <w:rPr>
                <w:rFonts w:ascii="宋体"/>
                <w:sz w:val="24"/>
              </w:rPr>
            </w:pPr>
          </w:p>
        </w:tc>
        <w:tc>
          <w:tcPr>
            <w:tcW w:w="1055" w:type="dxa"/>
          </w:tcPr>
          <w:p>
            <w:pPr>
              <w:adjustRightInd w:val="0"/>
              <w:snapToGrid w:val="0"/>
              <w:jc w:val="left"/>
              <w:rPr>
                <w:rFonts w:ascii="宋体"/>
                <w:sz w:val="24"/>
              </w:rPr>
            </w:pPr>
          </w:p>
        </w:tc>
        <w:tc>
          <w:tcPr>
            <w:tcW w:w="1055" w:type="dxa"/>
            <w:vAlign w:val="center"/>
          </w:tcPr>
          <w:p>
            <w:pPr>
              <w:adjustRightInd w:val="0"/>
              <w:snapToGrid w:val="0"/>
              <w:jc w:val="left"/>
              <w:rPr>
                <w:rFonts w:ascii="宋体"/>
                <w:sz w:val="24"/>
              </w:rPr>
            </w:pPr>
          </w:p>
        </w:tc>
        <w:tc>
          <w:tcPr>
            <w:tcW w:w="833" w:type="dxa"/>
            <w:vAlign w:val="center"/>
          </w:tcPr>
          <w:p>
            <w:pPr>
              <w:adjustRightInd w:val="0"/>
              <w:snapToGrid w:val="0"/>
              <w:jc w:val="left"/>
              <w:rPr>
                <w:rFonts w:ascii="宋体"/>
                <w:sz w:val="24"/>
              </w:rPr>
            </w:pPr>
          </w:p>
        </w:tc>
        <w:tc>
          <w:tcPr>
            <w:tcW w:w="1009" w:type="dxa"/>
            <w:vAlign w:val="center"/>
          </w:tcPr>
          <w:p>
            <w:pPr>
              <w:adjustRightInd w:val="0"/>
              <w:snapToGrid w:val="0"/>
              <w:jc w:val="lef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Align w:val="center"/>
          </w:tcPr>
          <w:p>
            <w:pPr>
              <w:adjustRightInd w:val="0"/>
              <w:snapToGrid w:val="0"/>
              <w:jc w:val="center"/>
              <w:rPr>
                <w:rFonts w:ascii="宋体"/>
                <w:sz w:val="24"/>
              </w:rPr>
            </w:pPr>
            <w:r>
              <w:rPr>
                <w:rFonts w:ascii="宋体" w:hAnsi="宋体"/>
                <w:sz w:val="24"/>
              </w:rPr>
              <w:t>2</w:t>
            </w:r>
          </w:p>
        </w:tc>
        <w:tc>
          <w:tcPr>
            <w:tcW w:w="1943" w:type="dxa"/>
            <w:vAlign w:val="center"/>
          </w:tcPr>
          <w:p>
            <w:pPr>
              <w:adjustRightInd w:val="0"/>
              <w:snapToGrid w:val="0"/>
              <w:jc w:val="left"/>
              <w:rPr>
                <w:rFonts w:ascii="宋体"/>
                <w:sz w:val="24"/>
              </w:rPr>
            </w:pPr>
          </w:p>
        </w:tc>
        <w:tc>
          <w:tcPr>
            <w:tcW w:w="1364" w:type="dxa"/>
            <w:vAlign w:val="center"/>
          </w:tcPr>
          <w:p>
            <w:pPr>
              <w:adjustRightInd w:val="0"/>
              <w:snapToGrid w:val="0"/>
              <w:jc w:val="left"/>
              <w:rPr>
                <w:rFonts w:ascii="宋体"/>
                <w:sz w:val="24"/>
              </w:rPr>
            </w:pPr>
          </w:p>
        </w:tc>
        <w:tc>
          <w:tcPr>
            <w:tcW w:w="127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vAlign w:val="center"/>
          </w:tcPr>
          <w:p>
            <w:pPr>
              <w:adjustRightInd w:val="0"/>
              <w:snapToGrid w:val="0"/>
              <w:jc w:val="left"/>
              <w:rPr>
                <w:rFonts w:ascii="宋体"/>
                <w:sz w:val="24"/>
              </w:rPr>
            </w:pPr>
          </w:p>
        </w:tc>
        <w:tc>
          <w:tcPr>
            <w:tcW w:w="1055" w:type="dxa"/>
          </w:tcPr>
          <w:p>
            <w:pPr>
              <w:adjustRightInd w:val="0"/>
              <w:snapToGrid w:val="0"/>
              <w:jc w:val="left"/>
              <w:rPr>
                <w:rFonts w:ascii="宋体"/>
                <w:sz w:val="24"/>
              </w:rPr>
            </w:pPr>
          </w:p>
        </w:tc>
        <w:tc>
          <w:tcPr>
            <w:tcW w:w="1055" w:type="dxa"/>
            <w:vAlign w:val="center"/>
          </w:tcPr>
          <w:p>
            <w:pPr>
              <w:adjustRightInd w:val="0"/>
              <w:snapToGrid w:val="0"/>
              <w:jc w:val="left"/>
              <w:rPr>
                <w:rFonts w:ascii="宋体"/>
                <w:sz w:val="24"/>
              </w:rPr>
            </w:pPr>
          </w:p>
        </w:tc>
        <w:tc>
          <w:tcPr>
            <w:tcW w:w="833" w:type="dxa"/>
            <w:vAlign w:val="center"/>
          </w:tcPr>
          <w:p>
            <w:pPr>
              <w:adjustRightInd w:val="0"/>
              <w:snapToGrid w:val="0"/>
              <w:jc w:val="left"/>
              <w:rPr>
                <w:rFonts w:ascii="宋体"/>
                <w:sz w:val="24"/>
              </w:rPr>
            </w:pPr>
          </w:p>
        </w:tc>
        <w:tc>
          <w:tcPr>
            <w:tcW w:w="1009" w:type="dxa"/>
            <w:vAlign w:val="center"/>
          </w:tcPr>
          <w:p>
            <w:pPr>
              <w:adjustRightInd w:val="0"/>
              <w:snapToGrid w:val="0"/>
              <w:jc w:val="lef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Align w:val="center"/>
          </w:tcPr>
          <w:p>
            <w:pPr>
              <w:adjustRightInd w:val="0"/>
              <w:snapToGrid w:val="0"/>
              <w:jc w:val="center"/>
              <w:rPr>
                <w:rFonts w:ascii="宋体"/>
                <w:sz w:val="24"/>
              </w:rPr>
            </w:pPr>
            <w:r>
              <w:rPr>
                <w:rFonts w:ascii="宋体" w:hAnsi="宋体"/>
                <w:sz w:val="24"/>
              </w:rPr>
              <w:t>3</w:t>
            </w:r>
          </w:p>
        </w:tc>
        <w:tc>
          <w:tcPr>
            <w:tcW w:w="1943" w:type="dxa"/>
            <w:vAlign w:val="center"/>
          </w:tcPr>
          <w:p>
            <w:pPr>
              <w:adjustRightInd w:val="0"/>
              <w:snapToGrid w:val="0"/>
              <w:jc w:val="left"/>
              <w:rPr>
                <w:rFonts w:ascii="宋体"/>
                <w:sz w:val="24"/>
              </w:rPr>
            </w:pPr>
          </w:p>
        </w:tc>
        <w:tc>
          <w:tcPr>
            <w:tcW w:w="1364" w:type="dxa"/>
            <w:vAlign w:val="center"/>
          </w:tcPr>
          <w:p>
            <w:pPr>
              <w:adjustRightInd w:val="0"/>
              <w:snapToGrid w:val="0"/>
              <w:jc w:val="left"/>
              <w:rPr>
                <w:rFonts w:ascii="宋体"/>
                <w:sz w:val="24"/>
              </w:rPr>
            </w:pPr>
          </w:p>
        </w:tc>
        <w:tc>
          <w:tcPr>
            <w:tcW w:w="127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vAlign w:val="center"/>
          </w:tcPr>
          <w:p>
            <w:pPr>
              <w:adjustRightInd w:val="0"/>
              <w:snapToGrid w:val="0"/>
              <w:jc w:val="left"/>
              <w:rPr>
                <w:rFonts w:ascii="宋体"/>
                <w:sz w:val="24"/>
              </w:rPr>
            </w:pPr>
          </w:p>
        </w:tc>
        <w:tc>
          <w:tcPr>
            <w:tcW w:w="1055" w:type="dxa"/>
          </w:tcPr>
          <w:p>
            <w:pPr>
              <w:adjustRightInd w:val="0"/>
              <w:snapToGrid w:val="0"/>
              <w:jc w:val="left"/>
              <w:rPr>
                <w:rFonts w:ascii="宋体"/>
                <w:sz w:val="24"/>
              </w:rPr>
            </w:pPr>
          </w:p>
        </w:tc>
        <w:tc>
          <w:tcPr>
            <w:tcW w:w="1055" w:type="dxa"/>
            <w:vAlign w:val="center"/>
          </w:tcPr>
          <w:p>
            <w:pPr>
              <w:adjustRightInd w:val="0"/>
              <w:snapToGrid w:val="0"/>
              <w:jc w:val="left"/>
              <w:rPr>
                <w:rFonts w:ascii="宋体"/>
                <w:sz w:val="24"/>
              </w:rPr>
            </w:pPr>
          </w:p>
        </w:tc>
        <w:tc>
          <w:tcPr>
            <w:tcW w:w="833" w:type="dxa"/>
            <w:vAlign w:val="center"/>
          </w:tcPr>
          <w:p>
            <w:pPr>
              <w:adjustRightInd w:val="0"/>
              <w:snapToGrid w:val="0"/>
              <w:jc w:val="left"/>
              <w:rPr>
                <w:rFonts w:ascii="宋体"/>
                <w:sz w:val="24"/>
              </w:rPr>
            </w:pPr>
          </w:p>
        </w:tc>
        <w:tc>
          <w:tcPr>
            <w:tcW w:w="1009" w:type="dxa"/>
            <w:vAlign w:val="center"/>
          </w:tcPr>
          <w:p>
            <w:pPr>
              <w:adjustRightInd w:val="0"/>
              <w:snapToGrid w:val="0"/>
              <w:jc w:val="lef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Align w:val="center"/>
          </w:tcPr>
          <w:p>
            <w:pPr>
              <w:adjustRightInd w:val="0"/>
              <w:snapToGrid w:val="0"/>
              <w:jc w:val="center"/>
              <w:rPr>
                <w:rFonts w:ascii="宋体"/>
                <w:sz w:val="24"/>
              </w:rPr>
            </w:pPr>
            <w:r>
              <w:rPr>
                <w:rFonts w:ascii="宋体" w:hAnsi="宋体"/>
                <w:sz w:val="24"/>
              </w:rPr>
              <w:t>4</w:t>
            </w:r>
          </w:p>
        </w:tc>
        <w:tc>
          <w:tcPr>
            <w:tcW w:w="1943" w:type="dxa"/>
            <w:vAlign w:val="center"/>
          </w:tcPr>
          <w:p>
            <w:pPr>
              <w:adjustRightInd w:val="0"/>
              <w:snapToGrid w:val="0"/>
              <w:jc w:val="left"/>
              <w:rPr>
                <w:rFonts w:ascii="宋体"/>
                <w:sz w:val="24"/>
              </w:rPr>
            </w:pPr>
          </w:p>
        </w:tc>
        <w:tc>
          <w:tcPr>
            <w:tcW w:w="1364" w:type="dxa"/>
            <w:vAlign w:val="center"/>
          </w:tcPr>
          <w:p>
            <w:pPr>
              <w:adjustRightInd w:val="0"/>
              <w:snapToGrid w:val="0"/>
              <w:jc w:val="left"/>
              <w:rPr>
                <w:rFonts w:ascii="宋体"/>
                <w:sz w:val="24"/>
              </w:rPr>
            </w:pPr>
          </w:p>
        </w:tc>
        <w:tc>
          <w:tcPr>
            <w:tcW w:w="127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vAlign w:val="center"/>
          </w:tcPr>
          <w:p>
            <w:pPr>
              <w:adjustRightInd w:val="0"/>
              <w:snapToGrid w:val="0"/>
              <w:jc w:val="left"/>
              <w:rPr>
                <w:rFonts w:ascii="宋体"/>
                <w:sz w:val="24"/>
              </w:rPr>
            </w:pPr>
          </w:p>
        </w:tc>
        <w:tc>
          <w:tcPr>
            <w:tcW w:w="1055" w:type="dxa"/>
          </w:tcPr>
          <w:p>
            <w:pPr>
              <w:adjustRightInd w:val="0"/>
              <w:snapToGrid w:val="0"/>
              <w:jc w:val="left"/>
              <w:rPr>
                <w:rFonts w:ascii="宋体"/>
                <w:sz w:val="24"/>
              </w:rPr>
            </w:pPr>
          </w:p>
        </w:tc>
        <w:tc>
          <w:tcPr>
            <w:tcW w:w="1055" w:type="dxa"/>
            <w:vAlign w:val="center"/>
          </w:tcPr>
          <w:p>
            <w:pPr>
              <w:adjustRightInd w:val="0"/>
              <w:snapToGrid w:val="0"/>
              <w:jc w:val="left"/>
              <w:rPr>
                <w:rFonts w:ascii="宋体"/>
                <w:sz w:val="24"/>
              </w:rPr>
            </w:pPr>
          </w:p>
        </w:tc>
        <w:tc>
          <w:tcPr>
            <w:tcW w:w="833" w:type="dxa"/>
            <w:vAlign w:val="center"/>
          </w:tcPr>
          <w:p>
            <w:pPr>
              <w:adjustRightInd w:val="0"/>
              <w:snapToGrid w:val="0"/>
              <w:jc w:val="left"/>
              <w:rPr>
                <w:rFonts w:ascii="宋体"/>
                <w:sz w:val="24"/>
              </w:rPr>
            </w:pPr>
          </w:p>
        </w:tc>
        <w:tc>
          <w:tcPr>
            <w:tcW w:w="1009" w:type="dxa"/>
            <w:vAlign w:val="center"/>
          </w:tcPr>
          <w:p>
            <w:pPr>
              <w:adjustRightInd w:val="0"/>
              <w:snapToGrid w:val="0"/>
              <w:jc w:val="lef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 w:type="dxa"/>
            <w:vAlign w:val="center"/>
          </w:tcPr>
          <w:p>
            <w:pPr>
              <w:adjustRightInd w:val="0"/>
              <w:snapToGrid w:val="0"/>
              <w:jc w:val="left"/>
              <w:rPr>
                <w:rFonts w:ascii="宋体"/>
                <w:sz w:val="24"/>
              </w:rPr>
            </w:pPr>
            <w:r>
              <w:rPr>
                <w:rFonts w:hint="eastAsia" w:ascii="宋体"/>
                <w:sz w:val="24"/>
              </w:rPr>
              <w:t>…</w:t>
            </w:r>
          </w:p>
        </w:tc>
        <w:tc>
          <w:tcPr>
            <w:tcW w:w="1943" w:type="dxa"/>
            <w:vAlign w:val="center"/>
          </w:tcPr>
          <w:p>
            <w:pPr>
              <w:adjustRightInd w:val="0"/>
              <w:snapToGrid w:val="0"/>
              <w:jc w:val="left"/>
              <w:rPr>
                <w:rFonts w:ascii="宋体"/>
                <w:sz w:val="24"/>
              </w:rPr>
            </w:pPr>
          </w:p>
        </w:tc>
        <w:tc>
          <w:tcPr>
            <w:tcW w:w="1364" w:type="dxa"/>
            <w:vAlign w:val="center"/>
          </w:tcPr>
          <w:p>
            <w:pPr>
              <w:adjustRightInd w:val="0"/>
              <w:snapToGrid w:val="0"/>
              <w:jc w:val="left"/>
              <w:rPr>
                <w:rFonts w:ascii="宋体"/>
                <w:sz w:val="24"/>
              </w:rPr>
            </w:pPr>
          </w:p>
        </w:tc>
        <w:tc>
          <w:tcPr>
            <w:tcW w:w="127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tcPr>
          <w:p>
            <w:pPr>
              <w:adjustRightInd w:val="0"/>
              <w:snapToGrid w:val="0"/>
              <w:jc w:val="left"/>
              <w:rPr>
                <w:rFonts w:ascii="宋体"/>
                <w:sz w:val="24"/>
              </w:rPr>
            </w:pPr>
          </w:p>
        </w:tc>
        <w:tc>
          <w:tcPr>
            <w:tcW w:w="1517" w:type="dxa"/>
            <w:vAlign w:val="center"/>
          </w:tcPr>
          <w:p>
            <w:pPr>
              <w:adjustRightInd w:val="0"/>
              <w:snapToGrid w:val="0"/>
              <w:jc w:val="left"/>
              <w:rPr>
                <w:rFonts w:ascii="宋体"/>
                <w:sz w:val="24"/>
              </w:rPr>
            </w:pPr>
          </w:p>
        </w:tc>
        <w:tc>
          <w:tcPr>
            <w:tcW w:w="1055" w:type="dxa"/>
          </w:tcPr>
          <w:p>
            <w:pPr>
              <w:adjustRightInd w:val="0"/>
              <w:snapToGrid w:val="0"/>
              <w:jc w:val="left"/>
              <w:rPr>
                <w:rFonts w:ascii="宋体"/>
                <w:sz w:val="24"/>
              </w:rPr>
            </w:pPr>
          </w:p>
        </w:tc>
        <w:tc>
          <w:tcPr>
            <w:tcW w:w="1055" w:type="dxa"/>
            <w:vAlign w:val="center"/>
          </w:tcPr>
          <w:p>
            <w:pPr>
              <w:adjustRightInd w:val="0"/>
              <w:snapToGrid w:val="0"/>
              <w:jc w:val="left"/>
              <w:rPr>
                <w:rFonts w:ascii="宋体"/>
                <w:sz w:val="24"/>
              </w:rPr>
            </w:pPr>
          </w:p>
        </w:tc>
        <w:tc>
          <w:tcPr>
            <w:tcW w:w="833" w:type="dxa"/>
            <w:vAlign w:val="center"/>
          </w:tcPr>
          <w:p>
            <w:pPr>
              <w:adjustRightInd w:val="0"/>
              <w:snapToGrid w:val="0"/>
              <w:jc w:val="left"/>
              <w:rPr>
                <w:rFonts w:ascii="宋体"/>
                <w:sz w:val="24"/>
              </w:rPr>
            </w:pPr>
          </w:p>
        </w:tc>
        <w:tc>
          <w:tcPr>
            <w:tcW w:w="1009" w:type="dxa"/>
            <w:vAlign w:val="center"/>
          </w:tcPr>
          <w:p>
            <w:pPr>
              <w:adjustRightInd w:val="0"/>
              <w:snapToGrid w:val="0"/>
              <w:jc w:val="lef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88" w:type="dxa"/>
            <w:gridSpan w:val="10"/>
          </w:tcPr>
          <w:p>
            <w:pPr>
              <w:jc w:val="center"/>
              <w:rPr>
                <w:rFonts w:ascii="宋体"/>
                <w:b/>
                <w:sz w:val="24"/>
              </w:rPr>
            </w:pPr>
            <w:r>
              <w:rPr>
                <w:rFonts w:hint="eastAsia" w:ascii="宋体" w:hAnsi="宋体"/>
                <w:b/>
                <w:sz w:val="24"/>
              </w:rPr>
              <w:t>总价（元）</w:t>
            </w:r>
          </w:p>
        </w:tc>
        <w:tc>
          <w:tcPr>
            <w:tcW w:w="1009" w:type="dxa"/>
            <w:vAlign w:val="center"/>
          </w:tcPr>
          <w:p>
            <w:pPr>
              <w:adjustRightInd w:val="0"/>
              <w:snapToGrid w:val="0"/>
              <w:jc w:val="left"/>
              <w:rPr>
                <w:rFonts w:ascii="宋体"/>
                <w:sz w:val="24"/>
              </w:rPr>
            </w:pPr>
          </w:p>
        </w:tc>
      </w:tr>
    </w:tbl>
    <w:p>
      <w:pPr>
        <w:adjustRightInd w:val="0"/>
        <w:snapToGrid w:val="0"/>
        <w:spacing w:before="240" w:beforeLines="100" w:after="240" w:afterLines="100"/>
        <w:jc w:val="left"/>
        <w:rPr>
          <w:rFonts w:ascii="宋体"/>
          <w:sz w:val="24"/>
        </w:rPr>
      </w:pPr>
    </w:p>
    <w:p>
      <w:pPr>
        <w:tabs>
          <w:tab w:val="left" w:pos="1800"/>
          <w:tab w:val="left" w:pos="5580"/>
        </w:tabs>
        <w:jc w:val="left"/>
        <w:rPr>
          <w:rFonts w:ascii="宋体"/>
          <w:sz w:val="24"/>
        </w:rPr>
      </w:pPr>
      <w:r>
        <w:rPr>
          <w:rFonts w:hint="eastAsia" w:ascii="宋体" w:hAnsi="宋体"/>
          <w:sz w:val="24"/>
        </w:rPr>
        <w:t>注：</w:t>
      </w:r>
      <w:r>
        <w:rPr>
          <w:rFonts w:ascii="宋体" w:hAnsi="宋体"/>
          <w:sz w:val="24"/>
        </w:rPr>
        <w:t>1.</w:t>
      </w:r>
      <w:r>
        <w:rPr>
          <w:rFonts w:hint="eastAsia" w:ascii="宋体" w:hAnsi="宋体"/>
          <w:sz w:val="24"/>
        </w:rPr>
        <w:t>本表应按包分别填写。</w:t>
      </w:r>
    </w:p>
    <w:p>
      <w:pPr>
        <w:tabs>
          <w:tab w:val="left" w:pos="1800"/>
          <w:tab w:val="left" w:pos="5580"/>
        </w:tabs>
        <w:ind w:firstLine="480" w:firstLineChars="200"/>
        <w:jc w:val="left"/>
        <w:rPr>
          <w:rFonts w:ascii="宋体"/>
          <w:sz w:val="24"/>
        </w:rPr>
      </w:pPr>
      <w:r>
        <w:rPr>
          <w:rFonts w:ascii="宋体" w:hAnsi="宋体"/>
          <w:sz w:val="24"/>
        </w:rPr>
        <w:t>2.</w:t>
      </w:r>
      <w:r>
        <w:rPr>
          <w:rFonts w:hint="eastAsia" w:ascii="宋体" w:hAnsi="宋体"/>
          <w:sz w:val="24"/>
        </w:rPr>
        <w:t xml:space="preserve">如果不提供分项报价将视为没有实质性响应招标文件。 </w:t>
      </w:r>
    </w:p>
    <w:p>
      <w:pPr>
        <w:tabs>
          <w:tab w:val="left" w:pos="1800"/>
          <w:tab w:val="left" w:pos="5580"/>
        </w:tabs>
        <w:ind w:firstLine="480" w:firstLineChars="200"/>
        <w:jc w:val="left"/>
        <w:rPr>
          <w:rFonts w:ascii="宋体"/>
          <w:sz w:val="24"/>
        </w:rPr>
      </w:pPr>
      <w:r>
        <w:rPr>
          <w:rFonts w:ascii="宋体" w:hAnsi="宋体"/>
          <w:sz w:val="24"/>
        </w:rPr>
        <w:t>3.</w:t>
      </w:r>
      <w:r>
        <w:rPr>
          <w:rFonts w:hint="eastAsia" w:ascii="宋体" w:hAnsi="宋体"/>
          <w:sz w:val="24"/>
        </w:rPr>
        <w:t>上述各项的详细规格（如有），可另页描述。</w:t>
      </w:r>
    </w:p>
    <w:p>
      <w:pPr>
        <w:autoSpaceDE w:val="0"/>
        <w:autoSpaceDN w:val="0"/>
        <w:adjustRightInd w:val="0"/>
        <w:snapToGrid w:val="0"/>
        <w:spacing w:before="25" w:after="25" w:line="360" w:lineRule="auto"/>
        <w:rPr>
          <w:rFonts w:ascii="宋体"/>
          <w:sz w:val="24"/>
          <w:lang w:val="zh-CN"/>
        </w:rPr>
      </w:pPr>
      <w:r>
        <w:rPr>
          <w:rFonts w:ascii="宋体" w:hAnsi="宋体"/>
          <w:sz w:val="24"/>
          <w:lang w:val="zh-CN"/>
        </w:rPr>
        <w:t xml:space="preserve">    4.</w:t>
      </w:r>
      <w:r>
        <w:rPr>
          <w:rFonts w:hint="eastAsia"/>
        </w:rPr>
        <w:t xml:space="preserve"> </w:t>
      </w:r>
      <w:r>
        <w:rPr>
          <w:rFonts w:hint="eastAsia" w:ascii="宋体" w:hAnsi="宋体"/>
          <w:sz w:val="24"/>
          <w:lang w:val="zh-CN"/>
        </w:rPr>
        <w:t>制造商规模请填写“中型”、“小型”、“微型”或其他，中小企业的定义见第二章《投标人须知》。</w:t>
      </w:r>
      <w:r>
        <w:rPr>
          <w:rFonts w:ascii="宋体" w:hAnsi="宋体"/>
          <w:sz w:val="24"/>
          <w:lang w:val="zh-CN"/>
        </w:rPr>
        <w:t xml:space="preserve">             </w:t>
      </w:r>
    </w:p>
    <w:p>
      <w:pPr>
        <w:autoSpaceDE w:val="0"/>
        <w:autoSpaceDN w:val="0"/>
        <w:adjustRightInd w:val="0"/>
        <w:snapToGrid w:val="0"/>
        <w:spacing w:before="25" w:after="25" w:line="360" w:lineRule="auto"/>
        <w:rPr>
          <w:rFonts w:ascii="宋体"/>
          <w:sz w:val="24"/>
          <w:lang w:val="zh-CN"/>
        </w:rPr>
      </w:pPr>
      <w:r>
        <w:rPr>
          <w:rFonts w:hint="eastAsia" w:ascii="宋体" w:hAnsi="宋体"/>
          <w:sz w:val="24"/>
        </w:rPr>
        <w:t>投标人名称（加盖公章）</w:t>
      </w:r>
      <w:r>
        <w:rPr>
          <w:rFonts w:hint="eastAsia" w:ascii="宋体" w:hAnsi="宋体"/>
          <w:sz w:val="24"/>
          <w:lang w:val="zh-CN"/>
        </w:rPr>
        <w:t>：</w:t>
      </w:r>
      <w:r>
        <w:rPr>
          <w:rFonts w:ascii="宋体" w:hAnsi="宋体"/>
          <w:sz w:val="24"/>
          <w:lang w:val="zh-CN"/>
        </w:rPr>
        <w:t>____________</w:t>
      </w:r>
    </w:p>
    <w:p>
      <w:pPr>
        <w:autoSpaceDE w:val="0"/>
        <w:autoSpaceDN w:val="0"/>
        <w:adjustRightInd w:val="0"/>
        <w:snapToGrid w:val="0"/>
        <w:spacing w:before="25" w:after="25" w:line="360" w:lineRule="auto"/>
        <w:rPr>
          <w:rFonts w:ascii="宋体"/>
          <w:sz w:val="24"/>
          <w:lang w:val="zh-CN"/>
        </w:rPr>
      </w:pPr>
      <w:r>
        <w:rPr>
          <w:rFonts w:hint="eastAsia" w:ascii="宋体" w:hAnsi="宋体"/>
          <w:sz w:val="24"/>
          <w:szCs w:val="20"/>
        </w:rPr>
        <w:t>日期：</w:t>
      </w:r>
      <w:r>
        <w:rPr>
          <w:rFonts w:ascii="宋体" w:hAnsi="宋体"/>
          <w:sz w:val="24"/>
          <w:szCs w:val="20"/>
        </w:rPr>
        <w:t>_____</w:t>
      </w:r>
      <w:r>
        <w:rPr>
          <w:rFonts w:hint="eastAsia" w:ascii="宋体" w:hAnsi="宋体"/>
          <w:sz w:val="24"/>
          <w:szCs w:val="20"/>
        </w:rPr>
        <w:t>年</w:t>
      </w:r>
      <w:r>
        <w:rPr>
          <w:rFonts w:ascii="宋体" w:hAnsi="宋体"/>
          <w:sz w:val="24"/>
          <w:szCs w:val="20"/>
        </w:rPr>
        <w:t>______</w:t>
      </w:r>
      <w:r>
        <w:rPr>
          <w:rFonts w:hint="eastAsia" w:ascii="宋体" w:hAnsi="宋体"/>
          <w:sz w:val="24"/>
          <w:szCs w:val="20"/>
        </w:rPr>
        <w:t>月</w:t>
      </w:r>
      <w:r>
        <w:rPr>
          <w:rFonts w:ascii="宋体" w:hAnsi="宋体"/>
          <w:sz w:val="24"/>
          <w:szCs w:val="20"/>
        </w:rPr>
        <w:t>______</w:t>
      </w:r>
      <w:r>
        <w:rPr>
          <w:rFonts w:hint="eastAsia" w:ascii="宋体" w:hAnsi="宋体"/>
          <w:sz w:val="24"/>
          <w:szCs w:val="20"/>
        </w:rPr>
        <w:t>日</w:t>
      </w:r>
      <w:r>
        <w:rPr>
          <w:rFonts w:ascii="宋体" w:hAnsi="宋体"/>
          <w:sz w:val="24"/>
          <w:szCs w:val="20"/>
        </w:rPr>
        <w:t xml:space="preserve">   </w:t>
      </w:r>
    </w:p>
    <w:p>
      <w:pPr>
        <w:autoSpaceDE w:val="0"/>
        <w:autoSpaceDN w:val="0"/>
        <w:adjustRightInd w:val="0"/>
        <w:snapToGrid w:val="0"/>
        <w:spacing w:before="25" w:after="25" w:line="360" w:lineRule="auto"/>
        <w:rPr>
          <w:rFonts w:ascii="宋体"/>
          <w:color w:val="000000"/>
          <w:sz w:val="24"/>
          <w:lang w:val="zh-CN"/>
        </w:rPr>
        <w:sectPr>
          <w:pgSz w:w="16840" w:h="11907" w:orient="landscape"/>
          <w:pgMar w:top="1276" w:right="1418" w:bottom="851" w:left="1418" w:header="851" w:footer="851" w:gutter="0"/>
          <w:cols w:space="720" w:num="1"/>
          <w:docGrid w:linePitch="462" w:charSpace="0"/>
        </w:sectPr>
      </w:pPr>
    </w:p>
    <w:bookmarkEnd w:id="867"/>
    <w:bookmarkEnd w:id="868"/>
    <w:bookmarkEnd w:id="869"/>
    <w:bookmarkEnd w:id="870"/>
    <w:bookmarkEnd w:id="871"/>
    <w:bookmarkEnd w:id="872"/>
    <w:bookmarkEnd w:id="873"/>
    <w:bookmarkEnd w:id="874"/>
    <w:bookmarkEnd w:id="875"/>
    <w:bookmarkEnd w:id="876"/>
    <w:bookmarkEnd w:id="877"/>
    <w:bookmarkEnd w:id="878"/>
    <w:bookmarkEnd w:id="879"/>
    <w:p>
      <w:pPr>
        <w:widowControl/>
        <w:jc w:val="left"/>
        <w:outlineLvl w:val="2"/>
        <w:rPr>
          <w:rFonts w:ascii="宋体"/>
          <w:sz w:val="24"/>
          <w:szCs w:val="20"/>
        </w:rPr>
      </w:pPr>
      <w:bookmarkStart w:id="880" w:name="_Toc226309806"/>
      <w:bookmarkStart w:id="881" w:name="_Toc305158904"/>
      <w:bookmarkStart w:id="882" w:name="_Toc150480798"/>
      <w:bookmarkStart w:id="883" w:name="_Toc150774765"/>
      <w:bookmarkStart w:id="884" w:name="_Toc142311062"/>
      <w:bookmarkStart w:id="885" w:name="_Toc264969252"/>
      <w:bookmarkStart w:id="886" w:name="_Toc305158830"/>
      <w:bookmarkStart w:id="887" w:name="_Toc195842927"/>
      <w:bookmarkStart w:id="888" w:name="_Toc265228400"/>
      <w:bookmarkStart w:id="889" w:name="_Toc226337258"/>
      <w:bookmarkStart w:id="890" w:name="_Toc226965835"/>
      <w:bookmarkStart w:id="891" w:name="_Toc127151562"/>
      <w:bookmarkStart w:id="892" w:name="_Toc226965752"/>
      <w:bookmarkStart w:id="893" w:name="_Toc195842926"/>
      <w:bookmarkStart w:id="894" w:name="_Toc142311061"/>
      <w:bookmarkStart w:id="895" w:name="_Toc226337257"/>
      <w:bookmarkStart w:id="896" w:name="_Toc305158829"/>
      <w:bookmarkStart w:id="897" w:name="_Toc265228399"/>
      <w:bookmarkStart w:id="898" w:name="_Toc226965834"/>
      <w:bookmarkStart w:id="899" w:name="_Toc150480797"/>
      <w:bookmarkStart w:id="900" w:name="_Toc226309805"/>
      <w:bookmarkStart w:id="901" w:name="_Toc264969251"/>
      <w:bookmarkStart w:id="902" w:name="_Toc305158903"/>
      <w:bookmarkStart w:id="903" w:name="_Toc226965751"/>
      <w:bookmarkStart w:id="904" w:name="_Toc127151561"/>
      <w:bookmarkStart w:id="905" w:name="_Toc150774764"/>
      <w:r>
        <w:rPr>
          <w:rFonts w:ascii="宋体" w:hAnsi="宋体"/>
          <w:sz w:val="24"/>
          <w:szCs w:val="20"/>
        </w:rPr>
        <w:t xml:space="preserve">5 </w:t>
      </w:r>
      <w:r>
        <w:rPr>
          <w:rFonts w:hint="eastAsia" w:ascii="宋体" w:hAnsi="宋体"/>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rFonts w:hint="eastAsia" w:ascii="宋体" w:hAnsi="宋体"/>
          <w:sz w:val="24"/>
          <w:szCs w:val="20"/>
        </w:rPr>
        <w:t>（实质性格式）</w:t>
      </w:r>
    </w:p>
    <w:p>
      <w:pPr>
        <w:spacing w:line="360" w:lineRule="auto"/>
        <w:rPr>
          <w:rFonts w:ascii="宋体"/>
          <w:sz w:val="24"/>
          <w:szCs w:val="20"/>
        </w:rPr>
      </w:pPr>
    </w:p>
    <w:p>
      <w:pPr>
        <w:tabs>
          <w:tab w:val="left" w:pos="2775"/>
          <w:tab w:val="center" w:pos="4153"/>
        </w:tabs>
        <w:autoSpaceDE w:val="0"/>
        <w:autoSpaceDN w:val="0"/>
        <w:adjustRightInd w:val="0"/>
        <w:spacing w:line="360" w:lineRule="auto"/>
        <w:jc w:val="center"/>
        <w:rPr>
          <w:rFonts w:ascii="宋体"/>
          <w:b/>
          <w:sz w:val="36"/>
          <w:szCs w:val="36"/>
        </w:rPr>
      </w:pPr>
      <w:r>
        <w:rPr>
          <w:rFonts w:hint="eastAsia" w:ascii="宋体" w:hAnsi="宋体"/>
          <w:b/>
          <w:sz w:val="36"/>
          <w:szCs w:val="36"/>
        </w:rPr>
        <w:t>合同条款偏离表</w:t>
      </w:r>
    </w:p>
    <w:p>
      <w:pPr>
        <w:spacing w:line="360" w:lineRule="auto"/>
        <w:rPr>
          <w:rFonts w:ascii="宋体"/>
          <w:sz w:val="24"/>
          <w:szCs w:val="20"/>
        </w:rPr>
      </w:pPr>
    </w:p>
    <w:p>
      <w:pPr>
        <w:tabs>
          <w:tab w:val="left" w:pos="1800"/>
          <w:tab w:val="left" w:pos="5580"/>
        </w:tabs>
        <w:spacing w:line="360" w:lineRule="auto"/>
        <w:ind w:firstLine="480" w:firstLineChars="200"/>
        <w:jc w:val="left"/>
        <w:rPr>
          <w:rFonts w:ascii="宋体"/>
          <w:sz w:val="24"/>
        </w:rPr>
      </w:pPr>
      <w:r>
        <w:rPr>
          <w:rFonts w:hint="eastAsia" w:ascii="宋体" w:hAnsi="宋体"/>
          <w:sz w:val="24"/>
        </w:rPr>
        <w:t>项目代理编号/</w:t>
      </w:r>
      <w:r>
        <w:rPr>
          <w:rFonts w:ascii="宋体" w:hAnsi="宋体"/>
          <w:sz w:val="24"/>
        </w:rPr>
        <w:t>包号</w:t>
      </w:r>
      <w:r>
        <w:rPr>
          <w:rFonts w:hint="eastAsia" w:ascii="宋体" w:hAnsi="宋体"/>
          <w:sz w:val="24"/>
        </w:rPr>
        <w:t>：</w:t>
      </w:r>
      <w:r>
        <w:rPr>
          <w:rFonts w:ascii="宋体" w:hAnsi="宋体"/>
          <w:sz w:val="24"/>
        </w:rPr>
        <w:t xml:space="preserve">_____________________          </w:t>
      </w:r>
      <w:r>
        <w:rPr>
          <w:rFonts w:hint="eastAsia" w:ascii="宋体" w:hAnsi="宋体"/>
          <w:sz w:val="24"/>
        </w:rPr>
        <w:t>项目名称：</w:t>
      </w:r>
      <w:r>
        <w:rPr>
          <w:rFonts w:ascii="宋体" w:hAnsi="宋体"/>
          <w:sz w:val="24"/>
        </w:rPr>
        <w:t>_____________</w:t>
      </w:r>
    </w:p>
    <w:tbl>
      <w:tblPr>
        <w:tblStyle w:val="4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宋体" w:hAnsi="宋体"/>
                <w:b/>
                <w:sz w:val="24"/>
              </w:rPr>
            </w:pPr>
            <w:r>
              <w:rPr>
                <w:rFonts w:hint="eastAsia" w:ascii="宋体" w:hAnsi="宋体"/>
                <w:b/>
                <w:sz w:val="24"/>
              </w:rPr>
              <w:t>对本项目合同条款的偏离情况（应进行选择，未选择投标无效）：</w:t>
            </w:r>
          </w:p>
          <w:p>
            <w:pPr>
              <w:adjustRightInd w:val="0"/>
              <w:snapToGrid w:val="0"/>
              <w:jc w:val="left"/>
              <w:rPr>
                <w:rFonts w:ascii="宋体" w:hAnsi="宋体"/>
                <w:b/>
                <w:sz w:val="24"/>
              </w:rPr>
            </w:pPr>
            <w:r>
              <w:rPr>
                <w:rFonts w:hint="eastAsia" w:ascii="宋体" w:hAnsi="宋体"/>
                <w:b/>
                <w:sz w:val="24"/>
              </w:rPr>
              <w:t>□无偏离（如无偏离，仅选择无偏离即可；无偏离即为对合同条款中的所有要求，均视作供应商已对之理解和响应。）</w:t>
            </w:r>
          </w:p>
          <w:p>
            <w:pPr>
              <w:adjustRightInd w:val="0"/>
              <w:snapToGrid w:val="0"/>
              <w:jc w:val="left"/>
              <w:rPr>
                <w:rFonts w:ascii="宋体"/>
                <w:sz w:val="24"/>
              </w:rPr>
            </w:pPr>
            <w:r>
              <w:rPr>
                <w:rFonts w:hint="eastAsia" w:ascii="宋体" w:hAnsi="宋体"/>
                <w:b/>
                <w:sz w:val="24"/>
              </w:rPr>
              <w:t>□有偏离（如有偏离，则应在本表中对偏离项逐一列明，否则投标无效；对合同条款中的所有要求，除本表列明的偏离外，均视作供应商已对之理解和响应。）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sz w:val="24"/>
              </w:rPr>
            </w:pPr>
            <w:r>
              <w:rPr>
                <w:rFonts w:hint="eastAsia" w:ascii="宋体" w:hAnsi="宋体"/>
                <w:sz w:val="24"/>
              </w:rPr>
              <w:t>序号</w:t>
            </w:r>
          </w:p>
        </w:tc>
        <w:tc>
          <w:tcPr>
            <w:tcW w:w="1291" w:type="dxa"/>
            <w:vAlign w:val="center"/>
          </w:tcPr>
          <w:p>
            <w:pPr>
              <w:adjustRightInd w:val="0"/>
              <w:snapToGrid w:val="0"/>
              <w:jc w:val="center"/>
              <w:rPr>
                <w:rFonts w:ascii="宋体"/>
                <w:sz w:val="24"/>
              </w:rPr>
            </w:pPr>
            <w:r>
              <w:rPr>
                <w:rFonts w:hint="eastAsia" w:ascii="宋体" w:hAnsi="宋体"/>
                <w:sz w:val="24"/>
                <w:szCs w:val="21"/>
              </w:rPr>
              <w:t>招标文件</w:t>
            </w:r>
            <w:r>
              <w:rPr>
                <w:rFonts w:hint="eastAsia" w:ascii="宋体" w:hAnsi="宋体"/>
                <w:sz w:val="24"/>
              </w:rPr>
              <w:t>条目号（页码）</w:t>
            </w:r>
          </w:p>
        </w:tc>
        <w:tc>
          <w:tcPr>
            <w:tcW w:w="1981" w:type="dxa"/>
            <w:vAlign w:val="center"/>
          </w:tcPr>
          <w:p>
            <w:pPr>
              <w:adjustRightInd w:val="0"/>
              <w:snapToGrid w:val="0"/>
              <w:jc w:val="center"/>
              <w:rPr>
                <w:rFonts w:ascii="宋体"/>
                <w:sz w:val="24"/>
              </w:rPr>
            </w:pPr>
            <w:r>
              <w:rPr>
                <w:rFonts w:hint="eastAsia" w:ascii="宋体" w:hAnsi="宋体"/>
                <w:sz w:val="24"/>
                <w:szCs w:val="21"/>
              </w:rPr>
              <w:t>招标文件</w:t>
            </w:r>
            <w:r>
              <w:rPr>
                <w:rFonts w:hint="eastAsia" w:ascii="宋体" w:hAnsi="宋体"/>
                <w:sz w:val="24"/>
              </w:rPr>
              <w:t>要求</w:t>
            </w:r>
          </w:p>
        </w:tc>
        <w:tc>
          <w:tcPr>
            <w:tcW w:w="1982" w:type="dxa"/>
            <w:vAlign w:val="center"/>
          </w:tcPr>
          <w:p>
            <w:pPr>
              <w:adjustRightInd w:val="0"/>
              <w:snapToGrid w:val="0"/>
              <w:jc w:val="center"/>
              <w:rPr>
                <w:rFonts w:ascii="宋体"/>
                <w:sz w:val="24"/>
              </w:rPr>
            </w:pPr>
            <w:r>
              <w:rPr>
                <w:rFonts w:hint="eastAsia" w:ascii="宋体" w:hAnsi="宋体"/>
                <w:sz w:val="24"/>
              </w:rPr>
              <w:t>投标文件内容</w:t>
            </w:r>
          </w:p>
        </w:tc>
        <w:tc>
          <w:tcPr>
            <w:tcW w:w="2424" w:type="dxa"/>
            <w:vAlign w:val="center"/>
          </w:tcPr>
          <w:p>
            <w:pPr>
              <w:adjustRightInd w:val="0"/>
              <w:snapToGrid w:val="0"/>
              <w:jc w:val="center"/>
              <w:rPr>
                <w:rFonts w:ascii="宋体"/>
                <w:sz w:val="24"/>
              </w:rPr>
            </w:pPr>
            <w:r>
              <w:rPr>
                <w:rFonts w:hint="eastAsia" w:ascii="宋体" w:hAnsi="宋体"/>
                <w:sz w:val="24"/>
              </w:rPr>
              <w:t>偏离情况</w:t>
            </w:r>
          </w:p>
        </w:tc>
        <w:tc>
          <w:tcPr>
            <w:tcW w:w="782" w:type="dxa"/>
            <w:vAlign w:val="center"/>
          </w:tcPr>
          <w:p>
            <w:pPr>
              <w:adjustRightInd w:val="0"/>
              <w:snapToGrid w:val="0"/>
              <w:jc w:val="center"/>
              <w:rPr>
                <w:rFonts w:ascii="宋体"/>
                <w:sz w:val="24"/>
              </w:rPr>
            </w:pPr>
            <w:r>
              <w:rPr>
                <w:rFonts w:hint="eastAsia"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sz w:val="24"/>
              </w:rPr>
            </w:pPr>
          </w:p>
        </w:tc>
        <w:tc>
          <w:tcPr>
            <w:tcW w:w="1291" w:type="dxa"/>
            <w:vAlign w:val="center"/>
          </w:tcPr>
          <w:p>
            <w:pPr>
              <w:adjustRightInd w:val="0"/>
              <w:snapToGrid w:val="0"/>
              <w:jc w:val="center"/>
              <w:rPr>
                <w:rFonts w:ascii="宋体"/>
                <w:sz w:val="24"/>
              </w:rPr>
            </w:pPr>
          </w:p>
        </w:tc>
        <w:tc>
          <w:tcPr>
            <w:tcW w:w="1981" w:type="dxa"/>
            <w:vAlign w:val="center"/>
          </w:tcPr>
          <w:p>
            <w:pPr>
              <w:adjustRightInd w:val="0"/>
              <w:snapToGrid w:val="0"/>
              <w:jc w:val="center"/>
              <w:rPr>
                <w:rFonts w:ascii="宋体"/>
                <w:sz w:val="24"/>
              </w:rPr>
            </w:pPr>
          </w:p>
        </w:tc>
        <w:tc>
          <w:tcPr>
            <w:tcW w:w="1982" w:type="dxa"/>
            <w:vAlign w:val="center"/>
          </w:tcPr>
          <w:p>
            <w:pPr>
              <w:adjustRightInd w:val="0"/>
              <w:snapToGrid w:val="0"/>
              <w:jc w:val="center"/>
              <w:rPr>
                <w:rFonts w:ascii="宋体"/>
                <w:sz w:val="24"/>
              </w:rPr>
            </w:pPr>
          </w:p>
        </w:tc>
        <w:tc>
          <w:tcPr>
            <w:tcW w:w="2424" w:type="dxa"/>
            <w:vAlign w:val="center"/>
          </w:tcPr>
          <w:p>
            <w:pPr>
              <w:adjustRightInd w:val="0"/>
              <w:snapToGrid w:val="0"/>
              <w:jc w:val="center"/>
              <w:rPr>
                <w:rFonts w:ascii="宋体"/>
                <w:sz w:val="24"/>
              </w:rPr>
            </w:pPr>
          </w:p>
        </w:tc>
        <w:tc>
          <w:tcPr>
            <w:tcW w:w="782"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sz w:val="24"/>
              </w:rPr>
            </w:pPr>
          </w:p>
        </w:tc>
        <w:tc>
          <w:tcPr>
            <w:tcW w:w="1291" w:type="dxa"/>
            <w:vAlign w:val="center"/>
          </w:tcPr>
          <w:p>
            <w:pPr>
              <w:adjustRightInd w:val="0"/>
              <w:snapToGrid w:val="0"/>
              <w:jc w:val="center"/>
              <w:rPr>
                <w:rFonts w:ascii="宋体"/>
                <w:sz w:val="24"/>
              </w:rPr>
            </w:pPr>
          </w:p>
        </w:tc>
        <w:tc>
          <w:tcPr>
            <w:tcW w:w="1981" w:type="dxa"/>
            <w:vAlign w:val="center"/>
          </w:tcPr>
          <w:p>
            <w:pPr>
              <w:adjustRightInd w:val="0"/>
              <w:snapToGrid w:val="0"/>
              <w:jc w:val="center"/>
              <w:rPr>
                <w:rFonts w:ascii="宋体"/>
                <w:sz w:val="24"/>
              </w:rPr>
            </w:pPr>
          </w:p>
        </w:tc>
        <w:tc>
          <w:tcPr>
            <w:tcW w:w="1982" w:type="dxa"/>
            <w:vAlign w:val="center"/>
          </w:tcPr>
          <w:p>
            <w:pPr>
              <w:adjustRightInd w:val="0"/>
              <w:snapToGrid w:val="0"/>
              <w:jc w:val="center"/>
              <w:rPr>
                <w:rFonts w:ascii="宋体"/>
                <w:sz w:val="24"/>
              </w:rPr>
            </w:pPr>
          </w:p>
        </w:tc>
        <w:tc>
          <w:tcPr>
            <w:tcW w:w="2424" w:type="dxa"/>
            <w:vAlign w:val="center"/>
          </w:tcPr>
          <w:p>
            <w:pPr>
              <w:adjustRightInd w:val="0"/>
              <w:snapToGrid w:val="0"/>
              <w:jc w:val="center"/>
              <w:rPr>
                <w:rFonts w:ascii="宋体"/>
                <w:sz w:val="24"/>
              </w:rPr>
            </w:pPr>
          </w:p>
        </w:tc>
        <w:tc>
          <w:tcPr>
            <w:tcW w:w="782"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sz w:val="24"/>
              </w:rPr>
            </w:pPr>
          </w:p>
        </w:tc>
        <w:tc>
          <w:tcPr>
            <w:tcW w:w="1291" w:type="dxa"/>
            <w:vAlign w:val="center"/>
          </w:tcPr>
          <w:p>
            <w:pPr>
              <w:adjustRightInd w:val="0"/>
              <w:snapToGrid w:val="0"/>
              <w:jc w:val="center"/>
              <w:rPr>
                <w:rFonts w:ascii="宋体"/>
                <w:sz w:val="24"/>
              </w:rPr>
            </w:pPr>
          </w:p>
        </w:tc>
        <w:tc>
          <w:tcPr>
            <w:tcW w:w="1981" w:type="dxa"/>
            <w:vAlign w:val="center"/>
          </w:tcPr>
          <w:p>
            <w:pPr>
              <w:adjustRightInd w:val="0"/>
              <w:snapToGrid w:val="0"/>
              <w:jc w:val="center"/>
              <w:rPr>
                <w:rFonts w:ascii="宋体"/>
                <w:sz w:val="24"/>
              </w:rPr>
            </w:pPr>
          </w:p>
        </w:tc>
        <w:tc>
          <w:tcPr>
            <w:tcW w:w="1982" w:type="dxa"/>
            <w:vAlign w:val="center"/>
          </w:tcPr>
          <w:p>
            <w:pPr>
              <w:adjustRightInd w:val="0"/>
              <w:snapToGrid w:val="0"/>
              <w:jc w:val="center"/>
              <w:rPr>
                <w:rFonts w:ascii="宋体"/>
                <w:sz w:val="24"/>
              </w:rPr>
            </w:pPr>
          </w:p>
        </w:tc>
        <w:tc>
          <w:tcPr>
            <w:tcW w:w="2424" w:type="dxa"/>
            <w:vAlign w:val="center"/>
          </w:tcPr>
          <w:p>
            <w:pPr>
              <w:adjustRightInd w:val="0"/>
              <w:snapToGrid w:val="0"/>
              <w:jc w:val="center"/>
              <w:rPr>
                <w:rFonts w:ascii="宋体"/>
                <w:sz w:val="24"/>
              </w:rPr>
            </w:pPr>
          </w:p>
        </w:tc>
        <w:tc>
          <w:tcPr>
            <w:tcW w:w="782"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sz w:val="24"/>
              </w:rPr>
            </w:pPr>
          </w:p>
        </w:tc>
        <w:tc>
          <w:tcPr>
            <w:tcW w:w="1291" w:type="dxa"/>
            <w:vAlign w:val="center"/>
          </w:tcPr>
          <w:p>
            <w:pPr>
              <w:adjustRightInd w:val="0"/>
              <w:snapToGrid w:val="0"/>
              <w:jc w:val="center"/>
              <w:rPr>
                <w:rFonts w:ascii="宋体"/>
                <w:sz w:val="24"/>
              </w:rPr>
            </w:pPr>
          </w:p>
        </w:tc>
        <w:tc>
          <w:tcPr>
            <w:tcW w:w="1981" w:type="dxa"/>
            <w:vAlign w:val="center"/>
          </w:tcPr>
          <w:p>
            <w:pPr>
              <w:adjustRightInd w:val="0"/>
              <w:snapToGrid w:val="0"/>
              <w:jc w:val="center"/>
              <w:rPr>
                <w:rFonts w:ascii="宋体"/>
                <w:sz w:val="24"/>
              </w:rPr>
            </w:pPr>
          </w:p>
        </w:tc>
        <w:tc>
          <w:tcPr>
            <w:tcW w:w="1982" w:type="dxa"/>
            <w:vAlign w:val="center"/>
          </w:tcPr>
          <w:p>
            <w:pPr>
              <w:adjustRightInd w:val="0"/>
              <w:snapToGrid w:val="0"/>
              <w:jc w:val="center"/>
              <w:rPr>
                <w:rFonts w:ascii="宋体"/>
                <w:sz w:val="24"/>
              </w:rPr>
            </w:pPr>
          </w:p>
        </w:tc>
        <w:tc>
          <w:tcPr>
            <w:tcW w:w="2424" w:type="dxa"/>
            <w:vAlign w:val="center"/>
          </w:tcPr>
          <w:p>
            <w:pPr>
              <w:adjustRightInd w:val="0"/>
              <w:snapToGrid w:val="0"/>
              <w:jc w:val="center"/>
              <w:rPr>
                <w:rFonts w:ascii="宋体"/>
                <w:sz w:val="24"/>
              </w:rPr>
            </w:pPr>
          </w:p>
        </w:tc>
        <w:tc>
          <w:tcPr>
            <w:tcW w:w="782" w:type="dxa"/>
            <w:vAlign w:val="center"/>
          </w:tcPr>
          <w:p>
            <w:pPr>
              <w:adjustRightInd w:val="0"/>
              <w:snapToGrid w:val="0"/>
              <w:jc w:val="center"/>
              <w:rPr>
                <w:rFonts w:ascii="宋体"/>
                <w:sz w:val="24"/>
              </w:rPr>
            </w:pPr>
          </w:p>
        </w:tc>
      </w:tr>
    </w:tbl>
    <w:p>
      <w:pPr>
        <w:tabs>
          <w:tab w:val="left" w:pos="1800"/>
          <w:tab w:val="left" w:pos="5580"/>
        </w:tabs>
        <w:jc w:val="left"/>
        <w:rPr>
          <w:rFonts w:ascii="宋体"/>
          <w:sz w:val="24"/>
        </w:rPr>
      </w:pPr>
    </w:p>
    <w:p>
      <w:pPr>
        <w:tabs>
          <w:tab w:val="left" w:pos="1800"/>
          <w:tab w:val="left" w:pos="5580"/>
        </w:tabs>
        <w:jc w:val="left"/>
        <w:rPr>
          <w:rFonts w:ascii="宋体"/>
          <w:sz w:val="24"/>
        </w:rPr>
      </w:pPr>
      <w:r>
        <w:rPr>
          <w:rFonts w:hint="eastAsia" w:ascii="宋体" w:hAnsi="宋体"/>
          <w:sz w:val="24"/>
        </w:rPr>
        <w:t>注：</w:t>
      </w:r>
      <w:r>
        <w:rPr>
          <w:rFonts w:ascii="宋体" w:hAnsi="宋体"/>
          <w:sz w:val="24"/>
        </w:rPr>
        <w:t xml:space="preserve"> </w:t>
      </w:r>
      <w:r>
        <w:rPr>
          <w:rFonts w:hint="eastAsia" w:ascii="宋体" w:hAnsi="宋体"/>
          <w:sz w:val="24"/>
        </w:rPr>
        <w:t>“偏离情况”列应据实填写“正偏离”或“负偏离”。</w:t>
      </w:r>
    </w:p>
    <w:p>
      <w:pPr>
        <w:spacing w:line="360" w:lineRule="auto"/>
        <w:rPr>
          <w:rFonts w:ascii="宋体"/>
          <w:sz w:val="24"/>
          <w:szCs w:val="20"/>
        </w:rPr>
      </w:pPr>
    </w:p>
    <w:p>
      <w:pPr>
        <w:autoSpaceDE w:val="0"/>
        <w:autoSpaceDN w:val="0"/>
        <w:adjustRightInd w:val="0"/>
        <w:snapToGrid w:val="0"/>
        <w:spacing w:before="25" w:after="25" w:line="360" w:lineRule="auto"/>
        <w:rPr>
          <w:rFonts w:ascii="宋体"/>
          <w:sz w:val="24"/>
          <w:lang w:val="zh-CN"/>
        </w:rPr>
      </w:pPr>
      <w:r>
        <w:rPr>
          <w:rFonts w:ascii="宋体" w:hAnsi="宋体"/>
          <w:sz w:val="24"/>
          <w:lang w:val="zh-CN"/>
        </w:rPr>
        <w:t xml:space="preserve">                      </w:t>
      </w:r>
    </w:p>
    <w:p>
      <w:pPr>
        <w:autoSpaceDE w:val="0"/>
        <w:autoSpaceDN w:val="0"/>
        <w:adjustRightInd w:val="0"/>
        <w:snapToGrid w:val="0"/>
        <w:spacing w:before="25" w:after="25" w:line="360" w:lineRule="auto"/>
        <w:rPr>
          <w:rFonts w:ascii="宋体"/>
          <w:sz w:val="24"/>
          <w:lang w:val="zh-CN"/>
        </w:rPr>
      </w:pPr>
      <w:r>
        <w:rPr>
          <w:rFonts w:hint="eastAsia" w:ascii="宋体" w:hAnsi="宋体"/>
          <w:sz w:val="24"/>
        </w:rPr>
        <w:t>投标人名称（加盖公章）</w:t>
      </w:r>
      <w:r>
        <w:rPr>
          <w:rFonts w:hint="eastAsia" w:ascii="宋体" w:hAnsi="宋体"/>
          <w:sz w:val="24"/>
          <w:lang w:val="zh-CN"/>
        </w:rPr>
        <w:t>：</w:t>
      </w:r>
      <w:r>
        <w:rPr>
          <w:rFonts w:ascii="宋体" w:hAnsi="宋体"/>
          <w:sz w:val="24"/>
          <w:lang w:val="zh-CN"/>
        </w:rPr>
        <w:t xml:space="preserve">    ____________</w:t>
      </w:r>
    </w:p>
    <w:p>
      <w:pPr>
        <w:autoSpaceDE w:val="0"/>
        <w:autoSpaceDN w:val="0"/>
        <w:adjustRightInd w:val="0"/>
        <w:snapToGrid w:val="0"/>
        <w:spacing w:before="25" w:after="25" w:line="360" w:lineRule="auto"/>
        <w:rPr>
          <w:rFonts w:ascii="宋体"/>
          <w:sz w:val="24"/>
          <w:lang w:val="zh-CN"/>
        </w:rPr>
      </w:pPr>
      <w:r>
        <w:rPr>
          <w:rFonts w:hint="eastAsia" w:ascii="宋体" w:hAnsi="宋体"/>
          <w:sz w:val="24"/>
          <w:szCs w:val="20"/>
        </w:rPr>
        <w:t>日期：</w:t>
      </w:r>
      <w:r>
        <w:rPr>
          <w:rFonts w:ascii="宋体" w:hAnsi="宋体"/>
          <w:sz w:val="24"/>
          <w:szCs w:val="20"/>
        </w:rPr>
        <w:t>_____</w:t>
      </w:r>
      <w:r>
        <w:rPr>
          <w:rFonts w:hint="eastAsia" w:ascii="宋体" w:hAnsi="宋体"/>
          <w:sz w:val="24"/>
          <w:szCs w:val="20"/>
        </w:rPr>
        <w:t>年</w:t>
      </w:r>
      <w:r>
        <w:rPr>
          <w:rFonts w:ascii="宋体" w:hAnsi="宋体"/>
          <w:sz w:val="24"/>
          <w:szCs w:val="20"/>
        </w:rPr>
        <w:t>______</w:t>
      </w:r>
      <w:r>
        <w:rPr>
          <w:rFonts w:hint="eastAsia" w:ascii="宋体" w:hAnsi="宋体"/>
          <w:sz w:val="24"/>
          <w:szCs w:val="20"/>
        </w:rPr>
        <w:t>月</w:t>
      </w:r>
      <w:r>
        <w:rPr>
          <w:rFonts w:ascii="宋体" w:hAnsi="宋体"/>
          <w:sz w:val="24"/>
          <w:szCs w:val="20"/>
        </w:rPr>
        <w:t>______</w:t>
      </w:r>
      <w:r>
        <w:rPr>
          <w:rFonts w:hint="eastAsia" w:ascii="宋体" w:hAnsi="宋体"/>
          <w:sz w:val="24"/>
          <w:szCs w:val="20"/>
        </w:rPr>
        <w:t>日</w:t>
      </w:r>
      <w:r>
        <w:rPr>
          <w:rFonts w:ascii="宋体" w:hAnsi="宋体"/>
          <w:sz w:val="24"/>
          <w:szCs w:val="20"/>
        </w:rPr>
        <w:t xml:space="preserve">   </w:t>
      </w:r>
    </w:p>
    <w:p>
      <w:pPr>
        <w:spacing w:line="360" w:lineRule="auto"/>
        <w:outlineLvl w:val="2"/>
        <w:rPr>
          <w:rFonts w:ascii="宋体"/>
          <w:sz w:val="24"/>
          <w:szCs w:val="20"/>
        </w:rPr>
      </w:pPr>
      <w:r>
        <w:rPr>
          <w:rFonts w:ascii="宋体"/>
          <w:sz w:val="24"/>
          <w:szCs w:val="20"/>
        </w:rPr>
        <w:br w:type="page"/>
      </w:r>
      <w:r>
        <w:rPr>
          <w:rFonts w:ascii="宋体" w:hAnsi="宋体"/>
          <w:sz w:val="24"/>
          <w:szCs w:val="20"/>
        </w:rPr>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rFonts w:hint="eastAsia" w:ascii="宋体" w:hAnsi="宋体"/>
          <w:sz w:val="24"/>
          <w:szCs w:val="20"/>
        </w:rPr>
        <w:t>采购需求偏离表（实质性格式）</w:t>
      </w:r>
    </w:p>
    <w:p>
      <w:pPr>
        <w:autoSpaceDE w:val="0"/>
        <w:autoSpaceDN w:val="0"/>
        <w:adjustRightInd w:val="0"/>
        <w:spacing w:line="360" w:lineRule="auto"/>
        <w:jc w:val="center"/>
        <w:rPr>
          <w:rFonts w:ascii="宋体"/>
          <w:b/>
          <w:color w:val="000000"/>
          <w:sz w:val="36"/>
          <w:szCs w:val="36"/>
        </w:rPr>
      </w:pPr>
      <w:r>
        <w:rPr>
          <w:rFonts w:hint="eastAsia" w:ascii="宋体" w:hAnsi="宋体"/>
          <w:b/>
          <w:color w:val="000000"/>
          <w:sz w:val="36"/>
          <w:szCs w:val="36"/>
        </w:rPr>
        <w:t>采购需求偏离表</w:t>
      </w:r>
    </w:p>
    <w:p>
      <w:pPr>
        <w:tabs>
          <w:tab w:val="left" w:pos="1800"/>
          <w:tab w:val="left" w:pos="5580"/>
        </w:tabs>
        <w:spacing w:line="360" w:lineRule="auto"/>
        <w:ind w:firstLine="360" w:firstLineChars="150"/>
        <w:jc w:val="left"/>
        <w:rPr>
          <w:rFonts w:ascii="宋体"/>
          <w:sz w:val="24"/>
          <w:u w:val="single"/>
        </w:rPr>
      </w:pPr>
      <w:r>
        <w:rPr>
          <w:rFonts w:hint="eastAsia" w:ascii="宋体" w:hAnsi="宋体"/>
          <w:sz w:val="24"/>
        </w:rPr>
        <w:t>项目代理编号/</w:t>
      </w:r>
      <w:r>
        <w:rPr>
          <w:rFonts w:ascii="宋体" w:hAnsi="宋体"/>
          <w:sz w:val="24"/>
        </w:rPr>
        <w:t>包号</w:t>
      </w:r>
      <w:r>
        <w:rPr>
          <w:rFonts w:hint="eastAsia" w:ascii="宋体" w:hAnsi="宋体"/>
          <w:sz w:val="24"/>
        </w:rPr>
        <w:t>：</w:t>
      </w:r>
      <w:r>
        <w:rPr>
          <w:rFonts w:ascii="宋体" w:hAnsi="宋体"/>
          <w:sz w:val="24"/>
        </w:rPr>
        <w:t xml:space="preserve">_____________________     </w:t>
      </w:r>
      <w:r>
        <w:rPr>
          <w:rFonts w:hint="eastAsia" w:ascii="宋体" w:hAnsi="宋体"/>
          <w:sz w:val="24"/>
        </w:rPr>
        <w:t>项目名称：</w:t>
      </w:r>
      <w:r>
        <w:rPr>
          <w:rFonts w:ascii="宋体" w:hAnsi="宋体"/>
          <w:sz w:val="24"/>
        </w:rPr>
        <w:t>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sz w:val="24"/>
              </w:rPr>
            </w:pPr>
            <w:r>
              <w:rPr>
                <w:rFonts w:hint="eastAsia" w:ascii="宋体" w:hAnsi="宋体"/>
                <w:sz w:val="24"/>
              </w:rPr>
              <w:t>序号</w:t>
            </w:r>
          </w:p>
        </w:tc>
        <w:tc>
          <w:tcPr>
            <w:tcW w:w="1482" w:type="dxa"/>
            <w:vAlign w:val="center"/>
          </w:tcPr>
          <w:p>
            <w:pPr>
              <w:adjustRightInd w:val="0"/>
              <w:snapToGrid w:val="0"/>
              <w:jc w:val="center"/>
              <w:rPr>
                <w:rFonts w:ascii="宋体"/>
                <w:sz w:val="24"/>
              </w:rPr>
            </w:pPr>
            <w:r>
              <w:rPr>
                <w:rFonts w:hint="eastAsia" w:ascii="宋体" w:hAnsi="宋体"/>
                <w:sz w:val="24"/>
              </w:rPr>
              <w:t>招标文件条目号</w:t>
            </w:r>
            <w:r>
              <w:rPr>
                <w:rFonts w:ascii="宋体" w:hAnsi="宋体"/>
                <w:sz w:val="24"/>
              </w:rPr>
              <w:t>(</w:t>
            </w:r>
            <w:r>
              <w:rPr>
                <w:rFonts w:hint="eastAsia" w:ascii="宋体" w:hAnsi="宋体"/>
                <w:sz w:val="24"/>
              </w:rPr>
              <w:t>页码</w:t>
            </w:r>
            <w:r>
              <w:rPr>
                <w:rFonts w:ascii="宋体" w:hAnsi="宋体"/>
                <w:sz w:val="24"/>
              </w:rPr>
              <w:t>)</w:t>
            </w:r>
          </w:p>
        </w:tc>
        <w:tc>
          <w:tcPr>
            <w:tcW w:w="2384" w:type="dxa"/>
            <w:vAlign w:val="center"/>
          </w:tcPr>
          <w:p>
            <w:pPr>
              <w:adjustRightInd w:val="0"/>
              <w:snapToGrid w:val="0"/>
              <w:jc w:val="center"/>
              <w:rPr>
                <w:rFonts w:ascii="宋体"/>
                <w:sz w:val="24"/>
              </w:rPr>
            </w:pPr>
            <w:r>
              <w:rPr>
                <w:rFonts w:hint="eastAsia" w:ascii="宋体" w:hAnsi="宋体"/>
                <w:sz w:val="24"/>
              </w:rPr>
              <w:t>招标文件要求</w:t>
            </w:r>
          </w:p>
        </w:tc>
        <w:tc>
          <w:tcPr>
            <w:tcW w:w="2126" w:type="dxa"/>
            <w:vAlign w:val="center"/>
          </w:tcPr>
          <w:p>
            <w:pPr>
              <w:adjustRightInd w:val="0"/>
              <w:snapToGrid w:val="0"/>
              <w:jc w:val="center"/>
              <w:rPr>
                <w:rFonts w:ascii="宋体"/>
                <w:sz w:val="24"/>
              </w:rPr>
            </w:pPr>
            <w:r>
              <w:rPr>
                <w:rFonts w:hint="eastAsia" w:ascii="宋体" w:hAnsi="宋体"/>
                <w:sz w:val="24"/>
              </w:rPr>
              <w:t>投标响应内容</w:t>
            </w:r>
          </w:p>
        </w:tc>
        <w:tc>
          <w:tcPr>
            <w:tcW w:w="1875" w:type="dxa"/>
            <w:vAlign w:val="center"/>
          </w:tcPr>
          <w:p>
            <w:pPr>
              <w:adjustRightInd w:val="0"/>
              <w:snapToGrid w:val="0"/>
              <w:jc w:val="center"/>
              <w:rPr>
                <w:rFonts w:ascii="宋体"/>
                <w:sz w:val="24"/>
              </w:rPr>
            </w:pPr>
            <w:r>
              <w:rPr>
                <w:rFonts w:hint="eastAsia" w:ascii="宋体" w:hAnsi="宋体"/>
                <w:sz w:val="24"/>
              </w:rPr>
              <w:t>偏离情况</w:t>
            </w:r>
          </w:p>
        </w:tc>
        <w:tc>
          <w:tcPr>
            <w:tcW w:w="1009" w:type="dxa"/>
            <w:vAlign w:val="center"/>
          </w:tcPr>
          <w:p>
            <w:pPr>
              <w:adjustRightInd w:val="0"/>
              <w:snapToGrid w:val="0"/>
              <w:jc w:val="center"/>
              <w:rPr>
                <w:rFonts w:ascii="宋体"/>
                <w:sz w:val="24"/>
              </w:rPr>
            </w:pPr>
            <w:r>
              <w:rPr>
                <w:rFonts w:hint="eastAsia"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sz w:val="24"/>
              </w:rPr>
            </w:pPr>
          </w:p>
        </w:tc>
        <w:tc>
          <w:tcPr>
            <w:tcW w:w="1482" w:type="dxa"/>
            <w:vAlign w:val="center"/>
          </w:tcPr>
          <w:p>
            <w:pPr>
              <w:adjustRightInd w:val="0"/>
              <w:snapToGrid w:val="0"/>
              <w:jc w:val="center"/>
              <w:rPr>
                <w:rFonts w:ascii="宋体"/>
                <w:sz w:val="24"/>
              </w:rPr>
            </w:pPr>
          </w:p>
        </w:tc>
        <w:tc>
          <w:tcPr>
            <w:tcW w:w="2384" w:type="dxa"/>
            <w:vAlign w:val="center"/>
          </w:tcPr>
          <w:p>
            <w:pPr>
              <w:adjustRightInd w:val="0"/>
              <w:snapToGrid w:val="0"/>
              <w:jc w:val="center"/>
              <w:rPr>
                <w:rFonts w:ascii="宋体"/>
                <w:sz w:val="24"/>
              </w:rPr>
            </w:pPr>
          </w:p>
        </w:tc>
        <w:tc>
          <w:tcPr>
            <w:tcW w:w="2126" w:type="dxa"/>
            <w:vAlign w:val="center"/>
          </w:tcPr>
          <w:p>
            <w:pPr>
              <w:adjustRightInd w:val="0"/>
              <w:snapToGrid w:val="0"/>
              <w:jc w:val="center"/>
              <w:rPr>
                <w:rFonts w:ascii="宋体"/>
                <w:sz w:val="24"/>
              </w:rPr>
            </w:pPr>
          </w:p>
        </w:tc>
        <w:tc>
          <w:tcPr>
            <w:tcW w:w="1875" w:type="dxa"/>
            <w:vAlign w:val="center"/>
          </w:tcPr>
          <w:p>
            <w:pPr>
              <w:adjustRightInd w:val="0"/>
              <w:snapToGrid w:val="0"/>
              <w:jc w:val="center"/>
              <w:rPr>
                <w:rFonts w:ascii="宋体"/>
                <w:sz w:val="24"/>
              </w:rPr>
            </w:pPr>
          </w:p>
        </w:tc>
        <w:tc>
          <w:tcPr>
            <w:tcW w:w="1009"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sz w:val="24"/>
              </w:rPr>
            </w:pPr>
          </w:p>
        </w:tc>
        <w:tc>
          <w:tcPr>
            <w:tcW w:w="1482" w:type="dxa"/>
            <w:vAlign w:val="center"/>
          </w:tcPr>
          <w:p>
            <w:pPr>
              <w:adjustRightInd w:val="0"/>
              <w:snapToGrid w:val="0"/>
              <w:jc w:val="center"/>
              <w:rPr>
                <w:rFonts w:ascii="宋体"/>
                <w:sz w:val="24"/>
              </w:rPr>
            </w:pPr>
          </w:p>
        </w:tc>
        <w:tc>
          <w:tcPr>
            <w:tcW w:w="2384" w:type="dxa"/>
            <w:vAlign w:val="center"/>
          </w:tcPr>
          <w:p>
            <w:pPr>
              <w:adjustRightInd w:val="0"/>
              <w:snapToGrid w:val="0"/>
              <w:jc w:val="center"/>
              <w:rPr>
                <w:rFonts w:ascii="宋体"/>
                <w:sz w:val="24"/>
              </w:rPr>
            </w:pPr>
          </w:p>
        </w:tc>
        <w:tc>
          <w:tcPr>
            <w:tcW w:w="2126" w:type="dxa"/>
            <w:vAlign w:val="center"/>
          </w:tcPr>
          <w:p>
            <w:pPr>
              <w:adjustRightInd w:val="0"/>
              <w:snapToGrid w:val="0"/>
              <w:jc w:val="center"/>
              <w:rPr>
                <w:rFonts w:ascii="宋体"/>
                <w:sz w:val="24"/>
              </w:rPr>
            </w:pPr>
          </w:p>
        </w:tc>
        <w:tc>
          <w:tcPr>
            <w:tcW w:w="1875" w:type="dxa"/>
            <w:vAlign w:val="center"/>
          </w:tcPr>
          <w:p>
            <w:pPr>
              <w:adjustRightInd w:val="0"/>
              <w:snapToGrid w:val="0"/>
              <w:jc w:val="center"/>
              <w:rPr>
                <w:rFonts w:ascii="宋体"/>
                <w:sz w:val="24"/>
              </w:rPr>
            </w:pPr>
          </w:p>
        </w:tc>
        <w:tc>
          <w:tcPr>
            <w:tcW w:w="1009"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sz w:val="24"/>
              </w:rPr>
            </w:pPr>
          </w:p>
        </w:tc>
        <w:tc>
          <w:tcPr>
            <w:tcW w:w="1482" w:type="dxa"/>
            <w:vAlign w:val="center"/>
          </w:tcPr>
          <w:p>
            <w:pPr>
              <w:adjustRightInd w:val="0"/>
              <w:snapToGrid w:val="0"/>
              <w:jc w:val="center"/>
              <w:rPr>
                <w:rFonts w:ascii="宋体"/>
                <w:sz w:val="24"/>
              </w:rPr>
            </w:pPr>
          </w:p>
        </w:tc>
        <w:tc>
          <w:tcPr>
            <w:tcW w:w="2384" w:type="dxa"/>
            <w:vAlign w:val="center"/>
          </w:tcPr>
          <w:p>
            <w:pPr>
              <w:adjustRightInd w:val="0"/>
              <w:snapToGrid w:val="0"/>
              <w:jc w:val="center"/>
              <w:rPr>
                <w:rFonts w:ascii="宋体"/>
                <w:sz w:val="24"/>
              </w:rPr>
            </w:pPr>
          </w:p>
        </w:tc>
        <w:tc>
          <w:tcPr>
            <w:tcW w:w="2126" w:type="dxa"/>
            <w:vAlign w:val="center"/>
          </w:tcPr>
          <w:p>
            <w:pPr>
              <w:adjustRightInd w:val="0"/>
              <w:snapToGrid w:val="0"/>
              <w:jc w:val="center"/>
              <w:rPr>
                <w:rFonts w:ascii="宋体"/>
                <w:sz w:val="24"/>
              </w:rPr>
            </w:pPr>
          </w:p>
        </w:tc>
        <w:tc>
          <w:tcPr>
            <w:tcW w:w="1875" w:type="dxa"/>
            <w:vAlign w:val="center"/>
          </w:tcPr>
          <w:p>
            <w:pPr>
              <w:adjustRightInd w:val="0"/>
              <w:snapToGrid w:val="0"/>
              <w:jc w:val="center"/>
              <w:rPr>
                <w:rFonts w:ascii="宋体"/>
                <w:sz w:val="24"/>
              </w:rPr>
            </w:pPr>
          </w:p>
        </w:tc>
        <w:tc>
          <w:tcPr>
            <w:tcW w:w="1009"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sz w:val="24"/>
              </w:rPr>
            </w:pPr>
          </w:p>
        </w:tc>
        <w:tc>
          <w:tcPr>
            <w:tcW w:w="1482" w:type="dxa"/>
            <w:vAlign w:val="center"/>
          </w:tcPr>
          <w:p>
            <w:pPr>
              <w:adjustRightInd w:val="0"/>
              <w:snapToGrid w:val="0"/>
              <w:jc w:val="center"/>
              <w:rPr>
                <w:rFonts w:ascii="宋体"/>
                <w:sz w:val="24"/>
              </w:rPr>
            </w:pPr>
          </w:p>
        </w:tc>
        <w:tc>
          <w:tcPr>
            <w:tcW w:w="2384" w:type="dxa"/>
            <w:vAlign w:val="center"/>
          </w:tcPr>
          <w:p>
            <w:pPr>
              <w:adjustRightInd w:val="0"/>
              <w:snapToGrid w:val="0"/>
              <w:jc w:val="center"/>
              <w:rPr>
                <w:rFonts w:ascii="宋体"/>
                <w:sz w:val="24"/>
              </w:rPr>
            </w:pPr>
          </w:p>
        </w:tc>
        <w:tc>
          <w:tcPr>
            <w:tcW w:w="2126" w:type="dxa"/>
            <w:vAlign w:val="center"/>
          </w:tcPr>
          <w:p>
            <w:pPr>
              <w:adjustRightInd w:val="0"/>
              <w:snapToGrid w:val="0"/>
              <w:jc w:val="center"/>
              <w:rPr>
                <w:rFonts w:ascii="宋体"/>
                <w:sz w:val="24"/>
              </w:rPr>
            </w:pPr>
          </w:p>
        </w:tc>
        <w:tc>
          <w:tcPr>
            <w:tcW w:w="1875" w:type="dxa"/>
            <w:vAlign w:val="center"/>
          </w:tcPr>
          <w:p>
            <w:pPr>
              <w:adjustRightInd w:val="0"/>
              <w:snapToGrid w:val="0"/>
              <w:jc w:val="center"/>
              <w:rPr>
                <w:rFonts w:ascii="宋体"/>
                <w:sz w:val="24"/>
              </w:rPr>
            </w:pPr>
          </w:p>
        </w:tc>
        <w:tc>
          <w:tcPr>
            <w:tcW w:w="1009"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sz w:val="24"/>
              </w:rPr>
            </w:pPr>
          </w:p>
        </w:tc>
        <w:tc>
          <w:tcPr>
            <w:tcW w:w="1482" w:type="dxa"/>
            <w:vAlign w:val="center"/>
          </w:tcPr>
          <w:p>
            <w:pPr>
              <w:adjustRightInd w:val="0"/>
              <w:snapToGrid w:val="0"/>
              <w:jc w:val="center"/>
              <w:rPr>
                <w:rFonts w:ascii="宋体"/>
                <w:sz w:val="24"/>
              </w:rPr>
            </w:pPr>
          </w:p>
        </w:tc>
        <w:tc>
          <w:tcPr>
            <w:tcW w:w="2384" w:type="dxa"/>
            <w:vAlign w:val="center"/>
          </w:tcPr>
          <w:p>
            <w:pPr>
              <w:adjustRightInd w:val="0"/>
              <w:snapToGrid w:val="0"/>
              <w:jc w:val="center"/>
              <w:rPr>
                <w:rFonts w:ascii="宋体"/>
                <w:sz w:val="24"/>
              </w:rPr>
            </w:pPr>
          </w:p>
        </w:tc>
        <w:tc>
          <w:tcPr>
            <w:tcW w:w="2126" w:type="dxa"/>
            <w:vAlign w:val="center"/>
          </w:tcPr>
          <w:p>
            <w:pPr>
              <w:adjustRightInd w:val="0"/>
              <w:snapToGrid w:val="0"/>
              <w:jc w:val="center"/>
              <w:rPr>
                <w:rFonts w:ascii="宋体"/>
                <w:sz w:val="24"/>
              </w:rPr>
            </w:pPr>
          </w:p>
        </w:tc>
        <w:tc>
          <w:tcPr>
            <w:tcW w:w="1875" w:type="dxa"/>
            <w:vAlign w:val="center"/>
          </w:tcPr>
          <w:p>
            <w:pPr>
              <w:adjustRightInd w:val="0"/>
              <w:snapToGrid w:val="0"/>
              <w:jc w:val="center"/>
              <w:rPr>
                <w:rFonts w:ascii="宋体"/>
                <w:sz w:val="24"/>
              </w:rPr>
            </w:pPr>
          </w:p>
        </w:tc>
        <w:tc>
          <w:tcPr>
            <w:tcW w:w="1009" w:type="dxa"/>
            <w:vAlign w:val="center"/>
          </w:tcPr>
          <w:p>
            <w:pPr>
              <w:adjustRightInd w:val="0"/>
              <w:snapToGrid w:val="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sz w:val="24"/>
              </w:rPr>
            </w:pPr>
          </w:p>
        </w:tc>
        <w:tc>
          <w:tcPr>
            <w:tcW w:w="1482" w:type="dxa"/>
            <w:vAlign w:val="center"/>
          </w:tcPr>
          <w:p>
            <w:pPr>
              <w:adjustRightInd w:val="0"/>
              <w:snapToGrid w:val="0"/>
              <w:jc w:val="center"/>
              <w:rPr>
                <w:rFonts w:ascii="宋体"/>
                <w:sz w:val="24"/>
              </w:rPr>
            </w:pPr>
          </w:p>
        </w:tc>
        <w:tc>
          <w:tcPr>
            <w:tcW w:w="2384" w:type="dxa"/>
            <w:vAlign w:val="center"/>
          </w:tcPr>
          <w:p>
            <w:pPr>
              <w:adjustRightInd w:val="0"/>
              <w:snapToGrid w:val="0"/>
              <w:jc w:val="center"/>
              <w:rPr>
                <w:rFonts w:ascii="宋体"/>
                <w:sz w:val="24"/>
              </w:rPr>
            </w:pPr>
          </w:p>
        </w:tc>
        <w:tc>
          <w:tcPr>
            <w:tcW w:w="2126" w:type="dxa"/>
            <w:vAlign w:val="center"/>
          </w:tcPr>
          <w:p>
            <w:pPr>
              <w:adjustRightInd w:val="0"/>
              <w:snapToGrid w:val="0"/>
              <w:jc w:val="center"/>
              <w:rPr>
                <w:rFonts w:ascii="宋体"/>
                <w:sz w:val="24"/>
              </w:rPr>
            </w:pPr>
          </w:p>
        </w:tc>
        <w:tc>
          <w:tcPr>
            <w:tcW w:w="1875" w:type="dxa"/>
            <w:vAlign w:val="center"/>
          </w:tcPr>
          <w:p>
            <w:pPr>
              <w:adjustRightInd w:val="0"/>
              <w:snapToGrid w:val="0"/>
              <w:jc w:val="center"/>
              <w:rPr>
                <w:rFonts w:ascii="宋体"/>
                <w:sz w:val="24"/>
              </w:rPr>
            </w:pPr>
          </w:p>
        </w:tc>
        <w:tc>
          <w:tcPr>
            <w:tcW w:w="1009" w:type="dxa"/>
            <w:vAlign w:val="center"/>
          </w:tcPr>
          <w:p>
            <w:pPr>
              <w:adjustRightInd w:val="0"/>
              <w:snapToGrid w:val="0"/>
              <w:jc w:val="center"/>
              <w:rPr>
                <w:rFonts w:ascii="宋体"/>
                <w:sz w:val="24"/>
              </w:rPr>
            </w:pPr>
          </w:p>
        </w:tc>
      </w:tr>
    </w:tbl>
    <w:p>
      <w:pPr>
        <w:tabs>
          <w:tab w:val="left" w:pos="1800"/>
          <w:tab w:val="left" w:pos="5580"/>
        </w:tabs>
        <w:spacing w:line="360" w:lineRule="auto"/>
        <w:ind w:firstLine="360" w:firstLineChars="150"/>
        <w:jc w:val="left"/>
        <w:rPr>
          <w:rFonts w:ascii="宋体"/>
          <w:sz w:val="24"/>
          <w:u w:val="single"/>
        </w:rPr>
      </w:pPr>
    </w:p>
    <w:p>
      <w:pPr>
        <w:tabs>
          <w:tab w:val="left" w:pos="1800"/>
          <w:tab w:val="left" w:pos="5580"/>
        </w:tabs>
        <w:spacing w:line="360" w:lineRule="auto"/>
        <w:ind w:firstLine="360" w:firstLineChars="150"/>
        <w:jc w:val="left"/>
        <w:rPr>
          <w:rFonts w:ascii="宋体"/>
          <w:sz w:val="24"/>
          <w:u w:val="single"/>
        </w:rPr>
      </w:pPr>
    </w:p>
    <w:p>
      <w:pPr>
        <w:tabs>
          <w:tab w:val="left" w:pos="1800"/>
          <w:tab w:val="left" w:pos="5580"/>
        </w:tabs>
        <w:jc w:val="left"/>
        <w:rPr>
          <w:rFonts w:ascii="宋体" w:hAnsi="宋体"/>
          <w:color w:val="000000"/>
          <w:sz w:val="24"/>
        </w:rPr>
      </w:pPr>
      <w:r>
        <w:rPr>
          <w:rFonts w:hint="eastAsia" w:ascii="宋体" w:hAnsi="宋体"/>
          <w:color w:val="000000"/>
          <w:sz w:val="24"/>
        </w:rPr>
        <w:t>注：</w:t>
      </w:r>
    </w:p>
    <w:p>
      <w:pPr>
        <w:pStyle w:val="42"/>
        <w:spacing w:line="360" w:lineRule="auto"/>
        <w:ind w:left="240" w:leftChars="0" w:hanging="240" w:hangingChars="100"/>
        <w:jc w:val="left"/>
      </w:pPr>
      <w:r>
        <w:t xml:space="preserve">1. </w:t>
      </w:r>
      <w:r>
        <w:rPr>
          <w:rFonts w:hint="eastAsia"/>
        </w:rPr>
        <w:t>对招标文件中的所有商务、技术要求，除本表所列明的所有偏离外，均视作供应商已对之理解和响应。此表中若无任何文字说明，内容为空白的，投标无效。</w:t>
      </w:r>
    </w:p>
    <w:p>
      <w:pPr>
        <w:pStyle w:val="42"/>
        <w:spacing w:line="360" w:lineRule="auto"/>
        <w:ind w:left="0" w:leftChars="0" w:firstLine="0" w:firstLineChars="0"/>
        <w:jc w:val="left"/>
      </w:pPr>
      <w:r>
        <w:t>2.</w:t>
      </w:r>
      <w:r>
        <w:rPr>
          <w:rFonts w:hint="eastAsia"/>
        </w:rPr>
        <w:t>偏离情况列应据实填写无偏离、正偏离或负偏离。</w:t>
      </w:r>
    </w:p>
    <w:p>
      <w:pPr>
        <w:pStyle w:val="42"/>
        <w:spacing w:line="360" w:lineRule="auto"/>
        <w:ind w:left="0" w:leftChars="0" w:firstLine="0" w:firstLineChars="0"/>
        <w:jc w:val="left"/>
      </w:pPr>
    </w:p>
    <w:p>
      <w:pPr>
        <w:pStyle w:val="42"/>
        <w:spacing w:line="360" w:lineRule="auto"/>
        <w:ind w:left="0" w:leftChars="0" w:firstLine="0" w:firstLineChars="0"/>
        <w:jc w:val="left"/>
        <w:rPr>
          <w:rFonts w:ascii="宋体"/>
          <w:color w:val="000000"/>
          <w:lang w:val="zh-CN"/>
        </w:rPr>
      </w:pPr>
      <w:r>
        <w:rPr>
          <w:rFonts w:hint="eastAsia" w:ascii="宋体" w:hAnsi="宋体"/>
          <w:color w:val="000000"/>
        </w:rPr>
        <w:t>投标人名称（加盖公章）</w:t>
      </w:r>
      <w:r>
        <w:rPr>
          <w:rFonts w:hint="eastAsia" w:ascii="宋体" w:hAnsi="宋体"/>
          <w:color w:val="000000"/>
          <w:lang w:val="zh-CN"/>
        </w:rPr>
        <w:t>：</w:t>
      </w:r>
      <w:r>
        <w:rPr>
          <w:rFonts w:ascii="宋体" w:hAnsi="宋体"/>
          <w:color w:val="000000"/>
          <w:lang w:val="zh-CN"/>
        </w:rPr>
        <w:t xml:space="preserve">    ____________</w:t>
      </w:r>
    </w:p>
    <w:p>
      <w:pPr>
        <w:autoSpaceDE w:val="0"/>
        <w:autoSpaceDN w:val="0"/>
        <w:adjustRightInd w:val="0"/>
        <w:snapToGrid w:val="0"/>
        <w:spacing w:before="25" w:after="25" w:line="360" w:lineRule="auto"/>
        <w:rPr>
          <w:rFonts w:ascii="宋体"/>
          <w:color w:val="000000"/>
          <w:sz w:val="24"/>
          <w:lang w:val="zh-CN"/>
        </w:rPr>
      </w:pPr>
      <w:r>
        <w:rPr>
          <w:rFonts w:hint="eastAsia" w:ascii="宋体" w:hAnsi="宋体"/>
          <w:color w:val="000000"/>
          <w:sz w:val="24"/>
          <w:szCs w:val="20"/>
        </w:rPr>
        <w:t>日期：</w:t>
      </w:r>
      <w:r>
        <w:rPr>
          <w:rFonts w:ascii="宋体" w:hAnsi="宋体"/>
          <w:color w:val="000000"/>
          <w:sz w:val="24"/>
          <w:szCs w:val="20"/>
        </w:rPr>
        <w:t>_____</w:t>
      </w:r>
      <w:r>
        <w:rPr>
          <w:rFonts w:hint="eastAsia" w:ascii="宋体" w:hAnsi="宋体"/>
          <w:color w:val="000000"/>
          <w:sz w:val="24"/>
          <w:szCs w:val="20"/>
        </w:rPr>
        <w:t>年</w:t>
      </w:r>
      <w:r>
        <w:rPr>
          <w:rFonts w:ascii="宋体" w:hAnsi="宋体"/>
          <w:color w:val="000000"/>
          <w:sz w:val="24"/>
          <w:szCs w:val="20"/>
        </w:rPr>
        <w:t>______</w:t>
      </w:r>
      <w:r>
        <w:rPr>
          <w:rFonts w:hint="eastAsia" w:ascii="宋体" w:hAnsi="宋体"/>
          <w:color w:val="000000"/>
          <w:sz w:val="24"/>
          <w:szCs w:val="20"/>
        </w:rPr>
        <w:t>月</w:t>
      </w:r>
      <w:r>
        <w:rPr>
          <w:rFonts w:ascii="宋体" w:hAnsi="宋体"/>
          <w:color w:val="000000"/>
          <w:sz w:val="24"/>
          <w:szCs w:val="20"/>
        </w:rPr>
        <w:t>______</w:t>
      </w:r>
      <w:r>
        <w:rPr>
          <w:rFonts w:hint="eastAsia" w:ascii="宋体" w:hAnsi="宋体"/>
          <w:color w:val="000000"/>
          <w:sz w:val="24"/>
          <w:szCs w:val="20"/>
        </w:rPr>
        <w:t>日</w:t>
      </w:r>
      <w:r>
        <w:rPr>
          <w:rFonts w:ascii="宋体" w:hAnsi="宋体"/>
          <w:color w:val="000000"/>
          <w:sz w:val="24"/>
          <w:szCs w:val="20"/>
        </w:rPr>
        <w:t xml:space="preserve">   </w:t>
      </w:r>
    </w:p>
    <w:p>
      <w:pPr>
        <w:tabs>
          <w:tab w:val="left" w:pos="1800"/>
          <w:tab w:val="left" w:pos="5580"/>
        </w:tabs>
        <w:jc w:val="left"/>
        <w:rPr>
          <w:rFonts w:ascii="宋体"/>
          <w:sz w:val="24"/>
        </w:rPr>
      </w:pPr>
    </w:p>
    <w:p>
      <w:pPr>
        <w:spacing w:line="360" w:lineRule="auto"/>
        <w:rPr>
          <w:rFonts w:ascii="宋体" w:hAnsi="宋体"/>
          <w:sz w:val="24"/>
          <w:szCs w:val="20"/>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sz w:val="24"/>
          <w:szCs w:val="20"/>
        </w:rPr>
      </w:pPr>
      <w:r>
        <w:rPr>
          <w:rFonts w:ascii="宋体" w:hAnsi="宋体"/>
          <w:sz w:val="24"/>
          <w:szCs w:val="20"/>
        </w:rPr>
        <w:t xml:space="preserve">7  </w:t>
      </w:r>
      <w:r>
        <w:rPr>
          <w:spacing w:val="-4"/>
          <w:sz w:val="24"/>
          <w:szCs w:val="24"/>
        </w:rPr>
        <w:t>中小企业证明文件</w:t>
      </w:r>
      <w:r>
        <w:rPr>
          <w:spacing w:val="2"/>
          <w:sz w:val="24"/>
          <w:szCs w:val="24"/>
        </w:rPr>
        <w:t xml:space="preserve"> </w:t>
      </w:r>
    </w:p>
    <w:p>
      <w:pPr>
        <w:tabs>
          <w:tab w:val="left" w:pos="5580"/>
        </w:tabs>
        <w:spacing w:line="360" w:lineRule="auto"/>
        <w:rPr>
          <w:rFonts w:ascii="宋体"/>
          <w:sz w:val="24"/>
        </w:rPr>
      </w:pPr>
      <w:r>
        <w:rPr>
          <w:rFonts w:hint="eastAsia" w:ascii="宋体" w:hAnsi="宋体"/>
          <w:sz w:val="24"/>
        </w:rPr>
        <w:t>说明：</w:t>
      </w:r>
    </w:p>
    <w:p>
      <w:pPr>
        <w:pStyle w:val="17"/>
        <w:spacing w:before="183" w:line="324" w:lineRule="auto"/>
        <w:ind w:left="10" w:firstLine="16"/>
        <w:rPr>
          <w:rFonts w:ascii="宋体"/>
          <w:sz w:val="24"/>
        </w:rPr>
      </w:pPr>
      <w:r>
        <w:rPr>
          <w:rFonts w:ascii="Arial" w:hAnsi="Arial" w:eastAsia="Arial" w:cs="Arial"/>
          <w:spacing w:val="1"/>
          <w:sz w:val="24"/>
          <w:szCs w:val="24"/>
        </w:rPr>
        <w:t>1</w:t>
      </w:r>
      <w:r>
        <w:rPr>
          <w:spacing w:val="1"/>
          <w:sz w:val="24"/>
          <w:szCs w:val="24"/>
        </w:rPr>
        <w:t>）中小企业参加政府采购活动，应当出具《中小企业声明函》或</w:t>
      </w:r>
      <w:r>
        <w:rPr>
          <w:sz w:val="24"/>
          <w:szCs w:val="24"/>
        </w:rPr>
        <w:t xml:space="preserve">《残疾人福利性单位 </w:t>
      </w:r>
      <w:r>
        <w:rPr>
          <w:spacing w:val="-2"/>
          <w:sz w:val="24"/>
          <w:szCs w:val="24"/>
        </w:rPr>
        <w:t>声明函》或由省级以上监狱管理局、戒毒管理局（含新疆生产建设兵团）出具的属于监</w:t>
      </w:r>
      <w:r>
        <w:rPr>
          <w:spacing w:val="17"/>
          <w:sz w:val="24"/>
          <w:szCs w:val="24"/>
        </w:rPr>
        <w:t xml:space="preserve"> </w:t>
      </w:r>
      <w:r>
        <w:rPr>
          <w:spacing w:val="-2"/>
          <w:sz w:val="24"/>
          <w:szCs w:val="24"/>
        </w:rPr>
        <w:t>狱企业的证明文件，以证明中小企业身份。《中小企业声明函》由参加政府采购活动的</w:t>
      </w:r>
      <w:r>
        <w:rPr>
          <w:spacing w:val="17"/>
          <w:sz w:val="24"/>
          <w:szCs w:val="24"/>
        </w:rPr>
        <w:t xml:space="preserve"> </w:t>
      </w:r>
      <w:r>
        <w:rPr>
          <w:spacing w:val="-6"/>
          <w:sz w:val="24"/>
          <w:szCs w:val="24"/>
        </w:rPr>
        <w:t>投标人出具。联合体投标的，《中小企业声明函》可由牵头人出具。</w:t>
      </w:r>
    </w:p>
    <w:p>
      <w:pPr>
        <w:pStyle w:val="17"/>
        <w:spacing w:before="179" w:line="313" w:lineRule="auto"/>
        <w:ind w:left="9" w:firstLine="9"/>
        <w:rPr>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z w:val="24"/>
          <w:szCs w:val="24"/>
        </w:rPr>
        <w:t xml:space="preserve"> </w:t>
      </w:r>
      <w:r>
        <w:rPr>
          <w:spacing w:val="1"/>
          <w:sz w:val="24"/>
          <w:szCs w:val="24"/>
        </w:rPr>
        <w:t>小企业制造、承建或者承接。供应商应当在声明函</w:t>
      </w:r>
      <w:r>
        <w:rPr>
          <w:rFonts w:ascii="Arial" w:hAnsi="Arial" w:eastAsia="Arial" w:cs="Arial"/>
          <w:sz w:val="24"/>
          <w:szCs w:val="24"/>
        </w:rPr>
        <w:t>“</w:t>
      </w:r>
      <w:r>
        <w:rPr>
          <w:sz w:val="24"/>
          <w:szCs w:val="24"/>
        </w:rPr>
        <w:t>标的名称</w:t>
      </w:r>
      <w:r>
        <w:rPr>
          <w:rFonts w:ascii="Arial" w:hAnsi="Arial" w:eastAsia="Arial" w:cs="Arial"/>
          <w:sz w:val="24"/>
          <w:szCs w:val="24"/>
        </w:rPr>
        <w:t>”</w:t>
      </w:r>
      <w:r>
        <w:rPr>
          <w:sz w:val="24"/>
          <w:szCs w:val="24"/>
        </w:rPr>
        <w:t xml:space="preserve">部分标明联合体中中小企 </w:t>
      </w:r>
      <w:r>
        <w:rPr>
          <w:spacing w:val="-2"/>
          <w:sz w:val="24"/>
          <w:szCs w:val="24"/>
        </w:rPr>
        <w:t>业承担的具体内容或者中小企业的具体分包内容。</w:t>
      </w:r>
    </w:p>
    <w:p>
      <w:pPr>
        <w:pStyle w:val="17"/>
        <w:spacing w:before="183" w:line="324" w:lineRule="auto"/>
        <w:ind w:left="10" w:firstLine="16"/>
        <w:rPr>
          <w:spacing w:val="1"/>
          <w:sz w:val="24"/>
          <w:szCs w:val="24"/>
        </w:rPr>
      </w:pPr>
      <w:r>
        <w:rPr>
          <w:rFonts w:ascii="Arial" w:hAnsi="Arial" w:eastAsia="Arial" w:cs="Arial"/>
          <w:spacing w:val="1"/>
          <w:sz w:val="24"/>
          <w:szCs w:val="24"/>
        </w:rPr>
        <w:t>3</w:t>
      </w:r>
      <w:r>
        <w:rPr>
          <w:spacing w:val="1"/>
          <w:sz w:val="24"/>
          <w:szCs w:val="24"/>
        </w:rPr>
        <w:t>）对于多标的采购项目，投标人应充分、准确地了解所提供</w:t>
      </w:r>
      <w:r>
        <w:rPr>
          <w:sz w:val="24"/>
          <w:szCs w:val="24"/>
        </w:rPr>
        <w:t xml:space="preserve">货物的制造企业、提供服 </w:t>
      </w:r>
      <w:r>
        <w:rPr>
          <w:spacing w:val="-2"/>
          <w:sz w:val="24"/>
          <w:szCs w:val="24"/>
        </w:rPr>
        <w:t>务的</w:t>
      </w:r>
      <w:r>
        <w:rPr>
          <w:spacing w:val="1"/>
          <w:sz w:val="24"/>
          <w:szCs w:val="24"/>
        </w:rPr>
        <w:t>承接企业信息。对相关情况了解不清楚的，不建议填报本声明函。</w:t>
      </w:r>
    </w:p>
    <w:p>
      <w:pPr>
        <w:pStyle w:val="17"/>
        <w:spacing w:before="183" w:line="324" w:lineRule="auto"/>
        <w:ind w:left="10" w:firstLine="16"/>
        <w:rPr>
          <w:rFonts w:ascii="宋体"/>
          <w:b/>
          <w:bCs/>
          <w:sz w:val="24"/>
        </w:rPr>
      </w:pPr>
      <w:r>
        <w:rPr>
          <w:spacing w:val="1"/>
          <w:sz w:val="24"/>
          <w:szCs w:val="24"/>
        </w:rPr>
        <w:t>4）温馨提示：为方便广大中小企业识别企业规模类型，工业和信息化部组织开发了中 小企业规模类型自测小程序，在国务院客户端和工业和信息化部网站上均有链接，投标 人填写所属的行业和指标数据可自动生成企业规模类型测试结果。本项目中小企业划分 标准所属行业详见第二章《投标人须知资料表》，如在该程序中未找到本项目文件规定 的中小企业划分标准所属行业，则按照《关于印发中小企业划型标准规定的通知（工信 部联企业﹝2011﹞300 号）》及本项目文件规定的中小企业划分标准所属行业执行。</w:t>
      </w:r>
      <w:r>
        <w:rPr>
          <w:rFonts w:ascii="宋体"/>
          <w:b/>
          <w:bCs/>
          <w:sz w:val="24"/>
        </w:rPr>
        <w:br w:type="page"/>
      </w:r>
    </w:p>
    <w:p>
      <w:pPr>
        <w:spacing w:before="240" w:beforeLines="100" w:after="240" w:afterLines="100" w:line="360" w:lineRule="auto"/>
        <w:jc w:val="center"/>
        <w:rPr>
          <w:rFonts w:ascii="宋体"/>
          <w:b/>
          <w:sz w:val="36"/>
          <w:szCs w:val="36"/>
        </w:rPr>
      </w:pPr>
      <w:r>
        <w:rPr>
          <w:rFonts w:hint="eastAsia" w:ascii="宋体" w:hAnsi="宋体"/>
          <w:b/>
          <w:bCs/>
          <w:sz w:val="36"/>
          <w:szCs w:val="36"/>
        </w:rPr>
        <w:t>中小企业声明函（货物）格式</w:t>
      </w:r>
    </w:p>
    <w:p>
      <w:pPr>
        <w:autoSpaceDE w:val="0"/>
        <w:autoSpaceDN w:val="0"/>
        <w:spacing w:line="360" w:lineRule="auto"/>
        <w:ind w:left="220" w:right="415" w:firstLine="640"/>
        <w:jc w:val="left"/>
        <w:rPr>
          <w:rFonts w:ascii="宋体"/>
          <w:kern w:val="0"/>
          <w:sz w:val="24"/>
        </w:rPr>
      </w:pPr>
      <w:r>
        <w:rPr>
          <w:rFonts w:hint="eastAsia" w:ascii="宋体" w:hAnsi="宋体"/>
          <w:kern w:val="0"/>
          <w:sz w:val="24"/>
        </w:rPr>
        <w:t>本公司（联合体）郑重声明，根据《政府采购促进中小企业发展管理办法》（财库﹝</w:t>
      </w:r>
      <w:r>
        <w:rPr>
          <w:rFonts w:ascii="宋体" w:hAnsi="宋体"/>
          <w:kern w:val="0"/>
          <w:sz w:val="24"/>
        </w:rPr>
        <w:t>2020</w:t>
      </w:r>
      <w:r>
        <w:rPr>
          <w:rFonts w:hint="eastAsia" w:ascii="宋体" w:hAnsi="宋体"/>
          <w:kern w:val="0"/>
          <w:sz w:val="24"/>
        </w:rPr>
        <w:t>﹞</w:t>
      </w:r>
      <w:r>
        <w:rPr>
          <w:rFonts w:ascii="宋体" w:hAnsi="宋体"/>
          <w:kern w:val="0"/>
          <w:sz w:val="24"/>
        </w:rPr>
        <w:t>46</w:t>
      </w:r>
      <w:r>
        <w:rPr>
          <w:rFonts w:hint="eastAsia" w:ascii="宋体" w:hAnsi="宋体"/>
          <w:kern w:val="0"/>
          <w:sz w:val="24"/>
        </w:rPr>
        <w:t>号）的规定，本公司（联合体）参加</w:t>
      </w:r>
      <w:r>
        <w:rPr>
          <w:rFonts w:ascii="宋体" w:hAnsi="宋体"/>
          <w:kern w:val="0"/>
          <w:sz w:val="24"/>
        </w:rPr>
        <w:t xml:space="preserve"> </w:t>
      </w:r>
      <w:r>
        <w:rPr>
          <w:rFonts w:ascii="宋体" w:hAnsi="宋体"/>
          <w:kern w:val="0"/>
          <w:sz w:val="24"/>
          <w:u w:val="single"/>
        </w:rPr>
        <w:t xml:space="preserve">           </w:t>
      </w:r>
      <w:r>
        <w:rPr>
          <w:rFonts w:hint="eastAsia" w:ascii="宋体" w:hAnsi="宋体"/>
          <w:kern w:val="0"/>
          <w:sz w:val="24"/>
          <w:u w:val="single"/>
        </w:rPr>
        <w:t>（单位名称）</w:t>
      </w:r>
      <w:r>
        <w:rPr>
          <w:rFonts w:hint="eastAsia" w:ascii="宋体" w:hAnsi="宋体"/>
          <w:kern w:val="0"/>
          <w:sz w:val="24"/>
        </w:rPr>
        <w:t>的</w:t>
      </w:r>
      <w:r>
        <w:rPr>
          <w:rFonts w:ascii="宋体" w:hAnsi="宋体"/>
          <w:kern w:val="0"/>
          <w:sz w:val="24"/>
        </w:rPr>
        <w:t xml:space="preserve"> </w:t>
      </w:r>
      <w:r>
        <w:rPr>
          <w:rFonts w:ascii="宋体" w:hAnsi="宋体"/>
          <w:kern w:val="0"/>
          <w:sz w:val="24"/>
          <w:u w:val="single"/>
        </w:rPr>
        <w:t xml:space="preserve">       </w:t>
      </w:r>
      <w:r>
        <w:rPr>
          <w:rFonts w:hint="eastAsia" w:ascii="宋体" w:hAnsi="宋体"/>
          <w:kern w:val="0"/>
          <w:sz w:val="24"/>
          <w:u w:val="single"/>
        </w:rPr>
        <w:t>（项目名称/</w:t>
      </w:r>
      <w:r>
        <w:rPr>
          <w:rFonts w:ascii="宋体" w:hAnsi="宋体"/>
          <w:kern w:val="0"/>
          <w:sz w:val="24"/>
          <w:u w:val="single"/>
        </w:rPr>
        <w:t>包号</w:t>
      </w:r>
      <w:r>
        <w:rPr>
          <w:rFonts w:hint="eastAsia" w:ascii="宋体" w:hAnsi="宋体"/>
          <w:kern w:val="0"/>
          <w:sz w:val="24"/>
          <w:u w:val="single"/>
        </w:rPr>
        <w:t>）</w:t>
      </w:r>
      <w:r>
        <w:rPr>
          <w:rFonts w:hint="eastAsia" w:ascii="宋体" w:hAnsi="宋体"/>
          <w:kern w:val="0"/>
          <w:sz w:val="24"/>
        </w:rPr>
        <w:t>采购活动，提供的货物全部由符合政策要求的中小企业制造。相关企业（含联合体中的中小企业、签订分包意向协议的中小企业）的具体情况如下：</w:t>
      </w:r>
    </w:p>
    <w:p>
      <w:pPr>
        <w:tabs>
          <w:tab w:val="left" w:pos="1183"/>
          <w:tab w:val="left" w:pos="1484"/>
          <w:tab w:val="left" w:pos="3705"/>
          <w:tab w:val="left" w:pos="6660"/>
        </w:tabs>
        <w:autoSpaceDE w:val="0"/>
        <w:autoSpaceDN w:val="0"/>
        <w:spacing w:line="360" w:lineRule="auto"/>
        <w:ind w:left="420" w:leftChars="200" w:right="169" w:firstLine="288" w:firstLineChars="120"/>
        <w:jc w:val="left"/>
        <w:rPr>
          <w:rFonts w:ascii="宋体"/>
          <w:kern w:val="0"/>
          <w:sz w:val="24"/>
        </w:rPr>
      </w:pPr>
      <w:r>
        <w:rPr>
          <w:rFonts w:hint="eastAsia" w:ascii="宋体" w:hAnsi="宋体"/>
          <w:kern w:val="0"/>
          <w:sz w:val="24"/>
          <w:u w:val="single" w:color="000000"/>
        </w:rPr>
        <w:t>1</w:t>
      </w:r>
      <w:r>
        <w:rPr>
          <w:rFonts w:ascii="宋体" w:hAnsi="宋体"/>
          <w:kern w:val="0"/>
          <w:sz w:val="24"/>
          <w:u w:val="single" w:color="000000"/>
        </w:rPr>
        <w:t>.</w:t>
      </w:r>
      <w:r>
        <w:rPr>
          <w:rFonts w:hint="eastAsia" w:ascii="宋体" w:hAnsi="宋体"/>
          <w:kern w:val="0"/>
          <w:sz w:val="24"/>
          <w:u w:val="single" w:color="000000"/>
        </w:rPr>
        <w:t>（标的名称）</w:t>
      </w:r>
      <w:r>
        <w:rPr>
          <w:rFonts w:hint="eastAsia" w:ascii="宋体" w:hAnsi="宋体"/>
          <w:kern w:val="0"/>
          <w:sz w:val="24"/>
        </w:rPr>
        <w:t>，属于（</w:t>
      </w:r>
      <w:r>
        <w:rPr>
          <w:rFonts w:hint="eastAsia" w:ascii="宋体" w:hAnsi="宋体"/>
          <w:kern w:val="0"/>
          <w:sz w:val="24"/>
          <w:u w:val="single" w:color="000000"/>
        </w:rPr>
        <w:t>采购文件中明确的所属行业）行业</w:t>
      </w:r>
      <w:r>
        <w:rPr>
          <w:rFonts w:hint="eastAsia" w:ascii="宋体" w:hAnsi="宋体"/>
          <w:kern w:val="0"/>
          <w:sz w:val="24"/>
        </w:rPr>
        <w:t>；制造商为</w:t>
      </w:r>
      <w:r>
        <w:rPr>
          <w:rFonts w:hint="eastAsia" w:ascii="宋体" w:hAnsi="宋体"/>
          <w:kern w:val="0"/>
          <w:sz w:val="24"/>
          <w:u w:val="single" w:color="000000"/>
        </w:rPr>
        <w:t>（企业名称）</w:t>
      </w:r>
      <w:r>
        <w:rPr>
          <w:rFonts w:hint="eastAsia" w:ascii="宋体" w:hAnsi="宋体"/>
          <w:kern w:val="0"/>
          <w:sz w:val="24"/>
        </w:rPr>
        <w:t>，从业人员</w:t>
      </w:r>
      <w:r>
        <w:rPr>
          <w:rFonts w:ascii="宋体"/>
          <w:kern w:val="0"/>
          <w:sz w:val="24"/>
          <w:u w:val="single" w:color="000000"/>
        </w:rPr>
        <w:tab/>
      </w:r>
      <w:r>
        <w:rPr>
          <w:rFonts w:hint="eastAsia" w:ascii="宋体" w:hAnsi="宋体"/>
          <w:kern w:val="0"/>
          <w:sz w:val="24"/>
        </w:rPr>
        <w:t>人，营业收入为</w:t>
      </w:r>
      <w:r>
        <w:rPr>
          <w:rFonts w:ascii="宋体"/>
          <w:kern w:val="0"/>
          <w:sz w:val="24"/>
          <w:u w:val="single" w:color="000000"/>
        </w:rPr>
        <w:tab/>
      </w:r>
      <w:r>
        <w:rPr>
          <w:rFonts w:hint="eastAsia" w:ascii="宋体" w:hAnsi="宋体"/>
          <w:kern w:val="0"/>
          <w:sz w:val="24"/>
        </w:rPr>
        <w:t>万元，资产总额为</w:t>
      </w:r>
      <w:r>
        <w:rPr>
          <w:rFonts w:ascii="宋体"/>
          <w:kern w:val="0"/>
          <w:sz w:val="24"/>
          <w:u w:val="single" w:color="000000"/>
        </w:rPr>
        <w:tab/>
      </w:r>
      <w:r>
        <w:rPr>
          <w:rFonts w:hint="eastAsia" w:ascii="宋体" w:hAnsi="宋体"/>
          <w:kern w:val="0"/>
          <w:sz w:val="24"/>
        </w:rPr>
        <w:t>万元，属于</w:t>
      </w:r>
      <w:r>
        <w:rPr>
          <w:rFonts w:hint="eastAsia" w:ascii="宋体" w:hAnsi="宋体"/>
          <w:kern w:val="0"/>
          <w:sz w:val="24"/>
          <w:u w:val="single" w:color="000000"/>
        </w:rPr>
        <w:t>（中型企业、小型企业、微型企业）</w:t>
      </w:r>
      <w:r>
        <w:rPr>
          <w:rFonts w:hint="eastAsia" w:ascii="宋体" w:hAnsi="宋体"/>
          <w:kern w:val="0"/>
          <w:sz w:val="24"/>
        </w:rPr>
        <w:t>；</w:t>
      </w:r>
    </w:p>
    <w:p>
      <w:pPr>
        <w:tabs>
          <w:tab w:val="left" w:pos="1183"/>
          <w:tab w:val="left" w:pos="3645"/>
          <w:tab w:val="left" w:pos="6577"/>
        </w:tabs>
        <w:autoSpaceDE w:val="0"/>
        <w:autoSpaceDN w:val="0"/>
        <w:spacing w:line="360" w:lineRule="auto"/>
        <w:ind w:left="420" w:leftChars="200" w:right="169" w:firstLine="288" w:firstLineChars="120"/>
        <w:jc w:val="left"/>
        <w:rPr>
          <w:rFonts w:ascii="宋体"/>
          <w:kern w:val="0"/>
          <w:sz w:val="24"/>
        </w:rPr>
      </w:pPr>
      <w:r>
        <w:rPr>
          <w:rFonts w:hint="eastAsia" w:ascii="宋体" w:hAnsi="宋体"/>
          <w:kern w:val="0"/>
          <w:sz w:val="24"/>
          <w:u w:val="single" w:color="000000"/>
        </w:rPr>
        <w:t>2</w:t>
      </w:r>
      <w:r>
        <w:rPr>
          <w:rFonts w:ascii="宋体" w:hAnsi="宋体"/>
          <w:kern w:val="0"/>
          <w:sz w:val="24"/>
          <w:u w:val="single" w:color="000000"/>
        </w:rPr>
        <w:t>.</w:t>
      </w:r>
      <w:r>
        <w:rPr>
          <w:rFonts w:hint="eastAsia" w:ascii="宋体" w:hAnsi="宋体"/>
          <w:kern w:val="0"/>
          <w:sz w:val="24"/>
          <w:u w:val="single" w:color="000000"/>
        </w:rPr>
        <w:t>（标的名称）</w:t>
      </w:r>
      <w:r>
        <w:rPr>
          <w:rFonts w:hint="eastAsia" w:ascii="宋体" w:hAnsi="宋体"/>
          <w:kern w:val="0"/>
          <w:sz w:val="24"/>
        </w:rPr>
        <w:t>，属于（</w:t>
      </w:r>
      <w:r>
        <w:rPr>
          <w:rFonts w:hint="eastAsia" w:ascii="宋体" w:hAnsi="宋体"/>
          <w:kern w:val="0"/>
          <w:sz w:val="24"/>
          <w:u w:val="single" w:color="000000"/>
        </w:rPr>
        <w:t>采购文件中明确的所属行业）行业</w:t>
      </w:r>
      <w:r>
        <w:rPr>
          <w:rFonts w:hint="eastAsia" w:ascii="宋体" w:hAnsi="宋体"/>
          <w:kern w:val="0"/>
          <w:sz w:val="24"/>
        </w:rPr>
        <w:t>；制造商为</w:t>
      </w:r>
      <w:r>
        <w:rPr>
          <w:rFonts w:hint="eastAsia" w:ascii="宋体" w:hAnsi="宋体"/>
          <w:kern w:val="0"/>
          <w:sz w:val="24"/>
          <w:u w:val="single" w:color="000000"/>
        </w:rPr>
        <w:t>（企业名称）</w:t>
      </w:r>
      <w:r>
        <w:rPr>
          <w:rFonts w:hint="eastAsia" w:ascii="宋体" w:hAnsi="宋体"/>
          <w:kern w:val="0"/>
          <w:sz w:val="24"/>
        </w:rPr>
        <w:t>，从业人员</w:t>
      </w:r>
      <w:r>
        <w:rPr>
          <w:rFonts w:ascii="宋体"/>
          <w:kern w:val="0"/>
          <w:sz w:val="24"/>
          <w:u w:val="single" w:color="000000"/>
        </w:rPr>
        <w:tab/>
      </w:r>
      <w:r>
        <w:rPr>
          <w:rFonts w:hint="eastAsia" w:ascii="宋体" w:hAnsi="宋体"/>
          <w:kern w:val="0"/>
          <w:sz w:val="24"/>
        </w:rPr>
        <w:t>人，营业收入为</w:t>
      </w:r>
      <w:r>
        <w:rPr>
          <w:rFonts w:ascii="宋体"/>
          <w:kern w:val="0"/>
          <w:sz w:val="24"/>
          <w:u w:val="single" w:color="000000"/>
        </w:rPr>
        <w:tab/>
      </w:r>
      <w:r>
        <w:rPr>
          <w:rFonts w:hint="eastAsia" w:ascii="宋体" w:hAnsi="宋体"/>
          <w:kern w:val="0"/>
          <w:sz w:val="24"/>
        </w:rPr>
        <w:t>万元，资产总额为</w:t>
      </w:r>
      <w:r>
        <w:rPr>
          <w:rFonts w:ascii="宋体"/>
          <w:kern w:val="0"/>
          <w:sz w:val="24"/>
          <w:u w:val="single" w:color="000000"/>
        </w:rPr>
        <w:tab/>
      </w:r>
      <w:r>
        <w:rPr>
          <w:rFonts w:hint="eastAsia" w:ascii="宋体" w:hAnsi="宋体"/>
          <w:kern w:val="0"/>
          <w:sz w:val="24"/>
        </w:rPr>
        <w:t>万元，属于</w:t>
      </w:r>
      <w:r>
        <w:rPr>
          <w:rFonts w:hint="eastAsia" w:ascii="宋体" w:hAnsi="宋体"/>
          <w:kern w:val="0"/>
          <w:sz w:val="24"/>
          <w:u w:val="single" w:color="000000"/>
        </w:rPr>
        <w:t>（中型企业、小型企业、微型企业）</w:t>
      </w:r>
      <w:r>
        <w:rPr>
          <w:rFonts w:hint="eastAsia" w:ascii="宋体" w:hAnsi="宋体"/>
          <w:kern w:val="0"/>
          <w:sz w:val="24"/>
        </w:rPr>
        <w:t>；</w:t>
      </w:r>
    </w:p>
    <w:p>
      <w:pPr>
        <w:autoSpaceDE w:val="0"/>
        <w:autoSpaceDN w:val="0"/>
        <w:spacing w:line="360" w:lineRule="auto"/>
        <w:ind w:left="860"/>
        <w:jc w:val="left"/>
        <w:rPr>
          <w:rFonts w:ascii="宋体"/>
          <w:kern w:val="0"/>
          <w:sz w:val="24"/>
        </w:rPr>
      </w:pPr>
      <w:r>
        <w:rPr>
          <w:rFonts w:hint="eastAsia" w:ascii="宋体"/>
          <w:kern w:val="0"/>
          <w:sz w:val="24"/>
        </w:rPr>
        <w:t>……</w:t>
      </w:r>
    </w:p>
    <w:p>
      <w:pPr>
        <w:autoSpaceDE w:val="0"/>
        <w:autoSpaceDN w:val="0"/>
        <w:spacing w:line="360" w:lineRule="auto"/>
        <w:ind w:left="220" w:right="417" w:firstLine="645"/>
        <w:rPr>
          <w:rFonts w:ascii="宋体"/>
          <w:kern w:val="0"/>
          <w:sz w:val="24"/>
        </w:rPr>
      </w:pPr>
      <w:r>
        <w:rPr>
          <w:rFonts w:hint="eastAsia" w:ascii="宋体" w:hAnsi="宋体"/>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rFonts w:ascii="宋体"/>
          <w:kern w:val="0"/>
          <w:sz w:val="24"/>
        </w:rPr>
      </w:pPr>
      <w:r>
        <w:rPr>
          <w:rFonts w:hint="eastAsia" w:ascii="宋体" w:hAnsi="宋体"/>
          <w:kern w:val="0"/>
          <w:sz w:val="24"/>
        </w:rPr>
        <w:t>本企业对上述声明内容的真实性负责。如有虚假，将依法承担相应责任。</w:t>
      </w:r>
    </w:p>
    <w:p>
      <w:pPr>
        <w:spacing w:line="360" w:lineRule="auto"/>
        <w:ind w:firstLine="504"/>
        <w:rPr>
          <w:rFonts w:ascii="宋体"/>
          <w:spacing w:val="6"/>
          <w:sz w:val="24"/>
        </w:rPr>
      </w:pPr>
    </w:p>
    <w:p>
      <w:pPr>
        <w:spacing w:line="360" w:lineRule="auto"/>
        <w:ind w:firstLine="504"/>
        <w:rPr>
          <w:rFonts w:ascii="宋体"/>
          <w:spacing w:val="6"/>
          <w:sz w:val="24"/>
        </w:rPr>
      </w:pPr>
    </w:p>
    <w:p>
      <w:pPr>
        <w:spacing w:line="360" w:lineRule="auto"/>
        <w:ind w:right="360" w:firstLine="480"/>
        <w:jc w:val="right"/>
        <w:rPr>
          <w:rFonts w:ascii="宋体"/>
          <w:sz w:val="24"/>
        </w:rPr>
      </w:pPr>
      <w:r>
        <w:rPr>
          <w:rFonts w:hint="eastAsia" w:ascii="宋体" w:hAnsi="宋体"/>
          <w:sz w:val="24"/>
        </w:rPr>
        <w:t>企业名称（盖章）：</w:t>
      </w:r>
      <w:r>
        <w:rPr>
          <w:rFonts w:ascii="宋体" w:hAnsi="宋体"/>
          <w:sz w:val="24"/>
        </w:rPr>
        <w:t>________</w:t>
      </w:r>
    </w:p>
    <w:p>
      <w:pPr>
        <w:spacing w:line="360" w:lineRule="auto"/>
        <w:ind w:right="360" w:firstLine="480"/>
        <w:jc w:val="right"/>
        <w:rPr>
          <w:rFonts w:asci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r>
        <w:rPr>
          <w:rFonts w:ascii="宋体" w:hAnsi="宋体"/>
          <w:sz w:val="24"/>
        </w:rPr>
        <w:t>________</w:t>
      </w:r>
    </w:p>
    <w:p>
      <w:pPr>
        <w:spacing w:line="360" w:lineRule="auto"/>
        <w:ind w:right="360" w:firstLine="480"/>
        <w:jc w:val="right"/>
        <w:rPr>
          <w:rFonts w:ascii="宋体"/>
          <w:sz w:val="24"/>
        </w:rPr>
      </w:pPr>
    </w:p>
    <w:p>
      <w:pPr>
        <w:spacing w:line="360" w:lineRule="auto"/>
        <w:ind w:right="360" w:firstLine="480"/>
        <w:jc w:val="right"/>
        <w:rPr>
          <w:rFonts w:ascii="宋体"/>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Borders>
              <w:top w:val="single" w:color="auto" w:sz="4" w:space="0"/>
            </w:tcBorders>
          </w:tcPr>
          <w:p>
            <w:pPr>
              <w:adjustRightInd w:val="0"/>
              <w:snapToGrid w:val="0"/>
              <w:jc w:val="left"/>
              <w:rPr>
                <w:rFonts w:ascii="宋体"/>
                <w:szCs w:val="21"/>
              </w:rPr>
            </w:pPr>
            <w:r>
              <w:rPr>
                <w:rFonts w:ascii="宋体" w:hAnsi="宋体"/>
                <w:szCs w:val="21"/>
                <w:vertAlign w:val="superscript"/>
              </w:rPr>
              <w:t>1</w:t>
            </w:r>
            <w:r>
              <w:rPr>
                <w:rFonts w:hint="eastAsia" w:ascii="宋体" w:hAnsi="宋体"/>
                <w:szCs w:val="21"/>
              </w:rPr>
              <w:t>从业人员、营业收入、资产总额填报上一年度数据，无上一年度数据的新成立企业可不填报。</w:t>
            </w:r>
          </w:p>
        </w:tc>
      </w:tr>
    </w:tbl>
    <w:p>
      <w:pPr>
        <w:spacing w:line="360" w:lineRule="auto"/>
        <w:rPr>
          <w:rFonts w:ascii="宋体"/>
          <w:color w:val="000000"/>
          <w:sz w:val="24"/>
        </w:rPr>
      </w:pPr>
    </w:p>
    <w:p>
      <w:pPr>
        <w:spacing w:before="240" w:beforeLines="100" w:after="240" w:afterLines="100" w:line="360" w:lineRule="auto"/>
        <w:jc w:val="center"/>
        <w:rPr>
          <w:rFonts w:ascii="宋体" w:hAnsi="宋体"/>
          <w:b/>
          <w:bCs/>
          <w:sz w:val="36"/>
          <w:szCs w:val="36"/>
        </w:rPr>
      </w:pPr>
    </w:p>
    <w:p>
      <w:pPr>
        <w:rPr>
          <w:rFonts w:ascii="宋体" w:hAnsi="宋体"/>
          <w:b/>
          <w:bCs/>
          <w:sz w:val="36"/>
          <w:szCs w:val="36"/>
        </w:rPr>
      </w:pPr>
      <w:r>
        <w:rPr>
          <w:rFonts w:hint="eastAsia" w:ascii="宋体" w:hAnsi="宋体"/>
          <w:b/>
          <w:bCs/>
          <w:sz w:val="36"/>
          <w:szCs w:val="36"/>
        </w:rPr>
        <w:br w:type="page"/>
      </w:r>
    </w:p>
    <w:p>
      <w:pPr>
        <w:spacing w:before="240" w:beforeLines="100" w:after="240" w:afterLines="100" w:line="360" w:lineRule="auto"/>
        <w:jc w:val="center"/>
        <w:rPr>
          <w:rFonts w:ascii="宋体"/>
          <w:sz w:val="36"/>
          <w:szCs w:val="36"/>
        </w:rPr>
      </w:pPr>
      <w:r>
        <w:rPr>
          <w:rFonts w:hint="eastAsia" w:ascii="宋体" w:hAnsi="宋体"/>
          <w:b/>
          <w:bCs/>
          <w:sz w:val="36"/>
          <w:szCs w:val="36"/>
        </w:rPr>
        <w:t>残疾人福利性单位声明函格式</w:t>
      </w:r>
      <w:r>
        <w:rPr>
          <w:rFonts w:ascii="宋体" w:hAnsi="宋体"/>
          <w:sz w:val="36"/>
          <w:szCs w:val="36"/>
        </w:rPr>
        <w:t xml:space="preserve"> </w:t>
      </w:r>
    </w:p>
    <w:p>
      <w:pPr>
        <w:spacing w:line="588" w:lineRule="exact"/>
        <w:ind w:firstLine="504"/>
        <w:rPr>
          <w:rFonts w:ascii="宋体"/>
          <w:spacing w:val="6"/>
          <w:sz w:val="24"/>
        </w:rPr>
      </w:pPr>
      <w:r>
        <w:rPr>
          <w:rFonts w:hint="eastAsia" w:ascii="宋体" w:hAnsi="宋体"/>
          <w:spacing w:val="6"/>
          <w:sz w:val="24"/>
        </w:rPr>
        <w:t>本单位郑重声明，根据《财政部</w:t>
      </w:r>
      <w:r>
        <w:rPr>
          <w:rFonts w:ascii="宋体" w:hAnsi="宋体"/>
          <w:spacing w:val="6"/>
          <w:sz w:val="24"/>
        </w:rPr>
        <w:t xml:space="preserve"> </w:t>
      </w:r>
      <w:r>
        <w:rPr>
          <w:rFonts w:hint="eastAsia" w:ascii="宋体" w:hAnsi="宋体"/>
          <w:spacing w:val="6"/>
          <w:sz w:val="24"/>
        </w:rPr>
        <w:t>民政部</w:t>
      </w:r>
      <w:r>
        <w:rPr>
          <w:rFonts w:ascii="宋体" w:hAnsi="宋体"/>
          <w:spacing w:val="6"/>
          <w:sz w:val="24"/>
        </w:rPr>
        <w:t xml:space="preserve"> </w:t>
      </w:r>
      <w:r>
        <w:rPr>
          <w:rFonts w:hint="eastAsia" w:ascii="宋体" w:hAnsi="宋体"/>
          <w:spacing w:val="6"/>
          <w:sz w:val="24"/>
        </w:rPr>
        <w:t>中国残疾人联合会关于促进残疾人就业政府采购政策的通知》（财库</w:t>
      </w:r>
      <w:r>
        <w:rPr>
          <w:rFonts w:hint="eastAsia" w:ascii="宋体" w:hAnsi="宋体"/>
          <w:sz w:val="24"/>
        </w:rPr>
        <w:t>〔</w:t>
      </w:r>
      <w:r>
        <w:rPr>
          <w:rFonts w:ascii="宋体" w:hAnsi="宋体"/>
          <w:sz w:val="24"/>
        </w:rPr>
        <w:t>2017</w:t>
      </w:r>
      <w:r>
        <w:rPr>
          <w:rFonts w:hint="eastAsia" w:ascii="宋体" w:hAnsi="宋体"/>
          <w:sz w:val="24"/>
        </w:rPr>
        <w:t>〕</w:t>
      </w:r>
      <w:r>
        <w:rPr>
          <w:rFonts w:ascii="宋体" w:hAnsi="宋体"/>
          <w:sz w:val="24"/>
        </w:rPr>
        <w:t>141</w:t>
      </w:r>
      <w:r>
        <w:rPr>
          <w:rFonts w:hint="eastAsia" w:ascii="宋体" w:hAnsi="宋体"/>
          <w:spacing w:val="6"/>
          <w:sz w:val="24"/>
        </w:rPr>
        <w:t>号）的规定，本单位</w:t>
      </w:r>
      <w:r>
        <w:rPr>
          <w:rFonts w:hint="eastAsia" w:ascii="宋体" w:hAnsi="宋体"/>
          <w:b/>
          <w:sz w:val="24"/>
        </w:rPr>
        <w:t>（请进行勾选）</w:t>
      </w:r>
      <w:r>
        <w:rPr>
          <w:rFonts w:hint="eastAsia" w:ascii="宋体" w:hAnsi="宋体"/>
          <w:spacing w:val="6"/>
          <w:sz w:val="24"/>
        </w:rPr>
        <w:t>：</w:t>
      </w:r>
    </w:p>
    <w:p>
      <w:pPr>
        <w:spacing w:line="588" w:lineRule="exact"/>
        <w:ind w:firstLine="482"/>
        <w:rPr>
          <w:rFonts w:ascii="宋体"/>
          <w:b/>
          <w:spacing w:val="6"/>
          <w:sz w:val="24"/>
        </w:rPr>
      </w:pPr>
      <w:r>
        <w:rPr>
          <w:rFonts w:hint="eastAsia" w:ascii="宋体"/>
          <w:b/>
          <w:sz w:val="24"/>
        </w:rPr>
        <w:t>□</w:t>
      </w:r>
      <w:r>
        <w:rPr>
          <w:rFonts w:hint="eastAsia" w:ascii="宋体" w:hAnsi="宋体"/>
          <w:b/>
          <w:spacing w:val="6"/>
          <w:sz w:val="24"/>
        </w:rPr>
        <w:t>不属于符合条件的残疾人福利性单位。</w:t>
      </w:r>
    </w:p>
    <w:p>
      <w:pPr>
        <w:spacing w:line="588" w:lineRule="exact"/>
        <w:ind w:firstLine="482"/>
        <w:rPr>
          <w:rFonts w:ascii="宋体"/>
          <w:spacing w:val="6"/>
          <w:sz w:val="24"/>
        </w:rPr>
      </w:pPr>
      <w:r>
        <w:rPr>
          <w:rFonts w:hint="eastAsia" w:ascii="宋体"/>
          <w:b/>
          <w:sz w:val="24"/>
        </w:rPr>
        <w:t>□</w:t>
      </w:r>
      <w:r>
        <w:rPr>
          <w:rFonts w:hint="eastAsia" w:ascii="宋体" w:hAnsi="宋体"/>
          <w:b/>
          <w:spacing w:val="6"/>
          <w:sz w:val="24"/>
        </w:rPr>
        <w:t>属于符合条件的残疾人福利性单位，</w:t>
      </w:r>
      <w:r>
        <w:rPr>
          <w:rFonts w:hint="eastAsia" w:ascii="宋体" w:hAnsi="宋体"/>
          <w:spacing w:val="6"/>
          <w:sz w:val="24"/>
        </w:rPr>
        <w:t>且本单位参加</w:t>
      </w:r>
      <w:r>
        <w:rPr>
          <w:rFonts w:ascii="宋体" w:hAnsi="宋体"/>
          <w:spacing w:val="6"/>
          <w:sz w:val="24"/>
        </w:rPr>
        <w:t>______</w:t>
      </w:r>
      <w:r>
        <w:rPr>
          <w:rFonts w:hint="eastAsia" w:ascii="宋体" w:hAnsi="宋体"/>
          <w:spacing w:val="6"/>
          <w:sz w:val="24"/>
        </w:rPr>
        <w:t>单位的</w:t>
      </w:r>
      <w:r>
        <w:rPr>
          <w:rFonts w:ascii="宋体" w:hAnsi="宋体"/>
          <w:spacing w:val="6"/>
          <w:sz w:val="24"/>
        </w:rPr>
        <w:t>______</w:t>
      </w:r>
      <w:r>
        <w:rPr>
          <w:rFonts w:hint="eastAsia" w:ascii="宋体" w:hAnsi="宋体"/>
          <w:spacing w:val="6"/>
          <w:sz w:val="24"/>
        </w:rPr>
        <w:t>项目采购活动提供本单位制造的货物（由本单位承担工程</w:t>
      </w:r>
      <w:r>
        <w:rPr>
          <w:rFonts w:ascii="宋体" w:hAnsi="宋体"/>
          <w:spacing w:val="6"/>
          <w:sz w:val="24"/>
        </w:rPr>
        <w:t>/</w:t>
      </w:r>
      <w:r>
        <w:rPr>
          <w:rFonts w:hint="eastAsia" w:ascii="宋体" w:hAnsi="宋体"/>
          <w:spacing w:val="6"/>
          <w:sz w:val="24"/>
        </w:rPr>
        <w:t>提供服务），或者提供其他残疾人福利性单位制造的货物（不包括使用非残疾人福利性单位注册商标的货物）。</w:t>
      </w:r>
    </w:p>
    <w:p>
      <w:pPr>
        <w:spacing w:line="588" w:lineRule="exact"/>
        <w:ind w:firstLine="506" w:firstLineChars="200"/>
        <w:rPr>
          <w:rFonts w:ascii="宋体"/>
          <w:spacing w:val="6"/>
          <w:sz w:val="24"/>
        </w:rPr>
      </w:pPr>
      <w:r>
        <w:rPr>
          <w:rFonts w:hint="eastAsia" w:ascii="宋体" w:hAnsi="宋体"/>
          <w:b/>
          <w:spacing w:val="6"/>
          <w:sz w:val="24"/>
        </w:rPr>
        <w:t>本单位对上述声明的真实性负责。如有虚假，将依法承担相应责任。</w:t>
      </w:r>
    </w:p>
    <w:p>
      <w:pPr>
        <w:spacing w:line="588" w:lineRule="exact"/>
        <w:ind w:firstLine="504" w:firstLineChars="200"/>
        <w:rPr>
          <w:rFonts w:ascii="宋体"/>
          <w:spacing w:val="6"/>
          <w:sz w:val="24"/>
        </w:rPr>
      </w:pPr>
    </w:p>
    <w:p>
      <w:pPr>
        <w:spacing w:line="588" w:lineRule="exact"/>
        <w:ind w:firstLine="504" w:firstLineChars="200"/>
        <w:rPr>
          <w:rFonts w:ascii="宋体"/>
          <w:spacing w:val="6"/>
          <w:sz w:val="24"/>
        </w:rPr>
      </w:pPr>
    </w:p>
    <w:p>
      <w:pPr>
        <w:tabs>
          <w:tab w:val="left" w:pos="4860"/>
        </w:tabs>
        <w:spacing w:line="588" w:lineRule="exact"/>
        <w:ind w:right="1560" w:firstLine="504" w:firstLineChars="200"/>
        <w:jc w:val="center"/>
        <w:rPr>
          <w:rFonts w:ascii="宋体"/>
          <w:spacing w:val="6"/>
          <w:sz w:val="24"/>
        </w:rPr>
      </w:pPr>
      <w:r>
        <w:rPr>
          <w:rFonts w:ascii="宋体" w:hAnsi="宋体"/>
          <w:spacing w:val="6"/>
          <w:sz w:val="24"/>
        </w:rPr>
        <w:t xml:space="preserve">               </w:t>
      </w:r>
      <w:r>
        <w:rPr>
          <w:rFonts w:hint="eastAsia" w:ascii="宋体" w:hAnsi="宋体"/>
          <w:spacing w:val="6"/>
          <w:sz w:val="24"/>
        </w:rPr>
        <w:t>单位名称（盖章）：</w:t>
      </w:r>
    </w:p>
    <w:p>
      <w:pPr>
        <w:tabs>
          <w:tab w:val="left" w:pos="4860"/>
        </w:tabs>
        <w:spacing w:line="588" w:lineRule="exact"/>
        <w:ind w:right="1560" w:firstLine="504" w:firstLineChars="200"/>
        <w:jc w:val="center"/>
        <w:rPr>
          <w:rFonts w:ascii="宋体"/>
          <w:spacing w:val="6"/>
          <w:sz w:val="24"/>
        </w:rPr>
      </w:pPr>
      <w:r>
        <w:rPr>
          <w:rFonts w:ascii="宋体" w:hAnsi="宋体"/>
          <w:spacing w:val="6"/>
          <w:sz w:val="24"/>
        </w:rPr>
        <w:t xml:space="preserve">       </w:t>
      </w:r>
      <w:r>
        <w:rPr>
          <w:rFonts w:hint="eastAsia" w:ascii="宋体" w:hAnsi="宋体"/>
          <w:spacing w:val="6"/>
          <w:sz w:val="24"/>
        </w:rPr>
        <w:t>日</w:t>
      </w:r>
      <w:r>
        <w:rPr>
          <w:rFonts w:ascii="宋体" w:hAnsi="宋体"/>
          <w:spacing w:val="6"/>
          <w:sz w:val="24"/>
        </w:rPr>
        <w:t xml:space="preserve">  </w:t>
      </w:r>
      <w:r>
        <w:rPr>
          <w:rFonts w:hint="eastAsia" w:ascii="宋体" w:hAnsi="宋体"/>
          <w:spacing w:val="6"/>
          <w:sz w:val="24"/>
        </w:rPr>
        <w:t>期：</w:t>
      </w:r>
    </w:p>
    <w:p>
      <w:pPr>
        <w:widowControl/>
        <w:jc w:val="left"/>
        <w:rPr>
          <w:rFonts w:ascii="宋体" w:hAnsi="宋体"/>
          <w:sz w:val="24"/>
          <w:szCs w:val="20"/>
        </w:rPr>
      </w:pPr>
      <w:r>
        <w:rPr>
          <w:rFonts w:ascii="宋体" w:hAnsi="宋体"/>
          <w:sz w:val="24"/>
          <w:szCs w:val="20"/>
        </w:rPr>
        <w:br w:type="page"/>
      </w:r>
    </w:p>
    <w:p>
      <w:pPr>
        <w:outlineLvl w:val="2"/>
        <w:rPr>
          <w:spacing w:val="1"/>
          <w:sz w:val="24"/>
          <w:szCs w:val="24"/>
        </w:rPr>
      </w:pPr>
      <w:r>
        <w:rPr>
          <w:rFonts w:hint="eastAsia" w:ascii="宋体" w:hAnsi="宋体"/>
          <w:sz w:val="24"/>
          <w:szCs w:val="20"/>
          <w:lang w:val="en-US" w:eastAsia="zh-CN"/>
        </w:rPr>
        <w:t xml:space="preserve">8 </w:t>
      </w:r>
      <w:r>
        <w:rPr>
          <w:spacing w:val="1"/>
          <w:sz w:val="24"/>
          <w:szCs w:val="24"/>
        </w:rPr>
        <w:t>拟分包情况说明</w:t>
      </w:r>
      <w:r>
        <w:rPr>
          <w:rFonts w:hint="eastAsia"/>
          <w:spacing w:val="1"/>
          <w:sz w:val="24"/>
          <w:szCs w:val="24"/>
          <w:lang w:eastAsia="zh-CN"/>
        </w:rPr>
        <w:t>（</w:t>
      </w:r>
      <w:r>
        <w:rPr>
          <w:rFonts w:hint="eastAsia"/>
          <w:spacing w:val="1"/>
          <w:sz w:val="24"/>
          <w:szCs w:val="24"/>
          <w:lang w:val="en-US" w:eastAsia="zh-CN"/>
        </w:rPr>
        <w:t>如有</w:t>
      </w:r>
      <w:r>
        <w:rPr>
          <w:rFonts w:hint="eastAsia"/>
          <w:spacing w:val="1"/>
          <w:sz w:val="24"/>
          <w:szCs w:val="24"/>
          <w:lang w:eastAsia="zh-CN"/>
        </w:rPr>
        <w:t>）</w:t>
      </w:r>
    </w:p>
    <w:p>
      <w:pPr>
        <w:rPr>
          <w:spacing w:val="1"/>
          <w:sz w:val="24"/>
          <w:szCs w:val="24"/>
        </w:rPr>
      </w:pPr>
    </w:p>
    <w:p>
      <w:pPr>
        <w:pStyle w:val="17"/>
        <w:spacing w:before="198" w:line="219" w:lineRule="auto"/>
        <w:ind w:left="3285"/>
        <w:rPr>
          <w:sz w:val="36"/>
          <w:szCs w:val="36"/>
        </w:rPr>
      </w:pPr>
      <w:r>
        <w:rPr>
          <w:b/>
          <w:bCs/>
          <w:spacing w:val="-5"/>
          <w:sz w:val="36"/>
          <w:szCs w:val="36"/>
        </w:rPr>
        <w:t>拟分包情况说明</w:t>
      </w:r>
    </w:p>
    <w:p>
      <w:pPr>
        <w:pStyle w:val="17"/>
        <w:spacing w:before="256" w:line="219" w:lineRule="auto"/>
        <w:ind w:left="9"/>
        <w:rPr>
          <w:sz w:val="24"/>
          <w:szCs w:val="24"/>
        </w:rPr>
      </w:pPr>
      <w:r>
        <w:rPr>
          <w:spacing w:val="-10"/>
          <w:sz w:val="24"/>
          <w:szCs w:val="24"/>
        </w:rPr>
        <w:t>致</w:t>
      </w:r>
      <w:r>
        <w:rPr>
          <w:sz w:val="24"/>
          <w:szCs w:val="24"/>
        </w:rPr>
        <w:t>：</w:t>
      </w:r>
      <w:r>
        <w:rPr>
          <w:sz w:val="24"/>
          <w:szCs w:val="24"/>
          <w:u w:val="single" w:color="auto"/>
        </w:rPr>
        <w:t>（</w:t>
      </w:r>
      <w:r>
        <w:rPr>
          <w:spacing w:val="-10"/>
          <w:sz w:val="24"/>
          <w:szCs w:val="24"/>
          <w:u w:val="single" w:color="auto"/>
        </w:rPr>
        <w:t>采购人或采购代理机构）</w:t>
      </w:r>
    </w:p>
    <w:p>
      <w:pPr>
        <w:pStyle w:val="17"/>
        <w:spacing w:before="183" w:line="219" w:lineRule="auto"/>
        <w:ind w:left="491"/>
        <w:rPr>
          <w:sz w:val="24"/>
          <w:szCs w:val="24"/>
        </w:rPr>
      </w:pPr>
      <w:r>
        <w:rPr>
          <w:spacing w:val="-3"/>
          <w:sz w:val="24"/>
          <w:szCs w:val="24"/>
        </w:rPr>
        <w:t>我单位参加贵单位组织采购的项目编号为</w:t>
      </w:r>
      <w:r>
        <w:rPr>
          <w:spacing w:val="-3"/>
          <w:sz w:val="24"/>
          <w:szCs w:val="24"/>
          <w:u w:val="single" w:color="auto"/>
        </w:rPr>
        <w:t xml:space="preserve">       </w:t>
      </w:r>
      <w:r>
        <w:rPr>
          <w:spacing w:val="-91"/>
          <w:sz w:val="24"/>
          <w:szCs w:val="24"/>
        </w:rPr>
        <w:t xml:space="preserve"> </w:t>
      </w:r>
      <w:r>
        <w:rPr>
          <w:spacing w:val="-3"/>
          <w:sz w:val="24"/>
          <w:szCs w:val="24"/>
        </w:rPr>
        <w:t>的</w:t>
      </w:r>
      <w:r>
        <w:rPr>
          <w:spacing w:val="-3"/>
          <w:sz w:val="24"/>
          <w:szCs w:val="24"/>
          <w:u w:val="single" w:color="auto"/>
        </w:rPr>
        <w:t xml:space="preserve">         </w:t>
      </w:r>
      <w:r>
        <w:rPr>
          <w:spacing w:val="-107"/>
          <w:sz w:val="24"/>
          <w:szCs w:val="24"/>
        </w:rPr>
        <w:t xml:space="preserve"> </w:t>
      </w:r>
      <w:r>
        <w:rPr>
          <w:spacing w:val="-3"/>
          <w:sz w:val="24"/>
          <w:szCs w:val="24"/>
        </w:rPr>
        <w:t>项目（填写采</w:t>
      </w:r>
      <w:r>
        <w:rPr>
          <w:spacing w:val="-4"/>
          <w:sz w:val="24"/>
          <w:szCs w:val="24"/>
        </w:rPr>
        <w:t>购项目</w:t>
      </w:r>
    </w:p>
    <w:p>
      <w:pPr>
        <w:pStyle w:val="17"/>
        <w:spacing w:before="180" w:line="350" w:lineRule="auto"/>
        <w:ind w:left="9" w:right="68" w:firstLine="2"/>
        <w:jc w:val="both"/>
        <w:rPr>
          <w:sz w:val="24"/>
          <w:szCs w:val="24"/>
        </w:rPr>
      </w:pPr>
      <w:r>
        <w:rPr>
          <w:spacing w:val="-1"/>
          <w:sz w:val="24"/>
          <w:szCs w:val="24"/>
        </w:rPr>
        <w:t>名称）中</w:t>
      </w:r>
      <w:r>
        <w:rPr>
          <w:spacing w:val="-1"/>
          <w:sz w:val="24"/>
          <w:szCs w:val="24"/>
          <w:u w:val="single" w:color="auto"/>
        </w:rPr>
        <w:t xml:space="preserve">   </w:t>
      </w:r>
      <w:r>
        <w:rPr>
          <w:spacing w:val="-94"/>
          <w:sz w:val="24"/>
          <w:szCs w:val="24"/>
        </w:rPr>
        <w:t xml:space="preserve"> </w:t>
      </w:r>
      <w:r>
        <w:rPr>
          <w:spacing w:val="-1"/>
          <w:sz w:val="24"/>
          <w:szCs w:val="24"/>
        </w:rPr>
        <w:t>包（填写包号）的投标。拟签订分包合同的单位情况如下表所示，我单位</w:t>
      </w:r>
      <w:r>
        <w:rPr>
          <w:spacing w:val="-2"/>
          <w:sz w:val="24"/>
          <w:szCs w:val="24"/>
        </w:rPr>
        <w:t>承诺一旦在该项目中获得采购合同将按下表所列情况进行分包，同时承诺分包承担主体</w:t>
      </w:r>
      <w:r>
        <w:rPr>
          <w:spacing w:val="18"/>
          <w:sz w:val="24"/>
          <w:szCs w:val="24"/>
        </w:rPr>
        <w:t xml:space="preserve"> </w:t>
      </w:r>
      <w:r>
        <w:rPr>
          <w:spacing w:val="-6"/>
          <w:sz w:val="24"/>
          <w:szCs w:val="24"/>
        </w:rPr>
        <w:t>不再次分包。</w:t>
      </w:r>
    </w:p>
    <w:tbl>
      <w:tblPr>
        <w:tblStyle w:val="284"/>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745"/>
        <w:gridCol w:w="780"/>
        <w:gridCol w:w="1671"/>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top"/>
          </w:tcPr>
          <w:p>
            <w:pPr>
              <w:spacing w:before="107" w:line="210" w:lineRule="auto"/>
              <w:ind w:left="196"/>
              <w:rPr>
                <w:rFonts w:ascii="宋体" w:hAnsi="宋体" w:eastAsia="宋体" w:cs="宋体"/>
                <w:sz w:val="24"/>
                <w:szCs w:val="24"/>
              </w:rPr>
            </w:pPr>
            <w:r>
              <w:rPr>
                <w:rFonts w:ascii="宋体" w:hAnsi="宋体" w:eastAsia="宋体" w:cs="宋体"/>
                <w:spacing w:val="35"/>
                <w:sz w:val="24"/>
                <w:szCs w:val="24"/>
              </w:rPr>
              <w:t>序号</w:t>
            </w:r>
          </w:p>
        </w:tc>
        <w:tc>
          <w:tcPr>
            <w:tcW w:w="1286" w:type="dxa"/>
            <w:vAlign w:val="top"/>
          </w:tcPr>
          <w:p>
            <w:pPr>
              <w:spacing w:before="196" w:line="230"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745" w:type="dxa"/>
            <w:vAlign w:val="top"/>
          </w:tcPr>
          <w:p>
            <w:pPr>
              <w:spacing w:before="38"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780" w:type="dxa"/>
            <w:vAlign w:val="top"/>
          </w:tcPr>
          <w:p>
            <w:pPr>
              <w:pStyle w:val="283"/>
              <w:spacing w:line="270" w:lineRule="auto"/>
            </w:pPr>
          </w:p>
          <w:p>
            <w:pPr>
              <w:spacing w:before="78" w:line="220"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671" w:type="dxa"/>
            <w:vAlign w:val="top"/>
          </w:tcPr>
          <w:p>
            <w:pPr>
              <w:spacing w:before="196" w:line="229"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vAlign w:val="top"/>
          </w:tcPr>
          <w:p>
            <w:pPr>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spacing w:before="26" w:line="223"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9" w:type="dxa"/>
            <w:vAlign w:val="top"/>
          </w:tcPr>
          <w:p>
            <w:pPr>
              <w:pStyle w:val="283"/>
              <w:spacing w:before="196" w:line="230" w:lineRule="auto"/>
              <w:ind w:left="91" w:right="75" w:firstLine="139"/>
              <w:rPr>
                <w:rFonts w:ascii="宋体" w:hAnsi="宋体" w:eastAsia="宋体" w:cs="宋体"/>
                <w:sz w:val="24"/>
                <w:szCs w:val="24"/>
              </w:rPr>
            </w:pPr>
            <w:r>
              <w:rPr>
                <w:rFonts w:ascii="宋体" w:hAnsi="宋体" w:eastAsia="宋体" w:cs="宋体"/>
                <w:b/>
                <w:bCs/>
                <w:spacing w:val="-12"/>
                <w:sz w:val="24"/>
                <w:szCs w:val="24"/>
              </w:rPr>
              <w:t>占合同金额</w:t>
            </w:r>
            <w:r>
              <w:rPr>
                <w:rFonts w:ascii="宋体" w:hAnsi="宋体" w:eastAsia="宋体" w:cs="宋体"/>
                <w:spacing w:val="1"/>
                <w:sz w:val="24"/>
                <w:szCs w:val="24"/>
              </w:rPr>
              <w:t xml:space="preserve">  </w:t>
            </w:r>
            <w:r>
              <w:rPr>
                <w:rFonts w:ascii="宋体" w:hAnsi="宋体" w:eastAsia="宋体" w:cs="宋体"/>
                <w:b/>
                <w:bCs/>
                <w:spacing w:val="-5"/>
                <w:sz w:val="24"/>
                <w:szCs w:val="24"/>
              </w:rPr>
              <w:t>的比例（</w:t>
            </w:r>
            <w:r>
              <w:rPr>
                <w:b/>
                <w:bCs/>
                <w:spacing w:val="-5"/>
                <w:sz w:val="24"/>
                <w:szCs w:val="24"/>
              </w:rPr>
              <w:t>%</w:t>
            </w:r>
            <w:r>
              <w:rPr>
                <w:rFonts w:ascii="宋体" w:hAnsi="宋体" w:eastAsia="宋体" w:cs="宋体"/>
                <w:b/>
                <w:bCs/>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83"/>
              <w:spacing w:line="301" w:lineRule="auto"/>
            </w:pPr>
          </w:p>
          <w:p>
            <w:pPr>
              <w:pStyle w:val="283"/>
              <w:spacing w:before="69" w:line="199" w:lineRule="auto"/>
              <w:ind w:left="177"/>
              <w:rPr>
                <w:sz w:val="24"/>
                <w:szCs w:val="24"/>
              </w:rPr>
            </w:pPr>
            <w:r>
              <w:rPr>
                <w:sz w:val="24"/>
                <w:szCs w:val="24"/>
              </w:rPr>
              <w:t>1</w:t>
            </w:r>
          </w:p>
        </w:tc>
        <w:tc>
          <w:tcPr>
            <w:tcW w:w="1286" w:type="dxa"/>
            <w:vAlign w:val="top"/>
          </w:tcPr>
          <w:p>
            <w:pPr>
              <w:pStyle w:val="283"/>
            </w:pPr>
          </w:p>
        </w:tc>
        <w:tc>
          <w:tcPr>
            <w:tcW w:w="1745" w:type="dxa"/>
            <w:vAlign w:val="top"/>
          </w:tcPr>
          <w:p>
            <w:pPr>
              <w:pStyle w:val="283"/>
              <w:spacing w:before="36"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83"/>
              <w:spacing w:before="24"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780" w:type="dxa"/>
            <w:vAlign w:val="top"/>
          </w:tcPr>
          <w:p>
            <w:pPr>
              <w:pStyle w:val="283"/>
            </w:pPr>
          </w:p>
        </w:tc>
        <w:tc>
          <w:tcPr>
            <w:tcW w:w="1671" w:type="dxa"/>
            <w:vAlign w:val="top"/>
          </w:tcPr>
          <w:p>
            <w:pPr>
              <w:pStyle w:val="283"/>
            </w:pPr>
          </w:p>
        </w:tc>
        <w:tc>
          <w:tcPr>
            <w:tcW w:w="1497" w:type="dxa"/>
            <w:vAlign w:val="top"/>
          </w:tcPr>
          <w:p>
            <w:pPr>
              <w:pStyle w:val="283"/>
            </w:pPr>
          </w:p>
        </w:tc>
        <w:tc>
          <w:tcPr>
            <w:tcW w:w="1569" w:type="dxa"/>
            <w:vAlign w:val="top"/>
          </w:tcPr>
          <w:p>
            <w:pPr>
              <w:pStyle w:val="283"/>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83"/>
              <w:spacing w:line="299" w:lineRule="auto"/>
            </w:pPr>
          </w:p>
          <w:p>
            <w:pPr>
              <w:pStyle w:val="283"/>
              <w:spacing w:before="69" w:line="201" w:lineRule="auto"/>
              <w:ind w:left="168"/>
              <w:rPr>
                <w:sz w:val="24"/>
                <w:szCs w:val="24"/>
              </w:rPr>
            </w:pPr>
            <w:r>
              <w:rPr>
                <w:spacing w:val="1"/>
                <w:sz w:val="24"/>
                <w:szCs w:val="24"/>
              </w:rPr>
              <w:t>2</w:t>
            </w:r>
          </w:p>
        </w:tc>
        <w:tc>
          <w:tcPr>
            <w:tcW w:w="1286" w:type="dxa"/>
            <w:vAlign w:val="top"/>
          </w:tcPr>
          <w:p>
            <w:pPr>
              <w:pStyle w:val="283"/>
            </w:pPr>
          </w:p>
        </w:tc>
        <w:tc>
          <w:tcPr>
            <w:tcW w:w="1745" w:type="dxa"/>
            <w:vAlign w:val="top"/>
          </w:tcPr>
          <w:p>
            <w:pPr>
              <w:pStyle w:val="283"/>
              <w:spacing w:before="39"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83"/>
              <w:spacing w:before="21"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780" w:type="dxa"/>
            <w:vAlign w:val="top"/>
          </w:tcPr>
          <w:p>
            <w:pPr>
              <w:pStyle w:val="283"/>
            </w:pPr>
          </w:p>
        </w:tc>
        <w:tc>
          <w:tcPr>
            <w:tcW w:w="1671" w:type="dxa"/>
            <w:vAlign w:val="top"/>
          </w:tcPr>
          <w:p>
            <w:pPr>
              <w:pStyle w:val="283"/>
            </w:pPr>
          </w:p>
        </w:tc>
        <w:tc>
          <w:tcPr>
            <w:tcW w:w="1497" w:type="dxa"/>
            <w:vAlign w:val="top"/>
          </w:tcPr>
          <w:p>
            <w:pPr>
              <w:pStyle w:val="283"/>
            </w:pPr>
          </w:p>
        </w:tc>
        <w:tc>
          <w:tcPr>
            <w:tcW w:w="1569" w:type="dxa"/>
            <w:vAlign w:val="top"/>
          </w:tcPr>
          <w:p>
            <w:pPr>
              <w:pStyle w:val="283"/>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pPr>
              <w:pStyle w:val="283"/>
              <w:spacing w:line="293" w:lineRule="auto"/>
            </w:pPr>
          </w:p>
          <w:p>
            <w:pPr>
              <w:pStyle w:val="283"/>
              <w:spacing w:before="69" w:line="81" w:lineRule="exact"/>
              <w:ind w:left="135"/>
              <w:rPr>
                <w:sz w:val="24"/>
                <w:szCs w:val="24"/>
              </w:rPr>
            </w:pPr>
            <w:r>
              <w:rPr>
                <w:position w:val="1"/>
                <w:sz w:val="24"/>
                <w:szCs w:val="24"/>
              </w:rPr>
              <w:t>…</w:t>
            </w:r>
          </w:p>
        </w:tc>
        <w:tc>
          <w:tcPr>
            <w:tcW w:w="1286" w:type="dxa"/>
            <w:vAlign w:val="top"/>
          </w:tcPr>
          <w:p>
            <w:pPr>
              <w:pStyle w:val="283"/>
            </w:pPr>
          </w:p>
        </w:tc>
        <w:tc>
          <w:tcPr>
            <w:tcW w:w="1745" w:type="dxa"/>
            <w:vAlign w:val="top"/>
          </w:tcPr>
          <w:p>
            <w:pPr>
              <w:pStyle w:val="283"/>
            </w:pPr>
          </w:p>
        </w:tc>
        <w:tc>
          <w:tcPr>
            <w:tcW w:w="780" w:type="dxa"/>
            <w:vAlign w:val="top"/>
          </w:tcPr>
          <w:p>
            <w:pPr>
              <w:pStyle w:val="283"/>
            </w:pPr>
          </w:p>
        </w:tc>
        <w:tc>
          <w:tcPr>
            <w:tcW w:w="1671" w:type="dxa"/>
            <w:vAlign w:val="top"/>
          </w:tcPr>
          <w:p>
            <w:pPr>
              <w:pStyle w:val="283"/>
            </w:pPr>
          </w:p>
        </w:tc>
        <w:tc>
          <w:tcPr>
            <w:tcW w:w="1497" w:type="dxa"/>
            <w:vAlign w:val="top"/>
          </w:tcPr>
          <w:p>
            <w:pPr>
              <w:pStyle w:val="283"/>
            </w:pPr>
          </w:p>
        </w:tc>
        <w:tc>
          <w:tcPr>
            <w:tcW w:w="1569" w:type="dxa"/>
            <w:vAlign w:val="top"/>
          </w:tcPr>
          <w:p>
            <w:pPr>
              <w:pStyle w:val="283"/>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top"/>
          </w:tcPr>
          <w:p>
            <w:pPr>
              <w:spacing w:before="192"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vAlign w:val="top"/>
          </w:tcPr>
          <w:p>
            <w:pPr>
              <w:pStyle w:val="283"/>
            </w:pPr>
          </w:p>
        </w:tc>
        <w:tc>
          <w:tcPr>
            <w:tcW w:w="1569" w:type="dxa"/>
            <w:vAlign w:val="top"/>
          </w:tcPr>
          <w:p>
            <w:pPr>
              <w:pStyle w:val="283"/>
            </w:pPr>
          </w:p>
        </w:tc>
      </w:tr>
    </w:tbl>
    <w:p>
      <w:pPr>
        <w:spacing w:line="374" w:lineRule="auto"/>
        <w:rPr>
          <w:rFonts w:ascii="Arial"/>
          <w:sz w:val="21"/>
        </w:rPr>
      </w:pPr>
    </w:p>
    <w:p>
      <w:pPr>
        <w:pStyle w:val="17"/>
        <w:spacing w:before="78" w:line="224" w:lineRule="auto"/>
        <w:ind w:left="9"/>
        <w:rPr>
          <w:sz w:val="24"/>
          <w:szCs w:val="24"/>
        </w:rPr>
      </w:pPr>
      <w:r>
        <w:rPr>
          <w:spacing w:val="-17"/>
          <w:sz w:val="24"/>
          <w:szCs w:val="24"/>
        </w:rPr>
        <w:t>注：</w:t>
      </w:r>
    </w:p>
    <w:p>
      <w:pPr>
        <w:pStyle w:val="17"/>
        <w:spacing w:before="177" w:line="344" w:lineRule="auto"/>
        <w:ind w:left="30" w:right="152" w:hanging="4"/>
        <w:rPr>
          <w:sz w:val="24"/>
          <w:szCs w:val="24"/>
        </w:rPr>
      </w:pPr>
      <w:r>
        <w:rPr>
          <w:rFonts w:ascii="Arial" w:hAnsi="Arial" w:eastAsia="Arial" w:cs="Arial"/>
          <w:sz w:val="24"/>
          <w:szCs w:val="24"/>
        </w:rPr>
        <w:t xml:space="preserve">1.  </w:t>
      </w:r>
      <w:r>
        <w:rPr>
          <w:sz w:val="24"/>
          <w:szCs w:val="24"/>
        </w:rPr>
        <w:t>如本项目（包）允许分包，且投标人拟进行分包时，</w:t>
      </w:r>
      <w:r>
        <w:rPr>
          <w:spacing w:val="-1"/>
          <w:sz w:val="24"/>
          <w:szCs w:val="24"/>
        </w:rPr>
        <w:t>必须提供；如未提供，或提供</w:t>
      </w:r>
      <w:r>
        <w:rPr>
          <w:sz w:val="24"/>
          <w:szCs w:val="24"/>
        </w:rPr>
        <w:t xml:space="preserve"> </w:t>
      </w:r>
      <w:r>
        <w:rPr>
          <w:spacing w:val="-1"/>
          <w:sz w:val="24"/>
          <w:szCs w:val="24"/>
        </w:rPr>
        <w:t>了但未填写分包承担主体名称、拟分包合同内容、拟分包合同金额，</w:t>
      </w:r>
      <w:r>
        <w:rPr>
          <w:b/>
          <w:bCs/>
          <w:spacing w:val="-2"/>
          <w:sz w:val="24"/>
          <w:szCs w:val="24"/>
        </w:rPr>
        <w:t>投标无效</w:t>
      </w:r>
      <w:r>
        <w:rPr>
          <w:spacing w:val="-2"/>
          <w:sz w:val="24"/>
          <w:szCs w:val="24"/>
        </w:rPr>
        <w:t>。</w:t>
      </w:r>
    </w:p>
    <w:p>
      <w:pPr>
        <w:pStyle w:val="17"/>
        <w:spacing w:before="177" w:line="344" w:lineRule="auto"/>
        <w:ind w:left="30" w:right="152" w:hanging="4"/>
        <w:rPr>
          <w:rFonts w:ascii="Arial" w:hAnsi="Arial" w:eastAsia="Arial" w:cs="Arial"/>
          <w:sz w:val="24"/>
          <w:szCs w:val="24"/>
        </w:rPr>
      </w:pPr>
      <w:r>
        <w:rPr>
          <w:rFonts w:ascii="Arial" w:hAnsi="Arial" w:eastAsia="Arial" w:cs="Arial"/>
          <w:spacing w:val="-5"/>
          <w:sz w:val="24"/>
          <w:szCs w:val="24"/>
        </w:rPr>
        <w:t>2.</w:t>
      </w:r>
      <w:r>
        <w:rPr>
          <w:spacing w:val="-5"/>
          <w:sz w:val="24"/>
          <w:szCs w:val="24"/>
        </w:rPr>
        <w:t>如本招标文件《投标人须知资料表》载明本项目分包承担主体应具备的相应资质条件，</w:t>
      </w:r>
      <w:r>
        <w:rPr>
          <w:spacing w:val="2"/>
          <w:sz w:val="24"/>
          <w:szCs w:val="24"/>
        </w:rPr>
        <w:t xml:space="preserve"> </w:t>
      </w:r>
      <w:r>
        <w:rPr>
          <w:spacing w:val="-2"/>
          <w:sz w:val="24"/>
          <w:szCs w:val="24"/>
        </w:rPr>
        <w:t>则投标</w:t>
      </w:r>
      <w:r>
        <w:rPr>
          <w:rFonts w:ascii="Arial" w:hAnsi="Arial" w:eastAsia="Arial" w:cs="Arial"/>
          <w:sz w:val="24"/>
          <w:szCs w:val="24"/>
        </w:rPr>
        <w:t>人须在本表中列明分包承担主体的资质等级，并后附资质证书电子件，否则投标无效。</w:t>
      </w:r>
    </w:p>
    <w:p>
      <w:pPr>
        <w:pStyle w:val="17"/>
        <w:spacing w:before="177" w:line="344" w:lineRule="auto"/>
        <w:ind w:left="30" w:right="152" w:hanging="4"/>
        <w:rPr>
          <w:rFonts w:ascii="Arial" w:hAnsi="Arial" w:eastAsia="Arial" w:cs="Arial"/>
          <w:sz w:val="24"/>
          <w:szCs w:val="24"/>
        </w:rPr>
      </w:pPr>
      <w:r>
        <w:rPr>
          <w:rFonts w:ascii="Arial" w:hAnsi="Arial" w:eastAsia="Arial" w:cs="Arial"/>
          <w:sz w:val="24"/>
          <w:szCs w:val="24"/>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jc w:val="right"/>
        <w:rPr>
          <w:spacing w:val="-17"/>
          <w:sz w:val="24"/>
          <w:szCs w:val="24"/>
        </w:rPr>
      </w:pPr>
    </w:p>
    <w:p>
      <w:pPr>
        <w:jc w:val="right"/>
        <w:rPr>
          <w:spacing w:val="-17"/>
          <w:sz w:val="24"/>
          <w:szCs w:val="24"/>
        </w:rPr>
      </w:pPr>
    </w:p>
    <w:p>
      <w:pPr>
        <w:jc w:val="right"/>
        <w:rPr>
          <w:spacing w:val="-7"/>
          <w:sz w:val="24"/>
          <w:szCs w:val="24"/>
        </w:rPr>
      </w:pPr>
      <w:r>
        <w:rPr>
          <w:spacing w:val="-17"/>
          <w:sz w:val="24"/>
          <w:szCs w:val="24"/>
        </w:rPr>
        <w:t>投标人名称（盖章</w:t>
      </w:r>
      <w:r>
        <w:rPr>
          <w:spacing w:val="-7"/>
          <w:sz w:val="24"/>
          <w:szCs w:val="24"/>
        </w:rPr>
        <w:t>）：</w:t>
      </w:r>
    </w:p>
    <w:p>
      <w:pPr>
        <w:jc w:val="right"/>
        <w:rPr>
          <w:spacing w:val="-14"/>
          <w:sz w:val="24"/>
          <w:szCs w:val="24"/>
        </w:rPr>
      </w:pPr>
    </w:p>
    <w:p>
      <w:pPr>
        <w:jc w:val="right"/>
        <w:rPr>
          <w:rFonts w:hint="eastAsia" w:ascii="宋体" w:hAnsi="宋体"/>
          <w:sz w:val="24"/>
          <w:szCs w:val="20"/>
          <w:lang w:val="en-US" w:eastAsia="zh-CN"/>
        </w:rPr>
      </w:pPr>
      <w:r>
        <w:rPr>
          <w:spacing w:val="-14"/>
          <w:sz w:val="24"/>
          <w:szCs w:val="24"/>
        </w:rPr>
        <w:t>日期：</w:t>
      </w:r>
      <w:r>
        <w:rPr>
          <w:spacing w:val="1"/>
          <w:sz w:val="24"/>
          <w:szCs w:val="24"/>
          <w:u w:val="single" w:color="auto"/>
        </w:rPr>
        <w:t xml:space="preserve">     </w:t>
      </w:r>
      <w:r>
        <w:rPr>
          <w:spacing w:val="-108"/>
          <w:sz w:val="24"/>
          <w:szCs w:val="24"/>
        </w:rPr>
        <w:t xml:space="preserve"> </w:t>
      </w:r>
      <w:r>
        <w:rPr>
          <w:spacing w:val="-14"/>
          <w:sz w:val="24"/>
          <w:szCs w:val="24"/>
        </w:rPr>
        <w:t>年</w:t>
      </w:r>
      <w:r>
        <w:rPr>
          <w:sz w:val="24"/>
          <w:szCs w:val="24"/>
          <w:u w:val="single" w:color="auto"/>
        </w:rPr>
        <w:t xml:space="preserve">      </w:t>
      </w:r>
      <w:r>
        <w:rPr>
          <w:spacing w:val="-105"/>
          <w:sz w:val="24"/>
          <w:szCs w:val="24"/>
        </w:rPr>
        <w:t xml:space="preserve"> </w:t>
      </w:r>
      <w:r>
        <w:rPr>
          <w:spacing w:val="-14"/>
          <w:sz w:val="24"/>
          <w:szCs w:val="24"/>
        </w:rPr>
        <w:t>月</w:t>
      </w:r>
      <w:r>
        <w:rPr>
          <w:sz w:val="24"/>
          <w:szCs w:val="24"/>
          <w:u w:val="single" w:color="auto"/>
        </w:rPr>
        <w:t xml:space="preserve">      </w:t>
      </w:r>
      <w:r>
        <w:rPr>
          <w:spacing w:val="-70"/>
          <w:sz w:val="24"/>
          <w:szCs w:val="24"/>
        </w:rPr>
        <w:t xml:space="preserve"> </w:t>
      </w:r>
      <w:r>
        <w:rPr>
          <w:spacing w:val="-14"/>
          <w:sz w:val="24"/>
          <w:szCs w:val="24"/>
        </w:rPr>
        <w:t>日</w:t>
      </w:r>
      <w:r>
        <w:rPr>
          <w:rFonts w:hint="eastAsia" w:ascii="宋体" w:hAnsi="宋体"/>
          <w:sz w:val="24"/>
          <w:szCs w:val="20"/>
          <w:lang w:val="en-US" w:eastAsia="zh-CN"/>
        </w:rPr>
        <w:br w:type="page"/>
      </w:r>
    </w:p>
    <w:p>
      <w:pPr>
        <w:spacing w:line="360" w:lineRule="auto"/>
        <w:jc w:val="center"/>
        <w:outlineLvl w:val="2"/>
        <w:rPr>
          <w:rFonts w:ascii="宋体"/>
          <w:sz w:val="24"/>
          <w:szCs w:val="20"/>
        </w:rPr>
      </w:pPr>
      <w:r>
        <w:rPr>
          <w:rFonts w:hint="eastAsia" w:ascii="宋体" w:hAnsi="宋体"/>
          <w:sz w:val="24"/>
          <w:szCs w:val="20"/>
          <w:lang w:val="en-US" w:eastAsia="zh-CN"/>
        </w:rPr>
        <w:t>9</w:t>
      </w:r>
      <w:r>
        <w:rPr>
          <w:rFonts w:ascii="宋体" w:hAnsi="宋体"/>
          <w:sz w:val="24"/>
          <w:szCs w:val="20"/>
        </w:rPr>
        <w:t xml:space="preserve"> </w:t>
      </w:r>
      <w:r>
        <w:rPr>
          <w:rFonts w:hint="eastAsia" w:ascii="宋体" w:hAnsi="宋体"/>
          <w:sz w:val="24"/>
          <w:szCs w:val="20"/>
        </w:rPr>
        <w:t>招标文件要求提供或投标人认为应附的其他材料</w:t>
      </w:r>
    </w:p>
    <w:p>
      <w:pPr>
        <w:spacing w:line="480" w:lineRule="auto"/>
        <w:jc w:val="center"/>
        <w:rPr>
          <w:b/>
          <w:bCs/>
          <w:sz w:val="24"/>
        </w:rPr>
      </w:pPr>
      <w:r>
        <w:rPr>
          <w:rFonts w:hint="eastAsia"/>
          <w:b/>
          <w:bCs/>
          <w:sz w:val="24"/>
        </w:rPr>
        <w:t>（格式自拟）</w:t>
      </w:r>
    </w:p>
    <w:p>
      <w:pPr>
        <w:spacing w:line="360" w:lineRule="auto"/>
        <w:ind w:left="-1" w:leftChars="-67" w:hanging="140" w:hangingChars="58"/>
        <w:rPr>
          <w:rFonts w:ascii="宋体" w:hAnsi="宋体" w:cs="宋体"/>
          <w:b/>
          <w:bCs/>
          <w:sz w:val="24"/>
        </w:rPr>
      </w:pPr>
      <w:bookmarkStart w:id="906" w:name="_Toc21816"/>
      <w:bookmarkStart w:id="907" w:name="_Toc22892"/>
      <w:bookmarkStart w:id="908" w:name="_Toc25919"/>
      <w:r>
        <w:rPr>
          <w:rFonts w:hint="eastAsia" w:ascii="宋体" w:hAnsi="宋体" w:cs="宋体"/>
          <w:b/>
          <w:bCs/>
          <w:sz w:val="24"/>
        </w:rPr>
        <w:t>投标人应该根据招标文件“第四章 评标方法和评标标准 “第五章 采购需求 ”等进行编制。</w:t>
      </w:r>
      <w:bookmarkEnd w:id="906"/>
      <w:bookmarkEnd w:id="907"/>
      <w:bookmarkEnd w:id="908"/>
    </w:p>
    <w:p>
      <w:pPr>
        <w:widowControl/>
        <w:jc w:val="left"/>
        <w:rPr>
          <w:rFonts w:ascii="宋体"/>
          <w:b/>
          <w:sz w:val="36"/>
          <w:szCs w:val="36"/>
        </w:rPr>
      </w:pPr>
    </w:p>
    <w:p>
      <w:pPr>
        <w:widowControl/>
        <w:jc w:val="left"/>
        <w:rPr>
          <w:rFonts w:ascii="宋体"/>
          <w:b/>
          <w:sz w:val="36"/>
          <w:szCs w:val="36"/>
        </w:rPr>
      </w:pPr>
    </w:p>
    <w:p>
      <w:pPr>
        <w:widowControl/>
        <w:jc w:val="left"/>
        <w:rPr>
          <w:rFonts w:ascii="宋体"/>
          <w:b/>
          <w:sz w:val="36"/>
          <w:szCs w:val="36"/>
        </w:rPr>
      </w:pPr>
    </w:p>
    <w:sectPr>
      <w:pgSz w:w="11907" w:h="16840"/>
      <w:pgMar w:top="1418" w:right="851" w:bottom="1418" w:left="1276"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CESI黑体-GB2312">
    <w:altName w:val="黑体"/>
    <w:panose1 w:val="00000000000000000000"/>
    <w:charset w:val="86"/>
    <w:family w:val="auto"/>
    <w:pitch w:val="default"/>
    <w:sig w:usb0="00000000" w:usb1="00000000" w:usb2="00000010" w:usb3="00000000" w:csb0="00040000" w:csb1="00000000"/>
  </w:font>
  <w:font w:name="Nirmala UI">
    <w:panose1 w:val="020B0502040204020203"/>
    <w:charset w:val="00"/>
    <w:family w:val="swiss"/>
    <w:pitch w:val="default"/>
    <w:sig w:usb0="80FF8023" w:usb1="0200004A" w:usb2="00000200" w:usb3="00040000" w:csb0="00000001" w:csb1="00000000"/>
  </w:font>
  <w:font w:name="Wingdings 2">
    <w:panose1 w:val="05020102010507070707"/>
    <w:charset w:val="02"/>
    <w:family w:val="roman"/>
    <w:pitch w:val="default"/>
    <w:sig w:usb0="00000000" w:usb1="00000000" w:usb2="00000000" w:usb3="00000000" w:csb0="80000000" w:csb1="00000000"/>
  </w:font>
  <w:font w:name="PMingLiU">
    <w:altName w:val="Microsoft JhengHei UI"/>
    <w:panose1 w:val="02010601000101010101"/>
    <w:charset w:val="88"/>
    <w:family w:val="roman"/>
    <w:pitch w:val="default"/>
    <w:sig w:usb0="00000000" w:usb1="00000000" w:usb2="00000016" w:usb3="00000000" w:csb0="001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6" name="文本框 10"/>
              <wp:cNvGraphicFramePr/>
              <a:graphic xmlns:a="http://schemas.openxmlformats.org/drawingml/2006/main">
                <a:graphicData uri="http://schemas.microsoft.com/office/word/2010/wordprocessingShape">
                  <wps:wsp>
                    <wps:cNvSpPr>
                      <a:spLocks noChangeArrowheads="1"/>
                    </wps:cNvSpPr>
                    <wps:spPr bwMode="auto">
                      <a:xfrm>
                        <a:off x="0" y="0"/>
                        <a:ext cx="57785" cy="147955"/>
                      </a:xfrm>
                      <a:prstGeom prst="rect">
                        <a:avLst/>
                      </a:prstGeom>
                      <a:noFill/>
                      <a:ln>
                        <a:noFill/>
                      </a:ln>
                    </wps:spPr>
                    <wps:txbx>
                      <w:txbxContent>
                        <w:p>
                          <w:pPr>
                            <w:pStyle w:val="28"/>
                          </w:pPr>
                          <w:r>
                            <w:fldChar w:fldCharType="begin"/>
                          </w:r>
                          <w:r>
                            <w:instrText xml:space="preserve"> PAGE  \* MERGEFORMAT </w:instrText>
                          </w:r>
                          <w:r>
                            <w:fldChar w:fldCharType="separate"/>
                          </w:r>
                          <w:r>
                            <w:t>25</w:t>
                          </w:r>
                          <w:r>
                            <w:fldChar w:fldCharType="end"/>
                          </w:r>
                        </w:p>
                      </w:txbxContent>
                    </wps:txbx>
                    <wps:bodyPr rot="0" vert="horz" wrap="none" lIns="0" tIns="0" rIns="0" bIns="0" anchor="t" anchorCtr="0" upright="1">
                      <a:spAutoFit/>
                    </wps:bodyPr>
                  </wps:wsp>
                </a:graphicData>
              </a:graphic>
            </wp:anchor>
          </w:drawing>
        </mc:Choice>
        <mc:Fallback>
          <w:pict>
            <v:rect id="文本框 10" o:spid="_x0000_s1026" o:spt="1" style="position:absolute;left:0pt;margin-top:0pt;height:11.65pt;width:4.55pt;mso-position-horizontal:center;mso-position-horizontal-relative:margin;mso-wrap-style:none;z-index:251659264;mso-width-relative:page;mso-height-relative:page;" filled="f" stroked="f" coordsize="21600,21600" o:gfxdata="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1W/hDRAAAAAgEAAA8AAAAAAAAAAQAgAAAAIgAAAGRycy9kb3du&#10;cmV2LnhtbFBLAQIUABQAAAAIAIdO4kBom99lBgIAAPgDAAAOAAAAAAAAAAEAIAAAACABAABkcnMv&#10;ZTJvRG9jLnhtbFBLBQYAAAAABgAGAFkBAACYBQ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25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Text Box 1029"/>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pPr>
                            <w:pStyle w:val="2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9" o:spid="_x0000_s1026" o:spt="202" type="#_x0000_t202" style="position:absolute;left:0pt;margin-top:0pt;height:11.65pt;width:4.55pt;mso-position-horizontal:center;mso-position-horizontal-relative:margin;mso-wrap-style:none;z-index:251663360;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58scAtEAAAACAQAADwAAAAAAAAABACAAAAAiAAAAZHJzL2Rvd25yZXYueG1sUEsB&#10;AhQAFAAAAAgAh07iQBfuGFj8AQAAAwQAAA4AAAAAAAAAAQAgAAAAIAEAAGRycy9lMm9Eb2MueG1s&#10;UEsFBgAAAAAGAAYAWQEAAI4FA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47955"/>
              <wp:effectExtent l="0" t="0" r="0" b="0"/>
              <wp:wrapNone/>
              <wp:docPr id="4" name="文本框 11"/>
              <wp:cNvGraphicFramePr/>
              <a:graphic xmlns:a="http://schemas.openxmlformats.org/drawingml/2006/main">
                <a:graphicData uri="http://schemas.microsoft.com/office/word/2010/wordprocessingShape">
                  <wps:wsp>
                    <wps:cNvSpPr>
                      <a:spLocks noChangeArrowheads="1"/>
                    </wps:cNvSpPr>
                    <wps:spPr bwMode="auto">
                      <a:xfrm>
                        <a:off x="0" y="0"/>
                        <a:ext cx="114935" cy="147955"/>
                      </a:xfrm>
                      <a:prstGeom prst="rect">
                        <a:avLst/>
                      </a:prstGeom>
                      <a:noFill/>
                      <a:ln>
                        <a:noFill/>
                      </a:ln>
                    </wps:spPr>
                    <wps:txbx>
                      <w:txbxContent>
                        <w:p>
                          <w:pPr>
                            <w:pStyle w:val="28"/>
                          </w:pPr>
                        </w:p>
                      </w:txbxContent>
                    </wps:txbx>
                    <wps:bodyPr rot="0" vert="horz" wrap="none" lIns="0" tIns="0" rIns="0" bIns="0" anchor="t" anchorCtr="0" upright="1">
                      <a:spAutoFit/>
                    </wps:bodyPr>
                  </wps:wsp>
                </a:graphicData>
              </a:graphic>
            </wp:anchor>
          </w:drawing>
        </mc:Choice>
        <mc:Fallback>
          <w:pict>
            <v:rect id="文本框 11" o:spid="_x0000_s1026" o:spt="1" style="position:absolute;left:0pt;margin-top:0pt;height:11.65pt;width:9.05pt;mso-position-horizontal:center;mso-position-horizontal-relative:margin;mso-wrap-style:none;z-index:251660288;mso-width-relative:page;mso-height-relative:page;" filled="f" stroked="f" coordsize="21600,21600" o:gfxdata="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P8ThNEAAAADAQAADwAAAAAAAAABACAAAAAiAAAAZHJzL2Rvd25y&#10;ZXYueG1sUEsBAhQAFAAAAAgAh07iQP1PQA0FAgAA+QMAAA4AAAAAAAAAAQAgAAAAIAEAAGRycy9l&#10;Mm9Eb2MueG1sUEsFBgAAAAAGAAYAWQEAAJcFAAAAAA==&#10;">
              <v:fill on="f" focussize="0,0"/>
              <v:stroke on="f"/>
              <v:imagedata o:title=""/>
              <o:lock v:ext="edit" aspectratio="f"/>
              <v:textbox inset="0mm,0mm,0mm,0mm" style="mso-fit-shape-to-text:t;">
                <w:txbxContent>
                  <w:p>
                    <w:pPr>
                      <w:pStyle w:val="28"/>
                    </w:pP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tabs>
        <w:tab w:val="center" w:pos="4748"/>
        <w:tab w:val="center" w:pos="4819"/>
        <w:tab w:val="clear" w:pos="4153"/>
        <w:tab w:val="clear" w:pos="8306"/>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370" cy="139700"/>
              <wp:effectExtent l="0" t="0" r="0" b="0"/>
              <wp:wrapNone/>
              <wp:docPr id="2" name="文本框 23"/>
              <wp:cNvGraphicFramePr/>
              <a:graphic xmlns:a="http://schemas.openxmlformats.org/drawingml/2006/main">
                <a:graphicData uri="http://schemas.microsoft.com/office/word/2010/wordprocessingShape">
                  <wps:wsp>
                    <wps:cNvSpPr>
                      <a:spLocks noChangeArrowheads="1"/>
                    </wps:cNvSpPr>
                    <wps:spPr bwMode="auto">
                      <a:xfrm>
                        <a:off x="0" y="0"/>
                        <a:ext cx="166370" cy="139700"/>
                      </a:xfrm>
                      <a:prstGeom prst="rect">
                        <a:avLst/>
                      </a:prstGeom>
                      <a:noFill/>
                      <a:ln>
                        <a:noFill/>
                      </a:ln>
                    </wps:spPr>
                    <wps:txbx>
                      <w:txbxContent>
                        <w:p>
                          <w:pPr>
                            <w:pStyle w:val="28"/>
                          </w:pPr>
                          <w:r>
                            <w:fldChar w:fldCharType="begin"/>
                          </w:r>
                          <w:r>
                            <w:instrText xml:space="preserve"> PAGE  \* MERGEFORMAT </w:instrText>
                          </w:r>
                          <w:r>
                            <w:fldChar w:fldCharType="separate"/>
                          </w:r>
                          <w:r>
                            <w:t>47</w:t>
                          </w:r>
                          <w:r>
                            <w:fldChar w:fldCharType="end"/>
                          </w:r>
                        </w:p>
                      </w:txbxContent>
                    </wps:txbx>
                    <wps:bodyPr rot="0" vert="horz" wrap="square" lIns="0" tIns="0" rIns="0" bIns="0" anchor="t" anchorCtr="0" upright="1">
                      <a:noAutofit/>
                    </wps:bodyPr>
                  </wps:wsp>
                </a:graphicData>
              </a:graphic>
            </wp:anchor>
          </w:drawing>
        </mc:Choice>
        <mc:Fallback>
          <w:pict>
            <v:rect id="文本框 23" o:spid="_x0000_s1026" o:spt="1" style="position:absolute;left:0pt;margin-top:0pt;height:11pt;width:13.1pt;mso-position-horizontal:center;mso-position-horizontal-relative:margin;z-index:251662336;mso-width-relative:page;mso-height-relative:page;" filled="f" stroked="f" coordsize="21600,21600" o:gfxdata="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AkG/S1AAAAAMBAAAPAAAAAAAAAAEAIAAAACIAAABkcnMv&#10;ZG93bnJldi54bWxQSwECFAAUAAAACACHTuJALM54AwcCAAD7AwAADgAAAAAAAAABACAAAAAjAQAA&#10;ZHJzL2Uyb0RvYy54bWxQSwUGAAAAAAYABgBZAQAAnAUAAAAA&#10;">
              <v:fill on="f" focussize="0,0"/>
              <v:stroke on="f"/>
              <v:imagedata o:title=""/>
              <o:lock v:ext="edit" aspectratio="f"/>
              <v:textbox inset="0mm,0mm,0mm,0mm">
                <w:txbxContent>
                  <w:p>
                    <w:pPr>
                      <w:pStyle w:val="28"/>
                    </w:pPr>
                    <w:r>
                      <w:fldChar w:fldCharType="begin"/>
                    </w:r>
                    <w:r>
                      <w:instrText xml:space="preserve"> PAGE  \* MERGEFORMAT </w:instrText>
                    </w:r>
                    <w:r>
                      <w:fldChar w:fldCharType="separate"/>
                    </w:r>
                    <w:r>
                      <w:t>47</w:t>
                    </w:r>
                    <w:r>
                      <w:fldChar w:fldCharType="end"/>
                    </w:r>
                  </w:p>
                </w:txbxContent>
              </v:textbox>
            </v:rect>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3"/>
              <wp:cNvGraphicFramePr/>
              <a:graphic xmlns:a="http://schemas.openxmlformats.org/drawingml/2006/main">
                <a:graphicData uri="http://schemas.microsoft.com/office/word/2010/wordprocessingShape">
                  <wps:wsp>
                    <wps:cNvSpPr>
                      <a:spLocks noChangeArrowheads="1"/>
                    </wps:cNvSpPr>
                    <wps:spPr bwMode="auto">
                      <a:xfrm>
                        <a:off x="0" y="0"/>
                        <a:ext cx="114935" cy="147955"/>
                      </a:xfrm>
                      <a:prstGeom prst="rect">
                        <a:avLst/>
                      </a:prstGeom>
                      <a:noFill/>
                      <a:ln>
                        <a:noFill/>
                      </a:ln>
                    </wps:spPr>
                    <wps:txbx>
                      <w:txbxContent>
                        <w:p>
                          <w:pPr>
                            <w:pStyle w:val="28"/>
                          </w:pPr>
                        </w:p>
                      </w:txbxContent>
                    </wps:txbx>
                    <wps:bodyPr rot="0" vert="horz" wrap="none" lIns="0" tIns="0" rIns="0" bIns="0" anchor="t" anchorCtr="0" upright="1">
                      <a:spAutoFit/>
                    </wps:bodyPr>
                  </wps:wsp>
                </a:graphicData>
              </a:graphic>
            </wp:anchor>
          </w:drawing>
        </mc:Choice>
        <mc:Fallback>
          <w:pict>
            <v:rect id="文本框 3" o:spid="_x0000_s1026" o:spt="1" style="position:absolute;left:0pt;margin-top:0pt;height:11.65pt;width:9.05pt;mso-position-horizontal:center;mso-position-horizontal-relative:margin;mso-wrap-style:none;z-index:251661312;mso-width-relative:page;mso-height-relative:page;" filled="f" stroked="f" coordsize="21600,21600" o:gfxdata="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z/E4TRAAAAAwEAAA8AAAAAAAAAAQAgAAAAIgAAAGRycy9kb3du&#10;cmV2LnhtbFBLAQIUABQAAAAIAIdO4kBIDhuBBgIAAPgDAAAOAAAAAAAAAAEAIAAAACABAABkcnMv&#10;ZTJvRG9jLnhtbFBLBQYAAAAABgAGAFkBAACYBQAAAAA=&#10;">
              <v:fill on="f" focussize="0,0"/>
              <v:stroke on="f"/>
              <v:imagedata o:title=""/>
              <o:lock v:ext="edit" aspectratio="f"/>
              <v:textbox inset="0mm,0mm,0mm,0mm" style="mso-fit-shape-to-text:t;">
                <w:txbxContent>
                  <w:p>
                    <w:pPr>
                      <w:pStyle w:val="28"/>
                    </w:pP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737915"/>
    <w:multiLevelType w:val="singleLevel"/>
    <w:tmpl w:val="A2737915"/>
    <w:lvl w:ilvl="0" w:tentative="0">
      <w:start w:val="1"/>
      <w:numFmt w:val="decimal"/>
      <w:lvlText w:val="%1."/>
      <w:lvlJc w:val="left"/>
      <w:pPr>
        <w:ind w:left="425" w:hanging="425"/>
      </w:pPr>
      <w:rPr>
        <w:rFonts w:hint="default"/>
      </w:rPr>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FFEFC674"/>
    <w:multiLevelType w:val="singleLevel"/>
    <w:tmpl w:val="FFEFC674"/>
    <w:lvl w:ilvl="0" w:tentative="0">
      <w:start w:val="1"/>
      <w:numFmt w:val="decimal"/>
      <w:suff w:val="nothing"/>
      <w:lvlText w:val="（%1）"/>
      <w:lvlJc w:val="left"/>
    </w:lvl>
  </w:abstractNum>
  <w:abstractNum w:abstractNumId="3">
    <w:nsid w:val="FFF3225D"/>
    <w:multiLevelType w:val="multilevel"/>
    <w:tmpl w:val="FFF3225D"/>
    <w:lvl w:ilvl="0" w:tentative="0">
      <w:start w:val="1"/>
      <w:numFmt w:val="ideographDigital"/>
      <w:lvlText w:val="%1."/>
      <w:lvlJc w:val="left"/>
      <w:pPr>
        <w:ind w:left="780" w:hanging="600"/>
      </w:pPr>
      <w:rPr>
        <w:rFonts w:hAnsi="Arial Unicode MS"/>
        <w:caps w:val="0"/>
        <w:smallCaps w:val="0"/>
        <w:strike w:val="0"/>
        <w:dstrike w:val="0"/>
        <w:spacing w:val="0"/>
        <w:w w:val="100"/>
        <w:kern w:val="0"/>
        <w:position w:val="0"/>
        <w:highlight w:val="none"/>
      </w:rPr>
    </w:lvl>
    <w:lvl w:ilvl="1" w:tentative="0">
      <w:start w:val="1"/>
      <w:numFmt w:val="ideographDigital"/>
      <w:lvlText w:val="%2."/>
      <w:lvlJc w:val="left"/>
      <w:pPr>
        <w:ind w:left="780" w:hanging="600"/>
      </w:pPr>
      <w:rPr>
        <w:rFonts w:hAnsi="Arial Unicode MS"/>
        <w:caps w:val="0"/>
        <w:smallCaps w:val="0"/>
        <w:strike w:val="0"/>
        <w:dstrike w:val="0"/>
        <w:spacing w:val="0"/>
        <w:w w:val="100"/>
        <w:kern w:val="0"/>
        <w:position w:val="0"/>
        <w:highlight w:val="none"/>
      </w:rPr>
    </w:lvl>
    <w:lvl w:ilvl="2" w:tentative="0">
      <w:start w:val="1"/>
      <w:numFmt w:val="ideographDigital"/>
      <w:lvlText w:val="%3."/>
      <w:lvlJc w:val="left"/>
      <w:pPr>
        <w:ind w:left="780" w:hanging="600"/>
      </w:pPr>
      <w:rPr>
        <w:rFonts w:hAnsi="Arial Unicode MS"/>
        <w:caps w:val="0"/>
        <w:smallCaps w:val="0"/>
        <w:strike w:val="0"/>
        <w:dstrike w:val="0"/>
        <w:spacing w:val="0"/>
        <w:w w:val="100"/>
        <w:kern w:val="0"/>
        <w:position w:val="0"/>
        <w:highlight w:val="none"/>
      </w:rPr>
    </w:lvl>
    <w:lvl w:ilvl="3" w:tentative="0">
      <w:start w:val="1"/>
      <w:numFmt w:val="ideographDigital"/>
      <w:lvlText w:val="%4."/>
      <w:lvlJc w:val="left"/>
      <w:pPr>
        <w:ind w:left="780" w:hanging="600"/>
      </w:pPr>
      <w:rPr>
        <w:rFonts w:hAnsi="Arial Unicode MS"/>
        <w:caps w:val="0"/>
        <w:smallCaps w:val="0"/>
        <w:strike w:val="0"/>
        <w:dstrike w:val="0"/>
        <w:spacing w:val="0"/>
        <w:w w:val="100"/>
        <w:kern w:val="0"/>
        <w:position w:val="0"/>
        <w:highlight w:val="none"/>
      </w:rPr>
    </w:lvl>
    <w:lvl w:ilvl="4" w:tentative="0">
      <w:start w:val="1"/>
      <w:numFmt w:val="ideographDigital"/>
      <w:lvlText w:val="%5."/>
      <w:lvlJc w:val="left"/>
      <w:pPr>
        <w:ind w:left="780" w:hanging="600"/>
      </w:pPr>
      <w:rPr>
        <w:rFonts w:hAnsi="Arial Unicode MS"/>
        <w:caps w:val="0"/>
        <w:smallCaps w:val="0"/>
        <w:strike w:val="0"/>
        <w:dstrike w:val="0"/>
        <w:spacing w:val="0"/>
        <w:w w:val="100"/>
        <w:kern w:val="0"/>
        <w:position w:val="0"/>
        <w:highlight w:val="none"/>
      </w:rPr>
    </w:lvl>
    <w:lvl w:ilvl="5" w:tentative="0">
      <w:start w:val="1"/>
      <w:numFmt w:val="ideographDigital"/>
      <w:lvlText w:val="%6."/>
      <w:lvlJc w:val="left"/>
      <w:pPr>
        <w:ind w:left="780" w:hanging="600"/>
      </w:pPr>
      <w:rPr>
        <w:rFonts w:hAnsi="Arial Unicode MS"/>
        <w:caps w:val="0"/>
        <w:smallCaps w:val="0"/>
        <w:strike w:val="0"/>
        <w:dstrike w:val="0"/>
        <w:spacing w:val="0"/>
        <w:w w:val="100"/>
        <w:kern w:val="0"/>
        <w:position w:val="0"/>
        <w:highlight w:val="none"/>
      </w:rPr>
    </w:lvl>
    <w:lvl w:ilvl="6" w:tentative="0">
      <w:start w:val="1"/>
      <w:numFmt w:val="ideographDigital"/>
      <w:lvlText w:val="%7."/>
      <w:lvlJc w:val="left"/>
      <w:pPr>
        <w:ind w:left="780" w:hanging="600"/>
      </w:pPr>
      <w:rPr>
        <w:rFonts w:hAnsi="Arial Unicode MS"/>
        <w:caps w:val="0"/>
        <w:smallCaps w:val="0"/>
        <w:strike w:val="0"/>
        <w:dstrike w:val="0"/>
        <w:spacing w:val="0"/>
        <w:w w:val="100"/>
        <w:kern w:val="0"/>
        <w:position w:val="0"/>
        <w:highlight w:val="none"/>
      </w:rPr>
    </w:lvl>
    <w:lvl w:ilvl="7" w:tentative="0">
      <w:start w:val="1"/>
      <w:numFmt w:val="ideographDigital"/>
      <w:lvlText w:val="%8."/>
      <w:lvlJc w:val="left"/>
      <w:pPr>
        <w:ind w:left="780" w:hanging="600"/>
      </w:pPr>
      <w:rPr>
        <w:rFonts w:hAnsi="Arial Unicode MS"/>
        <w:caps w:val="0"/>
        <w:smallCaps w:val="0"/>
        <w:strike w:val="0"/>
        <w:dstrike w:val="0"/>
        <w:spacing w:val="0"/>
        <w:w w:val="100"/>
        <w:kern w:val="0"/>
        <w:position w:val="0"/>
        <w:highlight w:val="none"/>
      </w:rPr>
    </w:lvl>
    <w:lvl w:ilvl="8" w:tentative="0">
      <w:start w:val="1"/>
      <w:numFmt w:val="ideographDigital"/>
      <w:lvlText w:val="%9."/>
      <w:lvlJc w:val="left"/>
      <w:pPr>
        <w:ind w:left="780" w:hanging="600"/>
      </w:pPr>
      <w:rPr>
        <w:rFonts w:hAnsi="Arial Unicode MS"/>
        <w:caps w:val="0"/>
        <w:smallCaps w:val="0"/>
        <w:strike w:val="0"/>
        <w:dstrike w:val="0"/>
        <w:spacing w:val="0"/>
        <w:w w:val="100"/>
        <w:kern w:val="0"/>
        <w:position w:val="0"/>
        <w:highlight w:val="none"/>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cs="Times New Roman"/>
      </w:rPr>
    </w:lvl>
    <w:lvl w:ilvl="1" w:tentative="0">
      <w:start w:val="1"/>
      <w:numFmt w:val="lowerLetter"/>
      <w:lvlText w:val="%2)"/>
      <w:lvlJc w:val="left"/>
      <w:pPr>
        <w:tabs>
          <w:tab w:val="left" w:pos="4641"/>
        </w:tabs>
        <w:ind w:left="4641" w:hanging="420"/>
      </w:pPr>
      <w:rPr>
        <w:rFonts w:cs="Times New Roman"/>
      </w:rPr>
    </w:lvl>
    <w:lvl w:ilvl="2" w:tentative="0">
      <w:start w:val="1"/>
      <w:numFmt w:val="lowerRoman"/>
      <w:lvlText w:val="%3."/>
      <w:lvlJc w:val="right"/>
      <w:pPr>
        <w:tabs>
          <w:tab w:val="left" w:pos="5061"/>
        </w:tabs>
        <w:ind w:left="5061" w:hanging="420"/>
      </w:pPr>
      <w:rPr>
        <w:rFonts w:cs="Times New Roman"/>
      </w:rPr>
    </w:lvl>
    <w:lvl w:ilvl="3" w:tentative="0">
      <w:start w:val="1"/>
      <w:numFmt w:val="decimal"/>
      <w:lvlText w:val="%4."/>
      <w:lvlJc w:val="left"/>
      <w:pPr>
        <w:tabs>
          <w:tab w:val="left" w:pos="5481"/>
        </w:tabs>
        <w:ind w:left="5481" w:hanging="420"/>
      </w:pPr>
      <w:rPr>
        <w:rFonts w:cs="Times New Roman"/>
      </w:rPr>
    </w:lvl>
    <w:lvl w:ilvl="4" w:tentative="0">
      <w:start w:val="1"/>
      <w:numFmt w:val="lowerLetter"/>
      <w:lvlText w:val="%5)"/>
      <w:lvlJc w:val="left"/>
      <w:pPr>
        <w:tabs>
          <w:tab w:val="left" w:pos="5901"/>
        </w:tabs>
        <w:ind w:left="5901" w:hanging="420"/>
      </w:pPr>
      <w:rPr>
        <w:rFonts w:cs="Times New Roman"/>
      </w:rPr>
    </w:lvl>
    <w:lvl w:ilvl="5" w:tentative="0">
      <w:start w:val="1"/>
      <w:numFmt w:val="lowerRoman"/>
      <w:lvlText w:val="%6."/>
      <w:lvlJc w:val="right"/>
      <w:pPr>
        <w:tabs>
          <w:tab w:val="left" w:pos="6321"/>
        </w:tabs>
        <w:ind w:left="6321" w:hanging="420"/>
      </w:pPr>
      <w:rPr>
        <w:rFonts w:cs="Times New Roman"/>
      </w:rPr>
    </w:lvl>
    <w:lvl w:ilvl="6" w:tentative="0">
      <w:start w:val="1"/>
      <w:numFmt w:val="decimal"/>
      <w:lvlText w:val="%7."/>
      <w:lvlJc w:val="left"/>
      <w:pPr>
        <w:tabs>
          <w:tab w:val="left" w:pos="6741"/>
        </w:tabs>
        <w:ind w:left="6741" w:hanging="420"/>
      </w:pPr>
      <w:rPr>
        <w:rFonts w:cs="Times New Roman"/>
      </w:rPr>
    </w:lvl>
    <w:lvl w:ilvl="7" w:tentative="0">
      <w:start w:val="1"/>
      <w:numFmt w:val="lowerLetter"/>
      <w:lvlText w:val="%8)"/>
      <w:lvlJc w:val="left"/>
      <w:pPr>
        <w:tabs>
          <w:tab w:val="left" w:pos="7161"/>
        </w:tabs>
        <w:ind w:left="7161" w:hanging="420"/>
      </w:pPr>
      <w:rPr>
        <w:rFonts w:cs="Times New Roman"/>
      </w:rPr>
    </w:lvl>
    <w:lvl w:ilvl="8" w:tentative="0">
      <w:start w:val="1"/>
      <w:numFmt w:val="lowerRoman"/>
      <w:lvlText w:val="%9."/>
      <w:lvlJc w:val="right"/>
      <w:pPr>
        <w:tabs>
          <w:tab w:val="left" w:pos="7581"/>
        </w:tabs>
        <w:ind w:left="7581" w:hanging="420"/>
      </w:pPr>
      <w:rPr>
        <w:rFonts w:cs="Times New Roman"/>
      </w:rPr>
    </w:lvl>
  </w:abstractNum>
  <w:abstractNum w:abstractNumId="5">
    <w:nsid w:val="0000000A"/>
    <w:multiLevelType w:val="multilevel"/>
    <w:tmpl w:val="0000000A"/>
    <w:lvl w:ilvl="0" w:tentative="0">
      <w:start w:val="1"/>
      <w:numFmt w:val="decimal"/>
      <w:pStyle w:val="87"/>
      <w:lvlText w:val="%1."/>
      <w:lvlJc w:val="left"/>
      <w:pPr>
        <w:ind w:left="420" w:hanging="420"/>
      </w:pPr>
      <w:rPr>
        <w:rFonts w:cs="Times New Roman"/>
      </w:rPr>
    </w:lvl>
    <w:lvl w:ilvl="1" w:tentative="0">
      <w:start w:val="1"/>
      <w:numFmt w:val="decimal"/>
      <w:lvlText w:val="（%2）"/>
      <w:lvlJc w:val="left"/>
      <w:pPr>
        <w:tabs>
          <w:tab w:val="left" w:pos="1140"/>
        </w:tabs>
        <w:ind w:left="1140" w:hanging="7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6">
    <w:nsid w:val="0000000D"/>
    <w:multiLevelType w:val="multilevel"/>
    <w:tmpl w:val="0000000D"/>
    <w:lvl w:ilvl="0" w:tentative="0">
      <w:start w:val="1"/>
      <w:numFmt w:val="lowerLetter"/>
      <w:pStyle w:val="144"/>
      <w:lvlText w:val="%1)"/>
      <w:lvlJc w:val="left"/>
      <w:pPr>
        <w:ind w:left="902" w:hanging="420"/>
      </w:pPr>
      <w:rPr>
        <w:rFonts w:cs="Times New Roman"/>
        <w:color w:val="auto"/>
      </w:rPr>
    </w:lvl>
    <w:lvl w:ilvl="1" w:tentative="0">
      <w:start w:val="1"/>
      <w:numFmt w:val="lowerLetter"/>
      <w:lvlText w:val="%2)"/>
      <w:lvlJc w:val="left"/>
      <w:pPr>
        <w:ind w:left="1322" w:hanging="420"/>
      </w:pPr>
      <w:rPr>
        <w:rFonts w:cs="Times New Roman"/>
      </w:rPr>
    </w:lvl>
    <w:lvl w:ilvl="2" w:tentative="0">
      <w:start w:val="1"/>
      <w:numFmt w:val="lowerRoman"/>
      <w:lvlText w:val="%3."/>
      <w:lvlJc w:val="right"/>
      <w:pPr>
        <w:ind w:left="1742" w:hanging="420"/>
      </w:pPr>
      <w:rPr>
        <w:rFonts w:cs="Times New Roman"/>
      </w:rPr>
    </w:lvl>
    <w:lvl w:ilvl="3" w:tentative="0">
      <w:start w:val="1"/>
      <w:numFmt w:val="decimal"/>
      <w:lvlText w:val="%4."/>
      <w:lvlJc w:val="left"/>
      <w:pPr>
        <w:ind w:left="2162" w:hanging="420"/>
      </w:pPr>
      <w:rPr>
        <w:rFonts w:cs="Times New Roman"/>
      </w:rPr>
    </w:lvl>
    <w:lvl w:ilvl="4" w:tentative="0">
      <w:start w:val="1"/>
      <w:numFmt w:val="lowerLetter"/>
      <w:lvlText w:val="%5)"/>
      <w:lvlJc w:val="left"/>
      <w:pPr>
        <w:ind w:left="2582" w:hanging="420"/>
      </w:pPr>
      <w:rPr>
        <w:rFonts w:cs="Times New Roman"/>
      </w:rPr>
    </w:lvl>
    <w:lvl w:ilvl="5" w:tentative="0">
      <w:start w:val="1"/>
      <w:numFmt w:val="lowerRoman"/>
      <w:lvlText w:val="%6."/>
      <w:lvlJc w:val="right"/>
      <w:pPr>
        <w:ind w:left="3002" w:hanging="420"/>
      </w:pPr>
      <w:rPr>
        <w:rFonts w:cs="Times New Roman"/>
      </w:rPr>
    </w:lvl>
    <w:lvl w:ilvl="6" w:tentative="0">
      <w:start w:val="1"/>
      <w:numFmt w:val="decimal"/>
      <w:lvlText w:val="%7."/>
      <w:lvlJc w:val="left"/>
      <w:pPr>
        <w:ind w:left="3422" w:hanging="420"/>
      </w:pPr>
      <w:rPr>
        <w:rFonts w:cs="Times New Roman"/>
      </w:rPr>
    </w:lvl>
    <w:lvl w:ilvl="7" w:tentative="0">
      <w:start w:val="1"/>
      <w:numFmt w:val="lowerLetter"/>
      <w:lvlText w:val="%8)"/>
      <w:lvlJc w:val="left"/>
      <w:pPr>
        <w:ind w:left="3842" w:hanging="420"/>
      </w:pPr>
      <w:rPr>
        <w:rFonts w:cs="Times New Roman"/>
      </w:rPr>
    </w:lvl>
    <w:lvl w:ilvl="8" w:tentative="0">
      <w:start w:val="1"/>
      <w:numFmt w:val="lowerRoman"/>
      <w:lvlText w:val="%9."/>
      <w:lvlJc w:val="right"/>
      <w:pPr>
        <w:ind w:left="4262" w:hanging="420"/>
      </w:pPr>
      <w:rPr>
        <w:rFonts w:cs="Times New Roman"/>
      </w:rPr>
    </w:lvl>
  </w:abstractNum>
  <w:abstractNum w:abstractNumId="7">
    <w:nsid w:val="00000013"/>
    <w:multiLevelType w:val="singleLevel"/>
    <w:tmpl w:val="00000013"/>
    <w:lvl w:ilvl="0" w:tentative="0">
      <w:start w:val="1"/>
      <w:numFmt w:val="decimal"/>
      <w:pStyle w:val="161"/>
      <w:lvlText w:val="%1."/>
      <w:lvlJc w:val="left"/>
      <w:pPr>
        <w:tabs>
          <w:tab w:val="left" w:pos="360"/>
        </w:tabs>
        <w:ind w:left="360" w:hanging="360"/>
      </w:pPr>
      <w:rPr>
        <w:rFonts w:hint="default" w:cs="Times New Roman"/>
      </w:rPr>
    </w:lvl>
  </w:abstractNum>
  <w:abstractNum w:abstractNumId="8">
    <w:nsid w:val="00000026"/>
    <w:multiLevelType w:val="multilevel"/>
    <w:tmpl w:val="00000026"/>
    <w:lvl w:ilvl="0" w:tentative="0">
      <w:start w:val="1"/>
      <w:numFmt w:val="decimal"/>
      <w:pStyle w:val="105"/>
      <w:isLgl/>
      <w:suff w:val="nothing"/>
      <w:lvlText w:val="%1　"/>
      <w:lvlJc w:val="left"/>
      <w:pPr>
        <w:ind w:left="-25"/>
      </w:pPr>
      <w:rPr>
        <w:rFonts w:hint="default" w:ascii="Times New Roman" w:hAnsi="Times New Roman" w:eastAsia="宋体" w:cs="Times New Roman"/>
        <w:b/>
        <w:i w:val="0"/>
        <w:color w:val="auto"/>
        <w:sz w:val="28"/>
        <w:u w:val="none"/>
      </w:rPr>
    </w:lvl>
    <w:lvl w:ilvl="1" w:tentative="0">
      <w:start w:val="1"/>
      <w:numFmt w:val="decimal"/>
      <w:pStyle w:val="104"/>
      <w:isLgl/>
      <w:suff w:val="nothing"/>
      <w:lvlText w:val="%1.%2　"/>
      <w:lvlJc w:val="left"/>
      <w:pPr>
        <w:ind w:left="-25"/>
      </w:pPr>
      <w:rPr>
        <w:rFonts w:hint="default" w:ascii="Times New Roman" w:hAnsi="Times New Roman" w:eastAsia="宋体" w:cs="Times New Roman"/>
        <w:b/>
        <w:i w:val="0"/>
        <w:color w:val="auto"/>
        <w:spacing w:val="0"/>
        <w:w w:val="100"/>
        <w:kern w:val="21"/>
        <w:sz w:val="28"/>
        <w:u w:val="none"/>
      </w:rPr>
    </w:lvl>
    <w:lvl w:ilvl="2" w:tentative="0">
      <w:start w:val="1"/>
      <w:numFmt w:val="decimal"/>
      <w:isLgl/>
      <w:suff w:val="nothing"/>
      <w:lvlText w:val="%1.%2.%3　"/>
      <w:lvlJc w:val="left"/>
      <w:pPr>
        <w:ind w:left="-25"/>
      </w:pPr>
      <w:rPr>
        <w:rFonts w:hint="default" w:ascii="Times New Roman" w:hAnsi="Times New Roman" w:eastAsia="黑体" w:cs="Times New Roman"/>
        <w:b/>
        <w:i w:val="0"/>
        <w:sz w:val="28"/>
      </w:rPr>
    </w:lvl>
    <w:lvl w:ilvl="3" w:tentative="0">
      <w:start w:val="1"/>
      <w:numFmt w:val="decimal"/>
      <w:pStyle w:val="102"/>
      <w:isLgl/>
      <w:suff w:val="nothing"/>
      <w:lvlText w:val="%1.%2.%3.%4　"/>
      <w:lvlJc w:val="left"/>
      <w:pPr>
        <w:ind w:left="-25"/>
      </w:pPr>
      <w:rPr>
        <w:rFonts w:hint="default" w:ascii="Times New Roman" w:hAnsi="Times New Roman" w:eastAsia="宋体" w:cs="Times New Roman"/>
        <w:b/>
        <w:i w:val="0"/>
        <w:color w:val="auto"/>
        <w:sz w:val="28"/>
        <w:u w:val="none"/>
      </w:rPr>
    </w:lvl>
    <w:lvl w:ilvl="4" w:tentative="0">
      <w:start w:val="1"/>
      <w:numFmt w:val="decimal"/>
      <w:pStyle w:val="139"/>
      <w:isLgl/>
      <w:suff w:val="nothing"/>
      <w:lvlText w:val="%1.%2.%3.%4.%5　"/>
      <w:lvlJc w:val="left"/>
      <w:pPr>
        <w:ind w:left="-25"/>
      </w:pPr>
      <w:rPr>
        <w:rFonts w:hint="default" w:ascii="Times New Roman" w:hAnsi="Times New Roman" w:eastAsia="宋体" w:cs="Times New Roman"/>
        <w:b/>
        <w:i w:val="0"/>
        <w:color w:val="auto"/>
        <w:sz w:val="28"/>
        <w:u w:val="none"/>
      </w:rPr>
    </w:lvl>
    <w:lvl w:ilvl="5" w:tentative="0">
      <w:start w:val="1"/>
      <w:numFmt w:val="decimal"/>
      <w:pStyle w:val="138"/>
      <w:isLgl/>
      <w:suff w:val="nothing"/>
      <w:lvlText w:val="%1.%2.%3.%4.%5.%6　"/>
      <w:lvlJc w:val="left"/>
      <w:pPr>
        <w:ind w:left="-25"/>
      </w:pPr>
      <w:rPr>
        <w:rFonts w:hint="default" w:ascii="Times New Roman" w:hAnsi="Times New Roman" w:eastAsia="宋体" w:cs="Times New Roman"/>
        <w:b/>
        <w:i w:val="0"/>
        <w:sz w:val="28"/>
      </w:rPr>
    </w:lvl>
    <w:lvl w:ilvl="6" w:tentative="0">
      <w:start w:val="1"/>
      <w:numFmt w:val="lowerLetter"/>
      <w:pStyle w:val="96"/>
      <w:lvlText w:val="%7) "/>
      <w:lvlJc w:val="left"/>
      <w:pPr>
        <w:tabs>
          <w:tab w:val="left" w:pos="635"/>
        </w:tabs>
        <w:ind w:left="-125" w:firstLine="400"/>
      </w:pPr>
      <w:rPr>
        <w:rFonts w:hint="default" w:ascii="Times New Roman" w:hAnsi="Times New Roman" w:eastAsia="宋体" w:cs="Times New Roman"/>
        <w:b/>
        <w:i w:val="0"/>
        <w:color w:val="auto"/>
        <w:sz w:val="28"/>
        <w:u w:val="none"/>
      </w:rPr>
    </w:lvl>
    <w:lvl w:ilvl="7" w:tentative="0">
      <w:start w:val="1"/>
      <w:numFmt w:val="decimal"/>
      <w:pStyle w:val="130"/>
      <w:lvlText w:val="%8) "/>
      <w:lvlJc w:val="left"/>
      <w:pPr>
        <w:tabs>
          <w:tab w:val="left" w:pos="860"/>
        </w:tabs>
        <w:ind w:left="500"/>
      </w:pPr>
      <w:rPr>
        <w:rFonts w:hint="default" w:ascii="Times New Roman" w:hAnsi="Times New Roman" w:eastAsia="宋体" w:cs="Times New Roman"/>
        <w:b/>
        <w:i w:val="0"/>
        <w:color w:val="auto"/>
        <w:sz w:val="28"/>
        <w:u w:val="none"/>
      </w:rPr>
    </w:lvl>
    <w:lvl w:ilvl="8" w:tentative="0">
      <w:start w:val="1"/>
      <w:numFmt w:val="none"/>
      <w:lvlText w:val="%9"/>
      <w:lvlJc w:val="left"/>
      <w:pPr>
        <w:tabs>
          <w:tab w:val="left" w:pos="860"/>
        </w:tabs>
        <w:ind w:left="500"/>
      </w:pPr>
      <w:rPr>
        <w:rFonts w:hint="eastAsia" w:ascii="宋体" w:eastAsia="宋体" w:cs="Times New Roman"/>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cs="Times New Roman"/>
      </w:rPr>
    </w:lvl>
    <w:lvl w:ilvl="1" w:tentative="0">
      <w:start w:val="1"/>
      <w:numFmt w:val="decimal"/>
      <w:pStyle w:val="134"/>
      <w:lvlText w:val="%2、"/>
      <w:lvlJc w:val="left"/>
      <w:pPr>
        <w:tabs>
          <w:tab w:val="left" w:pos="1188"/>
        </w:tabs>
        <w:ind w:left="1188" w:hanging="360"/>
      </w:pPr>
      <w:rPr>
        <w:rFonts w:hint="eastAsia" w:cs="Times New Roman"/>
      </w:rPr>
    </w:lvl>
    <w:lvl w:ilvl="2" w:tentative="0">
      <w:start w:val="1"/>
      <w:numFmt w:val="decimal"/>
      <w:lvlText w:val="（%3）"/>
      <w:lvlJc w:val="left"/>
      <w:pPr>
        <w:tabs>
          <w:tab w:val="left" w:pos="1968"/>
        </w:tabs>
        <w:ind w:left="1968" w:hanging="720"/>
      </w:pPr>
      <w:rPr>
        <w:rFonts w:hint="eastAsia" w:cs="Times New Roman"/>
        <w:u w:val="none"/>
      </w:rPr>
    </w:lvl>
    <w:lvl w:ilvl="3" w:tentative="0">
      <w:start w:val="1"/>
      <w:numFmt w:val="decimal"/>
      <w:lvlText w:val="%4."/>
      <w:lvlJc w:val="left"/>
      <w:pPr>
        <w:tabs>
          <w:tab w:val="left" w:pos="2088"/>
        </w:tabs>
        <w:ind w:left="2088" w:hanging="420"/>
      </w:pPr>
      <w:rPr>
        <w:rFonts w:cs="Times New Roman"/>
      </w:rPr>
    </w:lvl>
    <w:lvl w:ilvl="4" w:tentative="0">
      <w:start w:val="1"/>
      <w:numFmt w:val="lowerLetter"/>
      <w:lvlText w:val="%5)"/>
      <w:lvlJc w:val="left"/>
      <w:pPr>
        <w:tabs>
          <w:tab w:val="left" w:pos="2508"/>
        </w:tabs>
        <w:ind w:left="2508" w:hanging="420"/>
      </w:pPr>
      <w:rPr>
        <w:rFonts w:cs="Times New Roman"/>
      </w:rPr>
    </w:lvl>
    <w:lvl w:ilvl="5" w:tentative="0">
      <w:start w:val="1"/>
      <w:numFmt w:val="lowerRoman"/>
      <w:lvlText w:val="%6."/>
      <w:lvlJc w:val="right"/>
      <w:pPr>
        <w:tabs>
          <w:tab w:val="left" w:pos="2928"/>
        </w:tabs>
        <w:ind w:left="2928" w:hanging="420"/>
      </w:pPr>
      <w:rPr>
        <w:rFonts w:cs="Times New Roman"/>
      </w:rPr>
    </w:lvl>
    <w:lvl w:ilvl="6" w:tentative="0">
      <w:start w:val="1"/>
      <w:numFmt w:val="decimal"/>
      <w:lvlText w:val="%7."/>
      <w:lvlJc w:val="left"/>
      <w:pPr>
        <w:tabs>
          <w:tab w:val="left" w:pos="3348"/>
        </w:tabs>
        <w:ind w:left="3348" w:hanging="420"/>
      </w:pPr>
      <w:rPr>
        <w:rFonts w:cs="Times New Roman"/>
      </w:rPr>
    </w:lvl>
    <w:lvl w:ilvl="7" w:tentative="0">
      <w:start w:val="1"/>
      <w:numFmt w:val="lowerLetter"/>
      <w:lvlText w:val="%8)"/>
      <w:lvlJc w:val="left"/>
      <w:pPr>
        <w:tabs>
          <w:tab w:val="left" w:pos="3768"/>
        </w:tabs>
        <w:ind w:left="3768" w:hanging="420"/>
      </w:pPr>
      <w:rPr>
        <w:rFonts w:cs="Times New Roman"/>
      </w:rPr>
    </w:lvl>
    <w:lvl w:ilvl="8" w:tentative="0">
      <w:start w:val="1"/>
      <w:numFmt w:val="lowerRoman"/>
      <w:lvlText w:val="%9."/>
      <w:lvlJc w:val="right"/>
      <w:pPr>
        <w:tabs>
          <w:tab w:val="left" w:pos="4188"/>
        </w:tabs>
        <w:ind w:left="4188" w:hanging="420"/>
      </w:pPr>
      <w:rPr>
        <w:rFonts w:cs="Times New Roman"/>
      </w:r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cs="Times New Roman"/>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cs="Times New Roman"/>
      </w:rPr>
    </w:lvl>
    <w:lvl w:ilvl="3" w:tentative="0">
      <w:start w:val="1"/>
      <w:numFmt w:val="decimal"/>
      <w:lvlText w:val="%1.%2.%3.%4"/>
      <w:lvlJc w:val="left"/>
      <w:pPr>
        <w:tabs>
          <w:tab w:val="left" w:pos="900"/>
        </w:tabs>
        <w:ind w:left="900" w:hanging="900"/>
      </w:pPr>
      <w:rPr>
        <w:rFonts w:hint="eastAsia" w:cs="Times New Roman"/>
      </w:rPr>
    </w:lvl>
    <w:lvl w:ilvl="4" w:tentative="0">
      <w:start w:val="1"/>
      <w:numFmt w:val="decimal"/>
      <w:lvlText w:val="%1.%2.%3.%4.%5"/>
      <w:lvlJc w:val="left"/>
      <w:pPr>
        <w:tabs>
          <w:tab w:val="left" w:pos="900"/>
        </w:tabs>
        <w:ind w:left="900" w:hanging="900"/>
      </w:pPr>
      <w:rPr>
        <w:rFonts w:hint="eastAsia" w:cs="Times New Roman"/>
      </w:rPr>
    </w:lvl>
    <w:lvl w:ilvl="5" w:tentative="0">
      <w:start w:val="1"/>
      <w:numFmt w:val="decimal"/>
      <w:lvlText w:val="%1.%2.%3.%4.%5.%6"/>
      <w:lvlJc w:val="left"/>
      <w:pPr>
        <w:tabs>
          <w:tab w:val="left" w:pos="900"/>
        </w:tabs>
        <w:ind w:left="900" w:hanging="900"/>
      </w:pPr>
      <w:rPr>
        <w:rFonts w:hint="eastAsia" w:cs="Times New Roman"/>
      </w:rPr>
    </w:lvl>
    <w:lvl w:ilvl="6" w:tentative="0">
      <w:start w:val="1"/>
      <w:numFmt w:val="decimal"/>
      <w:lvlText w:val="%1.%2.%3.%4.%5.%6.%7"/>
      <w:lvlJc w:val="left"/>
      <w:pPr>
        <w:tabs>
          <w:tab w:val="left" w:pos="900"/>
        </w:tabs>
        <w:ind w:left="900" w:hanging="900"/>
      </w:pPr>
      <w:rPr>
        <w:rFonts w:hint="eastAsia" w:cs="Times New Roman"/>
      </w:rPr>
    </w:lvl>
    <w:lvl w:ilvl="7" w:tentative="0">
      <w:start w:val="1"/>
      <w:numFmt w:val="decimal"/>
      <w:lvlText w:val="%1.%2.%3.%4.%5.%6.%7.%8"/>
      <w:lvlJc w:val="left"/>
      <w:pPr>
        <w:tabs>
          <w:tab w:val="left" w:pos="900"/>
        </w:tabs>
        <w:ind w:left="900" w:hanging="900"/>
      </w:pPr>
      <w:rPr>
        <w:rFonts w:hint="eastAsia" w:cs="Times New Roman"/>
      </w:rPr>
    </w:lvl>
    <w:lvl w:ilvl="8" w:tentative="0">
      <w:start w:val="1"/>
      <w:numFmt w:val="decimal"/>
      <w:lvlText w:val="%1.%2.%3.%4.%5.%6.%7.%8.%9"/>
      <w:lvlJc w:val="left"/>
      <w:pPr>
        <w:tabs>
          <w:tab w:val="left" w:pos="900"/>
        </w:tabs>
        <w:ind w:left="900" w:hanging="900"/>
      </w:pPr>
      <w:rPr>
        <w:rFonts w:hint="eastAsia" w:cs="Times New Roman"/>
      </w:rPr>
    </w:lvl>
  </w:abstractNum>
  <w:abstractNum w:abstractNumId="11">
    <w:nsid w:val="0000002F"/>
    <w:multiLevelType w:val="multilevel"/>
    <w:tmpl w:val="0000002F"/>
    <w:lvl w:ilvl="0" w:tentative="0">
      <w:start w:val="1"/>
      <w:numFmt w:val="decimal"/>
      <w:pStyle w:val="136"/>
      <w:lvlText w:val="%1)"/>
      <w:lvlJc w:val="left"/>
      <w:pPr>
        <w:ind w:left="420" w:hanging="4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2">
    <w:nsid w:val="0E230849"/>
    <w:multiLevelType w:val="multilevel"/>
    <w:tmpl w:val="0E230849"/>
    <w:lvl w:ilvl="0" w:tentative="0">
      <w:start w:val="1"/>
      <w:numFmt w:val="decimal"/>
      <w:pStyle w:val="170"/>
      <w:lvlText w:val="%1"/>
      <w:lvlJc w:val="left"/>
      <w:pPr>
        <w:ind w:left="680" w:hanging="680"/>
      </w:pPr>
      <w:rPr>
        <w:rFonts w:hint="eastAsia" w:ascii="宋体" w:hAnsi="宋体" w:eastAsia="宋体" w:cs="Times New Roman"/>
      </w:rPr>
    </w:lvl>
    <w:lvl w:ilvl="1" w:tentative="0">
      <w:start w:val="1"/>
      <w:numFmt w:val="decimal"/>
      <w:pStyle w:val="98"/>
      <w:lvlText w:val="%1.%2"/>
      <w:lvlJc w:val="left"/>
      <w:pPr>
        <w:ind w:left="851" w:hanging="851"/>
      </w:pPr>
      <w:rPr>
        <w:rFonts w:hint="eastAsia" w:ascii="宋体" w:hAnsi="宋体" w:eastAsia="宋体" w:cs="Times New Roman"/>
        <w:color w:val="auto"/>
      </w:rPr>
    </w:lvl>
    <w:lvl w:ilvl="2" w:tentative="0">
      <w:start w:val="1"/>
      <w:numFmt w:val="decimal"/>
      <w:pStyle w:val="185"/>
      <w:lvlText w:val="%1.%2.%3"/>
      <w:lvlJc w:val="left"/>
      <w:pPr>
        <w:ind w:left="851" w:hanging="851"/>
      </w:pPr>
      <w:rPr>
        <w:rFonts w:hint="eastAsia" w:cs="Times New Roman"/>
      </w:rPr>
    </w:lvl>
    <w:lvl w:ilvl="3" w:tentative="0">
      <w:start w:val="1"/>
      <w:numFmt w:val="decimal"/>
      <w:lvlText w:val="%1.%2.%3.%4"/>
      <w:lvlJc w:val="left"/>
      <w:pPr>
        <w:ind w:left="680" w:hanging="680"/>
      </w:pPr>
      <w:rPr>
        <w:rFonts w:hint="eastAsia" w:cs="Times New Roman"/>
      </w:rPr>
    </w:lvl>
    <w:lvl w:ilvl="4" w:tentative="0">
      <w:start w:val="1"/>
      <w:numFmt w:val="decimal"/>
      <w:lvlText w:val="%1.%2.%3.%4.%5"/>
      <w:lvlJc w:val="left"/>
      <w:pPr>
        <w:ind w:left="680" w:hanging="680"/>
      </w:pPr>
      <w:rPr>
        <w:rFonts w:hint="eastAsia" w:cs="Times New Roman"/>
      </w:rPr>
    </w:lvl>
    <w:lvl w:ilvl="5" w:tentative="0">
      <w:start w:val="1"/>
      <w:numFmt w:val="decimal"/>
      <w:lvlText w:val="%1.%2.%3.%4.%5.%6"/>
      <w:lvlJc w:val="left"/>
      <w:pPr>
        <w:ind w:left="680" w:hanging="680"/>
      </w:pPr>
      <w:rPr>
        <w:rFonts w:hint="eastAsia" w:cs="Times New Roman"/>
      </w:rPr>
    </w:lvl>
    <w:lvl w:ilvl="6" w:tentative="0">
      <w:start w:val="1"/>
      <w:numFmt w:val="decimal"/>
      <w:lvlText w:val="%1.%2.%3.%4.%5.%6.%7"/>
      <w:lvlJc w:val="left"/>
      <w:pPr>
        <w:ind w:left="680" w:hanging="680"/>
      </w:pPr>
      <w:rPr>
        <w:rFonts w:hint="eastAsia" w:cs="Times New Roman"/>
      </w:rPr>
    </w:lvl>
    <w:lvl w:ilvl="7" w:tentative="0">
      <w:start w:val="1"/>
      <w:numFmt w:val="decimal"/>
      <w:lvlText w:val="%1.%2.%3.%4.%5.%6.%7.%8"/>
      <w:lvlJc w:val="left"/>
      <w:pPr>
        <w:ind w:left="680" w:hanging="680"/>
      </w:pPr>
      <w:rPr>
        <w:rFonts w:hint="eastAsia" w:cs="Times New Roman"/>
      </w:rPr>
    </w:lvl>
    <w:lvl w:ilvl="8" w:tentative="0">
      <w:start w:val="1"/>
      <w:numFmt w:val="decimal"/>
      <w:lvlText w:val="%1.%2.%3.%4.%5.%6.%7.%8.%9"/>
      <w:lvlJc w:val="left"/>
      <w:pPr>
        <w:ind w:left="680" w:hanging="680"/>
      </w:pPr>
      <w:rPr>
        <w:rFonts w:hint="eastAsia" w:cs="Times New Roman"/>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cs="Times New Roman"/>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cs="Times New Roman"/>
      </w:rPr>
    </w:lvl>
    <w:lvl w:ilvl="3" w:tentative="0">
      <w:start w:val="1"/>
      <w:numFmt w:val="decimal"/>
      <w:lvlText w:val="%1.%2.%3.%4"/>
      <w:lvlJc w:val="left"/>
      <w:pPr>
        <w:tabs>
          <w:tab w:val="left" w:pos="900"/>
        </w:tabs>
        <w:ind w:left="900" w:hanging="900"/>
      </w:pPr>
      <w:rPr>
        <w:rFonts w:hint="eastAsia" w:cs="Times New Roman"/>
      </w:rPr>
    </w:lvl>
    <w:lvl w:ilvl="4" w:tentative="0">
      <w:start w:val="1"/>
      <w:numFmt w:val="decimal"/>
      <w:lvlText w:val="%1.%2.%3.%4.%5"/>
      <w:lvlJc w:val="left"/>
      <w:pPr>
        <w:tabs>
          <w:tab w:val="left" w:pos="900"/>
        </w:tabs>
        <w:ind w:left="900" w:hanging="900"/>
      </w:pPr>
      <w:rPr>
        <w:rFonts w:hint="eastAsia" w:cs="Times New Roman"/>
      </w:rPr>
    </w:lvl>
    <w:lvl w:ilvl="5" w:tentative="0">
      <w:start w:val="1"/>
      <w:numFmt w:val="decimal"/>
      <w:lvlText w:val="%1.%2.%3.%4.%5.%6"/>
      <w:lvlJc w:val="left"/>
      <w:pPr>
        <w:tabs>
          <w:tab w:val="left" w:pos="900"/>
        </w:tabs>
        <w:ind w:left="900" w:hanging="900"/>
      </w:pPr>
      <w:rPr>
        <w:rFonts w:hint="eastAsia" w:cs="Times New Roman"/>
      </w:rPr>
    </w:lvl>
    <w:lvl w:ilvl="6" w:tentative="0">
      <w:start w:val="1"/>
      <w:numFmt w:val="decimal"/>
      <w:lvlText w:val="%1.%2.%3.%4.%5.%6.%7"/>
      <w:lvlJc w:val="left"/>
      <w:pPr>
        <w:tabs>
          <w:tab w:val="left" w:pos="900"/>
        </w:tabs>
        <w:ind w:left="900" w:hanging="900"/>
      </w:pPr>
      <w:rPr>
        <w:rFonts w:hint="eastAsia" w:cs="Times New Roman"/>
      </w:rPr>
    </w:lvl>
    <w:lvl w:ilvl="7" w:tentative="0">
      <w:start w:val="1"/>
      <w:numFmt w:val="decimal"/>
      <w:lvlText w:val="%1.%2.%3.%4.%5.%6.%7.%8"/>
      <w:lvlJc w:val="left"/>
      <w:pPr>
        <w:tabs>
          <w:tab w:val="left" w:pos="900"/>
        </w:tabs>
        <w:ind w:left="900" w:hanging="900"/>
      </w:pPr>
      <w:rPr>
        <w:rFonts w:hint="eastAsia" w:cs="Times New Roman"/>
      </w:rPr>
    </w:lvl>
    <w:lvl w:ilvl="8" w:tentative="0">
      <w:start w:val="1"/>
      <w:numFmt w:val="decimal"/>
      <w:lvlText w:val="%1.%2.%3.%4.%5.%6.%7.%8.%9"/>
      <w:lvlJc w:val="left"/>
      <w:pPr>
        <w:tabs>
          <w:tab w:val="left" w:pos="900"/>
        </w:tabs>
        <w:ind w:left="900" w:hanging="900"/>
      </w:pPr>
      <w:rPr>
        <w:rFonts w:hint="eastAsia" w:cs="Times New Roman"/>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cs="Times New Roman"/>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cs="Times New Roman"/>
      </w:rPr>
    </w:lvl>
    <w:lvl w:ilvl="3" w:tentative="0">
      <w:start w:val="1"/>
      <w:numFmt w:val="decimal"/>
      <w:lvlText w:val="%1.%2.%3.%4"/>
      <w:lvlJc w:val="left"/>
      <w:pPr>
        <w:tabs>
          <w:tab w:val="left" w:pos="900"/>
        </w:tabs>
        <w:ind w:left="900" w:hanging="900"/>
      </w:pPr>
      <w:rPr>
        <w:rFonts w:hint="eastAsia" w:cs="Times New Roman"/>
      </w:rPr>
    </w:lvl>
    <w:lvl w:ilvl="4" w:tentative="0">
      <w:start w:val="1"/>
      <w:numFmt w:val="decimal"/>
      <w:lvlText w:val="%1.%2.%3.%4.%5"/>
      <w:lvlJc w:val="left"/>
      <w:pPr>
        <w:tabs>
          <w:tab w:val="left" w:pos="900"/>
        </w:tabs>
        <w:ind w:left="900" w:hanging="900"/>
      </w:pPr>
      <w:rPr>
        <w:rFonts w:hint="eastAsia" w:cs="Times New Roman"/>
      </w:rPr>
    </w:lvl>
    <w:lvl w:ilvl="5" w:tentative="0">
      <w:start w:val="1"/>
      <w:numFmt w:val="decimal"/>
      <w:lvlText w:val="%1.%2.%3.%4.%5.%6"/>
      <w:lvlJc w:val="left"/>
      <w:pPr>
        <w:tabs>
          <w:tab w:val="left" w:pos="900"/>
        </w:tabs>
        <w:ind w:left="900" w:hanging="900"/>
      </w:pPr>
      <w:rPr>
        <w:rFonts w:hint="eastAsia" w:cs="Times New Roman"/>
      </w:rPr>
    </w:lvl>
    <w:lvl w:ilvl="6" w:tentative="0">
      <w:start w:val="1"/>
      <w:numFmt w:val="decimal"/>
      <w:lvlText w:val="%1.%2.%3.%4.%5.%6.%7"/>
      <w:lvlJc w:val="left"/>
      <w:pPr>
        <w:tabs>
          <w:tab w:val="left" w:pos="900"/>
        </w:tabs>
        <w:ind w:left="900" w:hanging="900"/>
      </w:pPr>
      <w:rPr>
        <w:rFonts w:hint="eastAsia" w:cs="Times New Roman"/>
      </w:rPr>
    </w:lvl>
    <w:lvl w:ilvl="7" w:tentative="0">
      <w:start w:val="1"/>
      <w:numFmt w:val="decimal"/>
      <w:lvlText w:val="%1.%2.%3.%4.%5.%6.%7.%8"/>
      <w:lvlJc w:val="left"/>
      <w:pPr>
        <w:tabs>
          <w:tab w:val="left" w:pos="900"/>
        </w:tabs>
        <w:ind w:left="900" w:hanging="900"/>
      </w:pPr>
      <w:rPr>
        <w:rFonts w:hint="eastAsia" w:cs="Times New Roman"/>
      </w:rPr>
    </w:lvl>
    <w:lvl w:ilvl="8" w:tentative="0">
      <w:start w:val="1"/>
      <w:numFmt w:val="decimal"/>
      <w:lvlText w:val="%1.%2.%3.%4.%5.%6.%7.%8.%9"/>
      <w:lvlJc w:val="left"/>
      <w:pPr>
        <w:tabs>
          <w:tab w:val="left" w:pos="900"/>
        </w:tabs>
        <w:ind w:left="900" w:hanging="900"/>
      </w:pPr>
      <w:rPr>
        <w:rFonts w:hint="eastAsia" w:cs="Times New Roman"/>
      </w:rPr>
    </w:lvl>
  </w:abstractNum>
  <w:abstractNum w:abstractNumId="15">
    <w:nsid w:val="19F12293"/>
    <w:multiLevelType w:val="singleLevel"/>
    <w:tmpl w:val="19F12293"/>
    <w:lvl w:ilvl="0" w:tentative="0">
      <w:start w:val="7"/>
      <w:numFmt w:val="chineseCounting"/>
      <w:suff w:val="nothing"/>
      <w:lvlText w:val="%1、"/>
      <w:lvlJc w:val="left"/>
      <w:rPr>
        <w:rFonts w:hint="eastAsia"/>
      </w:rPr>
    </w:lvl>
  </w:abstractNum>
  <w:abstractNum w:abstractNumId="16">
    <w:nsid w:val="302065E1"/>
    <w:multiLevelType w:val="multilevel"/>
    <w:tmpl w:val="302065E1"/>
    <w:lvl w:ilvl="0" w:tentative="0">
      <w:start w:val="1"/>
      <w:numFmt w:val="japaneseCounting"/>
      <w:lvlText w:val="（%1）"/>
      <w:lvlJc w:val="left"/>
      <w:pPr>
        <w:ind w:left="5682" w:hanging="720"/>
      </w:pPr>
      <w:rPr>
        <w:rFonts w:hint="default" w:cs="Times New Roman"/>
      </w:rPr>
    </w:lvl>
    <w:lvl w:ilvl="1" w:tentative="0">
      <w:start w:val="1"/>
      <w:numFmt w:val="lowerLetter"/>
      <w:lvlText w:val="%2)"/>
      <w:lvlJc w:val="left"/>
      <w:pPr>
        <w:ind w:left="1680" w:hanging="420"/>
      </w:pPr>
      <w:rPr>
        <w:rFonts w:cs="Times New Roman"/>
      </w:rPr>
    </w:lvl>
    <w:lvl w:ilvl="2" w:tentative="0">
      <w:start w:val="1"/>
      <w:numFmt w:val="lowerRoman"/>
      <w:lvlText w:val="%3."/>
      <w:lvlJc w:val="right"/>
      <w:pPr>
        <w:ind w:left="2100" w:hanging="420"/>
      </w:pPr>
      <w:rPr>
        <w:rFonts w:cs="Times New Roman"/>
      </w:rPr>
    </w:lvl>
    <w:lvl w:ilvl="3" w:tentative="0">
      <w:start w:val="1"/>
      <w:numFmt w:val="decimal"/>
      <w:lvlText w:val="%4."/>
      <w:lvlJc w:val="left"/>
      <w:pPr>
        <w:ind w:left="2520" w:hanging="420"/>
      </w:pPr>
      <w:rPr>
        <w:rFonts w:cs="Times New Roman"/>
      </w:rPr>
    </w:lvl>
    <w:lvl w:ilvl="4" w:tentative="0">
      <w:start w:val="1"/>
      <w:numFmt w:val="lowerLetter"/>
      <w:lvlText w:val="%5)"/>
      <w:lvlJc w:val="left"/>
      <w:pPr>
        <w:ind w:left="2940" w:hanging="420"/>
      </w:pPr>
      <w:rPr>
        <w:rFonts w:cs="Times New Roman"/>
      </w:rPr>
    </w:lvl>
    <w:lvl w:ilvl="5" w:tentative="0">
      <w:start w:val="1"/>
      <w:numFmt w:val="lowerRoman"/>
      <w:lvlText w:val="%6."/>
      <w:lvlJc w:val="right"/>
      <w:pPr>
        <w:ind w:left="3360" w:hanging="420"/>
      </w:pPr>
      <w:rPr>
        <w:rFonts w:cs="Times New Roman"/>
      </w:rPr>
    </w:lvl>
    <w:lvl w:ilvl="6" w:tentative="0">
      <w:start w:val="1"/>
      <w:numFmt w:val="decimal"/>
      <w:lvlText w:val="%7."/>
      <w:lvlJc w:val="left"/>
      <w:pPr>
        <w:ind w:left="3780" w:hanging="420"/>
      </w:pPr>
      <w:rPr>
        <w:rFonts w:cs="Times New Roman"/>
      </w:rPr>
    </w:lvl>
    <w:lvl w:ilvl="7" w:tentative="0">
      <w:start w:val="1"/>
      <w:numFmt w:val="lowerLetter"/>
      <w:lvlText w:val="%8)"/>
      <w:lvlJc w:val="left"/>
      <w:pPr>
        <w:ind w:left="4200" w:hanging="420"/>
      </w:pPr>
      <w:rPr>
        <w:rFonts w:cs="Times New Roman"/>
      </w:rPr>
    </w:lvl>
    <w:lvl w:ilvl="8" w:tentative="0">
      <w:start w:val="1"/>
      <w:numFmt w:val="lowerRoman"/>
      <w:lvlText w:val="%9."/>
      <w:lvlJc w:val="right"/>
      <w:pPr>
        <w:ind w:left="4620" w:hanging="420"/>
      </w:pPr>
      <w:rPr>
        <w:rFonts w:cs="Times New Roman"/>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cs="Times New Roman"/>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cs="Times New Roman"/>
      </w:rPr>
    </w:lvl>
    <w:lvl w:ilvl="3" w:tentative="0">
      <w:start w:val="1"/>
      <w:numFmt w:val="decimal"/>
      <w:lvlText w:val="%1.%2.%3.%4"/>
      <w:lvlJc w:val="left"/>
      <w:pPr>
        <w:tabs>
          <w:tab w:val="left" w:pos="900"/>
        </w:tabs>
        <w:ind w:left="900" w:hanging="900"/>
      </w:pPr>
      <w:rPr>
        <w:rFonts w:hint="eastAsia" w:cs="Times New Roman"/>
      </w:rPr>
    </w:lvl>
    <w:lvl w:ilvl="4" w:tentative="0">
      <w:start w:val="1"/>
      <w:numFmt w:val="decimal"/>
      <w:lvlText w:val="%1.%2.%3.%4.%5"/>
      <w:lvlJc w:val="left"/>
      <w:pPr>
        <w:tabs>
          <w:tab w:val="left" w:pos="900"/>
        </w:tabs>
        <w:ind w:left="900" w:hanging="900"/>
      </w:pPr>
      <w:rPr>
        <w:rFonts w:hint="eastAsia" w:cs="Times New Roman"/>
      </w:rPr>
    </w:lvl>
    <w:lvl w:ilvl="5" w:tentative="0">
      <w:start w:val="1"/>
      <w:numFmt w:val="decimal"/>
      <w:lvlText w:val="%1.%2.%3.%4.%5.%6"/>
      <w:lvlJc w:val="left"/>
      <w:pPr>
        <w:tabs>
          <w:tab w:val="left" w:pos="900"/>
        </w:tabs>
        <w:ind w:left="900" w:hanging="900"/>
      </w:pPr>
      <w:rPr>
        <w:rFonts w:hint="eastAsia" w:cs="Times New Roman"/>
      </w:rPr>
    </w:lvl>
    <w:lvl w:ilvl="6" w:tentative="0">
      <w:start w:val="1"/>
      <w:numFmt w:val="decimal"/>
      <w:lvlText w:val="%1.%2.%3.%4.%5.%6.%7"/>
      <w:lvlJc w:val="left"/>
      <w:pPr>
        <w:tabs>
          <w:tab w:val="left" w:pos="900"/>
        </w:tabs>
        <w:ind w:left="900" w:hanging="900"/>
      </w:pPr>
      <w:rPr>
        <w:rFonts w:hint="eastAsia" w:cs="Times New Roman"/>
      </w:rPr>
    </w:lvl>
    <w:lvl w:ilvl="7" w:tentative="0">
      <w:start w:val="1"/>
      <w:numFmt w:val="decimal"/>
      <w:lvlText w:val="%1.%2.%3.%4.%5.%6.%7.%8"/>
      <w:lvlJc w:val="left"/>
      <w:pPr>
        <w:tabs>
          <w:tab w:val="left" w:pos="900"/>
        </w:tabs>
        <w:ind w:left="900" w:hanging="900"/>
      </w:pPr>
      <w:rPr>
        <w:rFonts w:hint="eastAsia" w:cs="Times New Roman"/>
      </w:rPr>
    </w:lvl>
    <w:lvl w:ilvl="8" w:tentative="0">
      <w:start w:val="1"/>
      <w:numFmt w:val="decimal"/>
      <w:lvlText w:val="%1.%2.%3.%4.%5.%6.%7.%8.%9"/>
      <w:lvlJc w:val="left"/>
      <w:pPr>
        <w:tabs>
          <w:tab w:val="left" w:pos="900"/>
        </w:tabs>
        <w:ind w:left="900" w:hanging="900"/>
      </w:pPr>
      <w:rPr>
        <w:rFonts w:hint="eastAsia" w:cs="Times New Roman"/>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9">
    <w:nsid w:val="6B3F6263"/>
    <w:multiLevelType w:val="singleLevel"/>
    <w:tmpl w:val="6B3F6263"/>
    <w:lvl w:ilvl="0" w:tentative="0">
      <w:start w:val="2"/>
      <w:numFmt w:val="decimal"/>
      <w:lvlText w:val="%1."/>
      <w:lvlJc w:val="left"/>
      <w:pPr>
        <w:tabs>
          <w:tab w:val="left" w:pos="312"/>
        </w:tabs>
      </w:pPr>
    </w:lvl>
  </w:abstractNum>
  <w:abstractNum w:abstractNumId="20">
    <w:nsid w:val="6DF7D831"/>
    <w:multiLevelType w:val="singleLevel"/>
    <w:tmpl w:val="6DF7D831"/>
    <w:lvl w:ilvl="0" w:tentative="0">
      <w:start w:val="1"/>
      <w:numFmt w:val="decimal"/>
      <w:suff w:val="nothing"/>
      <w:lvlText w:val="%1、"/>
      <w:lvlJc w:val="left"/>
    </w:lvl>
  </w:abstractNum>
  <w:abstractNum w:abstractNumId="21">
    <w:nsid w:val="7A0F6431"/>
    <w:multiLevelType w:val="singleLevel"/>
    <w:tmpl w:val="7A0F6431"/>
    <w:lvl w:ilvl="0" w:tentative="0">
      <w:start w:val="1"/>
      <w:numFmt w:val="decimal"/>
      <w:suff w:val="space"/>
      <w:lvlText w:val="%1."/>
      <w:lvlJc w:val="left"/>
    </w:lvl>
  </w:abstractNum>
  <w:num w:numId="1">
    <w:abstractNumId w:val="5"/>
  </w:num>
  <w:num w:numId="2">
    <w:abstractNumId w:val="8"/>
  </w:num>
  <w:num w:numId="3">
    <w:abstractNumId w:val="12"/>
  </w:num>
  <w:num w:numId="4">
    <w:abstractNumId w:val="9"/>
  </w:num>
  <w:num w:numId="5">
    <w:abstractNumId w:val="11"/>
  </w:num>
  <w:num w:numId="6">
    <w:abstractNumId w:val="6"/>
  </w:num>
  <w:num w:numId="7">
    <w:abstractNumId w:val="7"/>
  </w:num>
  <w:num w:numId="8">
    <w:abstractNumId w:val="19"/>
  </w:num>
  <w:num w:numId="9">
    <w:abstractNumId w:val="0"/>
  </w:num>
  <w:num w:numId="10">
    <w:abstractNumId w:val="10"/>
  </w:num>
  <w:num w:numId="11">
    <w:abstractNumId w:val="14"/>
  </w:num>
  <w:num w:numId="12">
    <w:abstractNumId w:val="4"/>
  </w:num>
  <w:num w:numId="13">
    <w:abstractNumId w:val="17"/>
  </w:num>
  <w:num w:numId="14">
    <w:abstractNumId w:val="13"/>
  </w:num>
  <w:num w:numId="15">
    <w:abstractNumId w:val="15"/>
  </w:num>
  <w:num w:numId="16">
    <w:abstractNumId w:val="20"/>
  </w:num>
  <w:num w:numId="17">
    <w:abstractNumId w:val="21"/>
  </w:num>
  <w:num w:numId="18">
    <w:abstractNumId w:val="1"/>
  </w:num>
  <w:num w:numId="19">
    <w:abstractNumId w:val="2"/>
  </w:num>
  <w:num w:numId="20">
    <w:abstractNumId w:val="16"/>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À???123.doc"/>
    <w:docVar w:name="commondata" w:val="eyJoZGlkIjoiNGYzMzMzZjVkZmI1YjExMGY1NzM3MGUzMTFjYzY0ND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53D"/>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957"/>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02"/>
    <w:rsid w:val="000064B2"/>
    <w:rsid w:val="00006923"/>
    <w:rsid w:val="00006BD5"/>
    <w:rsid w:val="00006CD1"/>
    <w:rsid w:val="00006CD3"/>
    <w:rsid w:val="000073B1"/>
    <w:rsid w:val="000073E8"/>
    <w:rsid w:val="00007598"/>
    <w:rsid w:val="0000781A"/>
    <w:rsid w:val="00007A5A"/>
    <w:rsid w:val="00007DA4"/>
    <w:rsid w:val="00010010"/>
    <w:rsid w:val="0001004A"/>
    <w:rsid w:val="000100A2"/>
    <w:rsid w:val="000100B6"/>
    <w:rsid w:val="000102DF"/>
    <w:rsid w:val="000104BA"/>
    <w:rsid w:val="000106FC"/>
    <w:rsid w:val="00010763"/>
    <w:rsid w:val="000109FC"/>
    <w:rsid w:val="00010E8F"/>
    <w:rsid w:val="0001121F"/>
    <w:rsid w:val="0001127B"/>
    <w:rsid w:val="000112A5"/>
    <w:rsid w:val="0001156C"/>
    <w:rsid w:val="00011793"/>
    <w:rsid w:val="000118AD"/>
    <w:rsid w:val="00011AFF"/>
    <w:rsid w:val="00011BD5"/>
    <w:rsid w:val="00011DA9"/>
    <w:rsid w:val="0001235C"/>
    <w:rsid w:val="00012486"/>
    <w:rsid w:val="000124BE"/>
    <w:rsid w:val="000125B2"/>
    <w:rsid w:val="000125FF"/>
    <w:rsid w:val="00012955"/>
    <w:rsid w:val="00012A66"/>
    <w:rsid w:val="00012BE6"/>
    <w:rsid w:val="00012C45"/>
    <w:rsid w:val="00012EBE"/>
    <w:rsid w:val="000131D3"/>
    <w:rsid w:val="000136DC"/>
    <w:rsid w:val="00013965"/>
    <w:rsid w:val="00013DAB"/>
    <w:rsid w:val="00013FB5"/>
    <w:rsid w:val="00014156"/>
    <w:rsid w:val="0001416B"/>
    <w:rsid w:val="000141D5"/>
    <w:rsid w:val="00014444"/>
    <w:rsid w:val="00014625"/>
    <w:rsid w:val="00014851"/>
    <w:rsid w:val="000149E0"/>
    <w:rsid w:val="00014D98"/>
    <w:rsid w:val="00015030"/>
    <w:rsid w:val="00015094"/>
    <w:rsid w:val="000151D7"/>
    <w:rsid w:val="00015316"/>
    <w:rsid w:val="000154B9"/>
    <w:rsid w:val="00015645"/>
    <w:rsid w:val="000157C2"/>
    <w:rsid w:val="00015D38"/>
    <w:rsid w:val="00015F65"/>
    <w:rsid w:val="0001606B"/>
    <w:rsid w:val="000160FB"/>
    <w:rsid w:val="000163AA"/>
    <w:rsid w:val="00016644"/>
    <w:rsid w:val="000168D9"/>
    <w:rsid w:val="000169A7"/>
    <w:rsid w:val="00016E72"/>
    <w:rsid w:val="0001734E"/>
    <w:rsid w:val="000173B8"/>
    <w:rsid w:val="0001745D"/>
    <w:rsid w:val="000174EB"/>
    <w:rsid w:val="00017521"/>
    <w:rsid w:val="00017674"/>
    <w:rsid w:val="000178F8"/>
    <w:rsid w:val="00017A16"/>
    <w:rsid w:val="00017A27"/>
    <w:rsid w:val="00017A3B"/>
    <w:rsid w:val="00017A46"/>
    <w:rsid w:val="00017B36"/>
    <w:rsid w:val="00017C5E"/>
    <w:rsid w:val="00020232"/>
    <w:rsid w:val="000203B5"/>
    <w:rsid w:val="00020505"/>
    <w:rsid w:val="0002064D"/>
    <w:rsid w:val="00020696"/>
    <w:rsid w:val="00020880"/>
    <w:rsid w:val="00020900"/>
    <w:rsid w:val="00020C28"/>
    <w:rsid w:val="00020E48"/>
    <w:rsid w:val="000210FD"/>
    <w:rsid w:val="0002113E"/>
    <w:rsid w:val="000215D4"/>
    <w:rsid w:val="000217FC"/>
    <w:rsid w:val="00021AD2"/>
    <w:rsid w:val="00021AEB"/>
    <w:rsid w:val="00021C9E"/>
    <w:rsid w:val="00021F66"/>
    <w:rsid w:val="0002210E"/>
    <w:rsid w:val="0002216A"/>
    <w:rsid w:val="0002217C"/>
    <w:rsid w:val="000222D0"/>
    <w:rsid w:val="00022354"/>
    <w:rsid w:val="000223C3"/>
    <w:rsid w:val="00022526"/>
    <w:rsid w:val="00022562"/>
    <w:rsid w:val="000226E7"/>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92"/>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99"/>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65"/>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57"/>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377"/>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EA"/>
    <w:rsid w:val="000514DF"/>
    <w:rsid w:val="0005161F"/>
    <w:rsid w:val="00051756"/>
    <w:rsid w:val="000517DD"/>
    <w:rsid w:val="0005182E"/>
    <w:rsid w:val="0005191F"/>
    <w:rsid w:val="0005192B"/>
    <w:rsid w:val="00051C52"/>
    <w:rsid w:val="00051EFD"/>
    <w:rsid w:val="00052978"/>
    <w:rsid w:val="00052D2A"/>
    <w:rsid w:val="00052FD2"/>
    <w:rsid w:val="00053251"/>
    <w:rsid w:val="00053345"/>
    <w:rsid w:val="000535E6"/>
    <w:rsid w:val="00053890"/>
    <w:rsid w:val="00053AC5"/>
    <w:rsid w:val="00053B80"/>
    <w:rsid w:val="0005434F"/>
    <w:rsid w:val="00054540"/>
    <w:rsid w:val="00054601"/>
    <w:rsid w:val="000547CF"/>
    <w:rsid w:val="000548B1"/>
    <w:rsid w:val="00054A1D"/>
    <w:rsid w:val="00054B62"/>
    <w:rsid w:val="00054CED"/>
    <w:rsid w:val="00054E53"/>
    <w:rsid w:val="00054E6E"/>
    <w:rsid w:val="00055046"/>
    <w:rsid w:val="00055165"/>
    <w:rsid w:val="00055298"/>
    <w:rsid w:val="000553C0"/>
    <w:rsid w:val="0005555B"/>
    <w:rsid w:val="00055594"/>
    <w:rsid w:val="000555BE"/>
    <w:rsid w:val="00055637"/>
    <w:rsid w:val="0005569F"/>
    <w:rsid w:val="00055B98"/>
    <w:rsid w:val="00055DD7"/>
    <w:rsid w:val="00055F19"/>
    <w:rsid w:val="00056003"/>
    <w:rsid w:val="000560E2"/>
    <w:rsid w:val="0005626D"/>
    <w:rsid w:val="000562AB"/>
    <w:rsid w:val="00056406"/>
    <w:rsid w:val="00056476"/>
    <w:rsid w:val="00056502"/>
    <w:rsid w:val="0005682F"/>
    <w:rsid w:val="000568DE"/>
    <w:rsid w:val="00056A0E"/>
    <w:rsid w:val="00056A8A"/>
    <w:rsid w:val="00056B27"/>
    <w:rsid w:val="00056E70"/>
    <w:rsid w:val="0005707E"/>
    <w:rsid w:val="000570D7"/>
    <w:rsid w:val="0005717B"/>
    <w:rsid w:val="000571B5"/>
    <w:rsid w:val="00057274"/>
    <w:rsid w:val="0005763B"/>
    <w:rsid w:val="00057BA7"/>
    <w:rsid w:val="000600AF"/>
    <w:rsid w:val="000600DF"/>
    <w:rsid w:val="00060141"/>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C6F"/>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B2"/>
    <w:rsid w:val="00065020"/>
    <w:rsid w:val="00065240"/>
    <w:rsid w:val="00065259"/>
    <w:rsid w:val="0006579F"/>
    <w:rsid w:val="000659A7"/>
    <w:rsid w:val="00065B6B"/>
    <w:rsid w:val="00065C44"/>
    <w:rsid w:val="00065C5F"/>
    <w:rsid w:val="00065FDC"/>
    <w:rsid w:val="00066242"/>
    <w:rsid w:val="000663C1"/>
    <w:rsid w:val="000665A0"/>
    <w:rsid w:val="000666C4"/>
    <w:rsid w:val="000668C9"/>
    <w:rsid w:val="000668D7"/>
    <w:rsid w:val="00066C16"/>
    <w:rsid w:val="00066E01"/>
    <w:rsid w:val="00067282"/>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D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347"/>
    <w:rsid w:val="0007464A"/>
    <w:rsid w:val="00074780"/>
    <w:rsid w:val="00074786"/>
    <w:rsid w:val="00074C28"/>
    <w:rsid w:val="000752FF"/>
    <w:rsid w:val="00075506"/>
    <w:rsid w:val="000756AC"/>
    <w:rsid w:val="00075879"/>
    <w:rsid w:val="00075941"/>
    <w:rsid w:val="00075AFF"/>
    <w:rsid w:val="00075BC6"/>
    <w:rsid w:val="00075C77"/>
    <w:rsid w:val="00076259"/>
    <w:rsid w:val="000763D9"/>
    <w:rsid w:val="0007662D"/>
    <w:rsid w:val="000766CF"/>
    <w:rsid w:val="00076D3D"/>
    <w:rsid w:val="00076E27"/>
    <w:rsid w:val="00076E3C"/>
    <w:rsid w:val="00076E8A"/>
    <w:rsid w:val="00076EFF"/>
    <w:rsid w:val="00076FDA"/>
    <w:rsid w:val="00077006"/>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2"/>
    <w:rsid w:val="00081713"/>
    <w:rsid w:val="000817A1"/>
    <w:rsid w:val="00081948"/>
    <w:rsid w:val="00081952"/>
    <w:rsid w:val="00081CE7"/>
    <w:rsid w:val="00081E00"/>
    <w:rsid w:val="000821F0"/>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17"/>
    <w:rsid w:val="000846E9"/>
    <w:rsid w:val="000848C3"/>
    <w:rsid w:val="000849D7"/>
    <w:rsid w:val="00084A05"/>
    <w:rsid w:val="00084B23"/>
    <w:rsid w:val="00084FE2"/>
    <w:rsid w:val="00085002"/>
    <w:rsid w:val="000851B1"/>
    <w:rsid w:val="00085227"/>
    <w:rsid w:val="000852B5"/>
    <w:rsid w:val="0008538C"/>
    <w:rsid w:val="0008598D"/>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832"/>
    <w:rsid w:val="00087C66"/>
    <w:rsid w:val="00087D11"/>
    <w:rsid w:val="00087DE9"/>
    <w:rsid w:val="000902F4"/>
    <w:rsid w:val="000904B2"/>
    <w:rsid w:val="00090738"/>
    <w:rsid w:val="00090850"/>
    <w:rsid w:val="00090950"/>
    <w:rsid w:val="00090958"/>
    <w:rsid w:val="00090AAA"/>
    <w:rsid w:val="00090C22"/>
    <w:rsid w:val="00090CC8"/>
    <w:rsid w:val="00090F15"/>
    <w:rsid w:val="0009113A"/>
    <w:rsid w:val="000911FC"/>
    <w:rsid w:val="000912C6"/>
    <w:rsid w:val="0009146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4C4"/>
    <w:rsid w:val="000935DA"/>
    <w:rsid w:val="00093680"/>
    <w:rsid w:val="00093D49"/>
    <w:rsid w:val="00093DF7"/>
    <w:rsid w:val="00093EE8"/>
    <w:rsid w:val="00093F6E"/>
    <w:rsid w:val="00093FA3"/>
    <w:rsid w:val="00094087"/>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97F75"/>
    <w:rsid w:val="000A0203"/>
    <w:rsid w:val="000A022B"/>
    <w:rsid w:val="000A06C6"/>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7B5"/>
    <w:rsid w:val="000A1897"/>
    <w:rsid w:val="000A1902"/>
    <w:rsid w:val="000A1A1F"/>
    <w:rsid w:val="000A1A94"/>
    <w:rsid w:val="000A1C46"/>
    <w:rsid w:val="000A1F58"/>
    <w:rsid w:val="000A2051"/>
    <w:rsid w:val="000A2428"/>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E0C"/>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C4"/>
    <w:rsid w:val="000A79A7"/>
    <w:rsid w:val="000A7ACC"/>
    <w:rsid w:val="000A7D69"/>
    <w:rsid w:val="000A7D7F"/>
    <w:rsid w:val="000B0123"/>
    <w:rsid w:val="000B0141"/>
    <w:rsid w:val="000B0368"/>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AB6"/>
    <w:rsid w:val="000B2E06"/>
    <w:rsid w:val="000B2E78"/>
    <w:rsid w:val="000B2F43"/>
    <w:rsid w:val="000B3138"/>
    <w:rsid w:val="000B330A"/>
    <w:rsid w:val="000B394D"/>
    <w:rsid w:val="000B3B3B"/>
    <w:rsid w:val="000B3FFC"/>
    <w:rsid w:val="000B3FFE"/>
    <w:rsid w:val="000B43F5"/>
    <w:rsid w:val="000B43FB"/>
    <w:rsid w:val="000B4569"/>
    <w:rsid w:val="000B45D7"/>
    <w:rsid w:val="000B4721"/>
    <w:rsid w:val="000B4949"/>
    <w:rsid w:val="000B4993"/>
    <w:rsid w:val="000B4A43"/>
    <w:rsid w:val="000B4EA9"/>
    <w:rsid w:val="000B4FDF"/>
    <w:rsid w:val="000B5054"/>
    <w:rsid w:val="000B51F4"/>
    <w:rsid w:val="000B5244"/>
    <w:rsid w:val="000B5252"/>
    <w:rsid w:val="000B527F"/>
    <w:rsid w:val="000B52C2"/>
    <w:rsid w:val="000B5452"/>
    <w:rsid w:val="000B5458"/>
    <w:rsid w:val="000B55C3"/>
    <w:rsid w:val="000B5660"/>
    <w:rsid w:val="000B5883"/>
    <w:rsid w:val="000B5A3A"/>
    <w:rsid w:val="000B5C9C"/>
    <w:rsid w:val="000B5FAE"/>
    <w:rsid w:val="000B6000"/>
    <w:rsid w:val="000B61D8"/>
    <w:rsid w:val="000B622F"/>
    <w:rsid w:val="000B62EF"/>
    <w:rsid w:val="000B6409"/>
    <w:rsid w:val="000B6929"/>
    <w:rsid w:val="000B6B39"/>
    <w:rsid w:val="000B6B3E"/>
    <w:rsid w:val="000B6BB5"/>
    <w:rsid w:val="000B6D8E"/>
    <w:rsid w:val="000B6E79"/>
    <w:rsid w:val="000B6E9F"/>
    <w:rsid w:val="000B6FF1"/>
    <w:rsid w:val="000B7029"/>
    <w:rsid w:val="000B702E"/>
    <w:rsid w:val="000B718C"/>
    <w:rsid w:val="000B7226"/>
    <w:rsid w:val="000B73F8"/>
    <w:rsid w:val="000B7513"/>
    <w:rsid w:val="000B7642"/>
    <w:rsid w:val="000B772B"/>
    <w:rsid w:val="000B77C6"/>
    <w:rsid w:val="000B77EA"/>
    <w:rsid w:val="000B785C"/>
    <w:rsid w:val="000C003D"/>
    <w:rsid w:val="000C074E"/>
    <w:rsid w:val="000C1275"/>
    <w:rsid w:val="000C137D"/>
    <w:rsid w:val="000C15B8"/>
    <w:rsid w:val="000C1698"/>
    <w:rsid w:val="000C1890"/>
    <w:rsid w:val="000C196B"/>
    <w:rsid w:val="000C1B83"/>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ADB"/>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D7B"/>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83C"/>
    <w:rsid w:val="000D6A3C"/>
    <w:rsid w:val="000D6AEB"/>
    <w:rsid w:val="000D6C0B"/>
    <w:rsid w:val="000D6C2E"/>
    <w:rsid w:val="000D7460"/>
    <w:rsid w:val="000D7971"/>
    <w:rsid w:val="000D79DB"/>
    <w:rsid w:val="000D7D7F"/>
    <w:rsid w:val="000D7D9A"/>
    <w:rsid w:val="000D7E52"/>
    <w:rsid w:val="000D7EB6"/>
    <w:rsid w:val="000D7EEC"/>
    <w:rsid w:val="000E0249"/>
    <w:rsid w:val="000E070A"/>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9A8"/>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30"/>
    <w:rsid w:val="000E60DC"/>
    <w:rsid w:val="000E60FF"/>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1CF"/>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1"/>
    <w:rsid w:val="000F470E"/>
    <w:rsid w:val="000F4813"/>
    <w:rsid w:val="000F4DBC"/>
    <w:rsid w:val="000F4EF0"/>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27"/>
    <w:rsid w:val="000F67F0"/>
    <w:rsid w:val="000F6CE4"/>
    <w:rsid w:val="000F72E1"/>
    <w:rsid w:val="000F736E"/>
    <w:rsid w:val="000F738E"/>
    <w:rsid w:val="000F74AB"/>
    <w:rsid w:val="000F74D5"/>
    <w:rsid w:val="000F7671"/>
    <w:rsid w:val="000F76C0"/>
    <w:rsid w:val="000F775A"/>
    <w:rsid w:val="000F78FE"/>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5F"/>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229"/>
    <w:rsid w:val="0011139D"/>
    <w:rsid w:val="0011199A"/>
    <w:rsid w:val="001119C8"/>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05"/>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97C"/>
    <w:rsid w:val="00116B52"/>
    <w:rsid w:val="00116C62"/>
    <w:rsid w:val="00116CBA"/>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53"/>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E7"/>
    <w:rsid w:val="001226E3"/>
    <w:rsid w:val="0012282D"/>
    <w:rsid w:val="001229F8"/>
    <w:rsid w:val="00122A53"/>
    <w:rsid w:val="00122A5B"/>
    <w:rsid w:val="00122D79"/>
    <w:rsid w:val="00122DB8"/>
    <w:rsid w:val="00122EC6"/>
    <w:rsid w:val="00122ED2"/>
    <w:rsid w:val="00122EF1"/>
    <w:rsid w:val="00122F50"/>
    <w:rsid w:val="0012309F"/>
    <w:rsid w:val="001233F3"/>
    <w:rsid w:val="0012341B"/>
    <w:rsid w:val="00123451"/>
    <w:rsid w:val="0012354D"/>
    <w:rsid w:val="0012358D"/>
    <w:rsid w:val="00123615"/>
    <w:rsid w:val="0012386D"/>
    <w:rsid w:val="00123B5E"/>
    <w:rsid w:val="00123C6B"/>
    <w:rsid w:val="00123C87"/>
    <w:rsid w:val="00123CD1"/>
    <w:rsid w:val="00123FDC"/>
    <w:rsid w:val="00124094"/>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4AE"/>
    <w:rsid w:val="0012550F"/>
    <w:rsid w:val="00125659"/>
    <w:rsid w:val="00125686"/>
    <w:rsid w:val="001257EB"/>
    <w:rsid w:val="0012582F"/>
    <w:rsid w:val="00125B2E"/>
    <w:rsid w:val="00126237"/>
    <w:rsid w:val="001265F1"/>
    <w:rsid w:val="00126824"/>
    <w:rsid w:val="001268BB"/>
    <w:rsid w:val="00126915"/>
    <w:rsid w:val="00126958"/>
    <w:rsid w:val="001269B8"/>
    <w:rsid w:val="00126B14"/>
    <w:rsid w:val="00126BFE"/>
    <w:rsid w:val="00126D60"/>
    <w:rsid w:val="001271FC"/>
    <w:rsid w:val="001273F8"/>
    <w:rsid w:val="0012745B"/>
    <w:rsid w:val="001274A9"/>
    <w:rsid w:val="001275B2"/>
    <w:rsid w:val="00127836"/>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9D"/>
    <w:rsid w:val="001348C4"/>
    <w:rsid w:val="00134B36"/>
    <w:rsid w:val="00134DBA"/>
    <w:rsid w:val="00134EFC"/>
    <w:rsid w:val="00134F72"/>
    <w:rsid w:val="001351D6"/>
    <w:rsid w:val="001352D6"/>
    <w:rsid w:val="0013565E"/>
    <w:rsid w:val="00135760"/>
    <w:rsid w:val="001359D7"/>
    <w:rsid w:val="00135DD4"/>
    <w:rsid w:val="00135E44"/>
    <w:rsid w:val="0013606C"/>
    <w:rsid w:val="001361CD"/>
    <w:rsid w:val="001361D6"/>
    <w:rsid w:val="0013624E"/>
    <w:rsid w:val="001363BC"/>
    <w:rsid w:val="0013654A"/>
    <w:rsid w:val="001365DA"/>
    <w:rsid w:val="001371D4"/>
    <w:rsid w:val="001371DC"/>
    <w:rsid w:val="001379B7"/>
    <w:rsid w:val="00137A98"/>
    <w:rsid w:val="00137DD9"/>
    <w:rsid w:val="00137F03"/>
    <w:rsid w:val="001400A0"/>
    <w:rsid w:val="001403FA"/>
    <w:rsid w:val="001404E9"/>
    <w:rsid w:val="00140656"/>
    <w:rsid w:val="00140C98"/>
    <w:rsid w:val="00140CC4"/>
    <w:rsid w:val="00140E02"/>
    <w:rsid w:val="001412A4"/>
    <w:rsid w:val="00141657"/>
    <w:rsid w:val="001416C8"/>
    <w:rsid w:val="00141C91"/>
    <w:rsid w:val="00141DF4"/>
    <w:rsid w:val="00142005"/>
    <w:rsid w:val="0014257F"/>
    <w:rsid w:val="001426BC"/>
    <w:rsid w:val="00142714"/>
    <w:rsid w:val="00142776"/>
    <w:rsid w:val="00142876"/>
    <w:rsid w:val="00142DF4"/>
    <w:rsid w:val="00142EA5"/>
    <w:rsid w:val="00142F2B"/>
    <w:rsid w:val="00143045"/>
    <w:rsid w:val="0014329F"/>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700"/>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C"/>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4AC"/>
    <w:rsid w:val="001564FC"/>
    <w:rsid w:val="00156D28"/>
    <w:rsid w:val="00156D64"/>
    <w:rsid w:val="00156EF9"/>
    <w:rsid w:val="00157375"/>
    <w:rsid w:val="00157500"/>
    <w:rsid w:val="00157721"/>
    <w:rsid w:val="00157952"/>
    <w:rsid w:val="00157A47"/>
    <w:rsid w:val="00157AC3"/>
    <w:rsid w:val="001602B3"/>
    <w:rsid w:val="0016040C"/>
    <w:rsid w:val="001604C3"/>
    <w:rsid w:val="0016050D"/>
    <w:rsid w:val="001605E6"/>
    <w:rsid w:val="0016079C"/>
    <w:rsid w:val="0016086E"/>
    <w:rsid w:val="001609D0"/>
    <w:rsid w:val="00160A0C"/>
    <w:rsid w:val="00160C89"/>
    <w:rsid w:val="0016104C"/>
    <w:rsid w:val="00161290"/>
    <w:rsid w:val="0016143E"/>
    <w:rsid w:val="00161555"/>
    <w:rsid w:val="00161574"/>
    <w:rsid w:val="001615D5"/>
    <w:rsid w:val="001618DB"/>
    <w:rsid w:val="00161A84"/>
    <w:rsid w:val="00161AF3"/>
    <w:rsid w:val="001620A0"/>
    <w:rsid w:val="001620E1"/>
    <w:rsid w:val="0016223A"/>
    <w:rsid w:val="001623B5"/>
    <w:rsid w:val="001624B5"/>
    <w:rsid w:val="001627F3"/>
    <w:rsid w:val="001629BD"/>
    <w:rsid w:val="001629D3"/>
    <w:rsid w:val="00162DFF"/>
    <w:rsid w:val="001631B4"/>
    <w:rsid w:val="001633E9"/>
    <w:rsid w:val="00163669"/>
    <w:rsid w:val="001638E0"/>
    <w:rsid w:val="001639E3"/>
    <w:rsid w:val="00163A1E"/>
    <w:rsid w:val="00163A32"/>
    <w:rsid w:val="00163B06"/>
    <w:rsid w:val="00163DD7"/>
    <w:rsid w:val="00163DF8"/>
    <w:rsid w:val="00163FB7"/>
    <w:rsid w:val="0016414D"/>
    <w:rsid w:val="00164445"/>
    <w:rsid w:val="00164669"/>
    <w:rsid w:val="00164761"/>
    <w:rsid w:val="0016487B"/>
    <w:rsid w:val="001648FB"/>
    <w:rsid w:val="00164974"/>
    <w:rsid w:val="00164AB5"/>
    <w:rsid w:val="00164B73"/>
    <w:rsid w:val="00164F9C"/>
    <w:rsid w:val="001655BB"/>
    <w:rsid w:val="001657CC"/>
    <w:rsid w:val="00165B61"/>
    <w:rsid w:val="00166465"/>
    <w:rsid w:val="001664DB"/>
    <w:rsid w:val="0016655E"/>
    <w:rsid w:val="00166579"/>
    <w:rsid w:val="00166A93"/>
    <w:rsid w:val="00166C93"/>
    <w:rsid w:val="00166E60"/>
    <w:rsid w:val="00166F3F"/>
    <w:rsid w:val="001670EA"/>
    <w:rsid w:val="001672DA"/>
    <w:rsid w:val="0016784B"/>
    <w:rsid w:val="00167AB6"/>
    <w:rsid w:val="00167EBA"/>
    <w:rsid w:val="00167FB2"/>
    <w:rsid w:val="00167FD9"/>
    <w:rsid w:val="001700A5"/>
    <w:rsid w:val="001703B4"/>
    <w:rsid w:val="001705E4"/>
    <w:rsid w:val="00170B0F"/>
    <w:rsid w:val="00170D89"/>
    <w:rsid w:val="00170FF3"/>
    <w:rsid w:val="00171086"/>
    <w:rsid w:val="001712A1"/>
    <w:rsid w:val="001712C4"/>
    <w:rsid w:val="00171325"/>
    <w:rsid w:val="00171451"/>
    <w:rsid w:val="001719E1"/>
    <w:rsid w:val="00171BD4"/>
    <w:rsid w:val="00171E69"/>
    <w:rsid w:val="00172021"/>
    <w:rsid w:val="0017203E"/>
    <w:rsid w:val="001721B3"/>
    <w:rsid w:val="001722BA"/>
    <w:rsid w:val="0017234F"/>
    <w:rsid w:val="0017273A"/>
    <w:rsid w:val="00172877"/>
    <w:rsid w:val="00172A27"/>
    <w:rsid w:val="00172AE3"/>
    <w:rsid w:val="00173062"/>
    <w:rsid w:val="00173087"/>
    <w:rsid w:val="001730AA"/>
    <w:rsid w:val="001733BD"/>
    <w:rsid w:val="0017344E"/>
    <w:rsid w:val="0017345B"/>
    <w:rsid w:val="0017345C"/>
    <w:rsid w:val="001734C6"/>
    <w:rsid w:val="001734F4"/>
    <w:rsid w:val="00173D62"/>
    <w:rsid w:val="00174052"/>
    <w:rsid w:val="00174088"/>
    <w:rsid w:val="00174325"/>
    <w:rsid w:val="00174359"/>
    <w:rsid w:val="001743FA"/>
    <w:rsid w:val="001744DA"/>
    <w:rsid w:val="00174694"/>
    <w:rsid w:val="00174952"/>
    <w:rsid w:val="001749EC"/>
    <w:rsid w:val="00174B65"/>
    <w:rsid w:val="00174B82"/>
    <w:rsid w:val="00174D35"/>
    <w:rsid w:val="00174F66"/>
    <w:rsid w:val="00175843"/>
    <w:rsid w:val="001759C5"/>
    <w:rsid w:val="00175AFE"/>
    <w:rsid w:val="00175BBF"/>
    <w:rsid w:val="0017603C"/>
    <w:rsid w:val="00176149"/>
    <w:rsid w:val="0017622F"/>
    <w:rsid w:val="0017623A"/>
    <w:rsid w:val="00176250"/>
    <w:rsid w:val="00176399"/>
    <w:rsid w:val="001763D3"/>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77FAA"/>
    <w:rsid w:val="00180172"/>
    <w:rsid w:val="001801F4"/>
    <w:rsid w:val="001802CA"/>
    <w:rsid w:val="00180775"/>
    <w:rsid w:val="00180829"/>
    <w:rsid w:val="0018083E"/>
    <w:rsid w:val="0018085E"/>
    <w:rsid w:val="00180954"/>
    <w:rsid w:val="00180961"/>
    <w:rsid w:val="00180975"/>
    <w:rsid w:val="001809C7"/>
    <w:rsid w:val="0018115A"/>
    <w:rsid w:val="001813A3"/>
    <w:rsid w:val="001813BA"/>
    <w:rsid w:val="001813BE"/>
    <w:rsid w:val="001813C3"/>
    <w:rsid w:val="00181581"/>
    <w:rsid w:val="0018190E"/>
    <w:rsid w:val="00181919"/>
    <w:rsid w:val="00181A20"/>
    <w:rsid w:val="00181C43"/>
    <w:rsid w:val="00181C75"/>
    <w:rsid w:val="00181D48"/>
    <w:rsid w:val="00181D80"/>
    <w:rsid w:val="0018202C"/>
    <w:rsid w:val="00182348"/>
    <w:rsid w:val="00182464"/>
    <w:rsid w:val="001824BE"/>
    <w:rsid w:val="001826C3"/>
    <w:rsid w:val="001829EB"/>
    <w:rsid w:val="00182C70"/>
    <w:rsid w:val="00183026"/>
    <w:rsid w:val="001834AA"/>
    <w:rsid w:val="001835E4"/>
    <w:rsid w:val="001835F6"/>
    <w:rsid w:val="001838C6"/>
    <w:rsid w:val="00183935"/>
    <w:rsid w:val="0018397D"/>
    <w:rsid w:val="00183A02"/>
    <w:rsid w:val="00183A51"/>
    <w:rsid w:val="00183A60"/>
    <w:rsid w:val="00183B57"/>
    <w:rsid w:val="00183C2A"/>
    <w:rsid w:val="00183DFC"/>
    <w:rsid w:val="00184004"/>
    <w:rsid w:val="00184171"/>
    <w:rsid w:val="00184298"/>
    <w:rsid w:val="001846ED"/>
    <w:rsid w:val="001847F3"/>
    <w:rsid w:val="001849ED"/>
    <w:rsid w:val="00184B0F"/>
    <w:rsid w:val="00184BC3"/>
    <w:rsid w:val="00184DC3"/>
    <w:rsid w:val="00184E50"/>
    <w:rsid w:val="00184F04"/>
    <w:rsid w:val="00184FA0"/>
    <w:rsid w:val="0018524A"/>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64"/>
    <w:rsid w:val="00191ABB"/>
    <w:rsid w:val="00191D08"/>
    <w:rsid w:val="00191F11"/>
    <w:rsid w:val="00191FD1"/>
    <w:rsid w:val="0019211E"/>
    <w:rsid w:val="00192450"/>
    <w:rsid w:val="001924D9"/>
    <w:rsid w:val="001924F5"/>
    <w:rsid w:val="00192788"/>
    <w:rsid w:val="001927CC"/>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36"/>
    <w:rsid w:val="001961CE"/>
    <w:rsid w:val="00196296"/>
    <w:rsid w:val="00196AA1"/>
    <w:rsid w:val="00196C49"/>
    <w:rsid w:val="00196D7F"/>
    <w:rsid w:val="00196DBC"/>
    <w:rsid w:val="001971A4"/>
    <w:rsid w:val="00197237"/>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286"/>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237"/>
    <w:rsid w:val="001A4877"/>
    <w:rsid w:val="001A4A0B"/>
    <w:rsid w:val="001A4D96"/>
    <w:rsid w:val="001A52A6"/>
    <w:rsid w:val="001A5496"/>
    <w:rsid w:val="001A5595"/>
    <w:rsid w:val="001A55F7"/>
    <w:rsid w:val="001A570C"/>
    <w:rsid w:val="001A57B9"/>
    <w:rsid w:val="001A5FC1"/>
    <w:rsid w:val="001A5FF0"/>
    <w:rsid w:val="001A62AF"/>
    <w:rsid w:val="001A63B1"/>
    <w:rsid w:val="001A6419"/>
    <w:rsid w:val="001A6701"/>
    <w:rsid w:val="001A6725"/>
    <w:rsid w:val="001A6762"/>
    <w:rsid w:val="001A6862"/>
    <w:rsid w:val="001A68CC"/>
    <w:rsid w:val="001A6996"/>
    <w:rsid w:val="001A6BD3"/>
    <w:rsid w:val="001A6D7F"/>
    <w:rsid w:val="001A6F08"/>
    <w:rsid w:val="001A7040"/>
    <w:rsid w:val="001A7042"/>
    <w:rsid w:val="001A70FF"/>
    <w:rsid w:val="001A7361"/>
    <w:rsid w:val="001A76B1"/>
    <w:rsid w:val="001A77DF"/>
    <w:rsid w:val="001A79C1"/>
    <w:rsid w:val="001A7ACB"/>
    <w:rsid w:val="001A7AE0"/>
    <w:rsid w:val="001A7CDD"/>
    <w:rsid w:val="001A7F41"/>
    <w:rsid w:val="001A7F77"/>
    <w:rsid w:val="001B016B"/>
    <w:rsid w:val="001B0190"/>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2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83"/>
    <w:rsid w:val="001B56F4"/>
    <w:rsid w:val="001B5918"/>
    <w:rsid w:val="001B5BA3"/>
    <w:rsid w:val="001B5CD4"/>
    <w:rsid w:val="001B64C1"/>
    <w:rsid w:val="001B6C13"/>
    <w:rsid w:val="001B6CD9"/>
    <w:rsid w:val="001B6F07"/>
    <w:rsid w:val="001B7015"/>
    <w:rsid w:val="001B702C"/>
    <w:rsid w:val="001B741C"/>
    <w:rsid w:val="001B758A"/>
    <w:rsid w:val="001B767A"/>
    <w:rsid w:val="001B76E6"/>
    <w:rsid w:val="001B7D86"/>
    <w:rsid w:val="001B7DF0"/>
    <w:rsid w:val="001B7E75"/>
    <w:rsid w:val="001B7E7E"/>
    <w:rsid w:val="001C006C"/>
    <w:rsid w:val="001C00DF"/>
    <w:rsid w:val="001C010E"/>
    <w:rsid w:val="001C0191"/>
    <w:rsid w:val="001C029F"/>
    <w:rsid w:val="001C0850"/>
    <w:rsid w:val="001C0AB3"/>
    <w:rsid w:val="001C11E8"/>
    <w:rsid w:val="001C12D8"/>
    <w:rsid w:val="001C1461"/>
    <w:rsid w:val="001C167B"/>
    <w:rsid w:val="001C172A"/>
    <w:rsid w:val="001C1A12"/>
    <w:rsid w:val="001C1AE9"/>
    <w:rsid w:val="001C1B8B"/>
    <w:rsid w:val="001C1E53"/>
    <w:rsid w:val="001C2145"/>
    <w:rsid w:val="001C255E"/>
    <w:rsid w:val="001C2695"/>
    <w:rsid w:val="001C29BE"/>
    <w:rsid w:val="001C2B18"/>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6E96"/>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62A"/>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1B2"/>
    <w:rsid w:val="001D3766"/>
    <w:rsid w:val="001D3B44"/>
    <w:rsid w:val="001D3BFA"/>
    <w:rsid w:val="001D3F50"/>
    <w:rsid w:val="001D4067"/>
    <w:rsid w:val="001D4254"/>
    <w:rsid w:val="001D42B2"/>
    <w:rsid w:val="001D4345"/>
    <w:rsid w:val="001D464F"/>
    <w:rsid w:val="001D4904"/>
    <w:rsid w:val="001D4A3F"/>
    <w:rsid w:val="001D4C30"/>
    <w:rsid w:val="001D4FC1"/>
    <w:rsid w:val="001D52B8"/>
    <w:rsid w:val="001D5355"/>
    <w:rsid w:val="001D55D6"/>
    <w:rsid w:val="001D58A8"/>
    <w:rsid w:val="001D5E02"/>
    <w:rsid w:val="001D6001"/>
    <w:rsid w:val="001D606E"/>
    <w:rsid w:val="001D614E"/>
    <w:rsid w:val="001D632D"/>
    <w:rsid w:val="001D6399"/>
    <w:rsid w:val="001D66FE"/>
    <w:rsid w:val="001D6988"/>
    <w:rsid w:val="001D7003"/>
    <w:rsid w:val="001D709A"/>
    <w:rsid w:val="001D73D2"/>
    <w:rsid w:val="001D7969"/>
    <w:rsid w:val="001D7B11"/>
    <w:rsid w:val="001D7B71"/>
    <w:rsid w:val="001D7C04"/>
    <w:rsid w:val="001D7CEF"/>
    <w:rsid w:val="001D7D1B"/>
    <w:rsid w:val="001D7EBE"/>
    <w:rsid w:val="001E0074"/>
    <w:rsid w:val="001E01D0"/>
    <w:rsid w:val="001E0327"/>
    <w:rsid w:val="001E0334"/>
    <w:rsid w:val="001E0547"/>
    <w:rsid w:val="001E0621"/>
    <w:rsid w:val="001E0666"/>
    <w:rsid w:val="001E080E"/>
    <w:rsid w:val="001E09DD"/>
    <w:rsid w:val="001E0B3E"/>
    <w:rsid w:val="001E0B9A"/>
    <w:rsid w:val="001E0C8D"/>
    <w:rsid w:val="001E0D6F"/>
    <w:rsid w:val="001E0FAD"/>
    <w:rsid w:val="001E0FFD"/>
    <w:rsid w:val="001E1087"/>
    <w:rsid w:val="001E10CD"/>
    <w:rsid w:val="001E141A"/>
    <w:rsid w:val="001E184D"/>
    <w:rsid w:val="001E19E2"/>
    <w:rsid w:val="001E1D1A"/>
    <w:rsid w:val="001E1D45"/>
    <w:rsid w:val="001E1E94"/>
    <w:rsid w:val="001E226B"/>
    <w:rsid w:val="001E2280"/>
    <w:rsid w:val="001E2576"/>
    <w:rsid w:val="001E2673"/>
    <w:rsid w:val="001E280C"/>
    <w:rsid w:val="001E2B98"/>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124"/>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3E"/>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762"/>
    <w:rsid w:val="001F385D"/>
    <w:rsid w:val="001F3C79"/>
    <w:rsid w:val="001F3D72"/>
    <w:rsid w:val="001F3FA4"/>
    <w:rsid w:val="001F3FAF"/>
    <w:rsid w:val="001F4141"/>
    <w:rsid w:val="001F437A"/>
    <w:rsid w:val="001F4382"/>
    <w:rsid w:val="001F443D"/>
    <w:rsid w:val="001F446B"/>
    <w:rsid w:val="001F448E"/>
    <w:rsid w:val="001F4559"/>
    <w:rsid w:val="001F456C"/>
    <w:rsid w:val="001F4C73"/>
    <w:rsid w:val="001F5191"/>
    <w:rsid w:val="001F5251"/>
    <w:rsid w:val="001F52D4"/>
    <w:rsid w:val="001F5318"/>
    <w:rsid w:val="001F536F"/>
    <w:rsid w:val="001F5482"/>
    <w:rsid w:val="001F5484"/>
    <w:rsid w:val="001F584C"/>
    <w:rsid w:val="001F5D74"/>
    <w:rsid w:val="001F5E06"/>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5C7"/>
    <w:rsid w:val="00201870"/>
    <w:rsid w:val="002019EA"/>
    <w:rsid w:val="00202132"/>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55"/>
    <w:rsid w:val="00205CED"/>
    <w:rsid w:val="00205D16"/>
    <w:rsid w:val="00205F4E"/>
    <w:rsid w:val="00206410"/>
    <w:rsid w:val="00206722"/>
    <w:rsid w:val="00206769"/>
    <w:rsid w:val="00206A04"/>
    <w:rsid w:val="00206BE4"/>
    <w:rsid w:val="00206D3E"/>
    <w:rsid w:val="00206D5B"/>
    <w:rsid w:val="002074D2"/>
    <w:rsid w:val="0020761E"/>
    <w:rsid w:val="002077D3"/>
    <w:rsid w:val="002078ED"/>
    <w:rsid w:val="00207913"/>
    <w:rsid w:val="002079D2"/>
    <w:rsid w:val="00207CAE"/>
    <w:rsid w:val="00207CF8"/>
    <w:rsid w:val="00207E99"/>
    <w:rsid w:val="002105B2"/>
    <w:rsid w:val="002105C3"/>
    <w:rsid w:val="0021063C"/>
    <w:rsid w:val="0021085B"/>
    <w:rsid w:val="00210A3A"/>
    <w:rsid w:val="00210A97"/>
    <w:rsid w:val="00210C07"/>
    <w:rsid w:val="00210C63"/>
    <w:rsid w:val="00210E93"/>
    <w:rsid w:val="00211088"/>
    <w:rsid w:val="00211392"/>
    <w:rsid w:val="00211BE3"/>
    <w:rsid w:val="00211CF4"/>
    <w:rsid w:val="00211DA3"/>
    <w:rsid w:val="00211E81"/>
    <w:rsid w:val="00212379"/>
    <w:rsid w:val="002124C1"/>
    <w:rsid w:val="002125D6"/>
    <w:rsid w:val="00212B72"/>
    <w:rsid w:val="00212BA8"/>
    <w:rsid w:val="00212BB9"/>
    <w:rsid w:val="00212CA0"/>
    <w:rsid w:val="00212D1D"/>
    <w:rsid w:val="002130DE"/>
    <w:rsid w:val="002131C5"/>
    <w:rsid w:val="00213701"/>
    <w:rsid w:val="0021377C"/>
    <w:rsid w:val="002139C6"/>
    <w:rsid w:val="00213B0D"/>
    <w:rsid w:val="00213B31"/>
    <w:rsid w:val="00213C3A"/>
    <w:rsid w:val="00213EC0"/>
    <w:rsid w:val="00213EE5"/>
    <w:rsid w:val="00214137"/>
    <w:rsid w:val="002141E2"/>
    <w:rsid w:val="00214368"/>
    <w:rsid w:val="00214B2B"/>
    <w:rsid w:val="00214F86"/>
    <w:rsid w:val="00214FA6"/>
    <w:rsid w:val="0021509C"/>
    <w:rsid w:val="002152AD"/>
    <w:rsid w:val="00215476"/>
    <w:rsid w:val="0021554A"/>
    <w:rsid w:val="00215582"/>
    <w:rsid w:val="0021565E"/>
    <w:rsid w:val="00215797"/>
    <w:rsid w:val="0021618E"/>
    <w:rsid w:val="002161B4"/>
    <w:rsid w:val="0021648A"/>
    <w:rsid w:val="00216642"/>
    <w:rsid w:val="002166AF"/>
    <w:rsid w:val="002167D9"/>
    <w:rsid w:val="00216A22"/>
    <w:rsid w:val="00216EEC"/>
    <w:rsid w:val="0021703E"/>
    <w:rsid w:val="0021721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B62"/>
    <w:rsid w:val="00221B87"/>
    <w:rsid w:val="00221D2A"/>
    <w:rsid w:val="00221D60"/>
    <w:rsid w:val="00221E82"/>
    <w:rsid w:val="00221EA7"/>
    <w:rsid w:val="00222202"/>
    <w:rsid w:val="00222706"/>
    <w:rsid w:val="00222A23"/>
    <w:rsid w:val="00222B6A"/>
    <w:rsid w:val="00222B97"/>
    <w:rsid w:val="00222CE5"/>
    <w:rsid w:val="002230C1"/>
    <w:rsid w:val="00223224"/>
    <w:rsid w:val="0022334D"/>
    <w:rsid w:val="002239ED"/>
    <w:rsid w:val="00223B55"/>
    <w:rsid w:val="00223C8D"/>
    <w:rsid w:val="00223E2C"/>
    <w:rsid w:val="002240C6"/>
    <w:rsid w:val="0022418F"/>
    <w:rsid w:val="0022432D"/>
    <w:rsid w:val="002243F5"/>
    <w:rsid w:val="0022472F"/>
    <w:rsid w:val="002247A9"/>
    <w:rsid w:val="002248DA"/>
    <w:rsid w:val="0022490C"/>
    <w:rsid w:val="00224943"/>
    <w:rsid w:val="002249DA"/>
    <w:rsid w:val="00224B15"/>
    <w:rsid w:val="00224D6D"/>
    <w:rsid w:val="00224F15"/>
    <w:rsid w:val="00225063"/>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3E3"/>
    <w:rsid w:val="00227487"/>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822"/>
    <w:rsid w:val="0023295E"/>
    <w:rsid w:val="00232EAF"/>
    <w:rsid w:val="00232EBE"/>
    <w:rsid w:val="00232FA6"/>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95"/>
    <w:rsid w:val="002371F0"/>
    <w:rsid w:val="00237712"/>
    <w:rsid w:val="00237B33"/>
    <w:rsid w:val="00237C8B"/>
    <w:rsid w:val="00237DF5"/>
    <w:rsid w:val="00237E9C"/>
    <w:rsid w:val="00240071"/>
    <w:rsid w:val="00240561"/>
    <w:rsid w:val="00240612"/>
    <w:rsid w:val="00240852"/>
    <w:rsid w:val="00240AC8"/>
    <w:rsid w:val="00240CA4"/>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621"/>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880"/>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6F"/>
    <w:rsid w:val="00255AFF"/>
    <w:rsid w:val="00255C30"/>
    <w:rsid w:val="00255DB7"/>
    <w:rsid w:val="00255FFB"/>
    <w:rsid w:val="002561B7"/>
    <w:rsid w:val="00256234"/>
    <w:rsid w:val="00256587"/>
    <w:rsid w:val="002565FB"/>
    <w:rsid w:val="0025662A"/>
    <w:rsid w:val="00256784"/>
    <w:rsid w:val="00256B21"/>
    <w:rsid w:val="00256DC3"/>
    <w:rsid w:val="00256FCA"/>
    <w:rsid w:val="002570CA"/>
    <w:rsid w:val="0025735E"/>
    <w:rsid w:val="0025748A"/>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751"/>
    <w:rsid w:val="00261B80"/>
    <w:rsid w:val="00261DE7"/>
    <w:rsid w:val="002622C9"/>
    <w:rsid w:val="002622ED"/>
    <w:rsid w:val="00262352"/>
    <w:rsid w:val="002623EE"/>
    <w:rsid w:val="00262400"/>
    <w:rsid w:val="002627DB"/>
    <w:rsid w:val="002628C6"/>
    <w:rsid w:val="0026296A"/>
    <w:rsid w:val="00262A15"/>
    <w:rsid w:val="00262CA4"/>
    <w:rsid w:val="00262D30"/>
    <w:rsid w:val="00263043"/>
    <w:rsid w:val="00263075"/>
    <w:rsid w:val="00263268"/>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188"/>
    <w:rsid w:val="00265301"/>
    <w:rsid w:val="002654F2"/>
    <w:rsid w:val="00265791"/>
    <w:rsid w:val="00265860"/>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52"/>
    <w:rsid w:val="002723FE"/>
    <w:rsid w:val="00272537"/>
    <w:rsid w:val="0027254A"/>
    <w:rsid w:val="00272769"/>
    <w:rsid w:val="00272E7F"/>
    <w:rsid w:val="00272F57"/>
    <w:rsid w:val="00273108"/>
    <w:rsid w:val="002731C8"/>
    <w:rsid w:val="0027386E"/>
    <w:rsid w:val="00273966"/>
    <w:rsid w:val="002739ED"/>
    <w:rsid w:val="00273A94"/>
    <w:rsid w:val="00273E7D"/>
    <w:rsid w:val="00274416"/>
    <w:rsid w:val="00274665"/>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31"/>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8E1"/>
    <w:rsid w:val="00281CA3"/>
    <w:rsid w:val="00281D67"/>
    <w:rsid w:val="00281D8B"/>
    <w:rsid w:val="00281E86"/>
    <w:rsid w:val="00282390"/>
    <w:rsid w:val="002826C3"/>
    <w:rsid w:val="00282F4A"/>
    <w:rsid w:val="00283031"/>
    <w:rsid w:val="002832A6"/>
    <w:rsid w:val="002832D9"/>
    <w:rsid w:val="002834E4"/>
    <w:rsid w:val="00283718"/>
    <w:rsid w:val="002837B1"/>
    <w:rsid w:val="00283AA1"/>
    <w:rsid w:val="00283BD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A29"/>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0EBC"/>
    <w:rsid w:val="002911AB"/>
    <w:rsid w:val="00291282"/>
    <w:rsid w:val="00291411"/>
    <w:rsid w:val="0029160D"/>
    <w:rsid w:val="00291711"/>
    <w:rsid w:val="002917B6"/>
    <w:rsid w:val="002918EC"/>
    <w:rsid w:val="00291985"/>
    <w:rsid w:val="00291A15"/>
    <w:rsid w:val="00291B28"/>
    <w:rsid w:val="00291B63"/>
    <w:rsid w:val="00291C4E"/>
    <w:rsid w:val="00291D08"/>
    <w:rsid w:val="00291FB1"/>
    <w:rsid w:val="00292078"/>
    <w:rsid w:val="00292359"/>
    <w:rsid w:val="002923D5"/>
    <w:rsid w:val="00292ACA"/>
    <w:rsid w:val="00292D49"/>
    <w:rsid w:val="00292E74"/>
    <w:rsid w:val="0029308E"/>
    <w:rsid w:val="00293497"/>
    <w:rsid w:val="00293919"/>
    <w:rsid w:val="002939AF"/>
    <w:rsid w:val="00293BA4"/>
    <w:rsid w:val="00293D57"/>
    <w:rsid w:val="00293F96"/>
    <w:rsid w:val="0029467E"/>
    <w:rsid w:val="00294722"/>
    <w:rsid w:val="00294B02"/>
    <w:rsid w:val="00294EEB"/>
    <w:rsid w:val="0029533F"/>
    <w:rsid w:val="0029552E"/>
    <w:rsid w:val="00295708"/>
    <w:rsid w:val="002957E5"/>
    <w:rsid w:val="00295929"/>
    <w:rsid w:val="00295B27"/>
    <w:rsid w:val="00296334"/>
    <w:rsid w:val="0029639D"/>
    <w:rsid w:val="00296560"/>
    <w:rsid w:val="0029656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76F"/>
    <w:rsid w:val="002A39F2"/>
    <w:rsid w:val="002A3D55"/>
    <w:rsid w:val="002A3E48"/>
    <w:rsid w:val="002A41F4"/>
    <w:rsid w:val="002A42CF"/>
    <w:rsid w:val="002A4349"/>
    <w:rsid w:val="002A43C2"/>
    <w:rsid w:val="002A43C6"/>
    <w:rsid w:val="002A4847"/>
    <w:rsid w:val="002A4D99"/>
    <w:rsid w:val="002A4DA4"/>
    <w:rsid w:val="002A524C"/>
    <w:rsid w:val="002A53D2"/>
    <w:rsid w:val="002A542B"/>
    <w:rsid w:val="002A5749"/>
    <w:rsid w:val="002A5B18"/>
    <w:rsid w:val="002A5D23"/>
    <w:rsid w:val="002A5D36"/>
    <w:rsid w:val="002A5E2C"/>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BE5"/>
    <w:rsid w:val="002B1EAA"/>
    <w:rsid w:val="002B1EED"/>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27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6"/>
    <w:rsid w:val="002B75F9"/>
    <w:rsid w:val="002B76C6"/>
    <w:rsid w:val="002B779B"/>
    <w:rsid w:val="002B7903"/>
    <w:rsid w:val="002B79C4"/>
    <w:rsid w:val="002B7A47"/>
    <w:rsid w:val="002B7B00"/>
    <w:rsid w:val="002B7B0E"/>
    <w:rsid w:val="002B7B41"/>
    <w:rsid w:val="002B7BF3"/>
    <w:rsid w:val="002B7C9A"/>
    <w:rsid w:val="002B7CFD"/>
    <w:rsid w:val="002B7F68"/>
    <w:rsid w:val="002C0010"/>
    <w:rsid w:val="002C0062"/>
    <w:rsid w:val="002C024C"/>
    <w:rsid w:val="002C02E5"/>
    <w:rsid w:val="002C0620"/>
    <w:rsid w:val="002C067A"/>
    <w:rsid w:val="002C0957"/>
    <w:rsid w:val="002C09AB"/>
    <w:rsid w:val="002C0C93"/>
    <w:rsid w:val="002C0D61"/>
    <w:rsid w:val="002C0DAA"/>
    <w:rsid w:val="002C0EB8"/>
    <w:rsid w:val="002C0EF3"/>
    <w:rsid w:val="002C12E0"/>
    <w:rsid w:val="002C1363"/>
    <w:rsid w:val="002C1515"/>
    <w:rsid w:val="002C191E"/>
    <w:rsid w:val="002C209B"/>
    <w:rsid w:val="002C234D"/>
    <w:rsid w:val="002C26A1"/>
    <w:rsid w:val="002C28A2"/>
    <w:rsid w:val="002C29BA"/>
    <w:rsid w:val="002C2F33"/>
    <w:rsid w:val="002C30C3"/>
    <w:rsid w:val="002C3113"/>
    <w:rsid w:val="002C3127"/>
    <w:rsid w:val="002C34FA"/>
    <w:rsid w:val="002C354D"/>
    <w:rsid w:val="002C36A2"/>
    <w:rsid w:val="002C38AA"/>
    <w:rsid w:val="002C39BF"/>
    <w:rsid w:val="002C3A0B"/>
    <w:rsid w:val="002C3B26"/>
    <w:rsid w:val="002C3BEF"/>
    <w:rsid w:val="002C3CFE"/>
    <w:rsid w:val="002C407B"/>
    <w:rsid w:val="002C4310"/>
    <w:rsid w:val="002C43B0"/>
    <w:rsid w:val="002C4B7F"/>
    <w:rsid w:val="002C4D42"/>
    <w:rsid w:val="002C4ECA"/>
    <w:rsid w:val="002C50AE"/>
    <w:rsid w:val="002C5272"/>
    <w:rsid w:val="002C52BB"/>
    <w:rsid w:val="002C5322"/>
    <w:rsid w:val="002C53C5"/>
    <w:rsid w:val="002C5696"/>
    <w:rsid w:val="002C56DB"/>
    <w:rsid w:val="002C580F"/>
    <w:rsid w:val="002C5832"/>
    <w:rsid w:val="002C588A"/>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00"/>
    <w:rsid w:val="002D0993"/>
    <w:rsid w:val="002D09CD"/>
    <w:rsid w:val="002D0CA6"/>
    <w:rsid w:val="002D0D29"/>
    <w:rsid w:val="002D0EB2"/>
    <w:rsid w:val="002D1025"/>
    <w:rsid w:val="002D11D6"/>
    <w:rsid w:val="002D11EA"/>
    <w:rsid w:val="002D159C"/>
    <w:rsid w:val="002D1679"/>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3FDD"/>
    <w:rsid w:val="002D4101"/>
    <w:rsid w:val="002D42B7"/>
    <w:rsid w:val="002D4461"/>
    <w:rsid w:val="002D451D"/>
    <w:rsid w:val="002D480F"/>
    <w:rsid w:val="002D4A67"/>
    <w:rsid w:val="002D4A89"/>
    <w:rsid w:val="002D556A"/>
    <w:rsid w:val="002D5656"/>
    <w:rsid w:val="002D58BD"/>
    <w:rsid w:val="002D5B33"/>
    <w:rsid w:val="002D6234"/>
    <w:rsid w:val="002D6392"/>
    <w:rsid w:val="002D6402"/>
    <w:rsid w:val="002D6554"/>
    <w:rsid w:val="002D66E1"/>
    <w:rsid w:val="002D6B40"/>
    <w:rsid w:val="002D6EFF"/>
    <w:rsid w:val="002D6F2D"/>
    <w:rsid w:val="002D7011"/>
    <w:rsid w:val="002D7194"/>
    <w:rsid w:val="002D7213"/>
    <w:rsid w:val="002D726A"/>
    <w:rsid w:val="002D72BB"/>
    <w:rsid w:val="002D76A5"/>
    <w:rsid w:val="002D7965"/>
    <w:rsid w:val="002E0044"/>
    <w:rsid w:val="002E00FB"/>
    <w:rsid w:val="002E05B4"/>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1F72"/>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81A"/>
    <w:rsid w:val="002E48D7"/>
    <w:rsid w:val="002E4E06"/>
    <w:rsid w:val="002E51A3"/>
    <w:rsid w:val="002E54A1"/>
    <w:rsid w:val="002E5586"/>
    <w:rsid w:val="002E5875"/>
    <w:rsid w:val="002E58BE"/>
    <w:rsid w:val="002E59B7"/>
    <w:rsid w:val="002E5CB0"/>
    <w:rsid w:val="002E5CBB"/>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94"/>
    <w:rsid w:val="002F2EC0"/>
    <w:rsid w:val="002F2F01"/>
    <w:rsid w:val="002F3169"/>
    <w:rsid w:val="002F33A6"/>
    <w:rsid w:val="002F33EA"/>
    <w:rsid w:val="002F348E"/>
    <w:rsid w:val="002F350C"/>
    <w:rsid w:val="002F35E7"/>
    <w:rsid w:val="002F3602"/>
    <w:rsid w:val="002F37F2"/>
    <w:rsid w:val="002F3AD2"/>
    <w:rsid w:val="002F3ADE"/>
    <w:rsid w:val="002F3EB3"/>
    <w:rsid w:val="002F3F1B"/>
    <w:rsid w:val="002F3F3E"/>
    <w:rsid w:val="002F41C0"/>
    <w:rsid w:val="002F4344"/>
    <w:rsid w:val="002F4435"/>
    <w:rsid w:val="002F44BD"/>
    <w:rsid w:val="002F44E6"/>
    <w:rsid w:val="002F453E"/>
    <w:rsid w:val="002F4A13"/>
    <w:rsid w:val="002F4C67"/>
    <w:rsid w:val="002F4E0A"/>
    <w:rsid w:val="002F52C8"/>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B0C"/>
    <w:rsid w:val="00301EE9"/>
    <w:rsid w:val="00301FBC"/>
    <w:rsid w:val="0030214D"/>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B1B"/>
    <w:rsid w:val="00303E6A"/>
    <w:rsid w:val="00304335"/>
    <w:rsid w:val="0030441F"/>
    <w:rsid w:val="00304454"/>
    <w:rsid w:val="00304758"/>
    <w:rsid w:val="003047BF"/>
    <w:rsid w:val="0030490D"/>
    <w:rsid w:val="00304A48"/>
    <w:rsid w:val="00304AFE"/>
    <w:rsid w:val="00304B8A"/>
    <w:rsid w:val="00304F46"/>
    <w:rsid w:val="003051F1"/>
    <w:rsid w:val="003052AB"/>
    <w:rsid w:val="003055EB"/>
    <w:rsid w:val="00305D0E"/>
    <w:rsid w:val="00305FDE"/>
    <w:rsid w:val="003060D9"/>
    <w:rsid w:val="0030622C"/>
    <w:rsid w:val="003062C6"/>
    <w:rsid w:val="003062EC"/>
    <w:rsid w:val="0030638F"/>
    <w:rsid w:val="003064E8"/>
    <w:rsid w:val="0030654D"/>
    <w:rsid w:val="00306557"/>
    <w:rsid w:val="00306709"/>
    <w:rsid w:val="00306DA5"/>
    <w:rsid w:val="00306E6D"/>
    <w:rsid w:val="00306FC9"/>
    <w:rsid w:val="00307181"/>
    <w:rsid w:val="003071D5"/>
    <w:rsid w:val="0030730A"/>
    <w:rsid w:val="00307877"/>
    <w:rsid w:val="0030792F"/>
    <w:rsid w:val="00307A94"/>
    <w:rsid w:val="00307C74"/>
    <w:rsid w:val="0031003F"/>
    <w:rsid w:val="00310638"/>
    <w:rsid w:val="00310741"/>
    <w:rsid w:val="00310DCB"/>
    <w:rsid w:val="003113D7"/>
    <w:rsid w:val="003114A8"/>
    <w:rsid w:val="0031161C"/>
    <w:rsid w:val="0031186E"/>
    <w:rsid w:val="00311B0A"/>
    <w:rsid w:val="00311CFC"/>
    <w:rsid w:val="00311DC1"/>
    <w:rsid w:val="00311E6B"/>
    <w:rsid w:val="00311F0E"/>
    <w:rsid w:val="003122CD"/>
    <w:rsid w:val="003126CE"/>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4EDD"/>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C7"/>
    <w:rsid w:val="00320187"/>
    <w:rsid w:val="00320305"/>
    <w:rsid w:val="003203EF"/>
    <w:rsid w:val="00320658"/>
    <w:rsid w:val="003206F1"/>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CAE"/>
    <w:rsid w:val="003240F3"/>
    <w:rsid w:val="003242C9"/>
    <w:rsid w:val="003242D0"/>
    <w:rsid w:val="003242EB"/>
    <w:rsid w:val="0032463B"/>
    <w:rsid w:val="00324682"/>
    <w:rsid w:val="003247CB"/>
    <w:rsid w:val="00324924"/>
    <w:rsid w:val="003249B8"/>
    <w:rsid w:val="00324CE3"/>
    <w:rsid w:val="00325398"/>
    <w:rsid w:val="00325455"/>
    <w:rsid w:val="00325751"/>
    <w:rsid w:val="003259C1"/>
    <w:rsid w:val="00325A09"/>
    <w:rsid w:val="00325A2F"/>
    <w:rsid w:val="00325E88"/>
    <w:rsid w:val="00325FA6"/>
    <w:rsid w:val="0032601E"/>
    <w:rsid w:val="00326139"/>
    <w:rsid w:val="00326418"/>
    <w:rsid w:val="003264D5"/>
    <w:rsid w:val="003265F3"/>
    <w:rsid w:val="0032669D"/>
    <w:rsid w:val="00326A80"/>
    <w:rsid w:val="00326B2E"/>
    <w:rsid w:val="00326FF0"/>
    <w:rsid w:val="00327045"/>
    <w:rsid w:val="00327291"/>
    <w:rsid w:val="003275CB"/>
    <w:rsid w:val="003278B6"/>
    <w:rsid w:val="00327C96"/>
    <w:rsid w:val="00327F45"/>
    <w:rsid w:val="00327FE1"/>
    <w:rsid w:val="0033016A"/>
    <w:rsid w:val="003301B9"/>
    <w:rsid w:val="003301C3"/>
    <w:rsid w:val="00330536"/>
    <w:rsid w:val="00330871"/>
    <w:rsid w:val="00330B18"/>
    <w:rsid w:val="00330CA4"/>
    <w:rsid w:val="00330D71"/>
    <w:rsid w:val="00330E85"/>
    <w:rsid w:val="003315DC"/>
    <w:rsid w:val="00331758"/>
    <w:rsid w:val="00331C19"/>
    <w:rsid w:val="00331F7B"/>
    <w:rsid w:val="00332228"/>
    <w:rsid w:val="003322B4"/>
    <w:rsid w:val="003322E8"/>
    <w:rsid w:val="003325BF"/>
    <w:rsid w:val="003325EB"/>
    <w:rsid w:val="003325F4"/>
    <w:rsid w:val="00332788"/>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0A2"/>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D30"/>
    <w:rsid w:val="00336E3F"/>
    <w:rsid w:val="00336F09"/>
    <w:rsid w:val="00337009"/>
    <w:rsid w:val="00337349"/>
    <w:rsid w:val="00337354"/>
    <w:rsid w:val="00337785"/>
    <w:rsid w:val="00337803"/>
    <w:rsid w:val="00337934"/>
    <w:rsid w:val="00337B5A"/>
    <w:rsid w:val="00337C7B"/>
    <w:rsid w:val="00337D1D"/>
    <w:rsid w:val="00337D1F"/>
    <w:rsid w:val="00337FC4"/>
    <w:rsid w:val="00340209"/>
    <w:rsid w:val="00340245"/>
    <w:rsid w:val="00340599"/>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7FE"/>
    <w:rsid w:val="00346850"/>
    <w:rsid w:val="003469F1"/>
    <w:rsid w:val="00346AC7"/>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12"/>
    <w:rsid w:val="00350663"/>
    <w:rsid w:val="003507A7"/>
    <w:rsid w:val="00350889"/>
    <w:rsid w:val="003508BB"/>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12"/>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5B"/>
    <w:rsid w:val="003558D7"/>
    <w:rsid w:val="00355968"/>
    <w:rsid w:val="003561DF"/>
    <w:rsid w:val="0035672D"/>
    <w:rsid w:val="00356734"/>
    <w:rsid w:val="00356C97"/>
    <w:rsid w:val="00356E80"/>
    <w:rsid w:val="0035714B"/>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7C0"/>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CD6"/>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1D"/>
    <w:rsid w:val="0037445F"/>
    <w:rsid w:val="003744AF"/>
    <w:rsid w:val="00374704"/>
    <w:rsid w:val="0037470C"/>
    <w:rsid w:val="0037474E"/>
    <w:rsid w:val="0037499B"/>
    <w:rsid w:val="003749F9"/>
    <w:rsid w:val="00374B83"/>
    <w:rsid w:val="00374C20"/>
    <w:rsid w:val="00375190"/>
    <w:rsid w:val="003752BE"/>
    <w:rsid w:val="0037532B"/>
    <w:rsid w:val="00375399"/>
    <w:rsid w:val="003753DE"/>
    <w:rsid w:val="0037567C"/>
    <w:rsid w:val="003757F5"/>
    <w:rsid w:val="0037584F"/>
    <w:rsid w:val="00375AD0"/>
    <w:rsid w:val="00375BEE"/>
    <w:rsid w:val="00375C9D"/>
    <w:rsid w:val="00375F03"/>
    <w:rsid w:val="0037616A"/>
    <w:rsid w:val="0037621C"/>
    <w:rsid w:val="00376256"/>
    <w:rsid w:val="00376492"/>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7C"/>
    <w:rsid w:val="00380CB6"/>
    <w:rsid w:val="00380D14"/>
    <w:rsid w:val="00380D52"/>
    <w:rsid w:val="00380E32"/>
    <w:rsid w:val="0038130C"/>
    <w:rsid w:val="00381620"/>
    <w:rsid w:val="00381710"/>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DA3"/>
    <w:rsid w:val="00383E08"/>
    <w:rsid w:val="00384368"/>
    <w:rsid w:val="00384595"/>
    <w:rsid w:val="00384959"/>
    <w:rsid w:val="00384B20"/>
    <w:rsid w:val="00384BD4"/>
    <w:rsid w:val="00384E56"/>
    <w:rsid w:val="00384EB1"/>
    <w:rsid w:val="00384F33"/>
    <w:rsid w:val="0038520A"/>
    <w:rsid w:val="00385227"/>
    <w:rsid w:val="00385392"/>
    <w:rsid w:val="0038560D"/>
    <w:rsid w:val="00385718"/>
    <w:rsid w:val="00385720"/>
    <w:rsid w:val="00385BE1"/>
    <w:rsid w:val="00385C05"/>
    <w:rsid w:val="00385E0E"/>
    <w:rsid w:val="00385F94"/>
    <w:rsid w:val="003860E6"/>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A"/>
    <w:rsid w:val="003920CB"/>
    <w:rsid w:val="0039213A"/>
    <w:rsid w:val="003921D2"/>
    <w:rsid w:val="0039230A"/>
    <w:rsid w:val="00392318"/>
    <w:rsid w:val="00392327"/>
    <w:rsid w:val="00392353"/>
    <w:rsid w:val="0039239D"/>
    <w:rsid w:val="003924B2"/>
    <w:rsid w:val="003926DC"/>
    <w:rsid w:val="00392ABD"/>
    <w:rsid w:val="00392FB8"/>
    <w:rsid w:val="0039307C"/>
    <w:rsid w:val="003930C3"/>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299"/>
    <w:rsid w:val="0039735D"/>
    <w:rsid w:val="00397502"/>
    <w:rsid w:val="00397515"/>
    <w:rsid w:val="00397608"/>
    <w:rsid w:val="00397999"/>
    <w:rsid w:val="00397BFE"/>
    <w:rsid w:val="003A03C1"/>
    <w:rsid w:val="003A0486"/>
    <w:rsid w:val="003A057E"/>
    <w:rsid w:val="003A0AB9"/>
    <w:rsid w:val="003A0AD7"/>
    <w:rsid w:val="003A0D5B"/>
    <w:rsid w:val="003A0FFF"/>
    <w:rsid w:val="003A10B1"/>
    <w:rsid w:val="003A10D5"/>
    <w:rsid w:val="003A1113"/>
    <w:rsid w:val="003A1452"/>
    <w:rsid w:val="003A150B"/>
    <w:rsid w:val="003A1813"/>
    <w:rsid w:val="003A18A4"/>
    <w:rsid w:val="003A197C"/>
    <w:rsid w:val="003A1A10"/>
    <w:rsid w:val="003A1BDA"/>
    <w:rsid w:val="003A1CFF"/>
    <w:rsid w:val="003A1D63"/>
    <w:rsid w:val="003A1DBA"/>
    <w:rsid w:val="003A216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6"/>
    <w:rsid w:val="003A455D"/>
    <w:rsid w:val="003A46DB"/>
    <w:rsid w:val="003A4C0C"/>
    <w:rsid w:val="003A4D41"/>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6FDD"/>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AB0"/>
    <w:rsid w:val="003B7B10"/>
    <w:rsid w:val="003B7C00"/>
    <w:rsid w:val="003B7C13"/>
    <w:rsid w:val="003B7FC9"/>
    <w:rsid w:val="003C00E2"/>
    <w:rsid w:val="003C02EC"/>
    <w:rsid w:val="003C0458"/>
    <w:rsid w:val="003C04AB"/>
    <w:rsid w:val="003C04B8"/>
    <w:rsid w:val="003C052A"/>
    <w:rsid w:val="003C0854"/>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7FC"/>
    <w:rsid w:val="003C3B28"/>
    <w:rsid w:val="003C40BF"/>
    <w:rsid w:val="003C412E"/>
    <w:rsid w:val="003C417A"/>
    <w:rsid w:val="003C43A6"/>
    <w:rsid w:val="003C43D1"/>
    <w:rsid w:val="003C4515"/>
    <w:rsid w:val="003C4959"/>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BF3"/>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22"/>
    <w:rsid w:val="003D1397"/>
    <w:rsid w:val="003D13BC"/>
    <w:rsid w:val="003D1419"/>
    <w:rsid w:val="003D17A4"/>
    <w:rsid w:val="003D1835"/>
    <w:rsid w:val="003D1C9B"/>
    <w:rsid w:val="003D1CAC"/>
    <w:rsid w:val="003D1DAB"/>
    <w:rsid w:val="003D1F1E"/>
    <w:rsid w:val="003D1FDD"/>
    <w:rsid w:val="003D1FF0"/>
    <w:rsid w:val="003D20F2"/>
    <w:rsid w:val="003D222C"/>
    <w:rsid w:val="003D2251"/>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52A"/>
    <w:rsid w:val="003D488D"/>
    <w:rsid w:val="003D4906"/>
    <w:rsid w:val="003D4A70"/>
    <w:rsid w:val="003D4A82"/>
    <w:rsid w:val="003D4B0B"/>
    <w:rsid w:val="003D4BAB"/>
    <w:rsid w:val="003D4E5F"/>
    <w:rsid w:val="003D50F5"/>
    <w:rsid w:val="003D51E5"/>
    <w:rsid w:val="003D5206"/>
    <w:rsid w:val="003D52F9"/>
    <w:rsid w:val="003D575F"/>
    <w:rsid w:val="003D5875"/>
    <w:rsid w:val="003D58D6"/>
    <w:rsid w:val="003D59FB"/>
    <w:rsid w:val="003D5ABC"/>
    <w:rsid w:val="003D5AE6"/>
    <w:rsid w:val="003D5BCF"/>
    <w:rsid w:val="003D5DEC"/>
    <w:rsid w:val="003D5FE3"/>
    <w:rsid w:val="003D6498"/>
    <w:rsid w:val="003D6899"/>
    <w:rsid w:val="003D6B8C"/>
    <w:rsid w:val="003D6C7D"/>
    <w:rsid w:val="003D7368"/>
    <w:rsid w:val="003D7589"/>
    <w:rsid w:val="003D775F"/>
    <w:rsid w:val="003D77C1"/>
    <w:rsid w:val="003D7A34"/>
    <w:rsid w:val="003D7A93"/>
    <w:rsid w:val="003D7AB7"/>
    <w:rsid w:val="003D7BA7"/>
    <w:rsid w:val="003E0153"/>
    <w:rsid w:val="003E051D"/>
    <w:rsid w:val="003E05FE"/>
    <w:rsid w:val="003E0645"/>
    <w:rsid w:val="003E06E1"/>
    <w:rsid w:val="003E0902"/>
    <w:rsid w:val="003E0C7D"/>
    <w:rsid w:val="003E0EC3"/>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2F80"/>
    <w:rsid w:val="003E30A6"/>
    <w:rsid w:val="003E3327"/>
    <w:rsid w:val="003E3356"/>
    <w:rsid w:val="003E3366"/>
    <w:rsid w:val="003E36B2"/>
    <w:rsid w:val="003E39AD"/>
    <w:rsid w:val="003E3AC3"/>
    <w:rsid w:val="003E3AFB"/>
    <w:rsid w:val="003E3BA5"/>
    <w:rsid w:val="003E3C9E"/>
    <w:rsid w:val="003E3D86"/>
    <w:rsid w:val="003E3F63"/>
    <w:rsid w:val="003E436E"/>
    <w:rsid w:val="003E4605"/>
    <w:rsid w:val="003E4725"/>
    <w:rsid w:val="003E4766"/>
    <w:rsid w:val="003E4837"/>
    <w:rsid w:val="003E4893"/>
    <w:rsid w:val="003E49A0"/>
    <w:rsid w:val="003E4AE1"/>
    <w:rsid w:val="003E4B27"/>
    <w:rsid w:val="003E4BE9"/>
    <w:rsid w:val="003E5070"/>
    <w:rsid w:val="003E50C8"/>
    <w:rsid w:val="003E5628"/>
    <w:rsid w:val="003E56E1"/>
    <w:rsid w:val="003E5C42"/>
    <w:rsid w:val="003E5E13"/>
    <w:rsid w:val="003E5E2A"/>
    <w:rsid w:val="003E63C1"/>
    <w:rsid w:val="003E6569"/>
    <w:rsid w:val="003E6589"/>
    <w:rsid w:val="003E6BE1"/>
    <w:rsid w:val="003E703A"/>
    <w:rsid w:val="003E7118"/>
    <w:rsid w:val="003E71A6"/>
    <w:rsid w:val="003E71E6"/>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35"/>
    <w:rsid w:val="003F158D"/>
    <w:rsid w:val="003F16CD"/>
    <w:rsid w:val="003F1718"/>
    <w:rsid w:val="003F20FF"/>
    <w:rsid w:val="003F2191"/>
    <w:rsid w:val="003F21E4"/>
    <w:rsid w:val="003F2AAB"/>
    <w:rsid w:val="003F2BC0"/>
    <w:rsid w:val="003F2D0B"/>
    <w:rsid w:val="003F2E4F"/>
    <w:rsid w:val="003F2E7B"/>
    <w:rsid w:val="003F306A"/>
    <w:rsid w:val="003F3126"/>
    <w:rsid w:val="003F31C1"/>
    <w:rsid w:val="003F3204"/>
    <w:rsid w:val="003F3474"/>
    <w:rsid w:val="003F34D0"/>
    <w:rsid w:val="003F3583"/>
    <w:rsid w:val="003F35C9"/>
    <w:rsid w:val="003F36A6"/>
    <w:rsid w:val="003F3847"/>
    <w:rsid w:val="003F3888"/>
    <w:rsid w:val="003F3AB0"/>
    <w:rsid w:val="003F3DC8"/>
    <w:rsid w:val="003F3F77"/>
    <w:rsid w:val="003F4362"/>
    <w:rsid w:val="003F479B"/>
    <w:rsid w:val="003F4827"/>
    <w:rsid w:val="003F4839"/>
    <w:rsid w:val="003F4843"/>
    <w:rsid w:val="003F4950"/>
    <w:rsid w:val="003F4AF4"/>
    <w:rsid w:val="003F4BC8"/>
    <w:rsid w:val="003F4E5F"/>
    <w:rsid w:val="003F4E62"/>
    <w:rsid w:val="003F4F42"/>
    <w:rsid w:val="003F5537"/>
    <w:rsid w:val="003F55BE"/>
    <w:rsid w:val="003F57D1"/>
    <w:rsid w:val="003F583E"/>
    <w:rsid w:val="003F5CFF"/>
    <w:rsid w:val="003F6044"/>
    <w:rsid w:val="003F6088"/>
    <w:rsid w:val="003F625A"/>
    <w:rsid w:val="003F6454"/>
    <w:rsid w:val="003F66BB"/>
    <w:rsid w:val="003F67FB"/>
    <w:rsid w:val="003F6817"/>
    <w:rsid w:val="003F6A80"/>
    <w:rsid w:val="003F6BA7"/>
    <w:rsid w:val="003F6CD4"/>
    <w:rsid w:val="003F6D84"/>
    <w:rsid w:val="003F6E46"/>
    <w:rsid w:val="003F6E64"/>
    <w:rsid w:val="003F6E8E"/>
    <w:rsid w:val="003F6EC1"/>
    <w:rsid w:val="003F73F7"/>
    <w:rsid w:val="003F7536"/>
    <w:rsid w:val="003F784D"/>
    <w:rsid w:val="003F78D1"/>
    <w:rsid w:val="003F7D52"/>
    <w:rsid w:val="003F7EAC"/>
    <w:rsid w:val="00400054"/>
    <w:rsid w:val="0040015A"/>
    <w:rsid w:val="004001A6"/>
    <w:rsid w:val="0040035C"/>
    <w:rsid w:val="004003A7"/>
    <w:rsid w:val="004003FA"/>
    <w:rsid w:val="004004FE"/>
    <w:rsid w:val="004005F9"/>
    <w:rsid w:val="00400856"/>
    <w:rsid w:val="00400E91"/>
    <w:rsid w:val="00400EFC"/>
    <w:rsid w:val="00401033"/>
    <w:rsid w:val="00401045"/>
    <w:rsid w:val="0040119F"/>
    <w:rsid w:val="00401293"/>
    <w:rsid w:val="004012CB"/>
    <w:rsid w:val="00401340"/>
    <w:rsid w:val="00401613"/>
    <w:rsid w:val="004017EC"/>
    <w:rsid w:val="00401BF6"/>
    <w:rsid w:val="00401D93"/>
    <w:rsid w:val="00402436"/>
    <w:rsid w:val="004026E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7D"/>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DD"/>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F0E"/>
    <w:rsid w:val="004111AB"/>
    <w:rsid w:val="004112C2"/>
    <w:rsid w:val="0041152A"/>
    <w:rsid w:val="004117C1"/>
    <w:rsid w:val="00411897"/>
    <w:rsid w:val="004118CE"/>
    <w:rsid w:val="0041191F"/>
    <w:rsid w:val="004119FE"/>
    <w:rsid w:val="00411C38"/>
    <w:rsid w:val="00411E61"/>
    <w:rsid w:val="00411EE0"/>
    <w:rsid w:val="0041230E"/>
    <w:rsid w:val="00412715"/>
    <w:rsid w:val="00412768"/>
    <w:rsid w:val="00412CAE"/>
    <w:rsid w:val="0041333F"/>
    <w:rsid w:val="00413352"/>
    <w:rsid w:val="0041350D"/>
    <w:rsid w:val="00413546"/>
    <w:rsid w:val="00413562"/>
    <w:rsid w:val="00413A95"/>
    <w:rsid w:val="00413AD8"/>
    <w:rsid w:val="00413FF3"/>
    <w:rsid w:val="0041402C"/>
    <w:rsid w:val="00414511"/>
    <w:rsid w:val="0041486A"/>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B6"/>
    <w:rsid w:val="00416DCB"/>
    <w:rsid w:val="0041700F"/>
    <w:rsid w:val="00417323"/>
    <w:rsid w:val="0041744C"/>
    <w:rsid w:val="00417459"/>
    <w:rsid w:val="0041748D"/>
    <w:rsid w:val="00417A97"/>
    <w:rsid w:val="00417CB1"/>
    <w:rsid w:val="00417D9E"/>
    <w:rsid w:val="00417E6C"/>
    <w:rsid w:val="00420085"/>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19"/>
    <w:rsid w:val="004226C2"/>
    <w:rsid w:val="004226E7"/>
    <w:rsid w:val="0042301A"/>
    <w:rsid w:val="00423170"/>
    <w:rsid w:val="004232CD"/>
    <w:rsid w:val="00423597"/>
    <w:rsid w:val="00423600"/>
    <w:rsid w:val="0042374E"/>
    <w:rsid w:val="004237FD"/>
    <w:rsid w:val="00423886"/>
    <w:rsid w:val="004239D8"/>
    <w:rsid w:val="00423B69"/>
    <w:rsid w:val="00423DA1"/>
    <w:rsid w:val="00423F06"/>
    <w:rsid w:val="00424018"/>
    <w:rsid w:val="00424063"/>
    <w:rsid w:val="00424126"/>
    <w:rsid w:val="004241FD"/>
    <w:rsid w:val="004244C4"/>
    <w:rsid w:val="00424855"/>
    <w:rsid w:val="00424975"/>
    <w:rsid w:val="00424A5B"/>
    <w:rsid w:val="00424E92"/>
    <w:rsid w:val="004250B7"/>
    <w:rsid w:val="0042512C"/>
    <w:rsid w:val="00425318"/>
    <w:rsid w:val="00425693"/>
    <w:rsid w:val="004256E9"/>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53"/>
    <w:rsid w:val="00427B77"/>
    <w:rsid w:val="00427BC9"/>
    <w:rsid w:val="00427EB3"/>
    <w:rsid w:val="00430090"/>
    <w:rsid w:val="004300DC"/>
    <w:rsid w:val="004302BA"/>
    <w:rsid w:val="004304C5"/>
    <w:rsid w:val="004305CC"/>
    <w:rsid w:val="004306C8"/>
    <w:rsid w:val="004306F8"/>
    <w:rsid w:val="00430815"/>
    <w:rsid w:val="00430BC1"/>
    <w:rsid w:val="00430BDB"/>
    <w:rsid w:val="004310ED"/>
    <w:rsid w:val="004311C5"/>
    <w:rsid w:val="00431249"/>
    <w:rsid w:val="004313E7"/>
    <w:rsid w:val="0043176C"/>
    <w:rsid w:val="00431A06"/>
    <w:rsid w:val="00431EB8"/>
    <w:rsid w:val="00431FE3"/>
    <w:rsid w:val="00432295"/>
    <w:rsid w:val="004322D9"/>
    <w:rsid w:val="004323E2"/>
    <w:rsid w:val="00432477"/>
    <w:rsid w:val="0043266A"/>
    <w:rsid w:val="00432BDB"/>
    <w:rsid w:val="00432C5E"/>
    <w:rsid w:val="00432DDF"/>
    <w:rsid w:val="00432EBF"/>
    <w:rsid w:val="00432F69"/>
    <w:rsid w:val="00433018"/>
    <w:rsid w:val="004333B0"/>
    <w:rsid w:val="00433489"/>
    <w:rsid w:val="004335E9"/>
    <w:rsid w:val="00433602"/>
    <w:rsid w:val="004336C1"/>
    <w:rsid w:val="004336DF"/>
    <w:rsid w:val="00433978"/>
    <w:rsid w:val="00433B4F"/>
    <w:rsid w:val="00433CDD"/>
    <w:rsid w:val="00433E0B"/>
    <w:rsid w:val="0043405B"/>
    <w:rsid w:val="004340E0"/>
    <w:rsid w:val="00434489"/>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B7"/>
    <w:rsid w:val="00437CDD"/>
    <w:rsid w:val="00437D0E"/>
    <w:rsid w:val="00437E2E"/>
    <w:rsid w:val="00440015"/>
    <w:rsid w:val="00440480"/>
    <w:rsid w:val="004406C1"/>
    <w:rsid w:val="004408D1"/>
    <w:rsid w:val="00440DD7"/>
    <w:rsid w:val="00440DED"/>
    <w:rsid w:val="00440EC0"/>
    <w:rsid w:val="00440F5D"/>
    <w:rsid w:val="00441030"/>
    <w:rsid w:val="00441249"/>
    <w:rsid w:val="00441405"/>
    <w:rsid w:val="00441490"/>
    <w:rsid w:val="00441AAC"/>
    <w:rsid w:val="00441B3D"/>
    <w:rsid w:val="00441BFB"/>
    <w:rsid w:val="00441C50"/>
    <w:rsid w:val="004421E8"/>
    <w:rsid w:val="00442243"/>
    <w:rsid w:val="004423DE"/>
    <w:rsid w:val="004423DF"/>
    <w:rsid w:val="004423F4"/>
    <w:rsid w:val="0044240E"/>
    <w:rsid w:val="00442537"/>
    <w:rsid w:val="00442543"/>
    <w:rsid w:val="00442A84"/>
    <w:rsid w:val="00442BC6"/>
    <w:rsid w:val="00442FAE"/>
    <w:rsid w:val="004430BB"/>
    <w:rsid w:val="004431A7"/>
    <w:rsid w:val="00443636"/>
    <w:rsid w:val="0044365F"/>
    <w:rsid w:val="0044383B"/>
    <w:rsid w:val="00443869"/>
    <w:rsid w:val="004439FD"/>
    <w:rsid w:val="00443B3F"/>
    <w:rsid w:val="00443B9B"/>
    <w:rsid w:val="00443BD1"/>
    <w:rsid w:val="00443CE7"/>
    <w:rsid w:val="0044403F"/>
    <w:rsid w:val="0044440B"/>
    <w:rsid w:val="00444702"/>
    <w:rsid w:val="0044472F"/>
    <w:rsid w:val="0044475D"/>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4C"/>
    <w:rsid w:val="004461DB"/>
    <w:rsid w:val="00446335"/>
    <w:rsid w:val="00446497"/>
    <w:rsid w:val="004464FA"/>
    <w:rsid w:val="004466E4"/>
    <w:rsid w:val="00446AB1"/>
    <w:rsid w:val="00446B58"/>
    <w:rsid w:val="00446C53"/>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1FA8"/>
    <w:rsid w:val="004521F6"/>
    <w:rsid w:val="00452281"/>
    <w:rsid w:val="00452299"/>
    <w:rsid w:val="00452363"/>
    <w:rsid w:val="004524A6"/>
    <w:rsid w:val="0045298E"/>
    <w:rsid w:val="00452A61"/>
    <w:rsid w:val="00452A6C"/>
    <w:rsid w:val="00452BB8"/>
    <w:rsid w:val="00452CB8"/>
    <w:rsid w:val="00452CDE"/>
    <w:rsid w:val="00452D68"/>
    <w:rsid w:val="00452EE1"/>
    <w:rsid w:val="00452F19"/>
    <w:rsid w:val="00452FD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A63"/>
    <w:rsid w:val="00454DA3"/>
    <w:rsid w:val="00455273"/>
    <w:rsid w:val="004553A0"/>
    <w:rsid w:val="004553BC"/>
    <w:rsid w:val="00455458"/>
    <w:rsid w:val="0045593F"/>
    <w:rsid w:val="00455A69"/>
    <w:rsid w:val="00455D66"/>
    <w:rsid w:val="00455F7A"/>
    <w:rsid w:val="00455FBB"/>
    <w:rsid w:val="0045603F"/>
    <w:rsid w:val="004560F5"/>
    <w:rsid w:val="00456251"/>
    <w:rsid w:val="004564C9"/>
    <w:rsid w:val="00456556"/>
    <w:rsid w:val="00456AA0"/>
    <w:rsid w:val="00456C34"/>
    <w:rsid w:val="00456DC5"/>
    <w:rsid w:val="00456E5E"/>
    <w:rsid w:val="00456E6D"/>
    <w:rsid w:val="00456EBD"/>
    <w:rsid w:val="00456F7F"/>
    <w:rsid w:val="0045701E"/>
    <w:rsid w:val="00457393"/>
    <w:rsid w:val="0045745E"/>
    <w:rsid w:val="00457560"/>
    <w:rsid w:val="0045782B"/>
    <w:rsid w:val="00457BC5"/>
    <w:rsid w:val="00457BD8"/>
    <w:rsid w:val="00457D39"/>
    <w:rsid w:val="00457F6E"/>
    <w:rsid w:val="00457F79"/>
    <w:rsid w:val="00460043"/>
    <w:rsid w:val="00460089"/>
    <w:rsid w:val="00460158"/>
    <w:rsid w:val="00460601"/>
    <w:rsid w:val="00460657"/>
    <w:rsid w:val="00460AEB"/>
    <w:rsid w:val="00460ECA"/>
    <w:rsid w:val="00460EEC"/>
    <w:rsid w:val="0046115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8BE"/>
    <w:rsid w:val="0046698F"/>
    <w:rsid w:val="00466FCB"/>
    <w:rsid w:val="004671AE"/>
    <w:rsid w:val="004672B1"/>
    <w:rsid w:val="004672EF"/>
    <w:rsid w:val="0046732E"/>
    <w:rsid w:val="00467B4A"/>
    <w:rsid w:val="00467B78"/>
    <w:rsid w:val="00467D61"/>
    <w:rsid w:val="00467F23"/>
    <w:rsid w:val="00467F80"/>
    <w:rsid w:val="00470485"/>
    <w:rsid w:val="00470488"/>
    <w:rsid w:val="0047074C"/>
    <w:rsid w:val="004708AC"/>
    <w:rsid w:val="004708D7"/>
    <w:rsid w:val="004709C6"/>
    <w:rsid w:val="00470C3E"/>
    <w:rsid w:val="00470FBD"/>
    <w:rsid w:val="00471045"/>
    <w:rsid w:val="0047120E"/>
    <w:rsid w:val="0047127F"/>
    <w:rsid w:val="00471331"/>
    <w:rsid w:val="00471345"/>
    <w:rsid w:val="004713D5"/>
    <w:rsid w:val="0047162A"/>
    <w:rsid w:val="004716A6"/>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7B0"/>
    <w:rsid w:val="00473B52"/>
    <w:rsid w:val="00473BCA"/>
    <w:rsid w:val="00473E75"/>
    <w:rsid w:val="00473F03"/>
    <w:rsid w:val="00473F20"/>
    <w:rsid w:val="00473F99"/>
    <w:rsid w:val="00474059"/>
    <w:rsid w:val="00474153"/>
    <w:rsid w:val="004741B0"/>
    <w:rsid w:val="004741ED"/>
    <w:rsid w:val="00474200"/>
    <w:rsid w:val="00474489"/>
    <w:rsid w:val="00474494"/>
    <w:rsid w:val="0047471B"/>
    <w:rsid w:val="004747C0"/>
    <w:rsid w:val="00474901"/>
    <w:rsid w:val="00474D4D"/>
    <w:rsid w:val="00474DB4"/>
    <w:rsid w:val="00474F7A"/>
    <w:rsid w:val="00475106"/>
    <w:rsid w:val="004755A4"/>
    <w:rsid w:val="004755B2"/>
    <w:rsid w:val="00475607"/>
    <w:rsid w:val="004759D6"/>
    <w:rsid w:val="00475D07"/>
    <w:rsid w:val="00475DDF"/>
    <w:rsid w:val="00475EF9"/>
    <w:rsid w:val="004760A4"/>
    <w:rsid w:val="00476129"/>
    <w:rsid w:val="0047644C"/>
    <w:rsid w:val="0047647F"/>
    <w:rsid w:val="00476816"/>
    <w:rsid w:val="00476822"/>
    <w:rsid w:val="004768A1"/>
    <w:rsid w:val="004769D3"/>
    <w:rsid w:val="00477327"/>
    <w:rsid w:val="0047740E"/>
    <w:rsid w:val="00477B54"/>
    <w:rsid w:val="00477B57"/>
    <w:rsid w:val="00480096"/>
    <w:rsid w:val="0048017D"/>
    <w:rsid w:val="004802F4"/>
    <w:rsid w:val="004807A8"/>
    <w:rsid w:val="0048093B"/>
    <w:rsid w:val="00480947"/>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616"/>
    <w:rsid w:val="00482D90"/>
    <w:rsid w:val="00482E26"/>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57"/>
    <w:rsid w:val="00484762"/>
    <w:rsid w:val="0048479B"/>
    <w:rsid w:val="00484A1F"/>
    <w:rsid w:val="00484B12"/>
    <w:rsid w:val="00484B2D"/>
    <w:rsid w:val="00484B3E"/>
    <w:rsid w:val="00484EE4"/>
    <w:rsid w:val="004852EE"/>
    <w:rsid w:val="0048559B"/>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5A9"/>
    <w:rsid w:val="004877DB"/>
    <w:rsid w:val="00487893"/>
    <w:rsid w:val="004879A9"/>
    <w:rsid w:val="00487BE6"/>
    <w:rsid w:val="00487FC0"/>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2A2"/>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5B1"/>
    <w:rsid w:val="004957B4"/>
    <w:rsid w:val="004958F4"/>
    <w:rsid w:val="00495930"/>
    <w:rsid w:val="00495A40"/>
    <w:rsid w:val="00495A52"/>
    <w:rsid w:val="00495B6C"/>
    <w:rsid w:val="00495DC4"/>
    <w:rsid w:val="00495FA6"/>
    <w:rsid w:val="004960D2"/>
    <w:rsid w:val="0049656B"/>
    <w:rsid w:val="0049674B"/>
    <w:rsid w:val="00496BE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3AA"/>
    <w:rsid w:val="004A15F8"/>
    <w:rsid w:val="004A1636"/>
    <w:rsid w:val="004A1C93"/>
    <w:rsid w:val="004A1F90"/>
    <w:rsid w:val="004A24C2"/>
    <w:rsid w:val="004A273A"/>
    <w:rsid w:val="004A2810"/>
    <w:rsid w:val="004A2945"/>
    <w:rsid w:val="004A2C49"/>
    <w:rsid w:val="004A30E8"/>
    <w:rsid w:val="004A35D1"/>
    <w:rsid w:val="004A3719"/>
    <w:rsid w:val="004A3834"/>
    <w:rsid w:val="004A3941"/>
    <w:rsid w:val="004A3A13"/>
    <w:rsid w:val="004A3DB8"/>
    <w:rsid w:val="004A3DFD"/>
    <w:rsid w:val="004A3E15"/>
    <w:rsid w:val="004A3FA4"/>
    <w:rsid w:val="004A406D"/>
    <w:rsid w:val="004A40A3"/>
    <w:rsid w:val="004A40C0"/>
    <w:rsid w:val="004A4153"/>
    <w:rsid w:val="004A425A"/>
    <w:rsid w:val="004A4329"/>
    <w:rsid w:val="004A43A8"/>
    <w:rsid w:val="004A44F5"/>
    <w:rsid w:val="004A458C"/>
    <w:rsid w:val="004A4670"/>
    <w:rsid w:val="004A4848"/>
    <w:rsid w:val="004A48BB"/>
    <w:rsid w:val="004A4B27"/>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92"/>
    <w:rsid w:val="004B14FA"/>
    <w:rsid w:val="004B1565"/>
    <w:rsid w:val="004B1D68"/>
    <w:rsid w:val="004B1FD7"/>
    <w:rsid w:val="004B2032"/>
    <w:rsid w:val="004B24E5"/>
    <w:rsid w:val="004B2764"/>
    <w:rsid w:val="004B2C16"/>
    <w:rsid w:val="004B2C7A"/>
    <w:rsid w:val="004B2EF7"/>
    <w:rsid w:val="004B2FC6"/>
    <w:rsid w:val="004B350E"/>
    <w:rsid w:val="004B3630"/>
    <w:rsid w:val="004B392E"/>
    <w:rsid w:val="004B39DB"/>
    <w:rsid w:val="004B3B77"/>
    <w:rsid w:val="004B3B99"/>
    <w:rsid w:val="004B3D57"/>
    <w:rsid w:val="004B4245"/>
    <w:rsid w:val="004B42B4"/>
    <w:rsid w:val="004B460C"/>
    <w:rsid w:val="004B48BB"/>
    <w:rsid w:val="004B4913"/>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AE8"/>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3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66D"/>
    <w:rsid w:val="004C2840"/>
    <w:rsid w:val="004C288A"/>
    <w:rsid w:val="004C2C0C"/>
    <w:rsid w:val="004C2F53"/>
    <w:rsid w:val="004C2F6C"/>
    <w:rsid w:val="004C306D"/>
    <w:rsid w:val="004C325D"/>
    <w:rsid w:val="004C32FF"/>
    <w:rsid w:val="004C3317"/>
    <w:rsid w:val="004C36AD"/>
    <w:rsid w:val="004C36B4"/>
    <w:rsid w:val="004C38CE"/>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C0D"/>
    <w:rsid w:val="004C7D3A"/>
    <w:rsid w:val="004D021B"/>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3D6"/>
    <w:rsid w:val="004D2476"/>
    <w:rsid w:val="004D2859"/>
    <w:rsid w:val="004D2C55"/>
    <w:rsid w:val="004D2D54"/>
    <w:rsid w:val="004D2E2A"/>
    <w:rsid w:val="004D2EC0"/>
    <w:rsid w:val="004D3271"/>
    <w:rsid w:val="004D328C"/>
    <w:rsid w:val="004D338A"/>
    <w:rsid w:val="004D338F"/>
    <w:rsid w:val="004D3488"/>
    <w:rsid w:val="004D363D"/>
    <w:rsid w:val="004D36F7"/>
    <w:rsid w:val="004D37B6"/>
    <w:rsid w:val="004D3981"/>
    <w:rsid w:val="004D39A9"/>
    <w:rsid w:val="004D3A03"/>
    <w:rsid w:val="004D3A39"/>
    <w:rsid w:val="004D3B8D"/>
    <w:rsid w:val="004D3D09"/>
    <w:rsid w:val="004D3D3C"/>
    <w:rsid w:val="004D3DF9"/>
    <w:rsid w:val="004D4132"/>
    <w:rsid w:val="004D4539"/>
    <w:rsid w:val="004D45AA"/>
    <w:rsid w:val="004D46C5"/>
    <w:rsid w:val="004D49B1"/>
    <w:rsid w:val="004D4C89"/>
    <w:rsid w:val="004D4F45"/>
    <w:rsid w:val="004D5082"/>
    <w:rsid w:val="004D50B7"/>
    <w:rsid w:val="004D51A8"/>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C2B"/>
    <w:rsid w:val="004D7EDE"/>
    <w:rsid w:val="004D7FA6"/>
    <w:rsid w:val="004E00B0"/>
    <w:rsid w:val="004E0375"/>
    <w:rsid w:val="004E053E"/>
    <w:rsid w:val="004E07A9"/>
    <w:rsid w:val="004E081B"/>
    <w:rsid w:val="004E0A30"/>
    <w:rsid w:val="004E0A50"/>
    <w:rsid w:val="004E0D8B"/>
    <w:rsid w:val="004E1045"/>
    <w:rsid w:val="004E10CE"/>
    <w:rsid w:val="004E1201"/>
    <w:rsid w:val="004E16E4"/>
    <w:rsid w:val="004E16E7"/>
    <w:rsid w:val="004E19C3"/>
    <w:rsid w:val="004E1D01"/>
    <w:rsid w:val="004E1D7B"/>
    <w:rsid w:val="004E1FF2"/>
    <w:rsid w:val="004E2740"/>
    <w:rsid w:val="004E2772"/>
    <w:rsid w:val="004E2DF0"/>
    <w:rsid w:val="004E2EAE"/>
    <w:rsid w:val="004E3108"/>
    <w:rsid w:val="004E31D9"/>
    <w:rsid w:val="004E33EE"/>
    <w:rsid w:val="004E35AA"/>
    <w:rsid w:val="004E37D4"/>
    <w:rsid w:val="004E382C"/>
    <w:rsid w:val="004E39D3"/>
    <w:rsid w:val="004E3CDE"/>
    <w:rsid w:val="004E3FC3"/>
    <w:rsid w:val="004E3FF2"/>
    <w:rsid w:val="004E42A6"/>
    <w:rsid w:val="004E44D0"/>
    <w:rsid w:val="004E489D"/>
    <w:rsid w:val="004E4952"/>
    <w:rsid w:val="004E4AAB"/>
    <w:rsid w:val="004E4D48"/>
    <w:rsid w:val="004E4F1C"/>
    <w:rsid w:val="004E5271"/>
    <w:rsid w:val="004E5312"/>
    <w:rsid w:val="004E567F"/>
    <w:rsid w:val="004E572A"/>
    <w:rsid w:val="004E5870"/>
    <w:rsid w:val="004E59DD"/>
    <w:rsid w:val="004E5D39"/>
    <w:rsid w:val="004E5E8F"/>
    <w:rsid w:val="004E5F14"/>
    <w:rsid w:val="004E5F8C"/>
    <w:rsid w:val="004E6220"/>
    <w:rsid w:val="004E6330"/>
    <w:rsid w:val="004E6474"/>
    <w:rsid w:val="004E6487"/>
    <w:rsid w:val="004E651E"/>
    <w:rsid w:val="004E6729"/>
    <w:rsid w:val="004E6857"/>
    <w:rsid w:val="004E69DB"/>
    <w:rsid w:val="004E6B94"/>
    <w:rsid w:val="004E6E66"/>
    <w:rsid w:val="004E6FF2"/>
    <w:rsid w:val="004E706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8AB"/>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02"/>
    <w:rsid w:val="004F79A5"/>
    <w:rsid w:val="004F7A5D"/>
    <w:rsid w:val="004F7B83"/>
    <w:rsid w:val="004F7D30"/>
    <w:rsid w:val="004F7DAE"/>
    <w:rsid w:val="0050023C"/>
    <w:rsid w:val="005004B9"/>
    <w:rsid w:val="005007AF"/>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A25"/>
    <w:rsid w:val="00503B29"/>
    <w:rsid w:val="00503C1F"/>
    <w:rsid w:val="00503EEF"/>
    <w:rsid w:val="00504367"/>
    <w:rsid w:val="00504877"/>
    <w:rsid w:val="00504B11"/>
    <w:rsid w:val="00504E78"/>
    <w:rsid w:val="00504F60"/>
    <w:rsid w:val="005056ED"/>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AB1"/>
    <w:rsid w:val="00506BFF"/>
    <w:rsid w:val="00506C52"/>
    <w:rsid w:val="00506CB4"/>
    <w:rsid w:val="00506E0A"/>
    <w:rsid w:val="00506F88"/>
    <w:rsid w:val="00506FF0"/>
    <w:rsid w:val="0050706E"/>
    <w:rsid w:val="0050711A"/>
    <w:rsid w:val="0050714D"/>
    <w:rsid w:val="00507275"/>
    <w:rsid w:val="00507290"/>
    <w:rsid w:val="00507397"/>
    <w:rsid w:val="0050741D"/>
    <w:rsid w:val="00507698"/>
    <w:rsid w:val="00507A8B"/>
    <w:rsid w:val="00507B22"/>
    <w:rsid w:val="00507CF5"/>
    <w:rsid w:val="00507DD1"/>
    <w:rsid w:val="00507EC6"/>
    <w:rsid w:val="005100D9"/>
    <w:rsid w:val="0051058D"/>
    <w:rsid w:val="0051066B"/>
    <w:rsid w:val="00510766"/>
    <w:rsid w:val="0051077B"/>
    <w:rsid w:val="0051082E"/>
    <w:rsid w:val="00510918"/>
    <w:rsid w:val="00510C64"/>
    <w:rsid w:val="00510F06"/>
    <w:rsid w:val="005110C6"/>
    <w:rsid w:val="00511373"/>
    <w:rsid w:val="0051152D"/>
    <w:rsid w:val="00511773"/>
    <w:rsid w:val="00511991"/>
    <w:rsid w:val="00511B2D"/>
    <w:rsid w:val="00511BAD"/>
    <w:rsid w:val="00511C30"/>
    <w:rsid w:val="00511CF1"/>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A4"/>
    <w:rsid w:val="005139BE"/>
    <w:rsid w:val="00513B7A"/>
    <w:rsid w:val="00513CC8"/>
    <w:rsid w:val="00514436"/>
    <w:rsid w:val="005145E2"/>
    <w:rsid w:val="005149C9"/>
    <w:rsid w:val="00514A01"/>
    <w:rsid w:val="00514B4F"/>
    <w:rsid w:val="005151AE"/>
    <w:rsid w:val="00515238"/>
    <w:rsid w:val="0051557F"/>
    <w:rsid w:val="005156C8"/>
    <w:rsid w:val="00515A8D"/>
    <w:rsid w:val="00515DEB"/>
    <w:rsid w:val="00515E1A"/>
    <w:rsid w:val="005161C1"/>
    <w:rsid w:val="005167F0"/>
    <w:rsid w:val="0051687D"/>
    <w:rsid w:val="00516B04"/>
    <w:rsid w:val="005170C0"/>
    <w:rsid w:val="00517139"/>
    <w:rsid w:val="0051713F"/>
    <w:rsid w:val="00517299"/>
    <w:rsid w:val="005176F7"/>
    <w:rsid w:val="005177DB"/>
    <w:rsid w:val="00517871"/>
    <w:rsid w:val="005178F0"/>
    <w:rsid w:val="00517A3D"/>
    <w:rsid w:val="00517A74"/>
    <w:rsid w:val="00517EE4"/>
    <w:rsid w:val="0052018E"/>
    <w:rsid w:val="0052052D"/>
    <w:rsid w:val="005205B6"/>
    <w:rsid w:val="00520A8B"/>
    <w:rsid w:val="00521016"/>
    <w:rsid w:val="005210E0"/>
    <w:rsid w:val="0052125C"/>
    <w:rsid w:val="005214FD"/>
    <w:rsid w:val="005215D4"/>
    <w:rsid w:val="00521663"/>
    <w:rsid w:val="005217E8"/>
    <w:rsid w:val="00521851"/>
    <w:rsid w:val="0052192E"/>
    <w:rsid w:val="00521EBC"/>
    <w:rsid w:val="005224FF"/>
    <w:rsid w:val="005226C2"/>
    <w:rsid w:val="0052276E"/>
    <w:rsid w:val="005227C6"/>
    <w:rsid w:val="00522C96"/>
    <w:rsid w:val="00523026"/>
    <w:rsid w:val="0052311F"/>
    <w:rsid w:val="00523423"/>
    <w:rsid w:val="00523489"/>
    <w:rsid w:val="005236A9"/>
    <w:rsid w:val="00523721"/>
    <w:rsid w:val="00523A6C"/>
    <w:rsid w:val="00523AFF"/>
    <w:rsid w:val="00523B93"/>
    <w:rsid w:val="00523CE4"/>
    <w:rsid w:val="00523E4B"/>
    <w:rsid w:val="0052411F"/>
    <w:rsid w:val="005242D1"/>
    <w:rsid w:val="005242D2"/>
    <w:rsid w:val="00524475"/>
    <w:rsid w:val="005244CF"/>
    <w:rsid w:val="005245EB"/>
    <w:rsid w:val="0052471D"/>
    <w:rsid w:val="00524C0C"/>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BB"/>
    <w:rsid w:val="00532BE3"/>
    <w:rsid w:val="00532E4F"/>
    <w:rsid w:val="00532E86"/>
    <w:rsid w:val="00533568"/>
    <w:rsid w:val="005335C9"/>
    <w:rsid w:val="0053368B"/>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067"/>
    <w:rsid w:val="005375E9"/>
    <w:rsid w:val="005378E0"/>
    <w:rsid w:val="00537AD7"/>
    <w:rsid w:val="00537B0A"/>
    <w:rsid w:val="00537EEA"/>
    <w:rsid w:val="00537FDC"/>
    <w:rsid w:val="00540049"/>
    <w:rsid w:val="00540256"/>
    <w:rsid w:val="00540400"/>
    <w:rsid w:val="00540638"/>
    <w:rsid w:val="0054092B"/>
    <w:rsid w:val="005409E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92"/>
    <w:rsid w:val="00543983"/>
    <w:rsid w:val="00543AC9"/>
    <w:rsid w:val="00543AE6"/>
    <w:rsid w:val="00543B25"/>
    <w:rsid w:val="00543BCD"/>
    <w:rsid w:val="00543DE6"/>
    <w:rsid w:val="00543EB7"/>
    <w:rsid w:val="00543F80"/>
    <w:rsid w:val="0054402D"/>
    <w:rsid w:val="005446DB"/>
    <w:rsid w:val="0054492F"/>
    <w:rsid w:val="00544B81"/>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4DD"/>
    <w:rsid w:val="005465AC"/>
    <w:rsid w:val="00546609"/>
    <w:rsid w:val="005467F8"/>
    <w:rsid w:val="0054685F"/>
    <w:rsid w:val="00546860"/>
    <w:rsid w:val="00546968"/>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F25"/>
    <w:rsid w:val="005530A1"/>
    <w:rsid w:val="00553207"/>
    <w:rsid w:val="00553475"/>
    <w:rsid w:val="00553679"/>
    <w:rsid w:val="0055370A"/>
    <w:rsid w:val="0055396A"/>
    <w:rsid w:val="00553AE7"/>
    <w:rsid w:val="00553D9D"/>
    <w:rsid w:val="00553E7F"/>
    <w:rsid w:val="00553FC8"/>
    <w:rsid w:val="00553FF7"/>
    <w:rsid w:val="00554519"/>
    <w:rsid w:val="00554554"/>
    <w:rsid w:val="00554643"/>
    <w:rsid w:val="005546F8"/>
    <w:rsid w:val="00554735"/>
    <w:rsid w:val="005548AC"/>
    <w:rsid w:val="00554FE7"/>
    <w:rsid w:val="0055508D"/>
    <w:rsid w:val="005550F2"/>
    <w:rsid w:val="00555341"/>
    <w:rsid w:val="005555B4"/>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BF1"/>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08"/>
    <w:rsid w:val="00566A51"/>
    <w:rsid w:val="00566ADD"/>
    <w:rsid w:val="00566D9F"/>
    <w:rsid w:val="00566EFD"/>
    <w:rsid w:val="00566FBD"/>
    <w:rsid w:val="00567211"/>
    <w:rsid w:val="005672DB"/>
    <w:rsid w:val="00567674"/>
    <w:rsid w:val="00567C2A"/>
    <w:rsid w:val="00567C4F"/>
    <w:rsid w:val="00567DAA"/>
    <w:rsid w:val="00567EDB"/>
    <w:rsid w:val="00567F2D"/>
    <w:rsid w:val="00570154"/>
    <w:rsid w:val="0057068C"/>
    <w:rsid w:val="00570896"/>
    <w:rsid w:val="00570C3F"/>
    <w:rsid w:val="00571152"/>
    <w:rsid w:val="005715E8"/>
    <w:rsid w:val="005717D2"/>
    <w:rsid w:val="00571987"/>
    <w:rsid w:val="00571A58"/>
    <w:rsid w:val="00571C53"/>
    <w:rsid w:val="00571C5B"/>
    <w:rsid w:val="00571FD3"/>
    <w:rsid w:val="00572088"/>
    <w:rsid w:val="0057212C"/>
    <w:rsid w:val="00572941"/>
    <w:rsid w:val="00572B74"/>
    <w:rsid w:val="00572CB1"/>
    <w:rsid w:val="00572DEE"/>
    <w:rsid w:val="0057335A"/>
    <w:rsid w:val="005735DF"/>
    <w:rsid w:val="005737B9"/>
    <w:rsid w:val="00573815"/>
    <w:rsid w:val="0057393D"/>
    <w:rsid w:val="00573978"/>
    <w:rsid w:val="00573AC3"/>
    <w:rsid w:val="00573AC6"/>
    <w:rsid w:val="00573C86"/>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73D"/>
    <w:rsid w:val="005847BE"/>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DEF"/>
    <w:rsid w:val="00586F1B"/>
    <w:rsid w:val="0058716D"/>
    <w:rsid w:val="0058773E"/>
    <w:rsid w:val="00587A6C"/>
    <w:rsid w:val="005900BF"/>
    <w:rsid w:val="005902D0"/>
    <w:rsid w:val="00590CA4"/>
    <w:rsid w:val="00590CA6"/>
    <w:rsid w:val="00590CB2"/>
    <w:rsid w:val="00590CFA"/>
    <w:rsid w:val="00590F63"/>
    <w:rsid w:val="005910B2"/>
    <w:rsid w:val="005915BE"/>
    <w:rsid w:val="005917C0"/>
    <w:rsid w:val="0059195C"/>
    <w:rsid w:val="00591AE2"/>
    <w:rsid w:val="00591E64"/>
    <w:rsid w:val="0059216A"/>
    <w:rsid w:val="0059252E"/>
    <w:rsid w:val="005925AA"/>
    <w:rsid w:val="0059260B"/>
    <w:rsid w:val="00592679"/>
    <w:rsid w:val="00592804"/>
    <w:rsid w:val="005929AA"/>
    <w:rsid w:val="00592C1E"/>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D4"/>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2FA2"/>
    <w:rsid w:val="005A307E"/>
    <w:rsid w:val="005A30B5"/>
    <w:rsid w:val="005A36BC"/>
    <w:rsid w:val="005A37E5"/>
    <w:rsid w:val="005A3933"/>
    <w:rsid w:val="005A3AB4"/>
    <w:rsid w:val="005A3B89"/>
    <w:rsid w:val="005A3DBA"/>
    <w:rsid w:val="005A3EC6"/>
    <w:rsid w:val="005A3FD4"/>
    <w:rsid w:val="005A44AE"/>
    <w:rsid w:val="005A44D3"/>
    <w:rsid w:val="005A464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25"/>
    <w:rsid w:val="005A6FAD"/>
    <w:rsid w:val="005A7050"/>
    <w:rsid w:val="005A7369"/>
    <w:rsid w:val="005A7536"/>
    <w:rsid w:val="005A7D06"/>
    <w:rsid w:val="005A7E7E"/>
    <w:rsid w:val="005A7F16"/>
    <w:rsid w:val="005B0002"/>
    <w:rsid w:val="005B007D"/>
    <w:rsid w:val="005B0231"/>
    <w:rsid w:val="005B02E6"/>
    <w:rsid w:val="005B0464"/>
    <w:rsid w:val="005B0730"/>
    <w:rsid w:val="005B0789"/>
    <w:rsid w:val="005B0DC3"/>
    <w:rsid w:val="005B0EA7"/>
    <w:rsid w:val="005B11F1"/>
    <w:rsid w:val="005B180E"/>
    <w:rsid w:val="005B1BBF"/>
    <w:rsid w:val="005B1ECB"/>
    <w:rsid w:val="005B20D5"/>
    <w:rsid w:val="005B20FE"/>
    <w:rsid w:val="005B225B"/>
    <w:rsid w:val="005B2331"/>
    <w:rsid w:val="005B2DA2"/>
    <w:rsid w:val="005B2F67"/>
    <w:rsid w:val="005B2FB3"/>
    <w:rsid w:val="005B3152"/>
    <w:rsid w:val="005B356A"/>
    <w:rsid w:val="005B3598"/>
    <w:rsid w:val="005B3761"/>
    <w:rsid w:val="005B3823"/>
    <w:rsid w:val="005B39E2"/>
    <w:rsid w:val="005B3C99"/>
    <w:rsid w:val="005B3E7B"/>
    <w:rsid w:val="005B3EFF"/>
    <w:rsid w:val="005B404D"/>
    <w:rsid w:val="005B40C9"/>
    <w:rsid w:val="005B46D8"/>
    <w:rsid w:val="005B4888"/>
    <w:rsid w:val="005B49B4"/>
    <w:rsid w:val="005B4A12"/>
    <w:rsid w:val="005B4D05"/>
    <w:rsid w:val="005B57CD"/>
    <w:rsid w:val="005B58F8"/>
    <w:rsid w:val="005B5F99"/>
    <w:rsid w:val="005B5FF2"/>
    <w:rsid w:val="005B603E"/>
    <w:rsid w:val="005B60C4"/>
    <w:rsid w:val="005B60D3"/>
    <w:rsid w:val="005B6419"/>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B80"/>
    <w:rsid w:val="005D10FC"/>
    <w:rsid w:val="005D15F9"/>
    <w:rsid w:val="005D1BD8"/>
    <w:rsid w:val="005D1CB3"/>
    <w:rsid w:val="005D1CE6"/>
    <w:rsid w:val="005D23E7"/>
    <w:rsid w:val="005D24D1"/>
    <w:rsid w:val="005D25A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E52"/>
    <w:rsid w:val="005D5032"/>
    <w:rsid w:val="005D5407"/>
    <w:rsid w:val="005D5436"/>
    <w:rsid w:val="005D55D2"/>
    <w:rsid w:val="005D5667"/>
    <w:rsid w:val="005D56B2"/>
    <w:rsid w:val="005D585B"/>
    <w:rsid w:val="005D5925"/>
    <w:rsid w:val="005D5A5F"/>
    <w:rsid w:val="005D5C6B"/>
    <w:rsid w:val="005D5E06"/>
    <w:rsid w:val="005D5E6C"/>
    <w:rsid w:val="005D5E6E"/>
    <w:rsid w:val="005D6028"/>
    <w:rsid w:val="005D621E"/>
    <w:rsid w:val="005D632F"/>
    <w:rsid w:val="005D6354"/>
    <w:rsid w:val="005D6848"/>
    <w:rsid w:val="005D68CE"/>
    <w:rsid w:val="005D6B1F"/>
    <w:rsid w:val="005D6B9A"/>
    <w:rsid w:val="005D6BF0"/>
    <w:rsid w:val="005D6D9E"/>
    <w:rsid w:val="005D6E76"/>
    <w:rsid w:val="005D6EF2"/>
    <w:rsid w:val="005D70EF"/>
    <w:rsid w:val="005D7261"/>
    <w:rsid w:val="005D72B4"/>
    <w:rsid w:val="005D72C9"/>
    <w:rsid w:val="005D770B"/>
    <w:rsid w:val="005D7817"/>
    <w:rsid w:val="005D7A07"/>
    <w:rsid w:val="005D7A6D"/>
    <w:rsid w:val="005D7B5C"/>
    <w:rsid w:val="005D7CC7"/>
    <w:rsid w:val="005D7DA9"/>
    <w:rsid w:val="005E00A6"/>
    <w:rsid w:val="005E019B"/>
    <w:rsid w:val="005E0B26"/>
    <w:rsid w:val="005E1749"/>
    <w:rsid w:val="005E19B5"/>
    <w:rsid w:val="005E1C8A"/>
    <w:rsid w:val="005E1DA5"/>
    <w:rsid w:val="005E222A"/>
    <w:rsid w:val="005E23E1"/>
    <w:rsid w:val="005E291A"/>
    <w:rsid w:val="005E2AC2"/>
    <w:rsid w:val="005E2B37"/>
    <w:rsid w:val="005E33C3"/>
    <w:rsid w:val="005E3679"/>
    <w:rsid w:val="005E3A8C"/>
    <w:rsid w:val="005E3DB2"/>
    <w:rsid w:val="005E4759"/>
    <w:rsid w:val="005E47C2"/>
    <w:rsid w:val="005E4A56"/>
    <w:rsid w:val="005E4AB6"/>
    <w:rsid w:val="005E4BD8"/>
    <w:rsid w:val="005E4F07"/>
    <w:rsid w:val="005E4FE1"/>
    <w:rsid w:val="005E507D"/>
    <w:rsid w:val="005E5327"/>
    <w:rsid w:val="005E55F4"/>
    <w:rsid w:val="005E5605"/>
    <w:rsid w:val="005E58A9"/>
    <w:rsid w:val="005E5AC7"/>
    <w:rsid w:val="005E5B6D"/>
    <w:rsid w:val="005E5D33"/>
    <w:rsid w:val="005E5F40"/>
    <w:rsid w:val="005E6164"/>
    <w:rsid w:val="005E6402"/>
    <w:rsid w:val="005E6430"/>
    <w:rsid w:val="005E6457"/>
    <w:rsid w:val="005E64C2"/>
    <w:rsid w:val="005E6AD6"/>
    <w:rsid w:val="005E6E35"/>
    <w:rsid w:val="005E6EB7"/>
    <w:rsid w:val="005E72AA"/>
    <w:rsid w:val="005E73CA"/>
    <w:rsid w:val="005E74F8"/>
    <w:rsid w:val="005E76B5"/>
    <w:rsid w:val="005E792F"/>
    <w:rsid w:val="005E7A43"/>
    <w:rsid w:val="005E7BB6"/>
    <w:rsid w:val="005E7E29"/>
    <w:rsid w:val="005F035F"/>
    <w:rsid w:val="005F0396"/>
    <w:rsid w:val="005F03BF"/>
    <w:rsid w:val="005F048D"/>
    <w:rsid w:val="005F049F"/>
    <w:rsid w:val="005F0553"/>
    <w:rsid w:val="005F0580"/>
    <w:rsid w:val="005F0639"/>
    <w:rsid w:val="005F0801"/>
    <w:rsid w:val="005F0CC9"/>
    <w:rsid w:val="005F0F57"/>
    <w:rsid w:val="005F0FC1"/>
    <w:rsid w:val="005F0FD2"/>
    <w:rsid w:val="005F10F4"/>
    <w:rsid w:val="005F1152"/>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25"/>
    <w:rsid w:val="005F384F"/>
    <w:rsid w:val="005F38C5"/>
    <w:rsid w:val="005F3934"/>
    <w:rsid w:val="005F3ED4"/>
    <w:rsid w:val="005F3F20"/>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5B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063"/>
    <w:rsid w:val="00602117"/>
    <w:rsid w:val="006022CD"/>
    <w:rsid w:val="00602768"/>
    <w:rsid w:val="00602B23"/>
    <w:rsid w:val="00602C9A"/>
    <w:rsid w:val="00602E2A"/>
    <w:rsid w:val="00602EDC"/>
    <w:rsid w:val="00602F1C"/>
    <w:rsid w:val="0060305E"/>
    <w:rsid w:val="00603072"/>
    <w:rsid w:val="00603113"/>
    <w:rsid w:val="006032B0"/>
    <w:rsid w:val="0060345B"/>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6E65"/>
    <w:rsid w:val="0060707E"/>
    <w:rsid w:val="0060721E"/>
    <w:rsid w:val="006072FB"/>
    <w:rsid w:val="00607405"/>
    <w:rsid w:val="00607457"/>
    <w:rsid w:val="0060748A"/>
    <w:rsid w:val="00607676"/>
    <w:rsid w:val="006076E4"/>
    <w:rsid w:val="00607948"/>
    <w:rsid w:val="006079E8"/>
    <w:rsid w:val="00607B0C"/>
    <w:rsid w:val="00607CCA"/>
    <w:rsid w:val="00607ECB"/>
    <w:rsid w:val="0061021C"/>
    <w:rsid w:val="00610290"/>
    <w:rsid w:val="00610920"/>
    <w:rsid w:val="00610B2D"/>
    <w:rsid w:val="00610CCC"/>
    <w:rsid w:val="00610E02"/>
    <w:rsid w:val="006111D0"/>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70"/>
    <w:rsid w:val="00614BB6"/>
    <w:rsid w:val="00614C1A"/>
    <w:rsid w:val="00614C57"/>
    <w:rsid w:val="00614D50"/>
    <w:rsid w:val="00615353"/>
    <w:rsid w:val="00615B17"/>
    <w:rsid w:val="00615B56"/>
    <w:rsid w:val="00615C01"/>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09"/>
    <w:rsid w:val="00621E23"/>
    <w:rsid w:val="00621E6A"/>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13"/>
    <w:rsid w:val="00625082"/>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BEA"/>
    <w:rsid w:val="006270C0"/>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CDC"/>
    <w:rsid w:val="00630D89"/>
    <w:rsid w:val="00630FE0"/>
    <w:rsid w:val="00631034"/>
    <w:rsid w:val="00631229"/>
    <w:rsid w:val="00631426"/>
    <w:rsid w:val="006314B3"/>
    <w:rsid w:val="006314DF"/>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EC1"/>
    <w:rsid w:val="00634723"/>
    <w:rsid w:val="00634764"/>
    <w:rsid w:val="006347EB"/>
    <w:rsid w:val="00634861"/>
    <w:rsid w:val="00634AFC"/>
    <w:rsid w:val="00634B07"/>
    <w:rsid w:val="00635674"/>
    <w:rsid w:val="00635835"/>
    <w:rsid w:val="00635F69"/>
    <w:rsid w:val="006362B2"/>
    <w:rsid w:val="00636440"/>
    <w:rsid w:val="0063675D"/>
    <w:rsid w:val="006368EB"/>
    <w:rsid w:val="00636942"/>
    <w:rsid w:val="006369C7"/>
    <w:rsid w:val="00636A13"/>
    <w:rsid w:val="00636A1E"/>
    <w:rsid w:val="00636AB1"/>
    <w:rsid w:val="00636BC1"/>
    <w:rsid w:val="00636BE3"/>
    <w:rsid w:val="00636C82"/>
    <w:rsid w:val="00637207"/>
    <w:rsid w:val="00637514"/>
    <w:rsid w:val="00637543"/>
    <w:rsid w:val="0063757B"/>
    <w:rsid w:val="00637605"/>
    <w:rsid w:val="00637668"/>
    <w:rsid w:val="0063771C"/>
    <w:rsid w:val="00637955"/>
    <w:rsid w:val="00637A0E"/>
    <w:rsid w:val="00637B2E"/>
    <w:rsid w:val="00637D07"/>
    <w:rsid w:val="006401B7"/>
    <w:rsid w:val="00640575"/>
    <w:rsid w:val="006405B9"/>
    <w:rsid w:val="006407B6"/>
    <w:rsid w:val="0064091F"/>
    <w:rsid w:val="006409CB"/>
    <w:rsid w:val="00640A73"/>
    <w:rsid w:val="00640E66"/>
    <w:rsid w:val="00640E8D"/>
    <w:rsid w:val="00640FC0"/>
    <w:rsid w:val="006410E1"/>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4A8"/>
    <w:rsid w:val="00642617"/>
    <w:rsid w:val="00642879"/>
    <w:rsid w:val="00642917"/>
    <w:rsid w:val="00642BC9"/>
    <w:rsid w:val="00642C23"/>
    <w:rsid w:val="00642D6B"/>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BD0"/>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D"/>
    <w:rsid w:val="0064725E"/>
    <w:rsid w:val="0064736E"/>
    <w:rsid w:val="00647402"/>
    <w:rsid w:val="006476C3"/>
    <w:rsid w:val="00647A10"/>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15"/>
    <w:rsid w:val="00652FC4"/>
    <w:rsid w:val="00653144"/>
    <w:rsid w:val="0065319F"/>
    <w:rsid w:val="00653437"/>
    <w:rsid w:val="006534F4"/>
    <w:rsid w:val="006536C4"/>
    <w:rsid w:val="00653901"/>
    <w:rsid w:val="00653C98"/>
    <w:rsid w:val="00653CBA"/>
    <w:rsid w:val="00653D27"/>
    <w:rsid w:val="00653D89"/>
    <w:rsid w:val="00654077"/>
    <w:rsid w:val="006540C1"/>
    <w:rsid w:val="006540F9"/>
    <w:rsid w:val="0065420C"/>
    <w:rsid w:val="006545F9"/>
    <w:rsid w:val="006548E9"/>
    <w:rsid w:val="00654916"/>
    <w:rsid w:val="00654BFE"/>
    <w:rsid w:val="00654E0D"/>
    <w:rsid w:val="00654E6E"/>
    <w:rsid w:val="00654F6E"/>
    <w:rsid w:val="00655003"/>
    <w:rsid w:val="00655022"/>
    <w:rsid w:val="00655198"/>
    <w:rsid w:val="0065577D"/>
    <w:rsid w:val="006559E7"/>
    <w:rsid w:val="00655D62"/>
    <w:rsid w:val="00655F67"/>
    <w:rsid w:val="00656011"/>
    <w:rsid w:val="006563B4"/>
    <w:rsid w:val="006567CE"/>
    <w:rsid w:val="00656ACD"/>
    <w:rsid w:val="006574DF"/>
    <w:rsid w:val="006575D0"/>
    <w:rsid w:val="006579FD"/>
    <w:rsid w:val="00657DD1"/>
    <w:rsid w:val="00657E2A"/>
    <w:rsid w:val="00657EA8"/>
    <w:rsid w:val="00657EF2"/>
    <w:rsid w:val="00657FFC"/>
    <w:rsid w:val="006605A7"/>
    <w:rsid w:val="00660807"/>
    <w:rsid w:val="0066093C"/>
    <w:rsid w:val="00660947"/>
    <w:rsid w:val="00660A11"/>
    <w:rsid w:val="00660A2B"/>
    <w:rsid w:val="00660B0B"/>
    <w:rsid w:val="00660B80"/>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C76"/>
    <w:rsid w:val="00662E68"/>
    <w:rsid w:val="00662EB7"/>
    <w:rsid w:val="00662EE5"/>
    <w:rsid w:val="006630CB"/>
    <w:rsid w:val="0066327C"/>
    <w:rsid w:val="006635CB"/>
    <w:rsid w:val="00663639"/>
    <w:rsid w:val="00663955"/>
    <w:rsid w:val="00663B3C"/>
    <w:rsid w:val="00663BD1"/>
    <w:rsid w:val="00663CA8"/>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639"/>
    <w:rsid w:val="006707FB"/>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76D"/>
    <w:rsid w:val="00674BD5"/>
    <w:rsid w:val="00674DAE"/>
    <w:rsid w:val="00674F95"/>
    <w:rsid w:val="00675379"/>
    <w:rsid w:val="0067561D"/>
    <w:rsid w:val="00675628"/>
    <w:rsid w:val="0067583A"/>
    <w:rsid w:val="00675B70"/>
    <w:rsid w:val="00675B79"/>
    <w:rsid w:val="006761C4"/>
    <w:rsid w:val="006762A2"/>
    <w:rsid w:val="006762B9"/>
    <w:rsid w:val="006762FC"/>
    <w:rsid w:val="006763C0"/>
    <w:rsid w:val="006768CA"/>
    <w:rsid w:val="006768CC"/>
    <w:rsid w:val="0067693D"/>
    <w:rsid w:val="006769FE"/>
    <w:rsid w:val="00676B01"/>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1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59"/>
    <w:rsid w:val="00683C9D"/>
    <w:rsid w:val="0068454A"/>
    <w:rsid w:val="00684995"/>
    <w:rsid w:val="00684ACD"/>
    <w:rsid w:val="00684B8F"/>
    <w:rsid w:val="006853DA"/>
    <w:rsid w:val="00685632"/>
    <w:rsid w:val="00685A09"/>
    <w:rsid w:val="00685D2E"/>
    <w:rsid w:val="00685DB2"/>
    <w:rsid w:val="00685E50"/>
    <w:rsid w:val="00685EE4"/>
    <w:rsid w:val="00685F1A"/>
    <w:rsid w:val="00685F3C"/>
    <w:rsid w:val="00685F5D"/>
    <w:rsid w:val="006862E8"/>
    <w:rsid w:val="00686668"/>
    <w:rsid w:val="0068688C"/>
    <w:rsid w:val="006868E3"/>
    <w:rsid w:val="00686A1D"/>
    <w:rsid w:val="00686B66"/>
    <w:rsid w:val="00686DAF"/>
    <w:rsid w:val="00686E91"/>
    <w:rsid w:val="00687145"/>
    <w:rsid w:val="006873E0"/>
    <w:rsid w:val="006875FB"/>
    <w:rsid w:val="0068768A"/>
    <w:rsid w:val="00687974"/>
    <w:rsid w:val="00687AFD"/>
    <w:rsid w:val="00687C7A"/>
    <w:rsid w:val="00687D0D"/>
    <w:rsid w:val="00687D9F"/>
    <w:rsid w:val="006901A5"/>
    <w:rsid w:val="006902AC"/>
    <w:rsid w:val="0069030C"/>
    <w:rsid w:val="0069032C"/>
    <w:rsid w:val="00690509"/>
    <w:rsid w:val="006905EC"/>
    <w:rsid w:val="00690722"/>
    <w:rsid w:val="00690740"/>
    <w:rsid w:val="00690D91"/>
    <w:rsid w:val="00691377"/>
    <w:rsid w:val="00691437"/>
    <w:rsid w:val="00691490"/>
    <w:rsid w:val="0069155C"/>
    <w:rsid w:val="006917AE"/>
    <w:rsid w:val="00691B47"/>
    <w:rsid w:val="00691B6D"/>
    <w:rsid w:val="00691DEA"/>
    <w:rsid w:val="00691E2B"/>
    <w:rsid w:val="00691F17"/>
    <w:rsid w:val="00692086"/>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461"/>
    <w:rsid w:val="00696822"/>
    <w:rsid w:val="0069689F"/>
    <w:rsid w:val="00696A67"/>
    <w:rsid w:val="00696C09"/>
    <w:rsid w:val="00696C0D"/>
    <w:rsid w:val="00696CF7"/>
    <w:rsid w:val="0069714B"/>
    <w:rsid w:val="0069729C"/>
    <w:rsid w:val="006972DF"/>
    <w:rsid w:val="00697517"/>
    <w:rsid w:val="006975CB"/>
    <w:rsid w:val="0069766C"/>
    <w:rsid w:val="0069769A"/>
    <w:rsid w:val="006977EE"/>
    <w:rsid w:val="006977F0"/>
    <w:rsid w:val="00697818"/>
    <w:rsid w:val="006979DB"/>
    <w:rsid w:val="00697C41"/>
    <w:rsid w:val="00697E29"/>
    <w:rsid w:val="00697F7C"/>
    <w:rsid w:val="006A007C"/>
    <w:rsid w:val="006A01B6"/>
    <w:rsid w:val="006A02A6"/>
    <w:rsid w:val="006A0343"/>
    <w:rsid w:val="006A0563"/>
    <w:rsid w:val="006A05C5"/>
    <w:rsid w:val="006A05E1"/>
    <w:rsid w:val="006A06F9"/>
    <w:rsid w:val="006A0713"/>
    <w:rsid w:val="006A0896"/>
    <w:rsid w:val="006A0D1A"/>
    <w:rsid w:val="006A10BF"/>
    <w:rsid w:val="006A121A"/>
    <w:rsid w:val="006A15AB"/>
    <w:rsid w:val="006A1C66"/>
    <w:rsid w:val="006A1D19"/>
    <w:rsid w:val="006A1FFE"/>
    <w:rsid w:val="006A203D"/>
    <w:rsid w:val="006A20E0"/>
    <w:rsid w:val="006A20EF"/>
    <w:rsid w:val="006A233A"/>
    <w:rsid w:val="006A244D"/>
    <w:rsid w:val="006A2721"/>
    <w:rsid w:val="006A292C"/>
    <w:rsid w:val="006A31E7"/>
    <w:rsid w:val="006A3405"/>
    <w:rsid w:val="006A36D1"/>
    <w:rsid w:val="006A3AB6"/>
    <w:rsid w:val="006A3AF3"/>
    <w:rsid w:val="006A3C2D"/>
    <w:rsid w:val="006A3E5A"/>
    <w:rsid w:val="006A401F"/>
    <w:rsid w:val="006A40CC"/>
    <w:rsid w:val="006A4128"/>
    <w:rsid w:val="006A4185"/>
    <w:rsid w:val="006A43C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7C4"/>
    <w:rsid w:val="006B0D32"/>
    <w:rsid w:val="006B1003"/>
    <w:rsid w:val="006B1449"/>
    <w:rsid w:val="006B179D"/>
    <w:rsid w:val="006B1815"/>
    <w:rsid w:val="006B189A"/>
    <w:rsid w:val="006B1ACC"/>
    <w:rsid w:val="006B1C2B"/>
    <w:rsid w:val="006B1C4E"/>
    <w:rsid w:val="006B1E1A"/>
    <w:rsid w:val="006B1E6E"/>
    <w:rsid w:val="006B1FAF"/>
    <w:rsid w:val="006B24F7"/>
    <w:rsid w:val="006B261E"/>
    <w:rsid w:val="006B29B7"/>
    <w:rsid w:val="006B29C5"/>
    <w:rsid w:val="006B2B8A"/>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38"/>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27"/>
    <w:rsid w:val="006C2063"/>
    <w:rsid w:val="006C23A8"/>
    <w:rsid w:val="006C24B5"/>
    <w:rsid w:val="006C267A"/>
    <w:rsid w:val="006C2703"/>
    <w:rsid w:val="006C280A"/>
    <w:rsid w:val="006C2986"/>
    <w:rsid w:val="006C2A0D"/>
    <w:rsid w:val="006C2AF2"/>
    <w:rsid w:val="006C2CAD"/>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5D"/>
    <w:rsid w:val="006C61B4"/>
    <w:rsid w:val="006C632A"/>
    <w:rsid w:val="006C6376"/>
    <w:rsid w:val="006C670C"/>
    <w:rsid w:val="006C67F9"/>
    <w:rsid w:val="006C687E"/>
    <w:rsid w:val="006C6A18"/>
    <w:rsid w:val="006C6B97"/>
    <w:rsid w:val="006C6C08"/>
    <w:rsid w:val="006C6C46"/>
    <w:rsid w:val="006C6CFA"/>
    <w:rsid w:val="006C6DB8"/>
    <w:rsid w:val="006C724E"/>
    <w:rsid w:val="006C7340"/>
    <w:rsid w:val="006C73B8"/>
    <w:rsid w:val="006C74E6"/>
    <w:rsid w:val="006C79CE"/>
    <w:rsid w:val="006C7DF9"/>
    <w:rsid w:val="006D0352"/>
    <w:rsid w:val="006D0486"/>
    <w:rsid w:val="006D05E7"/>
    <w:rsid w:val="006D08E4"/>
    <w:rsid w:val="006D0A56"/>
    <w:rsid w:val="006D0C43"/>
    <w:rsid w:val="006D0E75"/>
    <w:rsid w:val="006D0F2A"/>
    <w:rsid w:val="006D1009"/>
    <w:rsid w:val="006D1130"/>
    <w:rsid w:val="006D15BE"/>
    <w:rsid w:val="006D1725"/>
    <w:rsid w:val="006D191A"/>
    <w:rsid w:val="006D1935"/>
    <w:rsid w:val="006D19C7"/>
    <w:rsid w:val="006D19FF"/>
    <w:rsid w:val="006D1B3B"/>
    <w:rsid w:val="006D1D65"/>
    <w:rsid w:val="006D1F7A"/>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3FB8"/>
    <w:rsid w:val="006D42C5"/>
    <w:rsid w:val="006D455A"/>
    <w:rsid w:val="006D4A83"/>
    <w:rsid w:val="006D4AE7"/>
    <w:rsid w:val="006D4DD2"/>
    <w:rsid w:val="006D4E72"/>
    <w:rsid w:val="006D4E86"/>
    <w:rsid w:val="006D5150"/>
    <w:rsid w:val="006D56AE"/>
    <w:rsid w:val="006D5889"/>
    <w:rsid w:val="006D59A0"/>
    <w:rsid w:val="006D5DE2"/>
    <w:rsid w:val="006D5EB1"/>
    <w:rsid w:val="006D60F1"/>
    <w:rsid w:val="006D619B"/>
    <w:rsid w:val="006D6246"/>
    <w:rsid w:val="006D6267"/>
    <w:rsid w:val="006D6273"/>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2D7"/>
    <w:rsid w:val="006E3340"/>
    <w:rsid w:val="006E33DD"/>
    <w:rsid w:val="006E361A"/>
    <w:rsid w:val="006E39A1"/>
    <w:rsid w:val="006E39A4"/>
    <w:rsid w:val="006E3A24"/>
    <w:rsid w:val="006E3D1B"/>
    <w:rsid w:val="006E3D46"/>
    <w:rsid w:val="006E42A7"/>
    <w:rsid w:val="006E456D"/>
    <w:rsid w:val="006E474D"/>
    <w:rsid w:val="006E4AEF"/>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BFA"/>
    <w:rsid w:val="006E6C24"/>
    <w:rsid w:val="006E7119"/>
    <w:rsid w:val="006E73A5"/>
    <w:rsid w:val="006E7684"/>
    <w:rsid w:val="006E7802"/>
    <w:rsid w:val="006E78AF"/>
    <w:rsid w:val="006E798A"/>
    <w:rsid w:val="006E7993"/>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10"/>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6CD"/>
    <w:rsid w:val="006F57CB"/>
    <w:rsid w:val="006F5823"/>
    <w:rsid w:val="006F5B06"/>
    <w:rsid w:val="006F5BFA"/>
    <w:rsid w:val="006F5EAC"/>
    <w:rsid w:val="006F5ED8"/>
    <w:rsid w:val="006F5F73"/>
    <w:rsid w:val="006F6549"/>
    <w:rsid w:val="006F68B9"/>
    <w:rsid w:val="006F69AA"/>
    <w:rsid w:val="006F6A8C"/>
    <w:rsid w:val="006F6BA8"/>
    <w:rsid w:val="006F6CD0"/>
    <w:rsid w:val="006F6D16"/>
    <w:rsid w:val="006F6EFC"/>
    <w:rsid w:val="006F70DC"/>
    <w:rsid w:val="006F7365"/>
    <w:rsid w:val="006F7423"/>
    <w:rsid w:val="006F756D"/>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BE7"/>
    <w:rsid w:val="00700E2A"/>
    <w:rsid w:val="00700F49"/>
    <w:rsid w:val="00701108"/>
    <w:rsid w:val="00701160"/>
    <w:rsid w:val="007012FE"/>
    <w:rsid w:val="007013AD"/>
    <w:rsid w:val="00701675"/>
    <w:rsid w:val="0070179D"/>
    <w:rsid w:val="00701852"/>
    <w:rsid w:val="00702107"/>
    <w:rsid w:val="007025C2"/>
    <w:rsid w:val="007028AC"/>
    <w:rsid w:val="00702926"/>
    <w:rsid w:val="00702B46"/>
    <w:rsid w:val="007030C8"/>
    <w:rsid w:val="0070342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E9"/>
    <w:rsid w:val="00704D75"/>
    <w:rsid w:val="00704FDF"/>
    <w:rsid w:val="007052A4"/>
    <w:rsid w:val="00705339"/>
    <w:rsid w:val="0070538F"/>
    <w:rsid w:val="00705452"/>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698"/>
    <w:rsid w:val="00710731"/>
    <w:rsid w:val="00710DF6"/>
    <w:rsid w:val="00710E55"/>
    <w:rsid w:val="00711167"/>
    <w:rsid w:val="00711182"/>
    <w:rsid w:val="0071144C"/>
    <w:rsid w:val="0071164F"/>
    <w:rsid w:val="007117E0"/>
    <w:rsid w:val="0071185C"/>
    <w:rsid w:val="00711DE3"/>
    <w:rsid w:val="007123E6"/>
    <w:rsid w:val="00712636"/>
    <w:rsid w:val="00712646"/>
    <w:rsid w:val="00712958"/>
    <w:rsid w:val="00712D21"/>
    <w:rsid w:val="00712ECA"/>
    <w:rsid w:val="00712EDE"/>
    <w:rsid w:val="007133A5"/>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242"/>
    <w:rsid w:val="00715374"/>
    <w:rsid w:val="00715426"/>
    <w:rsid w:val="0071542B"/>
    <w:rsid w:val="0071545C"/>
    <w:rsid w:val="0071545D"/>
    <w:rsid w:val="007155F3"/>
    <w:rsid w:val="0071568F"/>
    <w:rsid w:val="007159F6"/>
    <w:rsid w:val="00715B58"/>
    <w:rsid w:val="00715D9F"/>
    <w:rsid w:val="007160C7"/>
    <w:rsid w:val="007163C0"/>
    <w:rsid w:val="007165AC"/>
    <w:rsid w:val="00716709"/>
    <w:rsid w:val="00716724"/>
    <w:rsid w:val="00716A0C"/>
    <w:rsid w:val="00716A79"/>
    <w:rsid w:val="00716E04"/>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06C"/>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6D4"/>
    <w:rsid w:val="00725A67"/>
    <w:rsid w:val="00725AC0"/>
    <w:rsid w:val="00725B37"/>
    <w:rsid w:val="00725B57"/>
    <w:rsid w:val="00725D05"/>
    <w:rsid w:val="00725DB5"/>
    <w:rsid w:val="00725FA5"/>
    <w:rsid w:val="0072605A"/>
    <w:rsid w:val="00726173"/>
    <w:rsid w:val="007261B7"/>
    <w:rsid w:val="00726646"/>
    <w:rsid w:val="00726A09"/>
    <w:rsid w:val="00726ACE"/>
    <w:rsid w:val="00726B6E"/>
    <w:rsid w:val="00726D4E"/>
    <w:rsid w:val="00726F74"/>
    <w:rsid w:val="00727520"/>
    <w:rsid w:val="00727552"/>
    <w:rsid w:val="007279A7"/>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BA"/>
    <w:rsid w:val="00731D9B"/>
    <w:rsid w:val="00731EF3"/>
    <w:rsid w:val="00732333"/>
    <w:rsid w:val="00732414"/>
    <w:rsid w:val="007325A8"/>
    <w:rsid w:val="00732664"/>
    <w:rsid w:val="007327A2"/>
    <w:rsid w:val="00732C13"/>
    <w:rsid w:val="00732C39"/>
    <w:rsid w:val="00732DFF"/>
    <w:rsid w:val="00732E65"/>
    <w:rsid w:val="00732E81"/>
    <w:rsid w:val="00732FE9"/>
    <w:rsid w:val="00733064"/>
    <w:rsid w:val="007330A1"/>
    <w:rsid w:val="00733669"/>
    <w:rsid w:val="00733947"/>
    <w:rsid w:val="00733B74"/>
    <w:rsid w:val="00733CA9"/>
    <w:rsid w:val="00733E95"/>
    <w:rsid w:val="00733F91"/>
    <w:rsid w:val="00733FEF"/>
    <w:rsid w:val="00734062"/>
    <w:rsid w:val="00734090"/>
    <w:rsid w:val="00734121"/>
    <w:rsid w:val="0073414A"/>
    <w:rsid w:val="007343BA"/>
    <w:rsid w:val="0073465A"/>
    <w:rsid w:val="00734B38"/>
    <w:rsid w:val="00734B51"/>
    <w:rsid w:val="00734CDA"/>
    <w:rsid w:val="00735030"/>
    <w:rsid w:val="00735227"/>
    <w:rsid w:val="00735455"/>
    <w:rsid w:val="00735530"/>
    <w:rsid w:val="007355B1"/>
    <w:rsid w:val="0073572B"/>
    <w:rsid w:val="00735877"/>
    <w:rsid w:val="00735A94"/>
    <w:rsid w:val="00735E0B"/>
    <w:rsid w:val="00735EA0"/>
    <w:rsid w:val="0073627D"/>
    <w:rsid w:val="007367D4"/>
    <w:rsid w:val="00736826"/>
    <w:rsid w:val="00736AD8"/>
    <w:rsid w:val="00736AEB"/>
    <w:rsid w:val="00736B5D"/>
    <w:rsid w:val="00736C50"/>
    <w:rsid w:val="00736FFC"/>
    <w:rsid w:val="0073702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7A7"/>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0EC"/>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D93"/>
    <w:rsid w:val="00744E0F"/>
    <w:rsid w:val="00744EA9"/>
    <w:rsid w:val="00745083"/>
    <w:rsid w:val="007451F9"/>
    <w:rsid w:val="00745363"/>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17"/>
    <w:rsid w:val="007473E7"/>
    <w:rsid w:val="00747411"/>
    <w:rsid w:val="007479EB"/>
    <w:rsid w:val="00747A48"/>
    <w:rsid w:val="00747F2A"/>
    <w:rsid w:val="00750376"/>
    <w:rsid w:val="00750408"/>
    <w:rsid w:val="00750915"/>
    <w:rsid w:val="00750B42"/>
    <w:rsid w:val="00750DB3"/>
    <w:rsid w:val="00750E44"/>
    <w:rsid w:val="00751054"/>
    <w:rsid w:val="00751261"/>
    <w:rsid w:val="00751311"/>
    <w:rsid w:val="007515BE"/>
    <w:rsid w:val="0075161A"/>
    <w:rsid w:val="00751695"/>
    <w:rsid w:val="00751933"/>
    <w:rsid w:val="00751BEF"/>
    <w:rsid w:val="00751F9F"/>
    <w:rsid w:val="00752031"/>
    <w:rsid w:val="007521BC"/>
    <w:rsid w:val="007522FD"/>
    <w:rsid w:val="0075237B"/>
    <w:rsid w:val="00752532"/>
    <w:rsid w:val="00752C38"/>
    <w:rsid w:val="00752D95"/>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5EA1"/>
    <w:rsid w:val="00756493"/>
    <w:rsid w:val="0075663E"/>
    <w:rsid w:val="007566F3"/>
    <w:rsid w:val="00756774"/>
    <w:rsid w:val="00756828"/>
    <w:rsid w:val="00756885"/>
    <w:rsid w:val="00756C43"/>
    <w:rsid w:val="00756C78"/>
    <w:rsid w:val="00756DD9"/>
    <w:rsid w:val="00756DEC"/>
    <w:rsid w:val="00756ED9"/>
    <w:rsid w:val="0075719C"/>
    <w:rsid w:val="007571DF"/>
    <w:rsid w:val="00757564"/>
    <w:rsid w:val="00757659"/>
    <w:rsid w:val="007577CB"/>
    <w:rsid w:val="00757896"/>
    <w:rsid w:val="00757EFE"/>
    <w:rsid w:val="007600FB"/>
    <w:rsid w:val="00760258"/>
    <w:rsid w:val="007602C6"/>
    <w:rsid w:val="007602C9"/>
    <w:rsid w:val="0076049A"/>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3D5E"/>
    <w:rsid w:val="00763E4D"/>
    <w:rsid w:val="00764095"/>
    <w:rsid w:val="00764200"/>
    <w:rsid w:val="00764235"/>
    <w:rsid w:val="00764241"/>
    <w:rsid w:val="00764323"/>
    <w:rsid w:val="007643DD"/>
    <w:rsid w:val="0076449B"/>
    <w:rsid w:val="007648C5"/>
    <w:rsid w:val="00764BAB"/>
    <w:rsid w:val="00764BF4"/>
    <w:rsid w:val="00764CD3"/>
    <w:rsid w:val="00764D59"/>
    <w:rsid w:val="00764DA1"/>
    <w:rsid w:val="00764E09"/>
    <w:rsid w:val="007651ED"/>
    <w:rsid w:val="007651FA"/>
    <w:rsid w:val="0076543B"/>
    <w:rsid w:val="00765567"/>
    <w:rsid w:val="00765620"/>
    <w:rsid w:val="00765A17"/>
    <w:rsid w:val="00765C2F"/>
    <w:rsid w:val="00765C6A"/>
    <w:rsid w:val="00765E51"/>
    <w:rsid w:val="007660A3"/>
    <w:rsid w:val="00766142"/>
    <w:rsid w:val="007661D1"/>
    <w:rsid w:val="007662BE"/>
    <w:rsid w:val="00766480"/>
    <w:rsid w:val="007664C0"/>
    <w:rsid w:val="00766703"/>
    <w:rsid w:val="0076673F"/>
    <w:rsid w:val="00766AD4"/>
    <w:rsid w:val="00766B75"/>
    <w:rsid w:val="00766F8B"/>
    <w:rsid w:val="00767563"/>
    <w:rsid w:val="0076777C"/>
    <w:rsid w:val="007677FF"/>
    <w:rsid w:val="00767818"/>
    <w:rsid w:val="00767B17"/>
    <w:rsid w:val="00767C00"/>
    <w:rsid w:val="00767C58"/>
    <w:rsid w:val="00767CCF"/>
    <w:rsid w:val="00770145"/>
    <w:rsid w:val="0077016F"/>
    <w:rsid w:val="00770319"/>
    <w:rsid w:val="0077064B"/>
    <w:rsid w:val="00770725"/>
    <w:rsid w:val="0077084B"/>
    <w:rsid w:val="007708BE"/>
    <w:rsid w:val="00770927"/>
    <w:rsid w:val="00770AC4"/>
    <w:rsid w:val="00770BC7"/>
    <w:rsid w:val="00770C2D"/>
    <w:rsid w:val="00770CBA"/>
    <w:rsid w:val="00770F07"/>
    <w:rsid w:val="00770FA9"/>
    <w:rsid w:val="007712FD"/>
    <w:rsid w:val="007719C2"/>
    <w:rsid w:val="00771A53"/>
    <w:rsid w:val="00771AAB"/>
    <w:rsid w:val="00771CDE"/>
    <w:rsid w:val="00772046"/>
    <w:rsid w:val="007722E4"/>
    <w:rsid w:val="007723D6"/>
    <w:rsid w:val="00772462"/>
    <w:rsid w:val="0077248E"/>
    <w:rsid w:val="007724D7"/>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02A"/>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EB6"/>
    <w:rsid w:val="00782139"/>
    <w:rsid w:val="007824B9"/>
    <w:rsid w:val="0078267A"/>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530"/>
    <w:rsid w:val="00785759"/>
    <w:rsid w:val="00785B54"/>
    <w:rsid w:val="007860AA"/>
    <w:rsid w:val="007867C5"/>
    <w:rsid w:val="00786805"/>
    <w:rsid w:val="007869C7"/>
    <w:rsid w:val="00786D45"/>
    <w:rsid w:val="00786EDA"/>
    <w:rsid w:val="00786F79"/>
    <w:rsid w:val="007871D0"/>
    <w:rsid w:val="00787357"/>
    <w:rsid w:val="007873C1"/>
    <w:rsid w:val="007873C3"/>
    <w:rsid w:val="007873E3"/>
    <w:rsid w:val="0078751C"/>
    <w:rsid w:val="007877A9"/>
    <w:rsid w:val="00787886"/>
    <w:rsid w:val="00787B69"/>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79A"/>
    <w:rsid w:val="00792FE5"/>
    <w:rsid w:val="00793436"/>
    <w:rsid w:val="00793493"/>
    <w:rsid w:val="0079367E"/>
    <w:rsid w:val="00793747"/>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73"/>
    <w:rsid w:val="007959D6"/>
    <w:rsid w:val="00795EE5"/>
    <w:rsid w:val="00795F87"/>
    <w:rsid w:val="0079611E"/>
    <w:rsid w:val="007961C9"/>
    <w:rsid w:val="00796337"/>
    <w:rsid w:val="007964B2"/>
    <w:rsid w:val="007964DB"/>
    <w:rsid w:val="007966A5"/>
    <w:rsid w:val="007967B9"/>
    <w:rsid w:val="007967D0"/>
    <w:rsid w:val="00796858"/>
    <w:rsid w:val="00796AB3"/>
    <w:rsid w:val="00796B09"/>
    <w:rsid w:val="00796BEB"/>
    <w:rsid w:val="00796E3D"/>
    <w:rsid w:val="00796F1E"/>
    <w:rsid w:val="0079766C"/>
    <w:rsid w:val="007976C5"/>
    <w:rsid w:val="00797773"/>
    <w:rsid w:val="00797B13"/>
    <w:rsid w:val="00797C4B"/>
    <w:rsid w:val="00797DF7"/>
    <w:rsid w:val="007A019B"/>
    <w:rsid w:val="007A0367"/>
    <w:rsid w:val="007A04BC"/>
    <w:rsid w:val="007A0599"/>
    <w:rsid w:val="007A082D"/>
    <w:rsid w:val="007A0895"/>
    <w:rsid w:val="007A08DE"/>
    <w:rsid w:val="007A0D7A"/>
    <w:rsid w:val="007A0D87"/>
    <w:rsid w:val="007A0EFA"/>
    <w:rsid w:val="007A0FD5"/>
    <w:rsid w:val="007A134C"/>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5E7"/>
    <w:rsid w:val="007A2630"/>
    <w:rsid w:val="007A2C36"/>
    <w:rsid w:val="007A2C72"/>
    <w:rsid w:val="007A2D17"/>
    <w:rsid w:val="007A2ECA"/>
    <w:rsid w:val="007A3003"/>
    <w:rsid w:val="007A376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0AE"/>
    <w:rsid w:val="007A610C"/>
    <w:rsid w:val="007A613F"/>
    <w:rsid w:val="007A61BA"/>
    <w:rsid w:val="007A6266"/>
    <w:rsid w:val="007A6383"/>
    <w:rsid w:val="007A6583"/>
    <w:rsid w:val="007A66DD"/>
    <w:rsid w:val="007A677F"/>
    <w:rsid w:val="007A6C2B"/>
    <w:rsid w:val="007A6CEC"/>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6C"/>
    <w:rsid w:val="007B07F9"/>
    <w:rsid w:val="007B081C"/>
    <w:rsid w:val="007B0EC8"/>
    <w:rsid w:val="007B1053"/>
    <w:rsid w:val="007B1284"/>
    <w:rsid w:val="007B14CF"/>
    <w:rsid w:val="007B1B00"/>
    <w:rsid w:val="007B1F34"/>
    <w:rsid w:val="007B1F40"/>
    <w:rsid w:val="007B20E8"/>
    <w:rsid w:val="007B2103"/>
    <w:rsid w:val="007B24D7"/>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1D6"/>
    <w:rsid w:val="007C1443"/>
    <w:rsid w:val="007C156D"/>
    <w:rsid w:val="007C1981"/>
    <w:rsid w:val="007C1ADC"/>
    <w:rsid w:val="007C1FEA"/>
    <w:rsid w:val="007C212C"/>
    <w:rsid w:val="007C235B"/>
    <w:rsid w:val="007C2A17"/>
    <w:rsid w:val="007C2DC6"/>
    <w:rsid w:val="007C2E5B"/>
    <w:rsid w:val="007C2F18"/>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EF0"/>
    <w:rsid w:val="007C50A8"/>
    <w:rsid w:val="007C51A4"/>
    <w:rsid w:val="007C547A"/>
    <w:rsid w:val="007C5514"/>
    <w:rsid w:val="007C55C2"/>
    <w:rsid w:val="007C59E7"/>
    <w:rsid w:val="007C5B04"/>
    <w:rsid w:val="007C5D1E"/>
    <w:rsid w:val="007C5DE1"/>
    <w:rsid w:val="007C5F5F"/>
    <w:rsid w:val="007C5F6B"/>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6F"/>
    <w:rsid w:val="007D02F6"/>
    <w:rsid w:val="007D06D8"/>
    <w:rsid w:val="007D08BF"/>
    <w:rsid w:val="007D0955"/>
    <w:rsid w:val="007D0EAF"/>
    <w:rsid w:val="007D0F65"/>
    <w:rsid w:val="007D0F9D"/>
    <w:rsid w:val="007D118B"/>
    <w:rsid w:val="007D1532"/>
    <w:rsid w:val="007D18E0"/>
    <w:rsid w:val="007D1947"/>
    <w:rsid w:val="007D1A2C"/>
    <w:rsid w:val="007D1E0D"/>
    <w:rsid w:val="007D2029"/>
    <w:rsid w:val="007D209A"/>
    <w:rsid w:val="007D240B"/>
    <w:rsid w:val="007D269F"/>
    <w:rsid w:val="007D2B49"/>
    <w:rsid w:val="007D2BE7"/>
    <w:rsid w:val="007D2BEE"/>
    <w:rsid w:val="007D2D48"/>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DF2"/>
    <w:rsid w:val="007D4FF0"/>
    <w:rsid w:val="007D5206"/>
    <w:rsid w:val="007D5212"/>
    <w:rsid w:val="007D52F2"/>
    <w:rsid w:val="007D55D6"/>
    <w:rsid w:val="007D5742"/>
    <w:rsid w:val="007D57E0"/>
    <w:rsid w:val="007D59E9"/>
    <w:rsid w:val="007D6076"/>
    <w:rsid w:val="007D61CD"/>
    <w:rsid w:val="007D667C"/>
    <w:rsid w:val="007D67D4"/>
    <w:rsid w:val="007D67D5"/>
    <w:rsid w:val="007D68CB"/>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5F"/>
    <w:rsid w:val="007E3767"/>
    <w:rsid w:val="007E3D0C"/>
    <w:rsid w:val="007E4583"/>
    <w:rsid w:val="007E4740"/>
    <w:rsid w:val="007E4760"/>
    <w:rsid w:val="007E4853"/>
    <w:rsid w:val="007E4AAA"/>
    <w:rsid w:val="007E4F14"/>
    <w:rsid w:val="007E526D"/>
    <w:rsid w:val="007E5284"/>
    <w:rsid w:val="007E53A0"/>
    <w:rsid w:val="007E5E24"/>
    <w:rsid w:val="007E5F1A"/>
    <w:rsid w:val="007E60DE"/>
    <w:rsid w:val="007E6261"/>
    <w:rsid w:val="007E63F7"/>
    <w:rsid w:val="007E69B0"/>
    <w:rsid w:val="007E6A2A"/>
    <w:rsid w:val="007E6C90"/>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0A"/>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9F0"/>
    <w:rsid w:val="007F6EFD"/>
    <w:rsid w:val="007F6F15"/>
    <w:rsid w:val="007F7080"/>
    <w:rsid w:val="007F70A1"/>
    <w:rsid w:val="007F72CE"/>
    <w:rsid w:val="007F7358"/>
    <w:rsid w:val="007F74F9"/>
    <w:rsid w:val="0080016C"/>
    <w:rsid w:val="008001BF"/>
    <w:rsid w:val="008001CE"/>
    <w:rsid w:val="00800249"/>
    <w:rsid w:val="00800280"/>
    <w:rsid w:val="008006AB"/>
    <w:rsid w:val="00800904"/>
    <w:rsid w:val="00800919"/>
    <w:rsid w:val="00800A8E"/>
    <w:rsid w:val="00800D8E"/>
    <w:rsid w:val="00800DEE"/>
    <w:rsid w:val="00800E4F"/>
    <w:rsid w:val="0080104C"/>
    <w:rsid w:val="008015C1"/>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0EF"/>
    <w:rsid w:val="00804306"/>
    <w:rsid w:val="0080435F"/>
    <w:rsid w:val="008044AF"/>
    <w:rsid w:val="008044C1"/>
    <w:rsid w:val="008044FA"/>
    <w:rsid w:val="008045D1"/>
    <w:rsid w:val="008047E4"/>
    <w:rsid w:val="0080489D"/>
    <w:rsid w:val="00804B6F"/>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44F"/>
    <w:rsid w:val="008206CD"/>
    <w:rsid w:val="00820803"/>
    <w:rsid w:val="00821209"/>
    <w:rsid w:val="00821281"/>
    <w:rsid w:val="00821348"/>
    <w:rsid w:val="00821370"/>
    <w:rsid w:val="00821381"/>
    <w:rsid w:val="008214FC"/>
    <w:rsid w:val="0082174C"/>
    <w:rsid w:val="00821753"/>
    <w:rsid w:val="008218B4"/>
    <w:rsid w:val="00821B21"/>
    <w:rsid w:val="00821BF7"/>
    <w:rsid w:val="00821C3B"/>
    <w:rsid w:val="00821CA9"/>
    <w:rsid w:val="00821CFD"/>
    <w:rsid w:val="00821DE7"/>
    <w:rsid w:val="00822387"/>
    <w:rsid w:val="00822412"/>
    <w:rsid w:val="008226A5"/>
    <w:rsid w:val="00822A9E"/>
    <w:rsid w:val="00822B07"/>
    <w:rsid w:val="00822C21"/>
    <w:rsid w:val="00822C7F"/>
    <w:rsid w:val="00822E76"/>
    <w:rsid w:val="0082327A"/>
    <w:rsid w:val="008233DC"/>
    <w:rsid w:val="008233EA"/>
    <w:rsid w:val="0082343C"/>
    <w:rsid w:val="00823672"/>
    <w:rsid w:val="00823849"/>
    <w:rsid w:val="00823979"/>
    <w:rsid w:val="00823A77"/>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642"/>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299"/>
    <w:rsid w:val="008337A3"/>
    <w:rsid w:val="0083395D"/>
    <w:rsid w:val="00833A00"/>
    <w:rsid w:val="00834700"/>
    <w:rsid w:val="00834EE2"/>
    <w:rsid w:val="00834F3A"/>
    <w:rsid w:val="00834FFB"/>
    <w:rsid w:val="00835132"/>
    <w:rsid w:val="0083530C"/>
    <w:rsid w:val="00835420"/>
    <w:rsid w:val="00835645"/>
    <w:rsid w:val="0083566F"/>
    <w:rsid w:val="00835753"/>
    <w:rsid w:val="00835A5F"/>
    <w:rsid w:val="00835B7E"/>
    <w:rsid w:val="00835BE3"/>
    <w:rsid w:val="00835D7A"/>
    <w:rsid w:val="00835ECD"/>
    <w:rsid w:val="00835F94"/>
    <w:rsid w:val="00835FC4"/>
    <w:rsid w:val="00836851"/>
    <w:rsid w:val="00836A60"/>
    <w:rsid w:val="00836CC0"/>
    <w:rsid w:val="00836CCD"/>
    <w:rsid w:val="008371DF"/>
    <w:rsid w:val="00837357"/>
    <w:rsid w:val="00837811"/>
    <w:rsid w:val="00837AA8"/>
    <w:rsid w:val="00837AC1"/>
    <w:rsid w:val="00837AD4"/>
    <w:rsid w:val="00837C10"/>
    <w:rsid w:val="00837C21"/>
    <w:rsid w:val="00837C6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67"/>
    <w:rsid w:val="00841F2E"/>
    <w:rsid w:val="00842042"/>
    <w:rsid w:val="0084226B"/>
    <w:rsid w:val="00842291"/>
    <w:rsid w:val="008424D2"/>
    <w:rsid w:val="0084260F"/>
    <w:rsid w:val="00842611"/>
    <w:rsid w:val="00842695"/>
    <w:rsid w:val="00842988"/>
    <w:rsid w:val="00842EB4"/>
    <w:rsid w:val="00843072"/>
    <w:rsid w:val="00843248"/>
    <w:rsid w:val="008433FD"/>
    <w:rsid w:val="008434E0"/>
    <w:rsid w:val="00843564"/>
    <w:rsid w:val="008436DB"/>
    <w:rsid w:val="00843DD2"/>
    <w:rsid w:val="00843FB9"/>
    <w:rsid w:val="0084415C"/>
    <w:rsid w:val="00844428"/>
    <w:rsid w:val="0084476C"/>
    <w:rsid w:val="00844A39"/>
    <w:rsid w:val="0084509D"/>
    <w:rsid w:val="0084534E"/>
    <w:rsid w:val="00845604"/>
    <w:rsid w:val="00845889"/>
    <w:rsid w:val="008458C6"/>
    <w:rsid w:val="00845C18"/>
    <w:rsid w:val="00845D51"/>
    <w:rsid w:val="00845D5A"/>
    <w:rsid w:val="008460EE"/>
    <w:rsid w:val="008462D7"/>
    <w:rsid w:val="00846B32"/>
    <w:rsid w:val="00846CE9"/>
    <w:rsid w:val="00846DE3"/>
    <w:rsid w:val="00846F8E"/>
    <w:rsid w:val="0084700E"/>
    <w:rsid w:val="00847025"/>
    <w:rsid w:val="0084703D"/>
    <w:rsid w:val="008471E4"/>
    <w:rsid w:val="0084720A"/>
    <w:rsid w:val="008472A7"/>
    <w:rsid w:val="008473AF"/>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4"/>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341"/>
    <w:rsid w:val="0085557F"/>
    <w:rsid w:val="008555B7"/>
    <w:rsid w:val="0085561F"/>
    <w:rsid w:val="0085562A"/>
    <w:rsid w:val="008558C7"/>
    <w:rsid w:val="0085590A"/>
    <w:rsid w:val="00855B2B"/>
    <w:rsid w:val="00855C17"/>
    <w:rsid w:val="00855E10"/>
    <w:rsid w:val="00856039"/>
    <w:rsid w:val="00856261"/>
    <w:rsid w:val="008564A8"/>
    <w:rsid w:val="00856753"/>
    <w:rsid w:val="008568E5"/>
    <w:rsid w:val="00856A89"/>
    <w:rsid w:val="00856AB0"/>
    <w:rsid w:val="0085703F"/>
    <w:rsid w:val="0085742E"/>
    <w:rsid w:val="00857749"/>
    <w:rsid w:val="00857889"/>
    <w:rsid w:val="0085793E"/>
    <w:rsid w:val="00857AF5"/>
    <w:rsid w:val="008600D4"/>
    <w:rsid w:val="00860211"/>
    <w:rsid w:val="0086040E"/>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CE8"/>
    <w:rsid w:val="00862F19"/>
    <w:rsid w:val="00862FEE"/>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19"/>
    <w:rsid w:val="00870A44"/>
    <w:rsid w:val="00870A5B"/>
    <w:rsid w:val="00870AAE"/>
    <w:rsid w:val="00870C9E"/>
    <w:rsid w:val="00870DD2"/>
    <w:rsid w:val="0087125E"/>
    <w:rsid w:val="0087146D"/>
    <w:rsid w:val="00871528"/>
    <w:rsid w:val="0087189E"/>
    <w:rsid w:val="00871A32"/>
    <w:rsid w:val="00871AC7"/>
    <w:rsid w:val="00871D4E"/>
    <w:rsid w:val="00871D7D"/>
    <w:rsid w:val="00871DE1"/>
    <w:rsid w:val="00871F01"/>
    <w:rsid w:val="00871FF7"/>
    <w:rsid w:val="008720C0"/>
    <w:rsid w:val="008727CF"/>
    <w:rsid w:val="008727D4"/>
    <w:rsid w:val="00872B33"/>
    <w:rsid w:val="00872CD4"/>
    <w:rsid w:val="00872CD5"/>
    <w:rsid w:val="00872F5A"/>
    <w:rsid w:val="00872FD8"/>
    <w:rsid w:val="0087306A"/>
    <w:rsid w:val="008732AE"/>
    <w:rsid w:val="0087363C"/>
    <w:rsid w:val="0087393E"/>
    <w:rsid w:val="00873AF2"/>
    <w:rsid w:val="00873B8E"/>
    <w:rsid w:val="00873E87"/>
    <w:rsid w:val="00873FE0"/>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3E"/>
    <w:rsid w:val="008850C2"/>
    <w:rsid w:val="008850EF"/>
    <w:rsid w:val="008851ED"/>
    <w:rsid w:val="00885409"/>
    <w:rsid w:val="00885811"/>
    <w:rsid w:val="00885D46"/>
    <w:rsid w:val="00885D73"/>
    <w:rsid w:val="00885E9F"/>
    <w:rsid w:val="00885EB7"/>
    <w:rsid w:val="00885F02"/>
    <w:rsid w:val="008861C6"/>
    <w:rsid w:val="0088622C"/>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4C"/>
    <w:rsid w:val="0089297A"/>
    <w:rsid w:val="00892A3A"/>
    <w:rsid w:val="00892A8C"/>
    <w:rsid w:val="00892C65"/>
    <w:rsid w:val="00892DD0"/>
    <w:rsid w:val="00892DDB"/>
    <w:rsid w:val="00893391"/>
    <w:rsid w:val="008933EB"/>
    <w:rsid w:val="00893435"/>
    <w:rsid w:val="00893470"/>
    <w:rsid w:val="00893632"/>
    <w:rsid w:val="00893879"/>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67E"/>
    <w:rsid w:val="00895B87"/>
    <w:rsid w:val="00895F8F"/>
    <w:rsid w:val="00896127"/>
    <w:rsid w:val="008961CA"/>
    <w:rsid w:val="00896206"/>
    <w:rsid w:val="008968C2"/>
    <w:rsid w:val="00896BFE"/>
    <w:rsid w:val="00896C9E"/>
    <w:rsid w:val="00896D12"/>
    <w:rsid w:val="008970C4"/>
    <w:rsid w:val="008972B0"/>
    <w:rsid w:val="0089762D"/>
    <w:rsid w:val="008978F0"/>
    <w:rsid w:val="008979A2"/>
    <w:rsid w:val="00897CD7"/>
    <w:rsid w:val="008A0463"/>
    <w:rsid w:val="008A069D"/>
    <w:rsid w:val="008A0767"/>
    <w:rsid w:val="008A07BD"/>
    <w:rsid w:val="008A0B3C"/>
    <w:rsid w:val="008A0F40"/>
    <w:rsid w:val="008A198E"/>
    <w:rsid w:val="008A1BAB"/>
    <w:rsid w:val="008A1E23"/>
    <w:rsid w:val="008A237E"/>
    <w:rsid w:val="008A2407"/>
    <w:rsid w:val="008A242B"/>
    <w:rsid w:val="008A2730"/>
    <w:rsid w:val="008A282E"/>
    <w:rsid w:val="008A29FD"/>
    <w:rsid w:val="008A2CBB"/>
    <w:rsid w:val="008A2ED4"/>
    <w:rsid w:val="008A30C0"/>
    <w:rsid w:val="008A32E7"/>
    <w:rsid w:val="008A3803"/>
    <w:rsid w:val="008A38E3"/>
    <w:rsid w:val="008A3A28"/>
    <w:rsid w:val="008A3AF5"/>
    <w:rsid w:val="008A3B2C"/>
    <w:rsid w:val="008A3B51"/>
    <w:rsid w:val="008A3EB1"/>
    <w:rsid w:val="008A3F2A"/>
    <w:rsid w:val="008A41CE"/>
    <w:rsid w:val="008A41DF"/>
    <w:rsid w:val="008A4796"/>
    <w:rsid w:val="008A4A77"/>
    <w:rsid w:val="008A4B7E"/>
    <w:rsid w:val="008A4D9A"/>
    <w:rsid w:val="008A4DB3"/>
    <w:rsid w:val="008A52CC"/>
    <w:rsid w:val="008A5504"/>
    <w:rsid w:val="008A5883"/>
    <w:rsid w:val="008A5A2E"/>
    <w:rsid w:val="008A5A78"/>
    <w:rsid w:val="008A5EC3"/>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442"/>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6A0"/>
    <w:rsid w:val="008B0A4C"/>
    <w:rsid w:val="008B0CCF"/>
    <w:rsid w:val="008B0F4C"/>
    <w:rsid w:val="008B10BE"/>
    <w:rsid w:val="008B137D"/>
    <w:rsid w:val="008B13EF"/>
    <w:rsid w:val="008B14D1"/>
    <w:rsid w:val="008B1A78"/>
    <w:rsid w:val="008B1A8E"/>
    <w:rsid w:val="008B1EDA"/>
    <w:rsid w:val="008B1EE7"/>
    <w:rsid w:val="008B205C"/>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2F7"/>
    <w:rsid w:val="008B44EB"/>
    <w:rsid w:val="008B4566"/>
    <w:rsid w:val="008B47FF"/>
    <w:rsid w:val="008B482A"/>
    <w:rsid w:val="008B49B0"/>
    <w:rsid w:val="008B4A8E"/>
    <w:rsid w:val="008B4C73"/>
    <w:rsid w:val="008B4DD3"/>
    <w:rsid w:val="008B4E26"/>
    <w:rsid w:val="008B4E67"/>
    <w:rsid w:val="008B51BC"/>
    <w:rsid w:val="008B5260"/>
    <w:rsid w:val="008B5270"/>
    <w:rsid w:val="008B5785"/>
    <w:rsid w:val="008B59C0"/>
    <w:rsid w:val="008B5AB2"/>
    <w:rsid w:val="008B5FFB"/>
    <w:rsid w:val="008B63E5"/>
    <w:rsid w:val="008B645E"/>
    <w:rsid w:val="008B675D"/>
    <w:rsid w:val="008B6A03"/>
    <w:rsid w:val="008B6A3E"/>
    <w:rsid w:val="008B6AAE"/>
    <w:rsid w:val="008B6B85"/>
    <w:rsid w:val="008B6FAB"/>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A79"/>
    <w:rsid w:val="008C0D2D"/>
    <w:rsid w:val="008C0F28"/>
    <w:rsid w:val="008C0F44"/>
    <w:rsid w:val="008C0FA4"/>
    <w:rsid w:val="008C10B0"/>
    <w:rsid w:val="008C12BF"/>
    <w:rsid w:val="008C12C1"/>
    <w:rsid w:val="008C12F2"/>
    <w:rsid w:val="008C1352"/>
    <w:rsid w:val="008C13FF"/>
    <w:rsid w:val="008C160F"/>
    <w:rsid w:val="008C18B0"/>
    <w:rsid w:val="008C1B14"/>
    <w:rsid w:val="008C1DFE"/>
    <w:rsid w:val="008C1E08"/>
    <w:rsid w:val="008C1E23"/>
    <w:rsid w:val="008C1E8A"/>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3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3CF"/>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45B"/>
    <w:rsid w:val="008D2845"/>
    <w:rsid w:val="008D2CC8"/>
    <w:rsid w:val="008D2E4C"/>
    <w:rsid w:val="008D2F10"/>
    <w:rsid w:val="008D33F2"/>
    <w:rsid w:val="008D3421"/>
    <w:rsid w:val="008D365B"/>
    <w:rsid w:val="008D373D"/>
    <w:rsid w:val="008D3761"/>
    <w:rsid w:val="008D37EB"/>
    <w:rsid w:val="008D3907"/>
    <w:rsid w:val="008D3E2A"/>
    <w:rsid w:val="008D404F"/>
    <w:rsid w:val="008D4060"/>
    <w:rsid w:val="008D41A9"/>
    <w:rsid w:val="008D41EF"/>
    <w:rsid w:val="008D431C"/>
    <w:rsid w:val="008D434C"/>
    <w:rsid w:val="008D45B9"/>
    <w:rsid w:val="008D4972"/>
    <w:rsid w:val="008D4C14"/>
    <w:rsid w:val="008D4C2C"/>
    <w:rsid w:val="008D4C5D"/>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A27"/>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DA5"/>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6F"/>
    <w:rsid w:val="008E2FB9"/>
    <w:rsid w:val="008E308B"/>
    <w:rsid w:val="008E3292"/>
    <w:rsid w:val="008E3894"/>
    <w:rsid w:val="008E3B5B"/>
    <w:rsid w:val="008E3C89"/>
    <w:rsid w:val="008E3CA1"/>
    <w:rsid w:val="008E3CEB"/>
    <w:rsid w:val="008E3CF9"/>
    <w:rsid w:val="008E3D68"/>
    <w:rsid w:val="008E4167"/>
    <w:rsid w:val="008E41CA"/>
    <w:rsid w:val="008E4234"/>
    <w:rsid w:val="008E4366"/>
    <w:rsid w:val="008E4482"/>
    <w:rsid w:val="008E4484"/>
    <w:rsid w:val="008E44B7"/>
    <w:rsid w:val="008E4606"/>
    <w:rsid w:val="008E46E1"/>
    <w:rsid w:val="008E4A8E"/>
    <w:rsid w:val="008E4DFB"/>
    <w:rsid w:val="008E4F8D"/>
    <w:rsid w:val="008E5011"/>
    <w:rsid w:val="008E5217"/>
    <w:rsid w:val="008E565E"/>
    <w:rsid w:val="008E5791"/>
    <w:rsid w:val="008E5841"/>
    <w:rsid w:val="008E5ACF"/>
    <w:rsid w:val="008E5C0B"/>
    <w:rsid w:val="008E5EE3"/>
    <w:rsid w:val="008E5EFF"/>
    <w:rsid w:val="008E63F7"/>
    <w:rsid w:val="008E6638"/>
    <w:rsid w:val="008E6698"/>
    <w:rsid w:val="008E66F0"/>
    <w:rsid w:val="008E69A1"/>
    <w:rsid w:val="008E6A88"/>
    <w:rsid w:val="008E6ACE"/>
    <w:rsid w:val="008E6AF8"/>
    <w:rsid w:val="008E6C15"/>
    <w:rsid w:val="008E6DA9"/>
    <w:rsid w:val="008E7545"/>
    <w:rsid w:val="008F0102"/>
    <w:rsid w:val="008F01F5"/>
    <w:rsid w:val="008F0795"/>
    <w:rsid w:val="008F084E"/>
    <w:rsid w:val="008F08B0"/>
    <w:rsid w:val="008F0F1F"/>
    <w:rsid w:val="008F0FEA"/>
    <w:rsid w:val="008F13B1"/>
    <w:rsid w:val="008F13F7"/>
    <w:rsid w:val="008F179C"/>
    <w:rsid w:val="008F1957"/>
    <w:rsid w:val="008F197C"/>
    <w:rsid w:val="008F19F6"/>
    <w:rsid w:val="008F1D28"/>
    <w:rsid w:val="008F22A6"/>
    <w:rsid w:val="008F2342"/>
    <w:rsid w:val="008F23EF"/>
    <w:rsid w:val="008F245D"/>
    <w:rsid w:val="008F24D9"/>
    <w:rsid w:val="008F2548"/>
    <w:rsid w:val="008F2700"/>
    <w:rsid w:val="008F2982"/>
    <w:rsid w:val="008F298A"/>
    <w:rsid w:val="008F2A75"/>
    <w:rsid w:val="008F2F30"/>
    <w:rsid w:val="008F334F"/>
    <w:rsid w:val="008F3A24"/>
    <w:rsid w:val="008F3CB2"/>
    <w:rsid w:val="008F3DCB"/>
    <w:rsid w:val="008F3E8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4BF"/>
    <w:rsid w:val="009015BB"/>
    <w:rsid w:val="00901672"/>
    <w:rsid w:val="009016B6"/>
    <w:rsid w:val="0090176B"/>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3CC"/>
    <w:rsid w:val="009044EA"/>
    <w:rsid w:val="0090463B"/>
    <w:rsid w:val="009046D4"/>
    <w:rsid w:val="00904925"/>
    <w:rsid w:val="00904AF3"/>
    <w:rsid w:val="00904C81"/>
    <w:rsid w:val="00904DCE"/>
    <w:rsid w:val="0090517C"/>
    <w:rsid w:val="0090526E"/>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A8D"/>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759"/>
    <w:rsid w:val="0091285C"/>
    <w:rsid w:val="00912C4A"/>
    <w:rsid w:val="00913340"/>
    <w:rsid w:val="0091334E"/>
    <w:rsid w:val="0091366F"/>
    <w:rsid w:val="009137E6"/>
    <w:rsid w:val="009138AF"/>
    <w:rsid w:val="00913A34"/>
    <w:rsid w:val="00913AB1"/>
    <w:rsid w:val="00913F2E"/>
    <w:rsid w:val="00913FB0"/>
    <w:rsid w:val="00914022"/>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CD1"/>
    <w:rsid w:val="00916F01"/>
    <w:rsid w:val="009170C8"/>
    <w:rsid w:val="00917156"/>
    <w:rsid w:val="0091717B"/>
    <w:rsid w:val="00917314"/>
    <w:rsid w:val="009173D9"/>
    <w:rsid w:val="009174B1"/>
    <w:rsid w:val="00917578"/>
    <w:rsid w:val="0091779F"/>
    <w:rsid w:val="00917B1B"/>
    <w:rsid w:val="00917D31"/>
    <w:rsid w:val="00917D3D"/>
    <w:rsid w:val="0092003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16A"/>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BC6"/>
    <w:rsid w:val="00925C79"/>
    <w:rsid w:val="0092642B"/>
    <w:rsid w:val="00926670"/>
    <w:rsid w:val="00926964"/>
    <w:rsid w:val="0092697A"/>
    <w:rsid w:val="00926D1D"/>
    <w:rsid w:val="00926D48"/>
    <w:rsid w:val="00926F9E"/>
    <w:rsid w:val="0092726F"/>
    <w:rsid w:val="00927294"/>
    <w:rsid w:val="009273E6"/>
    <w:rsid w:val="009276BC"/>
    <w:rsid w:val="009278D9"/>
    <w:rsid w:val="0092796B"/>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F39"/>
    <w:rsid w:val="0093253B"/>
    <w:rsid w:val="009328E3"/>
    <w:rsid w:val="00932AA4"/>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32A"/>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47"/>
    <w:rsid w:val="00937052"/>
    <w:rsid w:val="009370BB"/>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0AC"/>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0C"/>
    <w:rsid w:val="00946DF8"/>
    <w:rsid w:val="00947531"/>
    <w:rsid w:val="0094774C"/>
    <w:rsid w:val="00947B67"/>
    <w:rsid w:val="00950054"/>
    <w:rsid w:val="009500EF"/>
    <w:rsid w:val="0095068D"/>
    <w:rsid w:val="00950706"/>
    <w:rsid w:val="009508D2"/>
    <w:rsid w:val="00950AAC"/>
    <w:rsid w:val="00950AB4"/>
    <w:rsid w:val="00951531"/>
    <w:rsid w:val="00951758"/>
    <w:rsid w:val="009517B8"/>
    <w:rsid w:val="009519F3"/>
    <w:rsid w:val="00951D48"/>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150"/>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A02"/>
    <w:rsid w:val="00956DAB"/>
    <w:rsid w:val="009576B3"/>
    <w:rsid w:val="00957747"/>
    <w:rsid w:val="009578F0"/>
    <w:rsid w:val="00957AE1"/>
    <w:rsid w:val="00957C00"/>
    <w:rsid w:val="00957C4E"/>
    <w:rsid w:val="00957CB5"/>
    <w:rsid w:val="009606DD"/>
    <w:rsid w:val="009606E9"/>
    <w:rsid w:val="00960981"/>
    <w:rsid w:val="009609C8"/>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9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CB1"/>
    <w:rsid w:val="00965F96"/>
    <w:rsid w:val="00966189"/>
    <w:rsid w:val="00966A2D"/>
    <w:rsid w:val="00966AD1"/>
    <w:rsid w:val="00966D41"/>
    <w:rsid w:val="0096713B"/>
    <w:rsid w:val="0096720F"/>
    <w:rsid w:val="00967210"/>
    <w:rsid w:val="009672D3"/>
    <w:rsid w:val="00967513"/>
    <w:rsid w:val="00967A58"/>
    <w:rsid w:val="00967D01"/>
    <w:rsid w:val="00967E67"/>
    <w:rsid w:val="00967ECC"/>
    <w:rsid w:val="00970698"/>
    <w:rsid w:val="009706BF"/>
    <w:rsid w:val="00970862"/>
    <w:rsid w:val="0097086F"/>
    <w:rsid w:val="00970C01"/>
    <w:rsid w:val="00970E59"/>
    <w:rsid w:val="00971237"/>
    <w:rsid w:val="00971511"/>
    <w:rsid w:val="0097185C"/>
    <w:rsid w:val="0097190C"/>
    <w:rsid w:val="00971A30"/>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460"/>
    <w:rsid w:val="009736C3"/>
    <w:rsid w:val="0097397D"/>
    <w:rsid w:val="00973C21"/>
    <w:rsid w:val="00973C4C"/>
    <w:rsid w:val="00973C88"/>
    <w:rsid w:val="0097476F"/>
    <w:rsid w:val="0097481B"/>
    <w:rsid w:val="00974CA4"/>
    <w:rsid w:val="00974DA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DD8"/>
    <w:rsid w:val="00976EB8"/>
    <w:rsid w:val="00976ED3"/>
    <w:rsid w:val="00976F11"/>
    <w:rsid w:val="00977125"/>
    <w:rsid w:val="00977168"/>
    <w:rsid w:val="009771BA"/>
    <w:rsid w:val="009771CF"/>
    <w:rsid w:val="00977278"/>
    <w:rsid w:val="009772A4"/>
    <w:rsid w:val="009773B7"/>
    <w:rsid w:val="00977668"/>
    <w:rsid w:val="00977874"/>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FE8"/>
    <w:rsid w:val="009836AB"/>
    <w:rsid w:val="009836F3"/>
    <w:rsid w:val="009839ED"/>
    <w:rsid w:val="00983DF4"/>
    <w:rsid w:val="009840B2"/>
    <w:rsid w:val="009841EB"/>
    <w:rsid w:val="0098446D"/>
    <w:rsid w:val="00984585"/>
    <w:rsid w:val="00984B72"/>
    <w:rsid w:val="00984D78"/>
    <w:rsid w:val="00984DB4"/>
    <w:rsid w:val="0098566D"/>
    <w:rsid w:val="00985747"/>
    <w:rsid w:val="00985935"/>
    <w:rsid w:val="009859F8"/>
    <w:rsid w:val="00985CDA"/>
    <w:rsid w:val="00985EF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87"/>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BEB"/>
    <w:rsid w:val="00993EA0"/>
    <w:rsid w:val="00993F05"/>
    <w:rsid w:val="009940E7"/>
    <w:rsid w:val="00994237"/>
    <w:rsid w:val="00994326"/>
    <w:rsid w:val="0099451B"/>
    <w:rsid w:val="0099488C"/>
    <w:rsid w:val="009948CE"/>
    <w:rsid w:val="00994A61"/>
    <w:rsid w:val="00994DB3"/>
    <w:rsid w:val="00994DD0"/>
    <w:rsid w:val="00994E02"/>
    <w:rsid w:val="00994FD4"/>
    <w:rsid w:val="00995159"/>
    <w:rsid w:val="009955C8"/>
    <w:rsid w:val="00995606"/>
    <w:rsid w:val="009956B6"/>
    <w:rsid w:val="0099573D"/>
    <w:rsid w:val="009958F2"/>
    <w:rsid w:val="0099592B"/>
    <w:rsid w:val="00995CA2"/>
    <w:rsid w:val="00995D76"/>
    <w:rsid w:val="00995DA0"/>
    <w:rsid w:val="00995E4A"/>
    <w:rsid w:val="00995F58"/>
    <w:rsid w:val="0099605A"/>
    <w:rsid w:val="009960D6"/>
    <w:rsid w:val="009962BB"/>
    <w:rsid w:val="009963B2"/>
    <w:rsid w:val="0099643D"/>
    <w:rsid w:val="009969CA"/>
    <w:rsid w:val="00996D6B"/>
    <w:rsid w:val="0099735C"/>
    <w:rsid w:val="00997395"/>
    <w:rsid w:val="00997495"/>
    <w:rsid w:val="0099762E"/>
    <w:rsid w:val="009976B5"/>
    <w:rsid w:val="0099780B"/>
    <w:rsid w:val="0099785E"/>
    <w:rsid w:val="00997CB5"/>
    <w:rsid w:val="00997E5D"/>
    <w:rsid w:val="009A021D"/>
    <w:rsid w:val="009A0512"/>
    <w:rsid w:val="009A0832"/>
    <w:rsid w:val="009A0D3B"/>
    <w:rsid w:val="009A0F97"/>
    <w:rsid w:val="009A133D"/>
    <w:rsid w:val="009A139E"/>
    <w:rsid w:val="009A151C"/>
    <w:rsid w:val="009A1919"/>
    <w:rsid w:val="009A1ADC"/>
    <w:rsid w:val="009A1B94"/>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177"/>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5EBC"/>
    <w:rsid w:val="009A6025"/>
    <w:rsid w:val="009A6215"/>
    <w:rsid w:val="009A62D2"/>
    <w:rsid w:val="009A6737"/>
    <w:rsid w:val="009A6866"/>
    <w:rsid w:val="009A6B12"/>
    <w:rsid w:val="009A6E3E"/>
    <w:rsid w:val="009A715B"/>
    <w:rsid w:val="009A720E"/>
    <w:rsid w:val="009A72D1"/>
    <w:rsid w:val="009A73D5"/>
    <w:rsid w:val="009A73D7"/>
    <w:rsid w:val="009A754F"/>
    <w:rsid w:val="009A76CA"/>
    <w:rsid w:val="009A7727"/>
    <w:rsid w:val="009A77B9"/>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4B5"/>
    <w:rsid w:val="009B6B70"/>
    <w:rsid w:val="009B6B99"/>
    <w:rsid w:val="009B6C3E"/>
    <w:rsid w:val="009B6CDC"/>
    <w:rsid w:val="009B6DB4"/>
    <w:rsid w:val="009B6F01"/>
    <w:rsid w:val="009B7077"/>
    <w:rsid w:val="009B720E"/>
    <w:rsid w:val="009B7285"/>
    <w:rsid w:val="009B7364"/>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235"/>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A18"/>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52"/>
    <w:rsid w:val="009C6149"/>
    <w:rsid w:val="009C6159"/>
    <w:rsid w:val="009C61AE"/>
    <w:rsid w:val="009C62AC"/>
    <w:rsid w:val="009C62D6"/>
    <w:rsid w:val="009C63AB"/>
    <w:rsid w:val="009C65BE"/>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2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3C0"/>
    <w:rsid w:val="009D459C"/>
    <w:rsid w:val="009D470F"/>
    <w:rsid w:val="009D4A13"/>
    <w:rsid w:val="009D4BC6"/>
    <w:rsid w:val="009D4CB8"/>
    <w:rsid w:val="009D4D19"/>
    <w:rsid w:val="009D4DB0"/>
    <w:rsid w:val="009D5015"/>
    <w:rsid w:val="009D53F1"/>
    <w:rsid w:val="009D5607"/>
    <w:rsid w:val="009D5717"/>
    <w:rsid w:val="009D5827"/>
    <w:rsid w:val="009D5CDC"/>
    <w:rsid w:val="009D5D06"/>
    <w:rsid w:val="009D5D10"/>
    <w:rsid w:val="009D5D22"/>
    <w:rsid w:val="009D5F7E"/>
    <w:rsid w:val="009D600D"/>
    <w:rsid w:val="009D6740"/>
    <w:rsid w:val="009D69B3"/>
    <w:rsid w:val="009D69CC"/>
    <w:rsid w:val="009D6CAE"/>
    <w:rsid w:val="009D6CF1"/>
    <w:rsid w:val="009D6CFB"/>
    <w:rsid w:val="009D7188"/>
    <w:rsid w:val="009D73A2"/>
    <w:rsid w:val="009D74E9"/>
    <w:rsid w:val="009D75B6"/>
    <w:rsid w:val="009D75D6"/>
    <w:rsid w:val="009D7708"/>
    <w:rsid w:val="009D7EB1"/>
    <w:rsid w:val="009D7F10"/>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3D"/>
    <w:rsid w:val="009E1AC7"/>
    <w:rsid w:val="009E1ACA"/>
    <w:rsid w:val="009E1B56"/>
    <w:rsid w:val="009E1DFD"/>
    <w:rsid w:val="009E1E0B"/>
    <w:rsid w:val="009E2210"/>
    <w:rsid w:val="009E25AA"/>
    <w:rsid w:val="009E267A"/>
    <w:rsid w:val="009E2709"/>
    <w:rsid w:val="009E271E"/>
    <w:rsid w:val="009E28FB"/>
    <w:rsid w:val="009E302B"/>
    <w:rsid w:val="009E32C6"/>
    <w:rsid w:val="009E3533"/>
    <w:rsid w:val="009E398D"/>
    <w:rsid w:val="009E39AA"/>
    <w:rsid w:val="009E4A20"/>
    <w:rsid w:val="009E4A6A"/>
    <w:rsid w:val="009E4FA1"/>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DE8"/>
    <w:rsid w:val="009E6F1A"/>
    <w:rsid w:val="009E6F4F"/>
    <w:rsid w:val="009E725B"/>
    <w:rsid w:val="009E7A72"/>
    <w:rsid w:val="009E7A9D"/>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6C"/>
    <w:rsid w:val="009F2076"/>
    <w:rsid w:val="009F2295"/>
    <w:rsid w:val="009F2467"/>
    <w:rsid w:val="009F297A"/>
    <w:rsid w:val="009F2B85"/>
    <w:rsid w:val="009F2DEC"/>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57C"/>
    <w:rsid w:val="009F5834"/>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4B9"/>
    <w:rsid w:val="009F7866"/>
    <w:rsid w:val="009F7902"/>
    <w:rsid w:val="00A00029"/>
    <w:rsid w:val="00A000E8"/>
    <w:rsid w:val="00A00524"/>
    <w:rsid w:val="00A00581"/>
    <w:rsid w:val="00A0083F"/>
    <w:rsid w:val="00A008A5"/>
    <w:rsid w:val="00A009E9"/>
    <w:rsid w:val="00A00AFF"/>
    <w:rsid w:val="00A00E80"/>
    <w:rsid w:val="00A00E99"/>
    <w:rsid w:val="00A00F3E"/>
    <w:rsid w:val="00A01053"/>
    <w:rsid w:val="00A011A7"/>
    <w:rsid w:val="00A011F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74C"/>
    <w:rsid w:val="00A03D06"/>
    <w:rsid w:val="00A042A2"/>
    <w:rsid w:val="00A0438C"/>
    <w:rsid w:val="00A047DA"/>
    <w:rsid w:val="00A04A3E"/>
    <w:rsid w:val="00A04C50"/>
    <w:rsid w:val="00A0511E"/>
    <w:rsid w:val="00A052ED"/>
    <w:rsid w:val="00A05371"/>
    <w:rsid w:val="00A054C9"/>
    <w:rsid w:val="00A05905"/>
    <w:rsid w:val="00A05AC6"/>
    <w:rsid w:val="00A060B4"/>
    <w:rsid w:val="00A060EB"/>
    <w:rsid w:val="00A0636B"/>
    <w:rsid w:val="00A06CF7"/>
    <w:rsid w:val="00A06D47"/>
    <w:rsid w:val="00A06E6F"/>
    <w:rsid w:val="00A070DD"/>
    <w:rsid w:val="00A07365"/>
    <w:rsid w:val="00A07514"/>
    <w:rsid w:val="00A07558"/>
    <w:rsid w:val="00A078AB"/>
    <w:rsid w:val="00A07913"/>
    <w:rsid w:val="00A07F2D"/>
    <w:rsid w:val="00A102D1"/>
    <w:rsid w:val="00A1031F"/>
    <w:rsid w:val="00A108F7"/>
    <w:rsid w:val="00A10914"/>
    <w:rsid w:val="00A10A9E"/>
    <w:rsid w:val="00A10CD3"/>
    <w:rsid w:val="00A10D24"/>
    <w:rsid w:val="00A10F73"/>
    <w:rsid w:val="00A11049"/>
    <w:rsid w:val="00A113F3"/>
    <w:rsid w:val="00A115BF"/>
    <w:rsid w:val="00A11863"/>
    <w:rsid w:val="00A118FA"/>
    <w:rsid w:val="00A11A14"/>
    <w:rsid w:val="00A11A26"/>
    <w:rsid w:val="00A11A61"/>
    <w:rsid w:val="00A11AD2"/>
    <w:rsid w:val="00A11B95"/>
    <w:rsid w:val="00A11C1E"/>
    <w:rsid w:val="00A11E64"/>
    <w:rsid w:val="00A11F12"/>
    <w:rsid w:val="00A11FD6"/>
    <w:rsid w:val="00A12425"/>
    <w:rsid w:val="00A12641"/>
    <w:rsid w:val="00A126A9"/>
    <w:rsid w:val="00A126E7"/>
    <w:rsid w:val="00A1279B"/>
    <w:rsid w:val="00A12815"/>
    <w:rsid w:val="00A128F8"/>
    <w:rsid w:val="00A12AB9"/>
    <w:rsid w:val="00A12AC9"/>
    <w:rsid w:val="00A12F49"/>
    <w:rsid w:val="00A12FA4"/>
    <w:rsid w:val="00A131A5"/>
    <w:rsid w:val="00A132A9"/>
    <w:rsid w:val="00A132EA"/>
    <w:rsid w:val="00A132F6"/>
    <w:rsid w:val="00A135E0"/>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AC"/>
    <w:rsid w:val="00A158D0"/>
    <w:rsid w:val="00A15A0C"/>
    <w:rsid w:val="00A15BD6"/>
    <w:rsid w:val="00A15D94"/>
    <w:rsid w:val="00A15E30"/>
    <w:rsid w:val="00A15E45"/>
    <w:rsid w:val="00A15F56"/>
    <w:rsid w:val="00A15FD3"/>
    <w:rsid w:val="00A1623E"/>
    <w:rsid w:val="00A16358"/>
    <w:rsid w:val="00A16AFB"/>
    <w:rsid w:val="00A16B6B"/>
    <w:rsid w:val="00A16BD2"/>
    <w:rsid w:val="00A170A8"/>
    <w:rsid w:val="00A17926"/>
    <w:rsid w:val="00A17D36"/>
    <w:rsid w:val="00A17D8D"/>
    <w:rsid w:val="00A17D96"/>
    <w:rsid w:val="00A17EB7"/>
    <w:rsid w:val="00A17FEF"/>
    <w:rsid w:val="00A2035D"/>
    <w:rsid w:val="00A204F7"/>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EBC"/>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C2"/>
    <w:rsid w:val="00A24C6C"/>
    <w:rsid w:val="00A24E28"/>
    <w:rsid w:val="00A24F20"/>
    <w:rsid w:val="00A24FE5"/>
    <w:rsid w:val="00A25135"/>
    <w:rsid w:val="00A25204"/>
    <w:rsid w:val="00A25242"/>
    <w:rsid w:val="00A252ED"/>
    <w:rsid w:val="00A256F5"/>
    <w:rsid w:val="00A2573E"/>
    <w:rsid w:val="00A257D4"/>
    <w:rsid w:val="00A2590B"/>
    <w:rsid w:val="00A25A17"/>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9ED"/>
    <w:rsid w:val="00A27C55"/>
    <w:rsid w:val="00A27C6F"/>
    <w:rsid w:val="00A27D07"/>
    <w:rsid w:val="00A27E3F"/>
    <w:rsid w:val="00A27EE4"/>
    <w:rsid w:val="00A300BA"/>
    <w:rsid w:val="00A30141"/>
    <w:rsid w:val="00A30292"/>
    <w:rsid w:val="00A302D6"/>
    <w:rsid w:val="00A30493"/>
    <w:rsid w:val="00A305DD"/>
    <w:rsid w:val="00A30B0B"/>
    <w:rsid w:val="00A30C76"/>
    <w:rsid w:val="00A30CDF"/>
    <w:rsid w:val="00A30FB3"/>
    <w:rsid w:val="00A31059"/>
    <w:rsid w:val="00A31572"/>
    <w:rsid w:val="00A317A5"/>
    <w:rsid w:val="00A318BE"/>
    <w:rsid w:val="00A3190D"/>
    <w:rsid w:val="00A319E6"/>
    <w:rsid w:val="00A31B12"/>
    <w:rsid w:val="00A31BBD"/>
    <w:rsid w:val="00A31D41"/>
    <w:rsid w:val="00A3208A"/>
    <w:rsid w:val="00A3231E"/>
    <w:rsid w:val="00A32540"/>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B3"/>
    <w:rsid w:val="00A347D1"/>
    <w:rsid w:val="00A34A2A"/>
    <w:rsid w:val="00A34A69"/>
    <w:rsid w:val="00A34B79"/>
    <w:rsid w:val="00A34F3B"/>
    <w:rsid w:val="00A351EF"/>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A8"/>
    <w:rsid w:val="00A36FC7"/>
    <w:rsid w:val="00A373C2"/>
    <w:rsid w:val="00A3758E"/>
    <w:rsid w:val="00A375F3"/>
    <w:rsid w:val="00A37608"/>
    <w:rsid w:val="00A37636"/>
    <w:rsid w:val="00A37707"/>
    <w:rsid w:val="00A3775E"/>
    <w:rsid w:val="00A37A89"/>
    <w:rsid w:val="00A37A8B"/>
    <w:rsid w:val="00A37E45"/>
    <w:rsid w:val="00A40110"/>
    <w:rsid w:val="00A40405"/>
    <w:rsid w:val="00A40430"/>
    <w:rsid w:val="00A40558"/>
    <w:rsid w:val="00A40AED"/>
    <w:rsid w:val="00A40B5C"/>
    <w:rsid w:val="00A40BE8"/>
    <w:rsid w:val="00A40C65"/>
    <w:rsid w:val="00A40DFC"/>
    <w:rsid w:val="00A41273"/>
    <w:rsid w:val="00A41558"/>
    <w:rsid w:val="00A415E6"/>
    <w:rsid w:val="00A4165A"/>
    <w:rsid w:val="00A41676"/>
    <w:rsid w:val="00A41AB4"/>
    <w:rsid w:val="00A41D6D"/>
    <w:rsid w:val="00A41EFA"/>
    <w:rsid w:val="00A4243C"/>
    <w:rsid w:val="00A42485"/>
    <w:rsid w:val="00A42623"/>
    <w:rsid w:val="00A42830"/>
    <w:rsid w:val="00A429E7"/>
    <w:rsid w:val="00A42A55"/>
    <w:rsid w:val="00A42D75"/>
    <w:rsid w:val="00A42F86"/>
    <w:rsid w:val="00A4308A"/>
    <w:rsid w:val="00A430CA"/>
    <w:rsid w:val="00A430F4"/>
    <w:rsid w:val="00A431DF"/>
    <w:rsid w:val="00A43234"/>
    <w:rsid w:val="00A43428"/>
    <w:rsid w:val="00A435CC"/>
    <w:rsid w:val="00A4374F"/>
    <w:rsid w:val="00A4375E"/>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19"/>
    <w:rsid w:val="00A46623"/>
    <w:rsid w:val="00A46754"/>
    <w:rsid w:val="00A46811"/>
    <w:rsid w:val="00A46E9B"/>
    <w:rsid w:val="00A46EDD"/>
    <w:rsid w:val="00A47495"/>
    <w:rsid w:val="00A474D3"/>
    <w:rsid w:val="00A47686"/>
    <w:rsid w:val="00A476AE"/>
    <w:rsid w:val="00A47A11"/>
    <w:rsid w:val="00A47B20"/>
    <w:rsid w:val="00A47B50"/>
    <w:rsid w:val="00A5018B"/>
    <w:rsid w:val="00A501B5"/>
    <w:rsid w:val="00A50442"/>
    <w:rsid w:val="00A5083B"/>
    <w:rsid w:val="00A50851"/>
    <w:rsid w:val="00A50BEE"/>
    <w:rsid w:val="00A50C46"/>
    <w:rsid w:val="00A50F5C"/>
    <w:rsid w:val="00A50FC2"/>
    <w:rsid w:val="00A514E9"/>
    <w:rsid w:val="00A5162C"/>
    <w:rsid w:val="00A5172B"/>
    <w:rsid w:val="00A51B8F"/>
    <w:rsid w:val="00A51DA9"/>
    <w:rsid w:val="00A521D5"/>
    <w:rsid w:val="00A522E3"/>
    <w:rsid w:val="00A52341"/>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7B5"/>
    <w:rsid w:val="00A55B14"/>
    <w:rsid w:val="00A55B79"/>
    <w:rsid w:val="00A55DD1"/>
    <w:rsid w:val="00A55DF4"/>
    <w:rsid w:val="00A55F56"/>
    <w:rsid w:val="00A55FEF"/>
    <w:rsid w:val="00A56309"/>
    <w:rsid w:val="00A5662D"/>
    <w:rsid w:val="00A56693"/>
    <w:rsid w:val="00A566A4"/>
    <w:rsid w:val="00A56A6B"/>
    <w:rsid w:val="00A56CDE"/>
    <w:rsid w:val="00A56DB5"/>
    <w:rsid w:val="00A57032"/>
    <w:rsid w:val="00A57352"/>
    <w:rsid w:val="00A57358"/>
    <w:rsid w:val="00A57481"/>
    <w:rsid w:val="00A574EC"/>
    <w:rsid w:val="00A577F4"/>
    <w:rsid w:val="00A57873"/>
    <w:rsid w:val="00A579B9"/>
    <w:rsid w:val="00A57D07"/>
    <w:rsid w:val="00A57EA7"/>
    <w:rsid w:val="00A57F60"/>
    <w:rsid w:val="00A6002A"/>
    <w:rsid w:val="00A6005D"/>
    <w:rsid w:val="00A602E2"/>
    <w:rsid w:val="00A603E3"/>
    <w:rsid w:val="00A60497"/>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4D3"/>
    <w:rsid w:val="00A62684"/>
    <w:rsid w:val="00A62695"/>
    <w:rsid w:val="00A627CD"/>
    <w:rsid w:val="00A6281D"/>
    <w:rsid w:val="00A628D9"/>
    <w:rsid w:val="00A62ACB"/>
    <w:rsid w:val="00A62B56"/>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33"/>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8EC"/>
    <w:rsid w:val="00A67C35"/>
    <w:rsid w:val="00A70367"/>
    <w:rsid w:val="00A7040A"/>
    <w:rsid w:val="00A704A9"/>
    <w:rsid w:val="00A704FC"/>
    <w:rsid w:val="00A70505"/>
    <w:rsid w:val="00A70812"/>
    <w:rsid w:val="00A7096A"/>
    <w:rsid w:val="00A709FA"/>
    <w:rsid w:val="00A70CD7"/>
    <w:rsid w:val="00A71159"/>
    <w:rsid w:val="00A711B4"/>
    <w:rsid w:val="00A71261"/>
    <w:rsid w:val="00A712E1"/>
    <w:rsid w:val="00A7132A"/>
    <w:rsid w:val="00A7173F"/>
    <w:rsid w:val="00A71A1F"/>
    <w:rsid w:val="00A71C5E"/>
    <w:rsid w:val="00A71D29"/>
    <w:rsid w:val="00A71E77"/>
    <w:rsid w:val="00A71ECA"/>
    <w:rsid w:val="00A71F32"/>
    <w:rsid w:val="00A72194"/>
    <w:rsid w:val="00A72306"/>
    <w:rsid w:val="00A725D9"/>
    <w:rsid w:val="00A72707"/>
    <w:rsid w:val="00A7281D"/>
    <w:rsid w:val="00A7289B"/>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7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3D6"/>
    <w:rsid w:val="00A775FD"/>
    <w:rsid w:val="00A77784"/>
    <w:rsid w:val="00A77807"/>
    <w:rsid w:val="00A77993"/>
    <w:rsid w:val="00A80272"/>
    <w:rsid w:val="00A80478"/>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2FD9"/>
    <w:rsid w:val="00A83679"/>
    <w:rsid w:val="00A83CDF"/>
    <w:rsid w:val="00A83CF5"/>
    <w:rsid w:val="00A83EC4"/>
    <w:rsid w:val="00A8407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F84"/>
    <w:rsid w:val="00A860B6"/>
    <w:rsid w:val="00A86101"/>
    <w:rsid w:val="00A8630B"/>
    <w:rsid w:val="00A866B8"/>
    <w:rsid w:val="00A8680E"/>
    <w:rsid w:val="00A8689B"/>
    <w:rsid w:val="00A86D27"/>
    <w:rsid w:val="00A86E37"/>
    <w:rsid w:val="00A86E7E"/>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79A"/>
    <w:rsid w:val="00A90DEA"/>
    <w:rsid w:val="00A90E6B"/>
    <w:rsid w:val="00A90E85"/>
    <w:rsid w:val="00A90FA1"/>
    <w:rsid w:val="00A90FA4"/>
    <w:rsid w:val="00A91174"/>
    <w:rsid w:val="00A91189"/>
    <w:rsid w:val="00A914E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C8"/>
    <w:rsid w:val="00A9390F"/>
    <w:rsid w:val="00A93D0E"/>
    <w:rsid w:val="00A93F0B"/>
    <w:rsid w:val="00A93F4F"/>
    <w:rsid w:val="00A940DF"/>
    <w:rsid w:val="00A9421F"/>
    <w:rsid w:val="00A94354"/>
    <w:rsid w:val="00A943F0"/>
    <w:rsid w:val="00A94843"/>
    <w:rsid w:val="00A94BD7"/>
    <w:rsid w:val="00A94CCB"/>
    <w:rsid w:val="00A94DED"/>
    <w:rsid w:val="00A94E56"/>
    <w:rsid w:val="00A94EA5"/>
    <w:rsid w:val="00A94F39"/>
    <w:rsid w:val="00A94F3C"/>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0F72"/>
    <w:rsid w:val="00AA125A"/>
    <w:rsid w:val="00AA1285"/>
    <w:rsid w:val="00AA1692"/>
    <w:rsid w:val="00AA1718"/>
    <w:rsid w:val="00AA17CC"/>
    <w:rsid w:val="00AA1937"/>
    <w:rsid w:val="00AA1A34"/>
    <w:rsid w:val="00AA1AE8"/>
    <w:rsid w:val="00AA2597"/>
    <w:rsid w:val="00AA25A4"/>
    <w:rsid w:val="00AA2626"/>
    <w:rsid w:val="00AA2836"/>
    <w:rsid w:val="00AA2A28"/>
    <w:rsid w:val="00AA2BE3"/>
    <w:rsid w:val="00AA30CD"/>
    <w:rsid w:val="00AA312C"/>
    <w:rsid w:val="00AA31DF"/>
    <w:rsid w:val="00AA3263"/>
    <w:rsid w:val="00AA3367"/>
    <w:rsid w:val="00AA36C0"/>
    <w:rsid w:val="00AA3863"/>
    <w:rsid w:val="00AA3896"/>
    <w:rsid w:val="00AA3909"/>
    <w:rsid w:val="00AA3B40"/>
    <w:rsid w:val="00AA3C9A"/>
    <w:rsid w:val="00AA3F07"/>
    <w:rsid w:val="00AA4003"/>
    <w:rsid w:val="00AA44DF"/>
    <w:rsid w:val="00AA47D6"/>
    <w:rsid w:val="00AA480C"/>
    <w:rsid w:val="00AA4D06"/>
    <w:rsid w:val="00AA4D54"/>
    <w:rsid w:val="00AA4E39"/>
    <w:rsid w:val="00AA54CD"/>
    <w:rsid w:val="00AA5555"/>
    <w:rsid w:val="00AA5760"/>
    <w:rsid w:val="00AA5B08"/>
    <w:rsid w:val="00AA5C80"/>
    <w:rsid w:val="00AA5C8A"/>
    <w:rsid w:val="00AA5CD0"/>
    <w:rsid w:val="00AA60C0"/>
    <w:rsid w:val="00AA6193"/>
    <w:rsid w:val="00AA6619"/>
    <w:rsid w:val="00AA668D"/>
    <w:rsid w:val="00AA6802"/>
    <w:rsid w:val="00AA6883"/>
    <w:rsid w:val="00AA6A4A"/>
    <w:rsid w:val="00AA6B59"/>
    <w:rsid w:val="00AA6BDE"/>
    <w:rsid w:val="00AA6F9F"/>
    <w:rsid w:val="00AA7001"/>
    <w:rsid w:val="00AA7011"/>
    <w:rsid w:val="00AA72DA"/>
    <w:rsid w:val="00AA7944"/>
    <w:rsid w:val="00AA7B1B"/>
    <w:rsid w:val="00AA7B56"/>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668"/>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98D"/>
    <w:rsid w:val="00AB5A1A"/>
    <w:rsid w:val="00AB5A76"/>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62"/>
    <w:rsid w:val="00AB72AD"/>
    <w:rsid w:val="00AB7706"/>
    <w:rsid w:val="00AB798D"/>
    <w:rsid w:val="00AB7D2E"/>
    <w:rsid w:val="00AB7EDD"/>
    <w:rsid w:val="00AB7FE5"/>
    <w:rsid w:val="00AC025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4FB"/>
    <w:rsid w:val="00AC15F8"/>
    <w:rsid w:val="00AC162C"/>
    <w:rsid w:val="00AC1634"/>
    <w:rsid w:val="00AC182D"/>
    <w:rsid w:val="00AC1871"/>
    <w:rsid w:val="00AC18CE"/>
    <w:rsid w:val="00AC1AD2"/>
    <w:rsid w:val="00AC1B93"/>
    <w:rsid w:val="00AC1E08"/>
    <w:rsid w:val="00AC20E6"/>
    <w:rsid w:val="00AC210F"/>
    <w:rsid w:val="00AC23F5"/>
    <w:rsid w:val="00AC2946"/>
    <w:rsid w:val="00AC2A1E"/>
    <w:rsid w:val="00AC2CC1"/>
    <w:rsid w:val="00AC2D3F"/>
    <w:rsid w:val="00AC2DD6"/>
    <w:rsid w:val="00AC2E0C"/>
    <w:rsid w:val="00AC2E7B"/>
    <w:rsid w:val="00AC2E89"/>
    <w:rsid w:val="00AC2F2D"/>
    <w:rsid w:val="00AC311A"/>
    <w:rsid w:val="00AC31D1"/>
    <w:rsid w:val="00AC33F1"/>
    <w:rsid w:val="00AC3717"/>
    <w:rsid w:val="00AC38FC"/>
    <w:rsid w:val="00AC39D0"/>
    <w:rsid w:val="00AC3A68"/>
    <w:rsid w:val="00AC3FBF"/>
    <w:rsid w:val="00AC4310"/>
    <w:rsid w:val="00AC4C08"/>
    <w:rsid w:val="00AC4F94"/>
    <w:rsid w:val="00AC511C"/>
    <w:rsid w:val="00AC5303"/>
    <w:rsid w:val="00AC5357"/>
    <w:rsid w:val="00AC566A"/>
    <w:rsid w:val="00AC5D9D"/>
    <w:rsid w:val="00AC5DDE"/>
    <w:rsid w:val="00AC5F08"/>
    <w:rsid w:val="00AC614A"/>
    <w:rsid w:val="00AC6169"/>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942"/>
    <w:rsid w:val="00AD0AF2"/>
    <w:rsid w:val="00AD0D6E"/>
    <w:rsid w:val="00AD0F5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90"/>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6E59"/>
    <w:rsid w:val="00AD70DA"/>
    <w:rsid w:val="00AD72D5"/>
    <w:rsid w:val="00AD73C9"/>
    <w:rsid w:val="00AD7586"/>
    <w:rsid w:val="00AD75BF"/>
    <w:rsid w:val="00AD764F"/>
    <w:rsid w:val="00AD76AE"/>
    <w:rsid w:val="00AD76E3"/>
    <w:rsid w:val="00AD77CA"/>
    <w:rsid w:val="00AD78E8"/>
    <w:rsid w:val="00AD7A28"/>
    <w:rsid w:val="00AD7B21"/>
    <w:rsid w:val="00AD7C97"/>
    <w:rsid w:val="00AD7CE7"/>
    <w:rsid w:val="00AD7F1E"/>
    <w:rsid w:val="00AD7F21"/>
    <w:rsid w:val="00AD7F73"/>
    <w:rsid w:val="00AE0298"/>
    <w:rsid w:val="00AE02DB"/>
    <w:rsid w:val="00AE038C"/>
    <w:rsid w:val="00AE047F"/>
    <w:rsid w:val="00AE075D"/>
    <w:rsid w:val="00AE08B3"/>
    <w:rsid w:val="00AE0B6E"/>
    <w:rsid w:val="00AE0C70"/>
    <w:rsid w:val="00AE0D0A"/>
    <w:rsid w:val="00AE0F81"/>
    <w:rsid w:val="00AE10E7"/>
    <w:rsid w:val="00AE1330"/>
    <w:rsid w:val="00AE1634"/>
    <w:rsid w:val="00AE16FE"/>
    <w:rsid w:val="00AE1733"/>
    <w:rsid w:val="00AE17FC"/>
    <w:rsid w:val="00AE1908"/>
    <w:rsid w:val="00AE1A0B"/>
    <w:rsid w:val="00AE1FE4"/>
    <w:rsid w:val="00AE262B"/>
    <w:rsid w:val="00AE27F4"/>
    <w:rsid w:val="00AE27F9"/>
    <w:rsid w:val="00AE2C2B"/>
    <w:rsid w:val="00AE3058"/>
    <w:rsid w:val="00AE3310"/>
    <w:rsid w:val="00AE354F"/>
    <w:rsid w:val="00AE37A1"/>
    <w:rsid w:val="00AE37FF"/>
    <w:rsid w:val="00AE3956"/>
    <w:rsid w:val="00AE3A4F"/>
    <w:rsid w:val="00AE3CF3"/>
    <w:rsid w:val="00AE3D5E"/>
    <w:rsid w:val="00AE3D85"/>
    <w:rsid w:val="00AE41EF"/>
    <w:rsid w:val="00AE4703"/>
    <w:rsid w:val="00AE4BF3"/>
    <w:rsid w:val="00AE4F99"/>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BE1"/>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8A"/>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81C"/>
    <w:rsid w:val="00B04AE0"/>
    <w:rsid w:val="00B04C69"/>
    <w:rsid w:val="00B04EC8"/>
    <w:rsid w:val="00B05414"/>
    <w:rsid w:val="00B054CD"/>
    <w:rsid w:val="00B0562B"/>
    <w:rsid w:val="00B056C5"/>
    <w:rsid w:val="00B05733"/>
    <w:rsid w:val="00B05783"/>
    <w:rsid w:val="00B0580C"/>
    <w:rsid w:val="00B058D1"/>
    <w:rsid w:val="00B059E5"/>
    <w:rsid w:val="00B05CA0"/>
    <w:rsid w:val="00B05CE8"/>
    <w:rsid w:val="00B0601D"/>
    <w:rsid w:val="00B063D3"/>
    <w:rsid w:val="00B066E8"/>
    <w:rsid w:val="00B06783"/>
    <w:rsid w:val="00B06D28"/>
    <w:rsid w:val="00B06D9A"/>
    <w:rsid w:val="00B06DB4"/>
    <w:rsid w:val="00B06EB7"/>
    <w:rsid w:val="00B06F79"/>
    <w:rsid w:val="00B06F7E"/>
    <w:rsid w:val="00B070B0"/>
    <w:rsid w:val="00B070CE"/>
    <w:rsid w:val="00B073F0"/>
    <w:rsid w:val="00B07756"/>
    <w:rsid w:val="00B07799"/>
    <w:rsid w:val="00B079EB"/>
    <w:rsid w:val="00B07D77"/>
    <w:rsid w:val="00B1041B"/>
    <w:rsid w:val="00B10616"/>
    <w:rsid w:val="00B108E4"/>
    <w:rsid w:val="00B110A1"/>
    <w:rsid w:val="00B111CE"/>
    <w:rsid w:val="00B11204"/>
    <w:rsid w:val="00B112A0"/>
    <w:rsid w:val="00B11476"/>
    <w:rsid w:val="00B114BC"/>
    <w:rsid w:val="00B1153A"/>
    <w:rsid w:val="00B11620"/>
    <w:rsid w:val="00B1169E"/>
    <w:rsid w:val="00B119E6"/>
    <w:rsid w:val="00B11A3D"/>
    <w:rsid w:val="00B11A60"/>
    <w:rsid w:val="00B11A88"/>
    <w:rsid w:val="00B11CB2"/>
    <w:rsid w:val="00B11DB8"/>
    <w:rsid w:val="00B12206"/>
    <w:rsid w:val="00B1246F"/>
    <w:rsid w:val="00B12702"/>
    <w:rsid w:val="00B12729"/>
    <w:rsid w:val="00B12B30"/>
    <w:rsid w:val="00B13222"/>
    <w:rsid w:val="00B1340E"/>
    <w:rsid w:val="00B1379E"/>
    <w:rsid w:val="00B1388B"/>
    <w:rsid w:val="00B138BE"/>
    <w:rsid w:val="00B13AB7"/>
    <w:rsid w:val="00B13BCC"/>
    <w:rsid w:val="00B13D36"/>
    <w:rsid w:val="00B13DDF"/>
    <w:rsid w:val="00B14018"/>
    <w:rsid w:val="00B1410B"/>
    <w:rsid w:val="00B143D6"/>
    <w:rsid w:val="00B14457"/>
    <w:rsid w:val="00B14D82"/>
    <w:rsid w:val="00B14EA4"/>
    <w:rsid w:val="00B1504B"/>
    <w:rsid w:val="00B15258"/>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2A"/>
    <w:rsid w:val="00B22FC1"/>
    <w:rsid w:val="00B230D5"/>
    <w:rsid w:val="00B23827"/>
    <w:rsid w:val="00B23932"/>
    <w:rsid w:val="00B23B32"/>
    <w:rsid w:val="00B23D98"/>
    <w:rsid w:val="00B23DCC"/>
    <w:rsid w:val="00B23F89"/>
    <w:rsid w:val="00B2413F"/>
    <w:rsid w:val="00B2453B"/>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F9"/>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2A"/>
    <w:rsid w:val="00B32339"/>
    <w:rsid w:val="00B3235B"/>
    <w:rsid w:val="00B32496"/>
    <w:rsid w:val="00B3261B"/>
    <w:rsid w:val="00B3269A"/>
    <w:rsid w:val="00B32BB0"/>
    <w:rsid w:val="00B33185"/>
    <w:rsid w:val="00B33196"/>
    <w:rsid w:val="00B331B4"/>
    <w:rsid w:val="00B3334F"/>
    <w:rsid w:val="00B333C6"/>
    <w:rsid w:val="00B341E3"/>
    <w:rsid w:val="00B34462"/>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5A3"/>
    <w:rsid w:val="00B3763C"/>
    <w:rsid w:val="00B37640"/>
    <w:rsid w:val="00B37769"/>
    <w:rsid w:val="00B378BB"/>
    <w:rsid w:val="00B37935"/>
    <w:rsid w:val="00B37A70"/>
    <w:rsid w:val="00B37C5E"/>
    <w:rsid w:val="00B4009E"/>
    <w:rsid w:val="00B4013A"/>
    <w:rsid w:val="00B403E5"/>
    <w:rsid w:val="00B40482"/>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77D"/>
    <w:rsid w:val="00B42975"/>
    <w:rsid w:val="00B42ADD"/>
    <w:rsid w:val="00B4319D"/>
    <w:rsid w:val="00B43E38"/>
    <w:rsid w:val="00B43F3E"/>
    <w:rsid w:val="00B44310"/>
    <w:rsid w:val="00B443C7"/>
    <w:rsid w:val="00B44697"/>
    <w:rsid w:val="00B446B0"/>
    <w:rsid w:val="00B446CA"/>
    <w:rsid w:val="00B447CE"/>
    <w:rsid w:val="00B447D6"/>
    <w:rsid w:val="00B44820"/>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6FC"/>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F4C"/>
    <w:rsid w:val="00B5149E"/>
    <w:rsid w:val="00B517F8"/>
    <w:rsid w:val="00B5183F"/>
    <w:rsid w:val="00B51979"/>
    <w:rsid w:val="00B51A65"/>
    <w:rsid w:val="00B51A6A"/>
    <w:rsid w:val="00B51C62"/>
    <w:rsid w:val="00B51DBB"/>
    <w:rsid w:val="00B51FF2"/>
    <w:rsid w:val="00B521D0"/>
    <w:rsid w:val="00B5233E"/>
    <w:rsid w:val="00B52520"/>
    <w:rsid w:val="00B52684"/>
    <w:rsid w:val="00B527AB"/>
    <w:rsid w:val="00B528F3"/>
    <w:rsid w:val="00B52A02"/>
    <w:rsid w:val="00B52F7E"/>
    <w:rsid w:val="00B53165"/>
    <w:rsid w:val="00B53566"/>
    <w:rsid w:val="00B536F5"/>
    <w:rsid w:val="00B53E40"/>
    <w:rsid w:val="00B53F1C"/>
    <w:rsid w:val="00B53FAF"/>
    <w:rsid w:val="00B53FD0"/>
    <w:rsid w:val="00B5401E"/>
    <w:rsid w:val="00B541B5"/>
    <w:rsid w:val="00B542EB"/>
    <w:rsid w:val="00B54401"/>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749"/>
    <w:rsid w:val="00B579C3"/>
    <w:rsid w:val="00B57A5C"/>
    <w:rsid w:val="00B57DA4"/>
    <w:rsid w:val="00B57DFA"/>
    <w:rsid w:val="00B60168"/>
    <w:rsid w:val="00B60531"/>
    <w:rsid w:val="00B605F5"/>
    <w:rsid w:val="00B606D8"/>
    <w:rsid w:val="00B60720"/>
    <w:rsid w:val="00B608DE"/>
    <w:rsid w:val="00B609CF"/>
    <w:rsid w:val="00B60B94"/>
    <w:rsid w:val="00B60D3C"/>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2E16"/>
    <w:rsid w:val="00B6323D"/>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8DB"/>
    <w:rsid w:val="00B66C15"/>
    <w:rsid w:val="00B66F68"/>
    <w:rsid w:val="00B67187"/>
    <w:rsid w:val="00B6733A"/>
    <w:rsid w:val="00B6766B"/>
    <w:rsid w:val="00B67681"/>
    <w:rsid w:val="00B67741"/>
    <w:rsid w:val="00B67828"/>
    <w:rsid w:val="00B6789A"/>
    <w:rsid w:val="00B67DD3"/>
    <w:rsid w:val="00B67FAD"/>
    <w:rsid w:val="00B70048"/>
    <w:rsid w:val="00B7022A"/>
    <w:rsid w:val="00B7048E"/>
    <w:rsid w:val="00B705FC"/>
    <w:rsid w:val="00B70771"/>
    <w:rsid w:val="00B709B3"/>
    <w:rsid w:val="00B70A8A"/>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622"/>
    <w:rsid w:val="00B7372C"/>
    <w:rsid w:val="00B738DB"/>
    <w:rsid w:val="00B73B96"/>
    <w:rsid w:val="00B73C74"/>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CCF"/>
    <w:rsid w:val="00B75F26"/>
    <w:rsid w:val="00B7646E"/>
    <w:rsid w:val="00B7690D"/>
    <w:rsid w:val="00B76B94"/>
    <w:rsid w:val="00B76B95"/>
    <w:rsid w:val="00B76BDF"/>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A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718"/>
    <w:rsid w:val="00B83CAA"/>
    <w:rsid w:val="00B83D84"/>
    <w:rsid w:val="00B840CD"/>
    <w:rsid w:val="00B842F9"/>
    <w:rsid w:val="00B844A4"/>
    <w:rsid w:val="00B844AA"/>
    <w:rsid w:val="00B8453F"/>
    <w:rsid w:val="00B845D5"/>
    <w:rsid w:val="00B84609"/>
    <w:rsid w:val="00B84936"/>
    <w:rsid w:val="00B8498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1C3"/>
    <w:rsid w:val="00B90535"/>
    <w:rsid w:val="00B90566"/>
    <w:rsid w:val="00B905E0"/>
    <w:rsid w:val="00B90619"/>
    <w:rsid w:val="00B908E0"/>
    <w:rsid w:val="00B909A7"/>
    <w:rsid w:val="00B90E70"/>
    <w:rsid w:val="00B90F66"/>
    <w:rsid w:val="00B90FC6"/>
    <w:rsid w:val="00B912AA"/>
    <w:rsid w:val="00B91520"/>
    <w:rsid w:val="00B915F5"/>
    <w:rsid w:val="00B9160C"/>
    <w:rsid w:val="00B916D6"/>
    <w:rsid w:val="00B918BD"/>
    <w:rsid w:val="00B91916"/>
    <w:rsid w:val="00B919E1"/>
    <w:rsid w:val="00B91A7A"/>
    <w:rsid w:val="00B91AE0"/>
    <w:rsid w:val="00B91BCC"/>
    <w:rsid w:val="00B91E81"/>
    <w:rsid w:val="00B91FAF"/>
    <w:rsid w:val="00B9203D"/>
    <w:rsid w:val="00B92130"/>
    <w:rsid w:val="00B9226D"/>
    <w:rsid w:val="00B9240F"/>
    <w:rsid w:val="00B924B3"/>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5C"/>
    <w:rsid w:val="00B93F6C"/>
    <w:rsid w:val="00B94007"/>
    <w:rsid w:val="00B945FA"/>
    <w:rsid w:val="00B948DA"/>
    <w:rsid w:val="00B94C0B"/>
    <w:rsid w:val="00B94CD2"/>
    <w:rsid w:val="00B95341"/>
    <w:rsid w:val="00B9536A"/>
    <w:rsid w:val="00B953FA"/>
    <w:rsid w:val="00B956B0"/>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DCB"/>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145"/>
    <w:rsid w:val="00BA23F6"/>
    <w:rsid w:val="00BA242D"/>
    <w:rsid w:val="00BA246A"/>
    <w:rsid w:val="00BA27FC"/>
    <w:rsid w:val="00BA388A"/>
    <w:rsid w:val="00BA3A40"/>
    <w:rsid w:val="00BA3FED"/>
    <w:rsid w:val="00BA401F"/>
    <w:rsid w:val="00BA424C"/>
    <w:rsid w:val="00BA43C9"/>
    <w:rsid w:val="00BA4683"/>
    <w:rsid w:val="00BA48DE"/>
    <w:rsid w:val="00BA4950"/>
    <w:rsid w:val="00BA4A43"/>
    <w:rsid w:val="00BA4AC6"/>
    <w:rsid w:val="00BA4CD6"/>
    <w:rsid w:val="00BA4CFB"/>
    <w:rsid w:val="00BA4D1B"/>
    <w:rsid w:val="00BA53CB"/>
    <w:rsid w:val="00BA559D"/>
    <w:rsid w:val="00BA5729"/>
    <w:rsid w:val="00BA578E"/>
    <w:rsid w:val="00BA583E"/>
    <w:rsid w:val="00BA5965"/>
    <w:rsid w:val="00BA5CD2"/>
    <w:rsid w:val="00BA5CF4"/>
    <w:rsid w:val="00BA5E0C"/>
    <w:rsid w:val="00BA5EA4"/>
    <w:rsid w:val="00BA5F47"/>
    <w:rsid w:val="00BA615C"/>
    <w:rsid w:val="00BA62AC"/>
    <w:rsid w:val="00BA650B"/>
    <w:rsid w:val="00BA6B0A"/>
    <w:rsid w:val="00BA6C68"/>
    <w:rsid w:val="00BA6E59"/>
    <w:rsid w:val="00BA7008"/>
    <w:rsid w:val="00BA7068"/>
    <w:rsid w:val="00BA71B4"/>
    <w:rsid w:val="00BA7218"/>
    <w:rsid w:val="00BA73E5"/>
    <w:rsid w:val="00BA73F4"/>
    <w:rsid w:val="00BA78BA"/>
    <w:rsid w:val="00BA7E56"/>
    <w:rsid w:val="00BB00AA"/>
    <w:rsid w:val="00BB00FE"/>
    <w:rsid w:val="00BB046D"/>
    <w:rsid w:val="00BB04FF"/>
    <w:rsid w:val="00BB0650"/>
    <w:rsid w:val="00BB0673"/>
    <w:rsid w:val="00BB07AC"/>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4E5"/>
    <w:rsid w:val="00BB3782"/>
    <w:rsid w:val="00BB38EA"/>
    <w:rsid w:val="00BB3C76"/>
    <w:rsid w:val="00BB3EB4"/>
    <w:rsid w:val="00BB4212"/>
    <w:rsid w:val="00BB4403"/>
    <w:rsid w:val="00BB46BF"/>
    <w:rsid w:val="00BB4858"/>
    <w:rsid w:val="00BB496B"/>
    <w:rsid w:val="00BB4A8C"/>
    <w:rsid w:val="00BB4B34"/>
    <w:rsid w:val="00BB4CCF"/>
    <w:rsid w:val="00BB4E88"/>
    <w:rsid w:val="00BB4E8B"/>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E57"/>
    <w:rsid w:val="00BC3245"/>
    <w:rsid w:val="00BC35F0"/>
    <w:rsid w:val="00BC367B"/>
    <w:rsid w:val="00BC3A29"/>
    <w:rsid w:val="00BC3A46"/>
    <w:rsid w:val="00BC3A4D"/>
    <w:rsid w:val="00BC3A90"/>
    <w:rsid w:val="00BC3B85"/>
    <w:rsid w:val="00BC3B88"/>
    <w:rsid w:val="00BC3E8D"/>
    <w:rsid w:val="00BC41B4"/>
    <w:rsid w:val="00BC452B"/>
    <w:rsid w:val="00BC47FA"/>
    <w:rsid w:val="00BC48C2"/>
    <w:rsid w:val="00BC496E"/>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D77"/>
    <w:rsid w:val="00BC6E9E"/>
    <w:rsid w:val="00BC703D"/>
    <w:rsid w:val="00BC721C"/>
    <w:rsid w:val="00BC7362"/>
    <w:rsid w:val="00BC75DF"/>
    <w:rsid w:val="00BC7825"/>
    <w:rsid w:val="00BC78B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61B"/>
    <w:rsid w:val="00BD26A9"/>
    <w:rsid w:val="00BD2742"/>
    <w:rsid w:val="00BD2766"/>
    <w:rsid w:val="00BD2926"/>
    <w:rsid w:val="00BD299E"/>
    <w:rsid w:val="00BD2A5C"/>
    <w:rsid w:val="00BD2AE5"/>
    <w:rsid w:val="00BD2C5F"/>
    <w:rsid w:val="00BD2D35"/>
    <w:rsid w:val="00BD2E77"/>
    <w:rsid w:val="00BD30CC"/>
    <w:rsid w:val="00BD31F3"/>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6DF6"/>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B8A"/>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5D1"/>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41"/>
    <w:rsid w:val="00BF26BE"/>
    <w:rsid w:val="00BF26C3"/>
    <w:rsid w:val="00BF2803"/>
    <w:rsid w:val="00BF2D63"/>
    <w:rsid w:val="00BF33AD"/>
    <w:rsid w:val="00BF345D"/>
    <w:rsid w:val="00BF34E7"/>
    <w:rsid w:val="00BF3777"/>
    <w:rsid w:val="00BF3914"/>
    <w:rsid w:val="00BF3A01"/>
    <w:rsid w:val="00BF3BF6"/>
    <w:rsid w:val="00BF3EC6"/>
    <w:rsid w:val="00BF42E2"/>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A7A"/>
    <w:rsid w:val="00BF7C8B"/>
    <w:rsid w:val="00C0000C"/>
    <w:rsid w:val="00C0079C"/>
    <w:rsid w:val="00C0083C"/>
    <w:rsid w:val="00C0089F"/>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0FC"/>
    <w:rsid w:val="00C021BB"/>
    <w:rsid w:val="00C021EB"/>
    <w:rsid w:val="00C02299"/>
    <w:rsid w:val="00C0240F"/>
    <w:rsid w:val="00C02490"/>
    <w:rsid w:val="00C02604"/>
    <w:rsid w:val="00C029EA"/>
    <w:rsid w:val="00C02A20"/>
    <w:rsid w:val="00C02B39"/>
    <w:rsid w:val="00C02B4F"/>
    <w:rsid w:val="00C02DE3"/>
    <w:rsid w:val="00C02ECB"/>
    <w:rsid w:val="00C02FE1"/>
    <w:rsid w:val="00C03012"/>
    <w:rsid w:val="00C036E8"/>
    <w:rsid w:val="00C0371A"/>
    <w:rsid w:val="00C0373D"/>
    <w:rsid w:val="00C03DA6"/>
    <w:rsid w:val="00C03DD1"/>
    <w:rsid w:val="00C03EA6"/>
    <w:rsid w:val="00C043A9"/>
    <w:rsid w:val="00C0450D"/>
    <w:rsid w:val="00C0457A"/>
    <w:rsid w:val="00C045AF"/>
    <w:rsid w:val="00C04615"/>
    <w:rsid w:val="00C0469C"/>
    <w:rsid w:val="00C04834"/>
    <w:rsid w:val="00C049E2"/>
    <w:rsid w:val="00C04A61"/>
    <w:rsid w:val="00C04B79"/>
    <w:rsid w:val="00C04C83"/>
    <w:rsid w:val="00C04CF5"/>
    <w:rsid w:val="00C04CFA"/>
    <w:rsid w:val="00C04E20"/>
    <w:rsid w:val="00C04E95"/>
    <w:rsid w:val="00C051D9"/>
    <w:rsid w:val="00C0525D"/>
    <w:rsid w:val="00C0558B"/>
    <w:rsid w:val="00C05613"/>
    <w:rsid w:val="00C057EE"/>
    <w:rsid w:val="00C05814"/>
    <w:rsid w:val="00C058D4"/>
    <w:rsid w:val="00C05A1B"/>
    <w:rsid w:val="00C05B9C"/>
    <w:rsid w:val="00C05BE5"/>
    <w:rsid w:val="00C05C4E"/>
    <w:rsid w:val="00C05CB8"/>
    <w:rsid w:val="00C05E55"/>
    <w:rsid w:val="00C0606C"/>
    <w:rsid w:val="00C06408"/>
    <w:rsid w:val="00C06409"/>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0A0"/>
    <w:rsid w:val="00C13236"/>
    <w:rsid w:val="00C136F8"/>
    <w:rsid w:val="00C138B0"/>
    <w:rsid w:val="00C138F3"/>
    <w:rsid w:val="00C13C45"/>
    <w:rsid w:val="00C13CAC"/>
    <w:rsid w:val="00C13F6C"/>
    <w:rsid w:val="00C13F9E"/>
    <w:rsid w:val="00C143A3"/>
    <w:rsid w:val="00C14479"/>
    <w:rsid w:val="00C144BD"/>
    <w:rsid w:val="00C145AF"/>
    <w:rsid w:val="00C147E4"/>
    <w:rsid w:val="00C1498E"/>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D49"/>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2FCA"/>
    <w:rsid w:val="00C23572"/>
    <w:rsid w:val="00C236CF"/>
    <w:rsid w:val="00C23A73"/>
    <w:rsid w:val="00C23C0D"/>
    <w:rsid w:val="00C23CB8"/>
    <w:rsid w:val="00C23DDF"/>
    <w:rsid w:val="00C23EE3"/>
    <w:rsid w:val="00C240AF"/>
    <w:rsid w:val="00C24124"/>
    <w:rsid w:val="00C24162"/>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723"/>
    <w:rsid w:val="00C308C7"/>
    <w:rsid w:val="00C309F2"/>
    <w:rsid w:val="00C30A20"/>
    <w:rsid w:val="00C30AE7"/>
    <w:rsid w:val="00C30C25"/>
    <w:rsid w:val="00C30C47"/>
    <w:rsid w:val="00C30D7D"/>
    <w:rsid w:val="00C30DE6"/>
    <w:rsid w:val="00C30F31"/>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4B"/>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4EA"/>
    <w:rsid w:val="00C37618"/>
    <w:rsid w:val="00C37689"/>
    <w:rsid w:val="00C37C3A"/>
    <w:rsid w:val="00C37D11"/>
    <w:rsid w:val="00C37D38"/>
    <w:rsid w:val="00C37FED"/>
    <w:rsid w:val="00C400B0"/>
    <w:rsid w:val="00C406A2"/>
    <w:rsid w:val="00C40A33"/>
    <w:rsid w:val="00C40B04"/>
    <w:rsid w:val="00C40C5C"/>
    <w:rsid w:val="00C40E4D"/>
    <w:rsid w:val="00C40E78"/>
    <w:rsid w:val="00C412CD"/>
    <w:rsid w:val="00C41407"/>
    <w:rsid w:val="00C41557"/>
    <w:rsid w:val="00C41A77"/>
    <w:rsid w:val="00C41F9B"/>
    <w:rsid w:val="00C421AA"/>
    <w:rsid w:val="00C423AC"/>
    <w:rsid w:val="00C429B4"/>
    <w:rsid w:val="00C42A62"/>
    <w:rsid w:val="00C42B80"/>
    <w:rsid w:val="00C430C6"/>
    <w:rsid w:val="00C43ADE"/>
    <w:rsid w:val="00C43B20"/>
    <w:rsid w:val="00C445BE"/>
    <w:rsid w:val="00C44609"/>
    <w:rsid w:val="00C44C6E"/>
    <w:rsid w:val="00C44EB0"/>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473"/>
    <w:rsid w:val="00C4764A"/>
    <w:rsid w:val="00C47885"/>
    <w:rsid w:val="00C4799B"/>
    <w:rsid w:val="00C47A6F"/>
    <w:rsid w:val="00C47D7C"/>
    <w:rsid w:val="00C47F39"/>
    <w:rsid w:val="00C47FE6"/>
    <w:rsid w:val="00C50321"/>
    <w:rsid w:val="00C50A5C"/>
    <w:rsid w:val="00C50DC2"/>
    <w:rsid w:val="00C5104A"/>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9EC"/>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5F1A"/>
    <w:rsid w:val="00C56708"/>
    <w:rsid w:val="00C56779"/>
    <w:rsid w:val="00C5683B"/>
    <w:rsid w:val="00C56842"/>
    <w:rsid w:val="00C56861"/>
    <w:rsid w:val="00C568F7"/>
    <w:rsid w:val="00C56901"/>
    <w:rsid w:val="00C56D90"/>
    <w:rsid w:val="00C56E1F"/>
    <w:rsid w:val="00C5707C"/>
    <w:rsid w:val="00C570BA"/>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67E"/>
    <w:rsid w:val="00C618C7"/>
    <w:rsid w:val="00C61CEA"/>
    <w:rsid w:val="00C61F29"/>
    <w:rsid w:val="00C61FD1"/>
    <w:rsid w:val="00C61FEE"/>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A0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95"/>
    <w:rsid w:val="00C678F6"/>
    <w:rsid w:val="00C67E1C"/>
    <w:rsid w:val="00C67E40"/>
    <w:rsid w:val="00C67F10"/>
    <w:rsid w:val="00C70100"/>
    <w:rsid w:val="00C702E2"/>
    <w:rsid w:val="00C70519"/>
    <w:rsid w:val="00C70599"/>
    <w:rsid w:val="00C705D0"/>
    <w:rsid w:val="00C7067C"/>
    <w:rsid w:val="00C707A1"/>
    <w:rsid w:val="00C707B4"/>
    <w:rsid w:val="00C70CDD"/>
    <w:rsid w:val="00C70D16"/>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1C"/>
    <w:rsid w:val="00C73CEC"/>
    <w:rsid w:val="00C73DCD"/>
    <w:rsid w:val="00C73EA6"/>
    <w:rsid w:val="00C74122"/>
    <w:rsid w:val="00C74316"/>
    <w:rsid w:val="00C74675"/>
    <w:rsid w:val="00C74CEC"/>
    <w:rsid w:val="00C74EBE"/>
    <w:rsid w:val="00C751DF"/>
    <w:rsid w:val="00C753CF"/>
    <w:rsid w:val="00C75555"/>
    <w:rsid w:val="00C75657"/>
    <w:rsid w:val="00C75782"/>
    <w:rsid w:val="00C759F3"/>
    <w:rsid w:val="00C75A9D"/>
    <w:rsid w:val="00C75AA9"/>
    <w:rsid w:val="00C75B52"/>
    <w:rsid w:val="00C75CE8"/>
    <w:rsid w:val="00C7614A"/>
    <w:rsid w:val="00C761D5"/>
    <w:rsid w:val="00C764D9"/>
    <w:rsid w:val="00C76646"/>
    <w:rsid w:val="00C766E7"/>
    <w:rsid w:val="00C7671C"/>
    <w:rsid w:val="00C76AE3"/>
    <w:rsid w:val="00C76E95"/>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2EE"/>
    <w:rsid w:val="00C8256E"/>
    <w:rsid w:val="00C8272D"/>
    <w:rsid w:val="00C82922"/>
    <w:rsid w:val="00C82968"/>
    <w:rsid w:val="00C82A4D"/>
    <w:rsid w:val="00C82CCB"/>
    <w:rsid w:val="00C830FA"/>
    <w:rsid w:val="00C83280"/>
    <w:rsid w:val="00C834C2"/>
    <w:rsid w:val="00C83513"/>
    <w:rsid w:val="00C835F4"/>
    <w:rsid w:val="00C83711"/>
    <w:rsid w:val="00C83789"/>
    <w:rsid w:val="00C8396A"/>
    <w:rsid w:val="00C83BB5"/>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0FD"/>
    <w:rsid w:val="00C85567"/>
    <w:rsid w:val="00C85753"/>
    <w:rsid w:val="00C857DF"/>
    <w:rsid w:val="00C85814"/>
    <w:rsid w:val="00C85816"/>
    <w:rsid w:val="00C85A0A"/>
    <w:rsid w:val="00C85ACF"/>
    <w:rsid w:val="00C85D43"/>
    <w:rsid w:val="00C85FD2"/>
    <w:rsid w:val="00C85FD9"/>
    <w:rsid w:val="00C8609E"/>
    <w:rsid w:val="00C860A9"/>
    <w:rsid w:val="00C86277"/>
    <w:rsid w:val="00C862C8"/>
    <w:rsid w:val="00C8665D"/>
    <w:rsid w:val="00C8675E"/>
    <w:rsid w:val="00C86873"/>
    <w:rsid w:val="00C868A5"/>
    <w:rsid w:val="00C86B48"/>
    <w:rsid w:val="00C86BAA"/>
    <w:rsid w:val="00C86BFF"/>
    <w:rsid w:val="00C87057"/>
    <w:rsid w:val="00C87269"/>
    <w:rsid w:val="00C872A3"/>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410"/>
    <w:rsid w:val="00C92765"/>
    <w:rsid w:val="00C92928"/>
    <w:rsid w:val="00C929FE"/>
    <w:rsid w:val="00C92AB4"/>
    <w:rsid w:val="00C92B19"/>
    <w:rsid w:val="00C92B79"/>
    <w:rsid w:val="00C92E1B"/>
    <w:rsid w:val="00C92E7A"/>
    <w:rsid w:val="00C93049"/>
    <w:rsid w:val="00C932EE"/>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C4"/>
    <w:rsid w:val="00C9563E"/>
    <w:rsid w:val="00C9571C"/>
    <w:rsid w:val="00C95736"/>
    <w:rsid w:val="00C95A4F"/>
    <w:rsid w:val="00C95CAF"/>
    <w:rsid w:val="00C95D42"/>
    <w:rsid w:val="00C95DEE"/>
    <w:rsid w:val="00C95FD6"/>
    <w:rsid w:val="00C960B1"/>
    <w:rsid w:val="00C960C8"/>
    <w:rsid w:val="00C962B9"/>
    <w:rsid w:val="00C96474"/>
    <w:rsid w:val="00C966B7"/>
    <w:rsid w:val="00C9680C"/>
    <w:rsid w:val="00C96948"/>
    <w:rsid w:val="00C96B52"/>
    <w:rsid w:val="00C96BD7"/>
    <w:rsid w:val="00C96CDA"/>
    <w:rsid w:val="00C96D40"/>
    <w:rsid w:val="00C96DB6"/>
    <w:rsid w:val="00C96FA7"/>
    <w:rsid w:val="00C971CD"/>
    <w:rsid w:val="00C97211"/>
    <w:rsid w:val="00C97279"/>
    <w:rsid w:val="00C972BC"/>
    <w:rsid w:val="00C97323"/>
    <w:rsid w:val="00C9742A"/>
    <w:rsid w:val="00C978E0"/>
    <w:rsid w:val="00C97AF1"/>
    <w:rsid w:val="00C97C2A"/>
    <w:rsid w:val="00CA03BA"/>
    <w:rsid w:val="00CA043C"/>
    <w:rsid w:val="00CA057D"/>
    <w:rsid w:val="00CA0A26"/>
    <w:rsid w:val="00CA0A48"/>
    <w:rsid w:val="00CA0BEF"/>
    <w:rsid w:val="00CA0E21"/>
    <w:rsid w:val="00CA0EF4"/>
    <w:rsid w:val="00CA0F72"/>
    <w:rsid w:val="00CA1363"/>
    <w:rsid w:val="00CA13E0"/>
    <w:rsid w:val="00CA1505"/>
    <w:rsid w:val="00CA15F0"/>
    <w:rsid w:val="00CA16B4"/>
    <w:rsid w:val="00CA17E9"/>
    <w:rsid w:val="00CA1851"/>
    <w:rsid w:val="00CA18FF"/>
    <w:rsid w:val="00CA1AF0"/>
    <w:rsid w:val="00CA1FE9"/>
    <w:rsid w:val="00CA22DA"/>
    <w:rsid w:val="00CA2718"/>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204"/>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069"/>
    <w:rsid w:val="00CA7115"/>
    <w:rsid w:val="00CA71A5"/>
    <w:rsid w:val="00CA7288"/>
    <w:rsid w:val="00CA72B1"/>
    <w:rsid w:val="00CA7420"/>
    <w:rsid w:val="00CA749E"/>
    <w:rsid w:val="00CA788C"/>
    <w:rsid w:val="00CA7B4B"/>
    <w:rsid w:val="00CA7CDC"/>
    <w:rsid w:val="00CA7D9B"/>
    <w:rsid w:val="00CA7F93"/>
    <w:rsid w:val="00CB0135"/>
    <w:rsid w:val="00CB0198"/>
    <w:rsid w:val="00CB01DD"/>
    <w:rsid w:val="00CB02C7"/>
    <w:rsid w:val="00CB04A5"/>
    <w:rsid w:val="00CB07F8"/>
    <w:rsid w:val="00CB089C"/>
    <w:rsid w:val="00CB0950"/>
    <w:rsid w:val="00CB097B"/>
    <w:rsid w:val="00CB09E4"/>
    <w:rsid w:val="00CB0A99"/>
    <w:rsid w:val="00CB0C7B"/>
    <w:rsid w:val="00CB0C84"/>
    <w:rsid w:val="00CB1291"/>
    <w:rsid w:val="00CB15FD"/>
    <w:rsid w:val="00CB174A"/>
    <w:rsid w:val="00CB18DC"/>
    <w:rsid w:val="00CB1948"/>
    <w:rsid w:val="00CB1990"/>
    <w:rsid w:val="00CB20F0"/>
    <w:rsid w:val="00CB261E"/>
    <w:rsid w:val="00CB2954"/>
    <w:rsid w:val="00CB2A91"/>
    <w:rsid w:val="00CB2B45"/>
    <w:rsid w:val="00CB2CE6"/>
    <w:rsid w:val="00CB2D0A"/>
    <w:rsid w:val="00CB2D15"/>
    <w:rsid w:val="00CB2D3B"/>
    <w:rsid w:val="00CB3051"/>
    <w:rsid w:val="00CB312A"/>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12"/>
    <w:rsid w:val="00CB6FC5"/>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916"/>
    <w:rsid w:val="00CC1DBF"/>
    <w:rsid w:val="00CC1DCC"/>
    <w:rsid w:val="00CC1E69"/>
    <w:rsid w:val="00CC1EC6"/>
    <w:rsid w:val="00CC1EF8"/>
    <w:rsid w:val="00CC212F"/>
    <w:rsid w:val="00CC2382"/>
    <w:rsid w:val="00CC23F2"/>
    <w:rsid w:val="00CC250B"/>
    <w:rsid w:val="00CC259B"/>
    <w:rsid w:val="00CC2625"/>
    <w:rsid w:val="00CC2701"/>
    <w:rsid w:val="00CC2805"/>
    <w:rsid w:val="00CC299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2A6"/>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9F2"/>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7D"/>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6F4C"/>
    <w:rsid w:val="00CD71E4"/>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8A4"/>
    <w:rsid w:val="00CE4A80"/>
    <w:rsid w:val="00CE4B35"/>
    <w:rsid w:val="00CE4FB1"/>
    <w:rsid w:val="00CE4FDC"/>
    <w:rsid w:val="00CE5425"/>
    <w:rsid w:val="00CE567A"/>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D52"/>
    <w:rsid w:val="00CE6FB5"/>
    <w:rsid w:val="00CE7012"/>
    <w:rsid w:val="00CE71C9"/>
    <w:rsid w:val="00CE7314"/>
    <w:rsid w:val="00CE73F2"/>
    <w:rsid w:val="00CE75A1"/>
    <w:rsid w:val="00CE75F1"/>
    <w:rsid w:val="00CE7770"/>
    <w:rsid w:val="00CE7776"/>
    <w:rsid w:val="00CE7853"/>
    <w:rsid w:val="00CE7A7D"/>
    <w:rsid w:val="00CE7B20"/>
    <w:rsid w:val="00CE7E46"/>
    <w:rsid w:val="00CF020F"/>
    <w:rsid w:val="00CF0422"/>
    <w:rsid w:val="00CF088D"/>
    <w:rsid w:val="00CF0B57"/>
    <w:rsid w:val="00CF130A"/>
    <w:rsid w:val="00CF137F"/>
    <w:rsid w:val="00CF13AF"/>
    <w:rsid w:val="00CF1441"/>
    <w:rsid w:val="00CF1B11"/>
    <w:rsid w:val="00CF1BDA"/>
    <w:rsid w:val="00CF1D86"/>
    <w:rsid w:val="00CF2034"/>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85A"/>
    <w:rsid w:val="00CF59FB"/>
    <w:rsid w:val="00CF5E58"/>
    <w:rsid w:val="00CF5EEA"/>
    <w:rsid w:val="00CF60CE"/>
    <w:rsid w:val="00CF635E"/>
    <w:rsid w:val="00CF63C0"/>
    <w:rsid w:val="00CF660A"/>
    <w:rsid w:val="00CF669A"/>
    <w:rsid w:val="00CF66A1"/>
    <w:rsid w:val="00CF7137"/>
    <w:rsid w:val="00CF74A9"/>
    <w:rsid w:val="00CF74E3"/>
    <w:rsid w:val="00CF76C2"/>
    <w:rsid w:val="00CF7AFF"/>
    <w:rsid w:val="00CF7CDC"/>
    <w:rsid w:val="00CF7E65"/>
    <w:rsid w:val="00D0017D"/>
    <w:rsid w:val="00D0041B"/>
    <w:rsid w:val="00D00C21"/>
    <w:rsid w:val="00D00C71"/>
    <w:rsid w:val="00D00FD7"/>
    <w:rsid w:val="00D012CB"/>
    <w:rsid w:val="00D0137F"/>
    <w:rsid w:val="00D01726"/>
    <w:rsid w:val="00D01B3A"/>
    <w:rsid w:val="00D01BC3"/>
    <w:rsid w:val="00D02470"/>
    <w:rsid w:val="00D0249C"/>
    <w:rsid w:val="00D024E0"/>
    <w:rsid w:val="00D0252E"/>
    <w:rsid w:val="00D026AB"/>
    <w:rsid w:val="00D027E7"/>
    <w:rsid w:val="00D02865"/>
    <w:rsid w:val="00D02934"/>
    <w:rsid w:val="00D02E63"/>
    <w:rsid w:val="00D02E8D"/>
    <w:rsid w:val="00D02FBF"/>
    <w:rsid w:val="00D03384"/>
    <w:rsid w:val="00D036AA"/>
    <w:rsid w:val="00D03C34"/>
    <w:rsid w:val="00D03E4B"/>
    <w:rsid w:val="00D03F84"/>
    <w:rsid w:val="00D044A7"/>
    <w:rsid w:val="00D04958"/>
    <w:rsid w:val="00D049D3"/>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B0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D"/>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7A5"/>
    <w:rsid w:val="00D2088D"/>
    <w:rsid w:val="00D208D5"/>
    <w:rsid w:val="00D20B6B"/>
    <w:rsid w:val="00D20DEF"/>
    <w:rsid w:val="00D20F98"/>
    <w:rsid w:val="00D2119C"/>
    <w:rsid w:val="00D21543"/>
    <w:rsid w:val="00D21602"/>
    <w:rsid w:val="00D2162E"/>
    <w:rsid w:val="00D2196D"/>
    <w:rsid w:val="00D219EC"/>
    <w:rsid w:val="00D21B2C"/>
    <w:rsid w:val="00D21F98"/>
    <w:rsid w:val="00D220D9"/>
    <w:rsid w:val="00D2266D"/>
    <w:rsid w:val="00D2299A"/>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2A0"/>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0ED9"/>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17"/>
    <w:rsid w:val="00D33C96"/>
    <w:rsid w:val="00D33EFB"/>
    <w:rsid w:val="00D341CB"/>
    <w:rsid w:val="00D342A1"/>
    <w:rsid w:val="00D3431B"/>
    <w:rsid w:val="00D349BD"/>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CD7"/>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4F9"/>
    <w:rsid w:val="00D4168F"/>
    <w:rsid w:val="00D41691"/>
    <w:rsid w:val="00D418E0"/>
    <w:rsid w:val="00D419E2"/>
    <w:rsid w:val="00D419F8"/>
    <w:rsid w:val="00D41B77"/>
    <w:rsid w:val="00D41DC9"/>
    <w:rsid w:val="00D4205D"/>
    <w:rsid w:val="00D4252D"/>
    <w:rsid w:val="00D42685"/>
    <w:rsid w:val="00D42902"/>
    <w:rsid w:val="00D4296E"/>
    <w:rsid w:val="00D42997"/>
    <w:rsid w:val="00D4299C"/>
    <w:rsid w:val="00D42A22"/>
    <w:rsid w:val="00D42AE4"/>
    <w:rsid w:val="00D42B1F"/>
    <w:rsid w:val="00D42FC8"/>
    <w:rsid w:val="00D4327C"/>
    <w:rsid w:val="00D4342E"/>
    <w:rsid w:val="00D4355D"/>
    <w:rsid w:val="00D435B5"/>
    <w:rsid w:val="00D436D6"/>
    <w:rsid w:val="00D43839"/>
    <w:rsid w:val="00D43849"/>
    <w:rsid w:val="00D43BF1"/>
    <w:rsid w:val="00D43E54"/>
    <w:rsid w:val="00D44042"/>
    <w:rsid w:val="00D4422A"/>
    <w:rsid w:val="00D442EF"/>
    <w:rsid w:val="00D444EA"/>
    <w:rsid w:val="00D44D18"/>
    <w:rsid w:val="00D4510A"/>
    <w:rsid w:val="00D4514A"/>
    <w:rsid w:val="00D4528E"/>
    <w:rsid w:val="00D452DE"/>
    <w:rsid w:val="00D45333"/>
    <w:rsid w:val="00D454C9"/>
    <w:rsid w:val="00D45567"/>
    <w:rsid w:val="00D45949"/>
    <w:rsid w:val="00D45979"/>
    <w:rsid w:val="00D45A6D"/>
    <w:rsid w:val="00D45A7A"/>
    <w:rsid w:val="00D45A89"/>
    <w:rsid w:val="00D45AED"/>
    <w:rsid w:val="00D45EC8"/>
    <w:rsid w:val="00D462D0"/>
    <w:rsid w:val="00D464F3"/>
    <w:rsid w:val="00D4661C"/>
    <w:rsid w:val="00D466C6"/>
    <w:rsid w:val="00D46875"/>
    <w:rsid w:val="00D46AF0"/>
    <w:rsid w:val="00D46C89"/>
    <w:rsid w:val="00D47101"/>
    <w:rsid w:val="00D47755"/>
    <w:rsid w:val="00D4791C"/>
    <w:rsid w:val="00D479A8"/>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5BA"/>
    <w:rsid w:val="00D52643"/>
    <w:rsid w:val="00D5269C"/>
    <w:rsid w:val="00D52B21"/>
    <w:rsid w:val="00D52D46"/>
    <w:rsid w:val="00D52EC1"/>
    <w:rsid w:val="00D5311C"/>
    <w:rsid w:val="00D534A9"/>
    <w:rsid w:val="00D53605"/>
    <w:rsid w:val="00D536B9"/>
    <w:rsid w:val="00D53823"/>
    <w:rsid w:val="00D5393A"/>
    <w:rsid w:val="00D53D08"/>
    <w:rsid w:val="00D53E7F"/>
    <w:rsid w:val="00D53E8A"/>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524"/>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98"/>
    <w:rsid w:val="00D61600"/>
    <w:rsid w:val="00D61614"/>
    <w:rsid w:val="00D616BA"/>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8DD"/>
    <w:rsid w:val="00D65A30"/>
    <w:rsid w:val="00D65AC0"/>
    <w:rsid w:val="00D65C5D"/>
    <w:rsid w:val="00D65DBB"/>
    <w:rsid w:val="00D65E0A"/>
    <w:rsid w:val="00D65E57"/>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60A"/>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6B6"/>
    <w:rsid w:val="00D7389C"/>
    <w:rsid w:val="00D73912"/>
    <w:rsid w:val="00D73A25"/>
    <w:rsid w:val="00D73CB6"/>
    <w:rsid w:val="00D74326"/>
    <w:rsid w:val="00D74331"/>
    <w:rsid w:val="00D743C3"/>
    <w:rsid w:val="00D743DC"/>
    <w:rsid w:val="00D7451D"/>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A5"/>
    <w:rsid w:val="00D75CFB"/>
    <w:rsid w:val="00D75D63"/>
    <w:rsid w:val="00D75E1A"/>
    <w:rsid w:val="00D75F48"/>
    <w:rsid w:val="00D75F99"/>
    <w:rsid w:val="00D75FF0"/>
    <w:rsid w:val="00D76103"/>
    <w:rsid w:val="00D761C9"/>
    <w:rsid w:val="00D762C0"/>
    <w:rsid w:val="00D7635C"/>
    <w:rsid w:val="00D76689"/>
    <w:rsid w:val="00D76702"/>
    <w:rsid w:val="00D76744"/>
    <w:rsid w:val="00D7687B"/>
    <w:rsid w:val="00D769FC"/>
    <w:rsid w:val="00D76A0A"/>
    <w:rsid w:val="00D76B19"/>
    <w:rsid w:val="00D76B1B"/>
    <w:rsid w:val="00D76FFD"/>
    <w:rsid w:val="00D771AA"/>
    <w:rsid w:val="00D7724A"/>
    <w:rsid w:val="00D7764C"/>
    <w:rsid w:val="00D776DA"/>
    <w:rsid w:val="00D77781"/>
    <w:rsid w:val="00D777CF"/>
    <w:rsid w:val="00D77D28"/>
    <w:rsid w:val="00D77EF6"/>
    <w:rsid w:val="00D801B7"/>
    <w:rsid w:val="00D802BA"/>
    <w:rsid w:val="00D80432"/>
    <w:rsid w:val="00D8056F"/>
    <w:rsid w:val="00D80697"/>
    <w:rsid w:val="00D806E4"/>
    <w:rsid w:val="00D807BB"/>
    <w:rsid w:val="00D8081D"/>
    <w:rsid w:val="00D80960"/>
    <w:rsid w:val="00D80B51"/>
    <w:rsid w:val="00D80C62"/>
    <w:rsid w:val="00D80C86"/>
    <w:rsid w:val="00D80D5E"/>
    <w:rsid w:val="00D80E22"/>
    <w:rsid w:val="00D81231"/>
    <w:rsid w:val="00D8183C"/>
    <w:rsid w:val="00D818A4"/>
    <w:rsid w:val="00D8242C"/>
    <w:rsid w:val="00D827F2"/>
    <w:rsid w:val="00D828A6"/>
    <w:rsid w:val="00D82900"/>
    <w:rsid w:val="00D832B9"/>
    <w:rsid w:val="00D83398"/>
    <w:rsid w:val="00D83410"/>
    <w:rsid w:val="00D8348E"/>
    <w:rsid w:val="00D83660"/>
    <w:rsid w:val="00D836EF"/>
    <w:rsid w:val="00D8389F"/>
    <w:rsid w:val="00D8398B"/>
    <w:rsid w:val="00D839EE"/>
    <w:rsid w:val="00D841A8"/>
    <w:rsid w:val="00D84252"/>
    <w:rsid w:val="00D844EE"/>
    <w:rsid w:val="00D8469F"/>
    <w:rsid w:val="00D846E7"/>
    <w:rsid w:val="00D8485A"/>
    <w:rsid w:val="00D84AB7"/>
    <w:rsid w:val="00D84CF0"/>
    <w:rsid w:val="00D84D6A"/>
    <w:rsid w:val="00D84DD6"/>
    <w:rsid w:val="00D8533B"/>
    <w:rsid w:val="00D855CF"/>
    <w:rsid w:val="00D85942"/>
    <w:rsid w:val="00D85CB6"/>
    <w:rsid w:val="00D85E55"/>
    <w:rsid w:val="00D8615E"/>
    <w:rsid w:val="00D86240"/>
    <w:rsid w:val="00D8627B"/>
    <w:rsid w:val="00D8653D"/>
    <w:rsid w:val="00D86588"/>
    <w:rsid w:val="00D86907"/>
    <w:rsid w:val="00D86A8A"/>
    <w:rsid w:val="00D86D62"/>
    <w:rsid w:val="00D86DC7"/>
    <w:rsid w:val="00D86EC6"/>
    <w:rsid w:val="00D86F4A"/>
    <w:rsid w:val="00D86FFA"/>
    <w:rsid w:val="00D870D2"/>
    <w:rsid w:val="00D87219"/>
    <w:rsid w:val="00D8736B"/>
    <w:rsid w:val="00D87463"/>
    <w:rsid w:val="00D879FB"/>
    <w:rsid w:val="00D87CC8"/>
    <w:rsid w:val="00D87DEA"/>
    <w:rsid w:val="00D87ED1"/>
    <w:rsid w:val="00D87F46"/>
    <w:rsid w:val="00D900B9"/>
    <w:rsid w:val="00D901A8"/>
    <w:rsid w:val="00D902C3"/>
    <w:rsid w:val="00D902D3"/>
    <w:rsid w:val="00D90655"/>
    <w:rsid w:val="00D90899"/>
    <w:rsid w:val="00D909AE"/>
    <w:rsid w:val="00D909F9"/>
    <w:rsid w:val="00D90B84"/>
    <w:rsid w:val="00D91045"/>
    <w:rsid w:val="00D91610"/>
    <w:rsid w:val="00D916CC"/>
    <w:rsid w:val="00D916ED"/>
    <w:rsid w:val="00D91761"/>
    <w:rsid w:val="00D919CF"/>
    <w:rsid w:val="00D91BA7"/>
    <w:rsid w:val="00D921D5"/>
    <w:rsid w:val="00D92426"/>
    <w:rsid w:val="00D9298C"/>
    <w:rsid w:val="00D92A04"/>
    <w:rsid w:val="00D92A91"/>
    <w:rsid w:val="00D92B12"/>
    <w:rsid w:val="00D92BEF"/>
    <w:rsid w:val="00D92CCF"/>
    <w:rsid w:val="00D92E89"/>
    <w:rsid w:val="00D92F56"/>
    <w:rsid w:val="00D931E2"/>
    <w:rsid w:val="00D93719"/>
    <w:rsid w:val="00D939FD"/>
    <w:rsid w:val="00D93A3A"/>
    <w:rsid w:val="00D93B11"/>
    <w:rsid w:val="00D93C24"/>
    <w:rsid w:val="00D942C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17E"/>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A06"/>
    <w:rsid w:val="00DA6C3F"/>
    <w:rsid w:val="00DA6DBD"/>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24"/>
    <w:rsid w:val="00DB0609"/>
    <w:rsid w:val="00DB0CDD"/>
    <w:rsid w:val="00DB0D8F"/>
    <w:rsid w:val="00DB1192"/>
    <w:rsid w:val="00DB12C2"/>
    <w:rsid w:val="00DB13ED"/>
    <w:rsid w:val="00DB13F3"/>
    <w:rsid w:val="00DB1666"/>
    <w:rsid w:val="00DB17C4"/>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49"/>
    <w:rsid w:val="00DB4DBA"/>
    <w:rsid w:val="00DB4FB9"/>
    <w:rsid w:val="00DB50FA"/>
    <w:rsid w:val="00DB5136"/>
    <w:rsid w:val="00DB539D"/>
    <w:rsid w:val="00DB5467"/>
    <w:rsid w:val="00DB54B6"/>
    <w:rsid w:val="00DB5501"/>
    <w:rsid w:val="00DB55C5"/>
    <w:rsid w:val="00DB56C4"/>
    <w:rsid w:val="00DB59E2"/>
    <w:rsid w:val="00DB612C"/>
    <w:rsid w:val="00DB618A"/>
    <w:rsid w:val="00DB6242"/>
    <w:rsid w:val="00DB6477"/>
    <w:rsid w:val="00DB660D"/>
    <w:rsid w:val="00DB66F8"/>
    <w:rsid w:val="00DB675B"/>
    <w:rsid w:val="00DB6885"/>
    <w:rsid w:val="00DB700A"/>
    <w:rsid w:val="00DB7116"/>
    <w:rsid w:val="00DB7125"/>
    <w:rsid w:val="00DB71A1"/>
    <w:rsid w:val="00DB745A"/>
    <w:rsid w:val="00DB7597"/>
    <w:rsid w:val="00DB765A"/>
    <w:rsid w:val="00DB77DD"/>
    <w:rsid w:val="00DB790E"/>
    <w:rsid w:val="00DB7B2E"/>
    <w:rsid w:val="00DB7C45"/>
    <w:rsid w:val="00DC0172"/>
    <w:rsid w:val="00DC01C3"/>
    <w:rsid w:val="00DC0328"/>
    <w:rsid w:val="00DC0370"/>
    <w:rsid w:val="00DC04FF"/>
    <w:rsid w:val="00DC066C"/>
    <w:rsid w:val="00DC095B"/>
    <w:rsid w:val="00DC09A2"/>
    <w:rsid w:val="00DC0B32"/>
    <w:rsid w:val="00DC0DE8"/>
    <w:rsid w:val="00DC11E0"/>
    <w:rsid w:val="00DC130E"/>
    <w:rsid w:val="00DC13BF"/>
    <w:rsid w:val="00DC145A"/>
    <w:rsid w:val="00DC14D8"/>
    <w:rsid w:val="00DC1562"/>
    <w:rsid w:val="00DC16F9"/>
    <w:rsid w:val="00DC1732"/>
    <w:rsid w:val="00DC18BA"/>
    <w:rsid w:val="00DC18C8"/>
    <w:rsid w:val="00DC1BED"/>
    <w:rsid w:val="00DC1BEF"/>
    <w:rsid w:val="00DC1C98"/>
    <w:rsid w:val="00DC1CAD"/>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0EF"/>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171"/>
    <w:rsid w:val="00DD1378"/>
    <w:rsid w:val="00DD140A"/>
    <w:rsid w:val="00DD14C9"/>
    <w:rsid w:val="00DD1506"/>
    <w:rsid w:val="00DD157D"/>
    <w:rsid w:val="00DD1973"/>
    <w:rsid w:val="00DD1AFD"/>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592"/>
    <w:rsid w:val="00DD46FA"/>
    <w:rsid w:val="00DD47EE"/>
    <w:rsid w:val="00DD4815"/>
    <w:rsid w:val="00DD4AB2"/>
    <w:rsid w:val="00DD501C"/>
    <w:rsid w:val="00DD501E"/>
    <w:rsid w:val="00DD50FA"/>
    <w:rsid w:val="00DD5262"/>
    <w:rsid w:val="00DD52A7"/>
    <w:rsid w:val="00DD531D"/>
    <w:rsid w:val="00DD56B9"/>
    <w:rsid w:val="00DD5955"/>
    <w:rsid w:val="00DD59A4"/>
    <w:rsid w:val="00DD5A0C"/>
    <w:rsid w:val="00DD5BA4"/>
    <w:rsid w:val="00DD5D7A"/>
    <w:rsid w:val="00DD5D9E"/>
    <w:rsid w:val="00DD6331"/>
    <w:rsid w:val="00DD6558"/>
    <w:rsid w:val="00DD6731"/>
    <w:rsid w:val="00DD6740"/>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6A"/>
    <w:rsid w:val="00DE0183"/>
    <w:rsid w:val="00DE03B8"/>
    <w:rsid w:val="00DE06F3"/>
    <w:rsid w:val="00DE07E8"/>
    <w:rsid w:val="00DE0B69"/>
    <w:rsid w:val="00DE0DF4"/>
    <w:rsid w:val="00DE0E10"/>
    <w:rsid w:val="00DE0E4A"/>
    <w:rsid w:val="00DE0E7E"/>
    <w:rsid w:val="00DE10A1"/>
    <w:rsid w:val="00DE10F5"/>
    <w:rsid w:val="00DE147C"/>
    <w:rsid w:val="00DE1692"/>
    <w:rsid w:val="00DE1C22"/>
    <w:rsid w:val="00DE23FF"/>
    <w:rsid w:val="00DE249D"/>
    <w:rsid w:val="00DE2804"/>
    <w:rsid w:val="00DE2AC1"/>
    <w:rsid w:val="00DE2CEF"/>
    <w:rsid w:val="00DE2D73"/>
    <w:rsid w:val="00DE2F65"/>
    <w:rsid w:val="00DE30A1"/>
    <w:rsid w:val="00DE31EA"/>
    <w:rsid w:val="00DE3265"/>
    <w:rsid w:val="00DE36D4"/>
    <w:rsid w:val="00DE38E4"/>
    <w:rsid w:val="00DE3A0B"/>
    <w:rsid w:val="00DE3F06"/>
    <w:rsid w:val="00DE4155"/>
    <w:rsid w:val="00DE4720"/>
    <w:rsid w:val="00DE48A4"/>
    <w:rsid w:val="00DE4B9F"/>
    <w:rsid w:val="00DE4C0C"/>
    <w:rsid w:val="00DE4EA3"/>
    <w:rsid w:val="00DE502D"/>
    <w:rsid w:val="00DE5049"/>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1DB"/>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2D"/>
    <w:rsid w:val="00DF32AA"/>
    <w:rsid w:val="00DF334B"/>
    <w:rsid w:val="00DF3BA0"/>
    <w:rsid w:val="00DF3E29"/>
    <w:rsid w:val="00DF3ED6"/>
    <w:rsid w:val="00DF4065"/>
    <w:rsid w:val="00DF40E0"/>
    <w:rsid w:val="00DF41CC"/>
    <w:rsid w:val="00DF430A"/>
    <w:rsid w:val="00DF45C8"/>
    <w:rsid w:val="00DF4611"/>
    <w:rsid w:val="00DF4B52"/>
    <w:rsid w:val="00DF4B97"/>
    <w:rsid w:val="00DF4E1B"/>
    <w:rsid w:val="00DF5018"/>
    <w:rsid w:val="00DF5035"/>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6EC"/>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E74"/>
    <w:rsid w:val="00E02F7C"/>
    <w:rsid w:val="00E02FDB"/>
    <w:rsid w:val="00E03026"/>
    <w:rsid w:val="00E03260"/>
    <w:rsid w:val="00E035FD"/>
    <w:rsid w:val="00E038B9"/>
    <w:rsid w:val="00E03977"/>
    <w:rsid w:val="00E045C3"/>
    <w:rsid w:val="00E048FF"/>
    <w:rsid w:val="00E04AB7"/>
    <w:rsid w:val="00E05064"/>
    <w:rsid w:val="00E05400"/>
    <w:rsid w:val="00E0556C"/>
    <w:rsid w:val="00E055C6"/>
    <w:rsid w:val="00E05789"/>
    <w:rsid w:val="00E05906"/>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99A"/>
    <w:rsid w:val="00E11A77"/>
    <w:rsid w:val="00E11C8E"/>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DD"/>
    <w:rsid w:val="00E16EEE"/>
    <w:rsid w:val="00E173C1"/>
    <w:rsid w:val="00E17990"/>
    <w:rsid w:val="00E17C3D"/>
    <w:rsid w:val="00E17E53"/>
    <w:rsid w:val="00E20089"/>
    <w:rsid w:val="00E20238"/>
    <w:rsid w:val="00E20394"/>
    <w:rsid w:val="00E20439"/>
    <w:rsid w:val="00E2048E"/>
    <w:rsid w:val="00E20650"/>
    <w:rsid w:val="00E206C6"/>
    <w:rsid w:val="00E20D0A"/>
    <w:rsid w:val="00E20E95"/>
    <w:rsid w:val="00E210A3"/>
    <w:rsid w:val="00E211FB"/>
    <w:rsid w:val="00E21467"/>
    <w:rsid w:val="00E2162E"/>
    <w:rsid w:val="00E216C1"/>
    <w:rsid w:val="00E219AB"/>
    <w:rsid w:val="00E21BB5"/>
    <w:rsid w:val="00E21D2F"/>
    <w:rsid w:val="00E21DA1"/>
    <w:rsid w:val="00E21E78"/>
    <w:rsid w:val="00E222A0"/>
    <w:rsid w:val="00E222FD"/>
    <w:rsid w:val="00E225C4"/>
    <w:rsid w:val="00E22624"/>
    <w:rsid w:val="00E22EBE"/>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4FBF"/>
    <w:rsid w:val="00E25005"/>
    <w:rsid w:val="00E252D9"/>
    <w:rsid w:val="00E25361"/>
    <w:rsid w:val="00E25513"/>
    <w:rsid w:val="00E2562D"/>
    <w:rsid w:val="00E256DE"/>
    <w:rsid w:val="00E2572A"/>
    <w:rsid w:val="00E2581A"/>
    <w:rsid w:val="00E258B3"/>
    <w:rsid w:val="00E2597F"/>
    <w:rsid w:val="00E25B2A"/>
    <w:rsid w:val="00E25CF9"/>
    <w:rsid w:val="00E25E67"/>
    <w:rsid w:val="00E26473"/>
    <w:rsid w:val="00E26530"/>
    <w:rsid w:val="00E26562"/>
    <w:rsid w:val="00E265CF"/>
    <w:rsid w:val="00E266AB"/>
    <w:rsid w:val="00E2672B"/>
    <w:rsid w:val="00E26748"/>
    <w:rsid w:val="00E26CA9"/>
    <w:rsid w:val="00E26E80"/>
    <w:rsid w:val="00E270D0"/>
    <w:rsid w:val="00E2718A"/>
    <w:rsid w:val="00E271A7"/>
    <w:rsid w:val="00E27289"/>
    <w:rsid w:val="00E27383"/>
    <w:rsid w:val="00E277D4"/>
    <w:rsid w:val="00E27B37"/>
    <w:rsid w:val="00E27BE4"/>
    <w:rsid w:val="00E27D57"/>
    <w:rsid w:val="00E27F45"/>
    <w:rsid w:val="00E27FD1"/>
    <w:rsid w:val="00E3018C"/>
    <w:rsid w:val="00E306C9"/>
    <w:rsid w:val="00E3071A"/>
    <w:rsid w:val="00E307B1"/>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759"/>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358"/>
    <w:rsid w:val="00E47428"/>
    <w:rsid w:val="00E4762C"/>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0E7"/>
    <w:rsid w:val="00E51329"/>
    <w:rsid w:val="00E513C9"/>
    <w:rsid w:val="00E515B5"/>
    <w:rsid w:val="00E51606"/>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07"/>
    <w:rsid w:val="00E55344"/>
    <w:rsid w:val="00E554B4"/>
    <w:rsid w:val="00E556E9"/>
    <w:rsid w:val="00E557A0"/>
    <w:rsid w:val="00E557B2"/>
    <w:rsid w:val="00E5589A"/>
    <w:rsid w:val="00E55AA5"/>
    <w:rsid w:val="00E562E2"/>
    <w:rsid w:val="00E5659C"/>
    <w:rsid w:val="00E568D0"/>
    <w:rsid w:val="00E56965"/>
    <w:rsid w:val="00E56C80"/>
    <w:rsid w:val="00E56D16"/>
    <w:rsid w:val="00E56D3F"/>
    <w:rsid w:val="00E570DF"/>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595"/>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395"/>
    <w:rsid w:val="00E64413"/>
    <w:rsid w:val="00E644DA"/>
    <w:rsid w:val="00E64634"/>
    <w:rsid w:val="00E64A4A"/>
    <w:rsid w:val="00E64D54"/>
    <w:rsid w:val="00E64FEE"/>
    <w:rsid w:val="00E65220"/>
    <w:rsid w:val="00E6537E"/>
    <w:rsid w:val="00E65469"/>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D27"/>
    <w:rsid w:val="00E7002D"/>
    <w:rsid w:val="00E70076"/>
    <w:rsid w:val="00E70276"/>
    <w:rsid w:val="00E703A4"/>
    <w:rsid w:val="00E705BF"/>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26"/>
    <w:rsid w:val="00E72209"/>
    <w:rsid w:val="00E728FE"/>
    <w:rsid w:val="00E72F88"/>
    <w:rsid w:val="00E73332"/>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316"/>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09"/>
    <w:rsid w:val="00E815B8"/>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59"/>
    <w:rsid w:val="00E83F82"/>
    <w:rsid w:val="00E841A5"/>
    <w:rsid w:val="00E8431B"/>
    <w:rsid w:val="00E8439A"/>
    <w:rsid w:val="00E8492C"/>
    <w:rsid w:val="00E84988"/>
    <w:rsid w:val="00E84B4C"/>
    <w:rsid w:val="00E84CF5"/>
    <w:rsid w:val="00E84D2B"/>
    <w:rsid w:val="00E8506A"/>
    <w:rsid w:val="00E850A9"/>
    <w:rsid w:val="00E85376"/>
    <w:rsid w:val="00E853FC"/>
    <w:rsid w:val="00E85A25"/>
    <w:rsid w:val="00E85ABB"/>
    <w:rsid w:val="00E85C65"/>
    <w:rsid w:val="00E85E24"/>
    <w:rsid w:val="00E85EC5"/>
    <w:rsid w:val="00E85FFF"/>
    <w:rsid w:val="00E86246"/>
    <w:rsid w:val="00E86506"/>
    <w:rsid w:val="00E867C7"/>
    <w:rsid w:val="00E86B25"/>
    <w:rsid w:val="00E86C3F"/>
    <w:rsid w:val="00E86DF7"/>
    <w:rsid w:val="00E86ED9"/>
    <w:rsid w:val="00E86EE5"/>
    <w:rsid w:val="00E871C7"/>
    <w:rsid w:val="00E87246"/>
    <w:rsid w:val="00E87571"/>
    <w:rsid w:val="00E87686"/>
    <w:rsid w:val="00E8775C"/>
    <w:rsid w:val="00E87891"/>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531"/>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45A"/>
    <w:rsid w:val="00E9461A"/>
    <w:rsid w:val="00E94726"/>
    <w:rsid w:val="00E94786"/>
    <w:rsid w:val="00E94861"/>
    <w:rsid w:val="00E949DB"/>
    <w:rsid w:val="00E94AF7"/>
    <w:rsid w:val="00E956C4"/>
    <w:rsid w:val="00E95B1C"/>
    <w:rsid w:val="00E95BA3"/>
    <w:rsid w:val="00E95D29"/>
    <w:rsid w:val="00E95E85"/>
    <w:rsid w:val="00E962AA"/>
    <w:rsid w:val="00E964AA"/>
    <w:rsid w:val="00E96896"/>
    <w:rsid w:val="00E968F5"/>
    <w:rsid w:val="00E9692F"/>
    <w:rsid w:val="00E96949"/>
    <w:rsid w:val="00E96B09"/>
    <w:rsid w:val="00E96B59"/>
    <w:rsid w:val="00E96F10"/>
    <w:rsid w:val="00E96F5D"/>
    <w:rsid w:val="00E96FCA"/>
    <w:rsid w:val="00E9700B"/>
    <w:rsid w:val="00E970F0"/>
    <w:rsid w:val="00E972FC"/>
    <w:rsid w:val="00E97449"/>
    <w:rsid w:val="00E978A4"/>
    <w:rsid w:val="00E97D2A"/>
    <w:rsid w:val="00E97D5C"/>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0FEC"/>
    <w:rsid w:val="00EA106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517"/>
    <w:rsid w:val="00EA3751"/>
    <w:rsid w:val="00EA3BA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988"/>
    <w:rsid w:val="00EA7C20"/>
    <w:rsid w:val="00EA7F07"/>
    <w:rsid w:val="00EA7FC3"/>
    <w:rsid w:val="00EA7FDF"/>
    <w:rsid w:val="00EB0190"/>
    <w:rsid w:val="00EB02A1"/>
    <w:rsid w:val="00EB02FE"/>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9A4"/>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8FA"/>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5C"/>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C65"/>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4DB"/>
    <w:rsid w:val="00ED2759"/>
    <w:rsid w:val="00ED2DCB"/>
    <w:rsid w:val="00ED2F6D"/>
    <w:rsid w:val="00ED2FCA"/>
    <w:rsid w:val="00ED3131"/>
    <w:rsid w:val="00ED34D6"/>
    <w:rsid w:val="00ED3555"/>
    <w:rsid w:val="00ED386C"/>
    <w:rsid w:val="00ED388D"/>
    <w:rsid w:val="00ED3F2C"/>
    <w:rsid w:val="00ED4209"/>
    <w:rsid w:val="00ED444C"/>
    <w:rsid w:val="00ED46BE"/>
    <w:rsid w:val="00ED4813"/>
    <w:rsid w:val="00ED4861"/>
    <w:rsid w:val="00ED48C7"/>
    <w:rsid w:val="00ED4AD4"/>
    <w:rsid w:val="00ED4E49"/>
    <w:rsid w:val="00ED4F69"/>
    <w:rsid w:val="00ED5054"/>
    <w:rsid w:val="00ED527B"/>
    <w:rsid w:val="00ED531F"/>
    <w:rsid w:val="00ED5475"/>
    <w:rsid w:val="00ED5489"/>
    <w:rsid w:val="00ED5619"/>
    <w:rsid w:val="00ED58A4"/>
    <w:rsid w:val="00ED5955"/>
    <w:rsid w:val="00ED5C2E"/>
    <w:rsid w:val="00ED5C92"/>
    <w:rsid w:val="00ED6057"/>
    <w:rsid w:val="00ED6102"/>
    <w:rsid w:val="00ED612A"/>
    <w:rsid w:val="00ED64C8"/>
    <w:rsid w:val="00ED67AC"/>
    <w:rsid w:val="00ED67D5"/>
    <w:rsid w:val="00ED68E4"/>
    <w:rsid w:val="00ED6A48"/>
    <w:rsid w:val="00ED6E81"/>
    <w:rsid w:val="00ED7019"/>
    <w:rsid w:val="00ED71F8"/>
    <w:rsid w:val="00ED7599"/>
    <w:rsid w:val="00ED7626"/>
    <w:rsid w:val="00ED7B25"/>
    <w:rsid w:val="00ED7B82"/>
    <w:rsid w:val="00ED7EA8"/>
    <w:rsid w:val="00ED7ED4"/>
    <w:rsid w:val="00EE0203"/>
    <w:rsid w:val="00EE021A"/>
    <w:rsid w:val="00EE02AA"/>
    <w:rsid w:val="00EE03D2"/>
    <w:rsid w:val="00EE08D8"/>
    <w:rsid w:val="00EE094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DA4"/>
    <w:rsid w:val="00EE5EAF"/>
    <w:rsid w:val="00EE6104"/>
    <w:rsid w:val="00EE6500"/>
    <w:rsid w:val="00EE6984"/>
    <w:rsid w:val="00EE69A4"/>
    <w:rsid w:val="00EE6C8E"/>
    <w:rsid w:val="00EE71D1"/>
    <w:rsid w:val="00EE7277"/>
    <w:rsid w:val="00EE74A3"/>
    <w:rsid w:val="00EE767B"/>
    <w:rsid w:val="00EE7804"/>
    <w:rsid w:val="00EE78C0"/>
    <w:rsid w:val="00EE7988"/>
    <w:rsid w:val="00EE7A4F"/>
    <w:rsid w:val="00EE7C07"/>
    <w:rsid w:val="00EE7D09"/>
    <w:rsid w:val="00EE7D7C"/>
    <w:rsid w:val="00EE7EE6"/>
    <w:rsid w:val="00EF031F"/>
    <w:rsid w:val="00EF04DF"/>
    <w:rsid w:val="00EF0539"/>
    <w:rsid w:val="00EF0559"/>
    <w:rsid w:val="00EF086C"/>
    <w:rsid w:val="00EF0B24"/>
    <w:rsid w:val="00EF0D69"/>
    <w:rsid w:val="00EF0EC5"/>
    <w:rsid w:val="00EF1008"/>
    <w:rsid w:val="00EF1105"/>
    <w:rsid w:val="00EF1176"/>
    <w:rsid w:val="00EF1230"/>
    <w:rsid w:val="00EF12C8"/>
    <w:rsid w:val="00EF134A"/>
    <w:rsid w:val="00EF1626"/>
    <w:rsid w:val="00EF162A"/>
    <w:rsid w:val="00EF16D4"/>
    <w:rsid w:val="00EF1B04"/>
    <w:rsid w:val="00EF1B14"/>
    <w:rsid w:val="00EF1C9B"/>
    <w:rsid w:val="00EF28B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A3D"/>
    <w:rsid w:val="00EF4CD2"/>
    <w:rsid w:val="00EF4D72"/>
    <w:rsid w:val="00EF4E7D"/>
    <w:rsid w:val="00EF4FE3"/>
    <w:rsid w:val="00EF5016"/>
    <w:rsid w:val="00EF51F9"/>
    <w:rsid w:val="00EF565C"/>
    <w:rsid w:val="00EF58B7"/>
    <w:rsid w:val="00EF5A8F"/>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0"/>
    <w:rsid w:val="00F007FE"/>
    <w:rsid w:val="00F0089D"/>
    <w:rsid w:val="00F00956"/>
    <w:rsid w:val="00F0099B"/>
    <w:rsid w:val="00F00CB6"/>
    <w:rsid w:val="00F00CBB"/>
    <w:rsid w:val="00F00ED8"/>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2C5"/>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5D6D"/>
    <w:rsid w:val="00F06199"/>
    <w:rsid w:val="00F06919"/>
    <w:rsid w:val="00F06A73"/>
    <w:rsid w:val="00F06B95"/>
    <w:rsid w:val="00F06DA4"/>
    <w:rsid w:val="00F07812"/>
    <w:rsid w:val="00F07D4F"/>
    <w:rsid w:val="00F07DC2"/>
    <w:rsid w:val="00F07F24"/>
    <w:rsid w:val="00F07F33"/>
    <w:rsid w:val="00F1050E"/>
    <w:rsid w:val="00F10609"/>
    <w:rsid w:val="00F10634"/>
    <w:rsid w:val="00F1090C"/>
    <w:rsid w:val="00F10AE7"/>
    <w:rsid w:val="00F10B9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17"/>
    <w:rsid w:val="00F13765"/>
    <w:rsid w:val="00F13806"/>
    <w:rsid w:val="00F139DC"/>
    <w:rsid w:val="00F13E1C"/>
    <w:rsid w:val="00F14006"/>
    <w:rsid w:val="00F1400E"/>
    <w:rsid w:val="00F140AD"/>
    <w:rsid w:val="00F1429C"/>
    <w:rsid w:val="00F142D6"/>
    <w:rsid w:val="00F14788"/>
    <w:rsid w:val="00F14B2E"/>
    <w:rsid w:val="00F14B4F"/>
    <w:rsid w:val="00F14FEB"/>
    <w:rsid w:val="00F151EF"/>
    <w:rsid w:val="00F15316"/>
    <w:rsid w:val="00F1533D"/>
    <w:rsid w:val="00F154A2"/>
    <w:rsid w:val="00F154BA"/>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1CF"/>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99"/>
    <w:rsid w:val="00F22402"/>
    <w:rsid w:val="00F22431"/>
    <w:rsid w:val="00F22779"/>
    <w:rsid w:val="00F22A1B"/>
    <w:rsid w:val="00F22A4F"/>
    <w:rsid w:val="00F22BA1"/>
    <w:rsid w:val="00F22D0B"/>
    <w:rsid w:val="00F22E73"/>
    <w:rsid w:val="00F22F6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7EF"/>
    <w:rsid w:val="00F249AD"/>
    <w:rsid w:val="00F24A05"/>
    <w:rsid w:val="00F24E55"/>
    <w:rsid w:val="00F24EF4"/>
    <w:rsid w:val="00F25063"/>
    <w:rsid w:val="00F250A4"/>
    <w:rsid w:val="00F25172"/>
    <w:rsid w:val="00F251F3"/>
    <w:rsid w:val="00F2536A"/>
    <w:rsid w:val="00F2537F"/>
    <w:rsid w:val="00F25B6E"/>
    <w:rsid w:val="00F25C18"/>
    <w:rsid w:val="00F25C6C"/>
    <w:rsid w:val="00F26066"/>
    <w:rsid w:val="00F26125"/>
    <w:rsid w:val="00F261FB"/>
    <w:rsid w:val="00F2622B"/>
    <w:rsid w:val="00F262C1"/>
    <w:rsid w:val="00F2650D"/>
    <w:rsid w:val="00F268AA"/>
    <w:rsid w:val="00F26A49"/>
    <w:rsid w:val="00F26CF1"/>
    <w:rsid w:val="00F26FC4"/>
    <w:rsid w:val="00F2785A"/>
    <w:rsid w:val="00F279DD"/>
    <w:rsid w:val="00F27D20"/>
    <w:rsid w:val="00F27DCE"/>
    <w:rsid w:val="00F300C2"/>
    <w:rsid w:val="00F3016E"/>
    <w:rsid w:val="00F30449"/>
    <w:rsid w:val="00F307F2"/>
    <w:rsid w:val="00F308EE"/>
    <w:rsid w:val="00F30BC5"/>
    <w:rsid w:val="00F30BEF"/>
    <w:rsid w:val="00F310B4"/>
    <w:rsid w:val="00F31185"/>
    <w:rsid w:val="00F3124C"/>
    <w:rsid w:val="00F31511"/>
    <w:rsid w:val="00F317F5"/>
    <w:rsid w:val="00F319A4"/>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08"/>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0C"/>
    <w:rsid w:val="00F4016F"/>
    <w:rsid w:val="00F402AB"/>
    <w:rsid w:val="00F4056B"/>
    <w:rsid w:val="00F4063C"/>
    <w:rsid w:val="00F4082D"/>
    <w:rsid w:val="00F40928"/>
    <w:rsid w:val="00F40929"/>
    <w:rsid w:val="00F40952"/>
    <w:rsid w:val="00F409DA"/>
    <w:rsid w:val="00F40B2B"/>
    <w:rsid w:val="00F40BF9"/>
    <w:rsid w:val="00F40CDA"/>
    <w:rsid w:val="00F410E5"/>
    <w:rsid w:val="00F41355"/>
    <w:rsid w:val="00F41396"/>
    <w:rsid w:val="00F41424"/>
    <w:rsid w:val="00F4152C"/>
    <w:rsid w:val="00F4162F"/>
    <w:rsid w:val="00F418AE"/>
    <w:rsid w:val="00F41A44"/>
    <w:rsid w:val="00F41D85"/>
    <w:rsid w:val="00F41EBB"/>
    <w:rsid w:val="00F42063"/>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8A"/>
    <w:rsid w:val="00F435DB"/>
    <w:rsid w:val="00F435F9"/>
    <w:rsid w:val="00F43650"/>
    <w:rsid w:val="00F43A56"/>
    <w:rsid w:val="00F44172"/>
    <w:rsid w:val="00F44521"/>
    <w:rsid w:val="00F445DC"/>
    <w:rsid w:val="00F445FB"/>
    <w:rsid w:val="00F447F0"/>
    <w:rsid w:val="00F44818"/>
    <w:rsid w:val="00F44A36"/>
    <w:rsid w:val="00F44C27"/>
    <w:rsid w:val="00F44CD6"/>
    <w:rsid w:val="00F44D4F"/>
    <w:rsid w:val="00F4528E"/>
    <w:rsid w:val="00F452EE"/>
    <w:rsid w:val="00F454A8"/>
    <w:rsid w:val="00F454C0"/>
    <w:rsid w:val="00F460C0"/>
    <w:rsid w:val="00F460E8"/>
    <w:rsid w:val="00F461BD"/>
    <w:rsid w:val="00F462B9"/>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AA8"/>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6BD"/>
    <w:rsid w:val="00F5386A"/>
    <w:rsid w:val="00F538B2"/>
    <w:rsid w:val="00F538B7"/>
    <w:rsid w:val="00F53988"/>
    <w:rsid w:val="00F53A0D"/>
    <w:rsid w:val="00F53E43"/>
    <w:rsid w:val="00F540E7"/>
    <w:rsid w:val="00F54168"/>
    <w:rsid w:val="00F5424B"/>
    <w:rsid w:val="00F54349"/>
    <w:rsid w:val="00F5443E"/>
    <w:rsid w:val="00F544BB"/>
    <w:rsid w:val="00F54537"/>
    <w:rsid w:val="00F5466A"/>
    <w:rsid w:val="00F547FD"/>
    <w:rsid w:val="00F54983"/>
    <w:rsid w:val="00F54D92"/>
    <w:rsid w:val="00F54DA5"/>
    <w:rsid w:val="00F54FD4"/>
    <w:rsid w:val="00F550ED"/>
    <w:rsid w:val="00F5534B"/>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09"/>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585"/>
    <w:rsid w:val="00F647C1"/>
    <w:rsid w:val="00F6499E"/>
    <w:rsid w:val="00F64A27"/>
    <w:rsid w:val="00F64B0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4A"/>
    <w:rsid w:val="00F661AC"/>
    <w:rsid w:val="00F663E1"/>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CB"/>
    <w:rsid w:val="00F71C5F"/>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C99"/>
    <w:rsid w:val="00F75DBB"/>
    <w:rsid w:val="00F75EAE"/>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75"/>
    <w:rsid w:val="00F80500"/>
    <w:rsid w:val="00F80728"/>
    <w:rsid w:val="00F807B3"/>
    <w:rsid w:val="00F80922"/>
    <w:rsid w:val="00F80933"/>
    <w:rsid w:val="00F81191"/>
    <w:rsid w:val="00F811D4"/>
    <w:rsid w:val="00F811DC"/>
    <w:rsid w:val="00F811DF"/>
    <w:rsid w:val="00F811F3"/>
    <w:rsid w:val="00F814C5"/>
    <w:rsid w:val="00F816C7"/>
    <w:rsid w:val="00F818F5"/>
    <w:rsid w:val="00F819E8"/>
    <w:rsid w:val="00F81C01"/>
    <w:rsid w:val="00F81DE1"/>
    <w:rsid w:val="00F81E1A"/>
    <w:rsid w:val="00F82160"/>
    <w:rsid w:val="00F8229E"/>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0EB"/>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023"/>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C06"/>
    <w:rsid w:val="00F94D15"/>
    <w:rsid w:val="00F94D54"/>
    <w:rsid w:val="00F94D7B"/>
    <w:rsid w:val="00F94DD9"/>
    <w:rsid w:val="00F95443"/>
    <w:rsid w:val="00F95532"/>
    <w:rsid w:val="00F95639"/>
    <w:rsid w:val="00F959A1"/>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E8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2E7"/>
    <w:rsid w:val="00FA4306"/>
    <w:rsid w:val="00FA43DB"/>
    <w:rsid w:val="00FA445F"/>
    <w:rsid w:val="00FA45D1"/>
    <w:rsid w:val="00FA465A"/>
    <w:rsid w:val="00FA46F9"/>
    <w:rsid w:val="00FA4B47"/>
    <w:rsid w:val="00FA4B87"/>
    <w:rsid w:val="00FA4BAB"/>
    <w:rsid w:val="00FA4E8D"/>
    <w:rsid w:val="00FA4FE2"/>
    <w:rsid w:val="00FA53E3"/>
    <w:rsid w:val="00FA580D"/>
    <w:rsid w:val="00FA5CC6"/>
    <w:rsid w:val="00FA5D4E"/>
    <w:rsid w:val="00FA6163"/>
    <w:rsid w:val="00FA633B"/>
    <w:rsid w:val="00FA659E"/>
    <w:rsid w:val="00FA664D"/>
    <w:rsid w:val="00FA6688"/>
    <w:rsid w:val="00FA6A53"/>
    <w:rsid w:val="00FA6AE5"/>
    <w:rsid w:val="00FA6B56"/>
    <w:rsid w:val="00FA6B6B"/>
    <w:rsid w:val="00FA6CFB"/>
    <w:rsid w:val="00FA6EF1"/>
    <w:rsid w:val="00FA7247"/>
    <w:rsid w:val="00FA73B3"/>
    <w:rsid w:val="00FA7516"/>
    <w:rsid w:val="00FA7871"/>
    <w:rsid w:val="00FA7AD4"/>
    <w:rsid w:val="00FA7BB8"/>
    <w:rsid w:val="00FA7CB1"/>
    <w:rsid w:val="00FA7DEF"/>
    <w:rsid w:val="00FB00A9"/>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DD9"/>
    <w:rsid w:val="00FB5189"/>
    <w:rsid w:val="00FB5361"/>
    <w:rsid w:val="00FB53E3"/>
    <w:rsid w:val="00FB5403"/>
    <w:rsid w:val="00FB55F0"/>
    <w:rsid w:val="00FB566A"/>
    <w:rsid w:val="00FB56C5"/>
    <w:rsid w:val="00FB5E41"/>
    <w:rsid w:val="00FB6021"/>
    <w:rsid w:val="00FB6080"/>
    <w:rsid w:val="00FB61C4"/>
    <w:rsid w:val="00FB637D"/>
    <w:rsid w:val="00FB6429"/>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58E"/>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76"/>
    <w:rsid w:val="00FC3FBC"/>
    <w:rsid w:val="00FC446E"/>
    <w:rsid w:val="00FC4A36"/>
    <w:rsid w:val="00FC4AFD"/>
    <w:rsid w:val="00FC4BBC"/>
    <w:rsid w:val="00FC4C0C"/>
    <w:rsid w:val="00FC4C11"/>
    <w:rsid w:val="00FC512C"/>
    <w:rsid w:val="00FC5197"/>
    <w:rsid w:val="00FC5321"/>
    <w:rsid w:val="00FC543C"/>
    <w:rsid w:val="00FC54A2"/>
    <w:rsid w:val="00FC5585"/>
    <w:rsid w:val="00FC5633"/>
    <w:rsid w:val="00FC5A77"/>
    <w:rsid w:val="00FC5B18"/>
    <w:rsid w:val="00FC5D16"/>
    <w:rsid w:val="00FC6041"/>
    <w:rsid w:val="00FC6136"/>
    <w:rsid w:val="00FC619D"/>
    <w:rsid w:val="00FC61C8"/>
    <w:rsid w:val="00FC644A"/>
    <w:rsid w:val="00FC6461"/>
    <w:rsid w:val="00FC66F5"/>
    <w:rsid w:val="00FC678F"/>
    <w:rsid w:val="00FC67BC"/>
    <w:rsid w:val="00FC6833"/>
    <w:rsid w:val="00FC69BA"/>
    <w:rsid w:val="00FC6A12"/>
    <w:rsid w:val="00FC6AE6"/>
    <w:rsid w:val="00FC6D71"/>
    <w:rsid w:val="00FC6ECE"/>
    <w:rsid w:val="00FC706B"/>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850"/>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6E8"/>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FB"/>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51"/>
    <w:rsid w:val="00FE2392"/>
    <w:rsid w:val="00FE24C0"/>
    <w:rsid w:val="00FE26C1"/>
    <w:rsid w:val="00FE2842"/>
    <w:rsid w:val="00FE2861"/>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96"/>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59"/>
    <w:rsid w:val="00FF196B"/>
    <w:rsid w:val="00FF1A67"/>
    <w:rsid w:val="00FF1C8A"/>
    <w:rsid w:val="00FF21D2"/>
    <w:rsid w:val="00FF2408"/>
    <w:rsid w:val="00FF25E2"/>
    <w:rsid w:val="00FF2B84"/>
    <w:rsid w:val="00FF313B"/>
    <w:rsid w:val="00FF31A1"/>
    <w:rsid w:val="00FF3360"/>
    <w:rsid w:val="00FF34C8"/>
    <w:rsid w:val="00FF36B9"/>
    <w:rsid w:val="00FF36BD"/>
    <w:rsid w:val="00FF381C"/>
    <w:rsid w:val="00FF3A8F"/>
    <w:rsid w:val="00FF3B13"/>
    <w:rsid w:val="00FF3B76"/>
    <w:rsid w:val="00FF3CCA"/>
    <w:rsid w:val="00FF4083"/>
    <w:rsid w:val="00FF41EC"/>
    <w:rsid w:val="00FF43EE"/>
    <w:rsid w:val="00FF44A8"/>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E0373D"/>
    <w:rsid w:val="023941F6"/>
    <w:rsid w:val="024418B0"/>
    <w:rsid w:val="027712E7"/>
    <w:rsid w:val="028B11EE"/>
    <w:rsid w:val="02D54924"/>
    <w:rsid w:val="02F95FFF"/>
    <w:rsid w:val="03495662"/>
    <w:rsid w:val="03D34F82"/>
    <w:rsid w:val="041B4BDE"/>
    <w:rsid w:val="04434793"/>
    <w:rsid w:val="059352CF"/>
    <w:rsid w:val="05CB04ED"/>
    <w:rsid w:val="060953EE"/>
    <w:rsid w:val="061846F5"/>
    <w:rsid w:val="06712BB6"/>
    <w:rsid w:val="075C69EF"/>
    <w:rsid w:val="07773F58"/>
    <w:rsid w:val="07D2695F"/>
    <w:rsid w:val="08650CEE"/>
    <w:rsid w:val="08B10AA8"/>
    <w:rsid w:val="08BF42BB"/>
    <w:rsid w:val="09436A8B"/>
    <w:rsid w:val="09C116C5"/>
    <w:rsid w:val="09D43B87"/>
    <w:rsid w:val="0A231ED7"/>
    <w:rsid w:val="0A3F40A9"/>
    <w:rsid w:val="0B3B62CF"/>
    <w:rsid w:val="0B660C1A"/>
    <w:rsid w:val="0B730299"/>
    <w:rsid w:val="0B9D5EA8"/>
    <w:rsid w:val="0C5D0400"/>
    <w:rsid w:val="0E79153E"/>
    <w:rsid w:val="0F4946D0"/>
    <w:rsid w:val="0F634609"/>
    <w:rsid w:val="0FB3217F"/>
    <w:rsid w:val="0FFF7484"/>
    <w:rsid w:val="100F6795"/>
    <w:rsid w:val="10455D6B"/>
    <w:rsid w:val="10563D8B"/>
    <w:rsid w:val="10595D81"/>
    <w:rsid w:val="106176D0"/>
    <w:rsid w:val="10CF0FC1"/>
    <w:rsid w:val="12022F7A"/>
    <w:rsid w:val="12437AFC"/>
    <w:rsid w:val="125F6E0B"/>
    <w:rsid w:val="12C03F48"/>
    <w:rsid w:val="131F7BD9"/>
    <w:rsid w:val="132B1F41"/>
    <w:rsid w:val="13687FFD"/>
    <w:rsid w:val="138106AD"/>
    <w:rsid w:val="13E175CD"/>
    <w:rsid w:val="143C3B45"/>
    <w:rsid w:val="14495F08"/>
    <w:rsid w:val="148038AF"/>
    <w:rsid w:val="14A02BEE"/>
    <w:rsid w:val="156B21CF"/>
    <w:rsid w:val="15E40B73"/>
    <w:rsid w:val="164B7CB7"/>
    <w:rsid w:val="17716EB9"/>
    <w:rsid w:val="178565A6"/>
    <w:rsid w:val="17F93E0B"/>
    <w:rsid w:val="183C6FA0"/>
    <w:rsid w:val="18F165D6"/>
    <w:rsid w:val="19297320"/>
    <w:rsid w:val="1AB4635D"/>
    <w:rsid w:val="1AE1493B"/>
    <w:rsid w:val="1AF34803"/>
    <w:rsid w:val="1B79458F"/>
    <w:rsid w:val="1B854CE1"/>
    <w:rsid w:val="1BCB296E"/>
    <w:rsid w:val="1BE64D62"/>
    <w:rsid w:val="1C455CA5"/>
    <w:rsid w:val="1C550B58"/>
    <w:rsid w:val="1C596259"/>
    <w:rsid w:val="1CA83D73"/>
    <w:rsid w:val="1D2C69D2"/>
    <w:rsid w:val="1D500560"/>
    <w:rsid w:val="1D61237C"/>
    <w:rsid w:val="1D960C88"/>
    <w:rsid w:val="1E087E4C"/>
    <w:rsid w:val="1E223ACD"/>
    <w:rsid w:val="1E3173A3"/>
    <w:rsid w:val="1E8A0861"/>
    <w:rsid w:val="1E9F6204"/>
    <w:rsid w:val="1F0E4FEE"/>
    <w:rsid w:val="1FB11B31"/>
    <w:rsid w:val="1FCD4EA9"/>
    <w:rsid w:val="1FF13814"/>
    <w:rsid w:val="2053020A"/>
    <w:rsid w:val="20971013"/>
    <w:rsid w:val="20D7061A"/>
    <w:rsid w:val="20DF433A"/>
    <w:rsid w:val="212F2591"/>
    <w:rsid w:val="215E765D"/>
    <w:rsid w:val="2242146B"/>
    <w:rsid w:val="226D1127"/>
    <w:rsid w:val="228E2125"/>
    <w:rsid w:val="229439A9"/>
    <w:rsid w:val="23286019"/>
    <w:rsid w:val="234F4BFE"/>
    <w:rsid w:val="239E00B4"/>
    <w:rsid w:val="23CE6814"/>
    <w:rsid w:val="24471677"/>
    <w:rsid w:val="24590191"/>
    <w:rsid w:val="24A217F3"/>
    <w:rsid w:val="24EA2059"/>
    <w:rsid w:val="251E74A4"/>
    <w:rsid w:val="25C02E05"/>
    <w:rsid w:val="25C91C6F"/>
    <w:rsid w:val="271E423C"/>
    <w:rsid w:val="27843CE5"/>
    <w:rsid w:val="27A40BE5"/>
    <w:rsid w:val="290F208E"/>
    <w:rsid w:val="292D456F"/>
    <w:rsid w:val="294A756A"/>
    <w:rsid w:val="29762C4D"/>
    <w:rsid w:val="2B1B11BE"/>
    <w:rsid w:val="2B1F57CD"/>
    <w:rsid w:val="2B6F32B8"/>
    <w:rsid w:val="2C5002CF"/>
    <w:rsid w:val="2D251353"/>
    <w:rsid w:val="2D811081"/>
    <w:rsid w:val="2D881595"/>
    <w:rsid w:val="2E061861"/>
    <w:rsid w:val="2E7A444E"/>
    <w:rsid w:val="2F3E36CD"/>
    <w:rsid w:val="2F7470EF"/>
    <w:rsid w:val="2F92611D"/>
    <w:rsid w:val="2FB45246"/>
    <w:rsid w:val="30872CAA"/>
    <w:rsid w:val="30C86C11"/>
    <w:rsid w:val="31604B4D"/>
    <w:rsid w:val="31957AC8"/>
    <w:rsid w:val="3238303E"/>
    <w:rsid w:val="32B50757"/>
    <w:rsid w:val="32D63015"/>
    <w:rsid w:val="32E35003"/>
    <w:rsid w:val="32E94D82"/>
    <w:rsid w:val="32EB653A"/>
    <w:rsid w:val="336D4581"/>
    <w:rsid w:val="33830795"/>
    <w:rsid w:val="33CF0874"/>
    <w:rsid w:val="33E23182"/>
    <w:rsid w:val="342A4220"/>
    <w:rsid w:val="34A57D4B"/>
    <w:rsid w:val="34C957E7"/>
    <w:rsid w:val="34F229D6"/>
    <w:rsid w:val="353E3268"/>
    <w:rsid w:val="3563341C"/>
    <w:rsid w:val="358D2A11"/>
    <w:rsid w:val="35B74AF0"/>
    <w:rsid w:val="35D50C4E"/>
    <w:rsid w:val="35E57C7A"/>
    <w:rsid w:val="35F36DDE"/>
    <w:rsid w:val="36015455"/>
    <w:rsid w:val="37C00785"/>
    <w:rsid w:val="37C67F02"/>
    <w:rsid w:val="38391D81"/>
    <w:rsid w:val="38594B9E"/>
    <w:rsid w:val="38A068C3"/>
    <w:rsid w:val="38F01C59"/>
    <w:rsid w:val="39B942A9"/>
    <w:rsid w:val="39CA6BFA"/>
    <w:rsid w:val="39DF207A"/>
    <w:rsid w:val="39EE74EB"/>
    <w:rsid w:val="3A3228BF"/>
    <w:rsid w:val="3A474C4A"/>
    <w:rsid w:val="3A773752"/>
    <w:rsid w:val="3ACF66D4"/>
    <w:rsid w:val="3B466F6C"/>
    <w:rsid w:val="3B61066A"/>
    <w:rsid w:val="3B6B41B7"/>
    <w:rsid w:val="3B782B1F"/>
    <w:rsid w:val="3B950B19"/>
    <w:rsid w:val="3B9C2269"/>
    <w:rsid w:val="3BCB6780"/>
    <w:rsid w:val="3C731BCE"/>
    <w:rsid w:val="3CA92AEA"/>
    <w:rsid w:val="3D260DF0"/>
    <w:rsid w:val="3D2E5B45"/>
    <w:rsid w:val="3D6264D8"/>
    <w:rsid w:val="3E6A78E0"/>
    <w:rsid w:val="3E9710AD"/>
    <w:rsid w:val="3ECA2A66"/>
    <w:rsid w:val="3F3A2D94"/>
    <w:rsid w:val="3F644D23"/>
    <w:rsid w:val="3FBB48C6"/>
    <w:rsid w:val="3FC419CD"/>
    <w:rsid w:val="401A3BEF"/>
    <w:rsid w:val="409353AF"/>
    <w:rsid w:val="40F62AFF"/>
    <w:rsid w:val="411453FC"/>
    <w:rsid w:val="416C7C08"/>
    <w:rsid w:val="41B130B2"/>
    <w:rsid w:val="42A572DD"/>
    <w:rsid w:val="42C44CC0"/>
    <w:rsid w:val="42CD0A98"/>
    <w:rsid w:val="42DE34F6"/>
    <w:rsid w:val="430C08A6"/>
    <w:rsid w:val="431A0C09"/>
    <w:rsid w:val="43317111"/>
    <w:rsid w:val="43A872CF"/>
    <w:rsid w:val="442570A5"/>
    <w:rsid w:val="44411E25"/>
    <w:rsid w:val="44BB6306"/>
    <w:rsid w:val="4520494F"/>
    <w:rsid w:val="456E0177"/>
    <w:rsid w:val="45E67549"/>
    <w:rsid w:val="461B0BF6"/>
    <w:rsid w:val="46BE6C97"/>
    <w:rsid w:val="47793821"/>
    <w:rsid w:val="47C81A4C"/>
    <w:rsid w:val="480E2158"/>
    <w:rsid w:val="48937ADD"/>
    <w:rsid w:val="48937C53"/>
    <w:rsid w:val="48F56896"/>
    <w:rsid w:val="4918435D"/>
    <w:rsid w:val="49A16920"/>
    <w:rsid w:val="49B86297"/>
    <w:rsid w:val="49C34AA3"/>
    <w:rsid w:val="4A1520FF"/>
    <w:rsid w:val="4AB10659"/>
    <w:rsid w:val="4AFA44F5"/>
    <w:rsid w:val="4B3F45FD"/>
    <w:rsid w:val="4B5C47E6"/>
    <w:rsid w:val="4B65373A"/>
    <w:rsid w:val="4BD023EF"/>
    <w:rsid w:val="4BDE5BC4"/>
    <w:rsid w:val="4CA01DFB"/>
    <w:rsid w:val="4D00163A"/>
    <w:rsid w:val="4D0624DE"/>
    <w:rsid w:val="4D0A29E9"/>
    <w:rsid w:val="4D523BCC"/>
    <w:rsid w:val="4D866514"/>
    <w:rsid w:val="4E3C6C6D"/>
    <w:rsid w:val="4E597982"/>
    <w:rsid w:val="4E5C28D8"/>
    <w:rsid w:val="4E6566ED"/>
    <w:rsid w:val="4F0F5BE3"/>
    <w:rsid w:val="4F3A3876"/>
    <w:rsid w:val="4FC5539A"/>
    <w:rsid w:val="506427A7"/>
    <w:rsid w:val="50BB2ECA"/>
    <w:rsid w:val="5183368B"/>
    <w:rsid w:val="52324668"/>
    <w:rsid w:val="52422029"/>
    <w:rsid w:val="52476615"/>
    <w:rsid w:val="52640E43"/>
    <w:rsid w:val="52AD1624"/>
    <w:rsid w:val="52FB3500"/>
    <w:rsid w:val="53152E43"/>
    <w:rsid w:val="532D0A03"/>
    <w:rsid w:val="534E51D7"/>
    <w:rsid w:val="541C372E"/>
    <w:rsid w:val="544555FD"/>
    <w:rsid w:val="5454776F"/>
    <w:rsid w:val="549F173E"/>
    <w:rsid w:val="54E8456A"/>
    <w:rsid w:val="55040901"/>
    <w:rsid w:val="555A6AD9"/>
    <w:rsid w:val="5581095B"/>
    <w:rsid w:val="55B61960"/>
    <w:rsid w:val="55F35093"/>
    <w:rsid w:val="56273A2E"/>
    <w:rsid w:val="56911137"/>
    <w:rsid w:val="56C02707"/>
    <w:rsid w:val="56DF05DE"/>
    <w:rsid w:val="56F70118"/>
    <w:rsid w:val="577332C9"/>
    <w:rsid w:val="57794E6B"/>
    <w:rsid w:val="57FC6189"/>
    <w:rsid w:val="586D09FC"/>
    <w:rsid w:val="589368E0"/>
    <w:rsid w:val="5896110C"/>
    <w:rsid w:val="58F365C0"/>
    <w:rsid w:val="591A29EC"/>
    <w:rsid w:val="595C637A"/>
    <w:rsid w:val="59972CAA"/>
    <w:rsid w:val="5A4566FD"/>
    <w:rsid w:val="5B311312"/>
    <w:rsid w:val="5C2D3A9C"/>
    <w:rsid w:val="5C45759A"/>
    <w:rsid w:val="5D3343B0"/>
    <w:rsid w:val="5E686D79"/>
    <w:rsid w:val="5E9B5E9A"/>
    <w:rsid w:val="5F073306"/>
    <w:rsid w:val="5F42781F"/>
    <w:rsid w:val="5F5F73B9"/>
    <w:rsid w:val="5FB83BAB"/>
    <w:rsid w:val="60282DCA"/>
    <w:rsid w:val="60310561"/>
    <w:rsid w:val="603C5E52"/>
    <w:rsid w:val="60C018E5"/>
    <w:rsid w:val="60F33A68"/>
    <w:rsid w:val="617F454C"/>
    <w:rsid w:val="61EF7CEF"/>
    <w:rsid w:val="633D71D5"/>
    <w:rsid w:val="63915474"/>
    <w:rsid w:val="64275893"/>
    <w:rsid w:val="64780C7B"/>
    <w:rsid w:val="64A9266B"/>
    <w:rsid w:val="64AC7317"/>
    <w:rsid w:val="6531690D"/>
    <w:rsid w:val="653177A2"/>
    <w:rsid w:val="65A16715"/>
    <w:rsid w:val="65C149FF"/>
    <w:rsid w:val="65C96799"/>
    <w:rsid w:val="65DA7280"/>
    <w:rsid w:val="66A95621"/>
    <w:rsid w:val="66CA0866"/>
    <w:rsid w:val="66CC3665"/>
    <w:rsid w:val="66ED4AB6"/>
    <w:rsid w:val="66FD6A1D"/>
    <w:rsid w:val="67570318"/>
    <w:rsid w:val="67717495"/>
    <w:rsid w:val="677239CC"/>
    <w:rsid w:val="68016620"/>
    <w:rsid w:val="6838144E"/>
    <w:rsid w:val="68AA7398"/>
    <w:rsid w:val="68AC0E5A"/>
    <w:rsid w:val="694453E4"/>
    <w:rsid w:val="69CE0BCF"/>
    <w:rsid w:val="6A4E7F61"/>
    <w:rsid w:val="6A62167E"/>
    <w:rsid w:val="6A86769D"/>
    <w:rsid w:val="6AE4619D"/>
    <w:rsid w:val="6AFB2B3A"/>
    <w:rsid w:val="6BB34F40"/>
    <w:rsid w:val="6CAE5EA0"/>
    <w:rsid w:val="6CCB60FB"/>
    <w:rsid w:val="6CF9690D"/>
    <w:rsid w:val="6D04360D"/>
    <w:rsid w:val="6D112EC3"/>
    <w:rsid w:val="6D341B0C"/>
    <w:rsid w:val="6D4535F9"/>
    <w:rsid w:val="6D6C4AA4"/>
    <w:rsid w:val="6D8F415C"/>
    <w:rsid w:val="6E197446"/>
    <w:rsid w:val="6E205D79"/>
    <w:rsid w:val="6E285E32"/>
    <w:rsid w:val="6E3F13AB"/>
    <w:rsid w:val="6E4352D5"/>
    <w:rsid w:val="6E58457D"/>
    <w:rsid w:val="6F042906"/>
    <w:rsid w:val="6F121E74"/>
    <w:rsid w:val="6F51652A"/>
    <w:rsid w:val="6F97D24A"/>
    <w:rsid w:val="6FCC795E"/>
    <w:rsid w:val="70141305"/>
    <w:rsid w:val="701B08E6"/>
    <w:rsid w:val="70D94109"/>
    <w:rsid w:val="713F254E"/>
    <w:rsid w:val="71E909FE"/>
    <w:rsid w:val="71F91C75"/>
    <w:rsid w:val="721736D2"/>
    <w:rsid w:val="73504D4A"/>
    <w:rsid w:val="737745D5"/>
    <w:rsid w:val="741E6BF6"/>
    <w:rsid w:val="742C597A"/>
    <w:rsid w:val="748F5081"/>
    <w:rsid w:val="760C4F72"/>
    <w:rsid w:val="76276FDF"/>
    <w:rsid w:val="76722EB4"/>
    <w:rsid w:val="767A2B5F"/>
    <w:rsid w:val="76C12603"/>
    <w:rsid w:val="76DC35F5"/>
    <w:rsid w:val="778D35DD"/>
    <w:rsid w:val="77C41863"/>
    <w:rsid w:val="78B22FBE"/>
    <w:rsid w:val="78D62ECE"/>
    <w:rsid w:val="79055F69"/>
    <w:rsid w:val="7917404C"/>
    <w:rsid w:val="79A66B02"/>
    <w:rsid w:val="79C85F26"/>
    <w:rsid w:val="7A723E79"/>
    <w:rsid w:val="7A812740"/>
    <w:rsid w:val="7B452CBB"/>
    <w:rsid w:val="7BC506FF"/>
    <w:rsid w:val="7BE673F4"/>
    <w:rsid w:val="7C0148BF"/>
    <w:rsid w:val="7C072E3B"/>
    <w:rsid w:val="7C5036C5"/>
    <w:rsid w:val="7CCD11BA"/>
    <w:rsid w:val="7CD17008"/>
    <w:rsid w:val="7D0A417E"/>
    <w:rsid w:val="7E527BC8"/>
    <w:rsid w:val="7E736414"/>
    <w:rsid w:val="7E793D00"/>
    <w:rsid w:val="7E94444F"/>
    <w:rsid w:val="7E9E4BBC"/>
    <w:rsid w:val="7EEF3669"/>
    <w:rsid w:val="7F691549"/>
    <w:rsid w:val="7F850900"/>
    <w:rsid w:val="7F97D7F2"/>
    <w:rsid w:val="7FE103A7"/>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0"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0" w:semiHidden="0" w:name="table of authorities"/>
    <w:lsdException w:uiPriority="99" w:name="macro" w:locked="1"/>
    <w:lsdException w:uiPriority="99" w:name="toa heading" w:locked="1"/>
    <w:lsdException w:uiPriority="0" w:semiHidden="0" w:name="List"/>
    <w:lsdException w:uiPriority="0" w:semiHidden="0" w:name="List Bullet"/>
    <w:lsdException w:uiPriority="99" w:name="List Number" w:locked="1"/>
    <w:lsdException w:qFormat="1" w:unhideWhenUsed="0" w:uiPriority="99" w:semiHidden="0" w:name="List 2"/>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0" w:semiHidden="0" w:name="List Continue 2"/>
    <w:lsdException w:uiPriority="0" w:semiHidden="0" w:name="List Continue 3"/>
    <w:lsdException w:uiPriority="0" w:semiHidden="0" w:name="List Continue 4"/>
    <w:lsdException w:uiPriority="0" w:semiHidden="0" w:name="List Continue 5"/>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nhideWhenUsed="0" w:uiPriority="99" w:semiHidden="0" w:name="Body Text First Indent 2"/>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0"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uiPriority="99" w:name="HTML Code" w:locked="1"/>
    <w:lsdException w:uiPriority="99" w:name="HTML Definition" w:locked="1"/>
    <w:lsdException w:uiPriority="99" w:name="HTML Keyboard" w:locked="1"/>
    <w:lsdException w:qFormat="1" w:unhideWhenUsed="0" w:uiPriority="0"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99"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7"/>
    <w:qFormat/>
    <w:uiPriority w:val="9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198"/>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199"/>
    <w:qFormat/>
    <w:uiPriority w:val="9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01"/>
    <w:autoRedefine/>
    <w:qFormat/>
    <w:uiPriority w:val="9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02"/>
    <w:autoRedefine/>
    <w:qFormat/>
    <w:uiPriority w:val="99"/>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03"/>
    <w:autoRedefine/>
    <w:qFormat/>
    <w:uiPriority w:val="9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04"/>
    <w:qFormat/>
    <w:uiPriority w:val="99"/>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05"/>
    <w:qFormat/>
    <w:uiPriority w:val="9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06"/>
    <w:autoRedefine/>
    <w:qFormat/>
    <w:uiPriority w:val="9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0"/>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99"/>
    <w:pPr>
      <w:ind w:left="2520" w:leftChars="1200"/>
    </w:pPr>
  </w:style>
  <w:style w:type="paragraph" w:styleId="13">
    <w:name w:val="caption"/>
    <w:basedOn w:val="1"/>
    <w:next w:val="1"/>
    <w:autoRedefine/>
    <w:qFormat/>
    <w:uiPriority w:val="99"/>
    <w:pPr>
      <w:spacing w:line="480" w:lineRule="auto"/>
    </w:pPr>
    <w:rPr>
      <w:rFonts w:ascii="华文中宋" w:hAnsi="华文中宋" w:eastAsia="华文中宋"/>
      <w:sz w:val="36"/>
      <w:szCs w:val="20"/>
    </w:rPr>
  </w:style>
  <w:style w:type="paragraph" w:styleId="14">
    <w:name w:val="Document Map"/>
    <w:basedOn w:val="1"/>
    <w:link w:val="207"/>
    <w:autoRedefine/>
    <w:qFormat/>
    <w:uiPriority w:val="0"/>
    <w:pPr>
      <w:shd w:val="clear" w:color="auto" w:fill="000080"/>
    </w:pPr>
  </w:style>
  <w:style w:type="paragraph" w:styleId="15">
    <w:name w:val="annotation text"/>
    <w:basedOn w:val="1"/>
    <w:link w:val="208"/>
    <w:autoRedefine/>
    <w:qFormat/>
    <w:uiPriority w:val="99"/>
    <w:pPr>
      <w:jc w:val="left"/>
    </w:pPr>
  </w:style>
  <w:style w:type="paragraph" w:styleId="16">
    <w:name w:val="Body Text 3"/>
    <w:basedOn w:val="1"/>
    <w:link w:val="209"/>
    <w:autoRedefine/>
    <w:qFormat/>
    <w:uiPriority w:val="99"/>
    <w:pPr>
      <w:spacing w:after="120"/>
    </w:pPr>
    <w:rPr>
      <w:sz w:val="16"/>
      <w:szCs w:val="16"/>
    </w:rPr>
  </w:style>
  <w:style w:type="paragraph" w:styleId="17">
    <w:name w:val="Body Text"/>
    <w:basedOn w:val="1"/>
    <w:link w:val="210"/>
    <w:autoRedefine/>
    <w:qFormat/>
    <w:uiPriority w:val="0"/>
    <w:pPr>
      <w:tabs>
        <w:tab w:val="left" w:pos="567"/>
      </w:tabs>
      <w:spacing w:before="120" w:line="22" w:lineRule="atLeast"/>
    </w:pPr>
    <w:rPr>
      <w:rFonts w:ascii="宋体" w:hAnsi="宋体"/>
      <w:sz w:val="24"/>
    </w:rPr>
  </w:style>
  <w:style w:type="paragraph" w:styleId="18">
    <w:name w:val="Body Text Indent"/>
    <w:basedOn w:val="1"/>
    <w:link w:val="195"/>
    <w:autoRedefine/>
    <w:qFormat/>
    <w:uiPriority w:val="99"/>
    <w:pPr>
      <w:spacing w:line="360" w:lineRule="auto"/>
      <w:ind w:firstLine="570"/>
    </w:pPr>
    <w:rPr>
      <w:sz w:val="24"/>
    </w:rPr>
  </w:style>
  <w:style w:type="paragraph" w:styleId="19">
    <w:name w:val="List 2"/>
    <w:basedOn w:val="1"/>
    <w:autoRedefine/>
    <w:qFormat/>
    <w:uiPriority w:val="99"/>
    <w:pPr>
      <w:ind w:left="100" w:leftChars="200" w:hanging="200" w:hangingChars="200"/>
    </w:pPr>
  </w:style>
  <w:style w:type="paragraph" w:styleId="20">
    <w:name w:val="Block Text"/>
    <w:basedOn w:val="1"/>
    <w:autoRedefine/>
    <w:qFormat/>
    <w:uiPriority w:val="99"/>
    <w:pPr>
      <w:widowControl/>
      <w:ind w:left="480" w:right="-341" w:firstLine="513"/>
    </w:pPr>
    <w:rPr>
      <w:kern w:val="0"/>
      <w:sz w:val="24"/>
      <w:szCs w:val="20"/>
    </w:rPr>
  </w:style>
  <w:style w:type="paragraph" w:styleId="21">
    <w:name w:val="toc 5"/>
    <w:basedOn w:val="1"/>
    <w:next w:val="1"/>
    <w:autoRedefine/>
    <w:qFormat/>
    <w:uiPriority w:val="99"/>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11"/>
    <w:autoRedefine/>
    <w:qFormat/>
    <w:uiPriority w:val="0"/>
    <w:rPr>
      <w:rFonts w:ascii="宋体" w:hAnsi="Courier New"/>
      <w:szCs w:val="20"/>
    </w:rPr>
  </w:style>
  <w:style w:type="paragraph" w:styleId="24">
    <w:name w:val="toc 8"/>
    <w:basedOn w:val="1"/>
    <w:next w:val="1"/>
    <w:autoRedefine/>
    <w:qFormat/>
    <w:uiPriority w:val="99"/>
    <w:pPr>
      <w:ind w:left="2940" w:leftChars="1400"/>
    </w:pPr>
  </w:style>
  <w:style w:type="paragraph" w:styleId="25">
    <w:name w:val="Date"/>
    <w:basedOn w:val="1"/>
    <w:next w:val="1"/>
    <w:link w:val="212"/>
    <w:autoRedefine/>
    <w:qFormat/>
    <w:uiPriority w:val="99"/>
    <w:pPr>
      <w:ind w:left="100" w:leftChars="2500"/>
    </w:pPr>
    <w:rPr>
      <w:rFonts w:ascii="仿宋_GB2312" w:hAnsi="宋体" w:eastAsia="仿宋_GB2312"/>
      <w:color w:val="000000"/>
      <w:sz w:val="24"/>
    </w:rPr>
  </w:style>
  <w:style w:type="paragraph" w:styleId="26">
    <w:name w:val="Body Text Indent 2"/>
    <w:basedOn w:val="1"/>
    <w:link w:val="213"/>
    <w:autoRedefine/>
    <w:qFormat/>
    <w:uiPriority w:val="99"/>
    <w:pPr>
      <w:ind w:firstLine="480" w:firstLineChars="200"/>
    </w:pPr>
    <w:rPr>
      <w:rFonts w:ascii="仿宋_GB2312" w:eastAsia="仿宋_GB2312"/>
      <w:sz w:val="24"/>
    </w:rPr>
  </w:style>
  <w:style w:type="paragraph" w:styleId="27">
    <w:name w:val="Balloon Text"/>
    <w:basedOn w:val="1"/>
    <w:link w:val="214"/>
    <w:autoRedefine/>
    <w:qFormat/>
    <w:uiPriority w:val="99"/>
    <w:rPr>
      <w:sz w:val="18"/>
      <w:szCs w:val="18"/>
    </w:rPr>
  </w:style>
  <w:style w:type="paragraph" w:styleId="28">
    <w:name w:val="footer"/>
    <w:basedOn w:val="1"/>
    <w:link w:val="215"/>
    <w:autoRedefine/>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autoRedefine/>
    <w:qFormat/>
    <w:locked/>
    <w:uiPriority w:val="0"/>
    <w:pPr>
      <w:snapToGrid w:val="0"/>
    </w:pPr>
    <w:rPr>
      <w:rFonts w:ascii="Arial" w:hAnsi="Arial"/>
    </w:rPr>
  </w:style>
  <w:style w:type="paragraph" w:styleId="30">
    <w:name w:val="header"/>
    <w:basedOn w:val="1"/>
    <w:link w:val="216"/>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99"/>
    <w:pPr>
      <w:ind w:left="1260" w:leftChars="600"/>
    </w:pPr>
  </w:style>
  <w:style w:type="paragraph" w:styleId="33">
    <w:name w:val="toc 6"/>
    <w:basedOn w:val="1"/>
    <w:next w:val="1"/>
    <w:autoRedefine/>
    <w:qFormat/>
    <w:uiPriority w:val="99"/>
    <w:pPr>
      <w:ind w:left="2100" w:leftChars="1000"/>
    </w:pPr>
  </w:style>
  <w:style w:type="paragraph" w:styleId="34">
    <w:name w:val="Body Text Indent 3"/>
    <w:basedOn w:val="1"/>
    <w:link w:val="217"/>
    <w:autoRedefine/>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99"/>
    <w:pPr>
      <w:ind w:left="3360" w:leftChars="1600"/>
    </w:pPr>
  </w:style>
  <w:style w:type="paragraph" w:styleId="37">
    <w:name w:val="HTML Preformatted"/>
    <w:basedOn w:val="1"/>
    <w:link w:val="21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99"/>
    <w:rPr>
      <w:szCs w:val="20"/>
    </w:rPr>
  </w:style>
  <w:style w:type="paragraph" w:styleId="40">
    <w:name w:val="Title"/>
    <w:basedOn w:val="1"/>
    <w:link w:val="219"/>
    <w:autoRedefine/>
    <w:qFormat/>
    <w:uiPriority w:val="99"/>
    <w:pPr>
      <w:jc w:val="center"/>
      <w:outlineLvl w:val="0"/>
    </w:pPr>
    <w:rPr>
      <w:b/>
      <w:sz w:val="32"/>
      <w:szCs w:val="20"/>
    </w:rPr>
  </w:style>
  <w:style w:type="paragraph" w:styleId="41">
    <w:name w:val="annotation subject"/>
    <w:basedOn w:val="15"/>
    <w:next w:val="15"/>
    <w:link w:val="220"/>
    <w:autoRedefine/>
    <w:qFormat/>
    <w:uiPriority w:val="99"/>
    <w:rPr>
      <w:b/>
      <w:bCs/>
    </w:rPr>
  </w:style>
  <w:style w:type="paragraph" w:styleId="42">
    <w:name w:val="Body Text First Indent 2"/>
    <w:basedOn w:val="18"/>
    <w:link w:val="196"/>
    <w:autoRedefine/>
    <w:qFormat/>
    <w:uiPriority w:val="99"/>
    <w:pPr>
      <w:spacing w:after="120" w:line="480" w:lineRule="exact"/>
      <w:ind w:left="420" w:leftChars="200" w:firstLine="420" w:firstLineChars="200"/>
    </w:p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99"/>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rFonts w:cs="Times New Roman"/>
        <w:b/>
        <w:bCs/>
      </w:rPr>
    </w:tblStylePr>
    <w:tblStylePr w:type="lastRow">
      <w:rPr>
        <w:rFonts w:cs="Times New Roman"/>
        <w:b/>
        <w:bCs/>
      </w:rPr>
      <w:tblPr/>
      <w:tcPr>
        <w:tcBorders>
          <w:top w:val="single" w:color="CF7B79"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character" w:styleId="47">
    <w:name w:val="Strong"/>
    <w:autoRedefine/>
    <w:qFormat/>
    <w:uiPriority w:val="99"/>
    <w:rPr>
      <w:rFonts w:cs="Times New Roman"/>
      <w:b/>
    </w:rPr>
  </w:style>
  <w:style w:type="character" w:styleId="48">
    <w:name w:val="page number"/>
    <w:autoRedefine/>
    <w:qFormat/>
    <w:uiPriority w:val="99"/>
    <w:rPr>
      <w:rFonts w:cs="Times New Roman"/>
    </w:rPr>
  </w:style>
  <w:style w:type="character" w:styleId="49">
    <w:name w:val="FollowedHyperlink"/>
    <w:autoRedefine/>
    <w:qFormat/>
    <w:uiPriority w:val="99"/>
    <w:rPr>
      <w:rFonts w:cs="Times New Roman"/>
      <w:color w:val="800080"/>
      <w:u w:val="single"/>
    </w:rPr>
  </w:style>
  <w:style w:type="character" w:styleId="50">
    <w:name w:val="Emphasis"/>
    <w:autoRedefine/>
    <w:qFormat/>
    <w:uiPriority w:val="99"/>
    <w:rPr>
      <w:rFonts w:cs="Times New Roman"/>
      <w:color w:val="CC0033"/>
    </w:rPr>
  </w:style>
  <w:style w:type="character" w:styleId="51">
    <w:name w:val="Hyperlink"/>
    <w:basedOn w:val="46"/>
    <w:autoRedefine/>
    <w:qFormat/>
    <w:uiPriority w:val="99"/>
    <w:rPr>
      <w:rFonts w:cs="Times New Roman"/>
      <w:color w:val="0000FF"/>
      <w:u w:val="single"/>
    </w:rPr>
  </w:style>
  <w:style w:type="character" w:styleId="52">
    <w:name w:val="annotation reference"/>
    <w:autoRedefine/>
    <w:qFormat/>
    <w:uiPriority w:val="99"/>
    <w:rPr>
      <w:rFonts w:cs="Times New Roman"/>
      <w:sz w:val="21"/>
    </w:rPr>
  </w:style>
  <w:style w:type="character" w:styleId="53">
    <w:name w:val="HTML Cite"/>
    <w:autoRedefine/>
    <w:qFormat/>
    <w:uiPriority w:val="99"/>
    <w:rPr>
      <w:rFonts w:cs="Times New Roman"/>
      <w:i/>
    </w:rPr>
  </w:style>
  <w:style w:type="paragraph" w:customStyle="1" w:styleId="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5">
    <w:name w:val="正文文本缩进1"/>
    <w:basedOn w:val="1"/>
    <w:link w:val="221"/>
    <w:autoRedefine/>
    <w:qFormat/>
    <w:uiPriority w:val="99"/>
    <w:pPr>
      <w:spacing w:line="480" w:lineRule="exact"/>
      <w:ind w:firstLine="480" w:firstLineChars="200"/>
    </w:pPr>
    <w:rPr>
      <w:rFonts w:ascii="宋体" w:hAnsi="宋体"/>
      <w:kern w:val="0"/>
      <w:sz w:val="24"/>
    </w:rPr>
  </w:style>
  <w:style w:type="paragraph" w:customStyle="1" w:styleId="56">
    <w:name w:val="注释"/>
    <w:basedOn w:val="1"/>
    <w:link w:val="229"/>
    <w:autoRedefine/>
    <w:qFormat/>
    <w:uiPriority w:val="99"/>
    <w:pPr>
      <w:adjustRightInd w:val="0"/>
      <w:snapToGrid w:val="0"/>
      <w:ind w:left="420" w:hanging="420" w:hangingChars="200"/>
      <w:jc w:val="left"/>
    </w:pPr>
    <w:rPr>
      <w:rFonts w:ascii="宋体" w:hAnsi="宋体"/>
      <w:szCs w:val="21"/>
    </w:rPr>
  </w:style>
  <w:style w:type="paragraph" w:customStyle="1" w:styleId="57">
    <w:name w:val="正文缩进1"/>
    <w:basedOn w:val="1"/>
    <w:link w:val="235"/>
    <w:autoRedefine/>
    <w:qFormat/>
    <w:uiPriority w:val="0"/>
    <w:pPr>
      <w:widowControl/>
      <w:adjustRightInd w:val="0"/>
      <w:snapToGrid w:val="0"/>
      <w:spacing w:line="480" w:lineRule="exact"/>
      <w:ind w:firstLine="567"/>
    </w:pPr>
    <w:rPr>
      <w:rFonts w:ascii="宋体"/>
      <w:color w:val="000000"/>
      <w:kern w:val="28"/>
      <w:sz w:val="28"/>
      <w:szCs w:val="20"/>
    </w:rPr>
  </w:style>
  <w:style w:type="paragraph" w:customStyle="1" w:styleId="58">
    <w:name w:val="正文小标题"/>
    <w:basedOn w:val="1"/>
    <w:next w:val="5"/>
    <w:link w:val="238"/>
    <w:autoRedefine/>
    <w:qFormat/>
    <w:uiPriority w:val="99"/>
    <w:pPr>
      <w:adjustRightInd w:val="0"/>
      <w:snapToGrid w:val="0"/>
      <w:spacing w:beforeLines="100" w:afterLines="100"/>
      <w:ind w:firstLine="482"/>
      <w:jc w:val="left"/>
    </w:pPr>
    <w:rPr>
      <w:rFonts w:ascii="宋体" w:hAnsi="宋体"/>
      <w:b/>
      <w:i/>
      <w:color w:val="FF0000"/>
      <w:sz w:val="24"/>
      <w:szCs w:val="20"/>
    </w:rPr>
  </w:style>
  <w:style w:type="paragraph" w:customStyle="1" w:styleId="59">
    <w:name w:val="正文大标题"/>
    <w:basedOn w:val="58"/>
    <w:next w:val="5"/>
    <w:link w:val="240"/>
    <w:autoRedefine/>
    <w:qFormat/>
    <w:uiPriority w:val="99"/>
    <w:pPr>
      <w:jc w:val="center"/>
    </w:pPr>
    <w:rPr>
      <w:i w:val="0"/>
      <w:color w:val="000000"/>
      <w:sz w:val="28"/>
      <w:szCs w:val="21"/>
    </w:rPr>
  </w:style>
  <w:style w:type="paragraph" w:customStyle="1" w:styleId="60">
    <w:name w:val="正文格式"/>
    <w:basedOn w:val="1"/>
    <w:link w:val="247"/>
    <w:autoRedefine/>
    <w:qFormat/>
    <w:uiPriority w:val="99"/>
    <w:pPr>
      <w:spacing w:beforeLines="50" w:line="360" w:lineRule="auto"/>
      <w:ind w:firstLine="480" w:firstLineChars="200"/>
    </w:pPr>
    <w:rPr>
      <w:rFonts w:ascii="宋体" w:hAnsi="宋体"/>
      <w:kern w:val="0"/>
      <w:sz w:val="24"/>
    </w:rPr>
  </w:style>
  <w:style w:type="paragraph" w:customStyle="1" w:styleId="61">
    <w:name w:val="正文重点"/>
    <w:basedOn w:val="1"/>
    <w:link w:val="249"/>
    <w:autoRedefine/>
    <w:qFormat/>
    <w:uiPriority w:val="99"/>
    <w:pPr>
      <w:adjustRightInd w:val="0"/>
      <w:spacing w:line="360" w:lineRule="auto"/>
      <w:ind w:firstLine="482" w:firstLineChars="200"/>
      <w:jc w:val="left"/>
      <w:textAlignment w:val="baseline"/>
    </w:pPr>
    <w:rPr>
      <w:b/>
      <w:kern w:val="0"/>
      <w:sz w:val="24"/>
      <w:szCs w:val="20"/>
    </w:rPr>
  </w:style>
  <w:style w:type="paragraph" w:customStyle="1" w:styleId="62">
    <w:name w:val="列表段落1"/>
    <w:basedOn w:val="1"/>
    <w:link w:val="251"/>
    <w:autoRedefine/>
    <w:qFormat/>
    <w:uiPriority w:val="99"/>
    <w:pPr>
      <w:ind w:firstLine="420" w:firstLineChars="200"/>
    </w:pPr>
    <w:rPr>
      <w:rFonts w:ascii="Calibri" w:hAnsi="Calibri"/>
      <w:szCs w:val="22"/>
    </w:rPr>
  </w:style>
  <w:style w:type="paragraph" w:customStyle="1" w:styleId="63">
    <w:name w:val="1"/>
    <w:link w:val="254"/>
    <w:autoRedefine/>
    <w:qFormat/>
    <w:uiPriority w:val="99"/>
    <w:rPr>
      <w:rFonts w:ascii="Times New Roman" w:hAnsi="Times New Roman" w:eastAsia="宋体" w:cs="Times New Roman"/>
      <w:kern w:val="2"/>
      <w:sz w:val="21"/>
      <w:szCs w:val="24"/>
      <w:lang w:val="zh-CN" w:eastAsia="zh-CN" w:bidi="ar-SA"/>
    </w:rPr>
  </w:style>
  <w:style w:type="paragraph" w:customStyle="1" w:styleId="64">
    <w:name w:val="正文表格"/>
    <w:basedOn w:val="1"/>
    <w:link w:val="258"/>
    <w:autoRedefine/>
    <w:qFormat/>
    <w:uiPriority w:val="99"/>
    <w:pPr>
      <w:adjustRightInd w:val="0"/>
      <w:snapToGrid w:val="0"/>
      <w:jc w:val="left"/>
    </w:pPr>
    <w:rPr>
      <w:rFonts w:ascii="宋体" w:hAnsi="宋体"/>
      <w:color w:val="000000"/>
      <w:szCs w:val="21"/>
    </w:rPr>
  </w:style>
  <w:style w:type="paragraph" w:customStyle="1" w:styleId="65">
    <w:name w:val="Char1 Char Char Char1"/>
    <w:basedOn w:val="1"/>
    <w:autoRedefine/>
    <w:qFormat/>
    <w:uiPriority w:val="99"/>
    <w:rPr>
      <w:rFonts w:ascii="Tahoma" w:hAnsi="Tahoma" w:cs="仿宋_GB2312"/>
      <w:sz w:val="24"/>
      <w:szCs w:val="28"/>
    </w:rPr>
  </w:style>
  <w:style w:type="paragraph" w:customStyle="1" w:styleId="66">
    <w:name w:val="Char2"/>
    <w:basedOn w:val="1"/>
    <w:autoRedefine/>
    <w:qFormat/>
    <w:uiPriority w:val="99"/>
    <w:rPr>
      <w:rFonts w:ascii="Tahoma" w:hAnsi="Tahoma"/>
      <w:sz w:val="24"/>
      <w:szCs w:val="20"/>
    </w:rPr>
  </w:style>
  <w:style w:type="paragraph" w:customStyle="1" w:styleId="67">
    <w:name w:val="font5"/>
    <w:basedOn w:val="1"/>
    <w:autoRedefine/>
    <w:qFormat/>
    <w:uiPriority w:val="99"/>
    <w:pPr>
      <w:widowControl/>
      <w:spacing w:before="100" w:beforeAutospacing="1" w:after="100" w:afterAutospacing="1"/>
      <w:jc w:val="left"/>
    </w:pPr>
    <w:rPr>
      <w:rFonts w:ascii="宋体" w:hAnsi="宋体" w:cs="宋体"/>
      <w:kern w:val="0"/>
      <w:sz w:val="18"/>
      <w:szCs w:val="18"/>
    </w:rPr>
  </w:style>
  <w:style w:type="paragraph" w:customStyle="1" w:styleId="68">
    <w:name w:val="1 Char Char Char Char"/>
    <w:basedOn w:val="1"/>
    <w:autoRedefine/>
    <w:qFormat/>
    <w:uiPriority w:val="99"/>
    <w:rPr>
      <w:rFonts w:ascii="Tahoma" w:hAnsi="Tahoma"/>
      <w:sz w:val="24"/>
      <w:szCs w:val="20"/>
    </w:rPr>
  </w:style>
  <w:style w:type="paragraph" w:customStyle="1" w:styleId="69">
    <w:name w:val="Char Char Char1 Char"/>
    <w:basedOn w:val="1"/>
    <w:autoRedefine/>
    <w:qFormat/>
    <w:uiPriority w:val="99"/>
    <w:rPr>
      <w:rFonts w:ascii="Tahoma" w:hAnsi="Tahoma"/>
      <w:sz w:val="24"/>
      <w:szCs w:val="20"/>
    </w:rPr>
  </w:style>
  <w:style w:type="paragraph" w:customStyle="1" w:styleId="70">
    <w:name w:val="表格1"/>
    <w:basedOn w:val="1"/>
    <w:autoRedefine/>
    <w:qFormat/>
    <w:uiPriority w:val="99"/>
    <w:pPr>
      <w:ind w:firstLine="480" w:firstLineChars="200"/>
      <w:jc w:val="center"/>
    </w:pPr>
    <w:rPr>
      <w:sz w:val="24"/>
      <w:szCs w:val="20"/>
    </w:rPr>
  </w:style>
  <w:style w:type="paragraph" w:customStyle="1" w:styleId="71">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72">
    <w:name w:val="表格文字"/>
    <w:basedOn w:val="18"/>
    <w:autoRedefine/>
    <w:qFormat/>
    <w:uiPriority w:val="99"/>
    <w:pPr>
      <w:spacing w:before="20" w:after="20" w:line="240" w:lineRule="auto"/>
      <w:ind w:firstLine="0"/>
    </w:pPr>
    <w:rPr>
      <w:rFonts w:ascii="Century Gothic" w:hAnsi="Century Gothic"/>
      <w:sz w:val="20"/>
      <w:szCs w:val="20"/>
    </w:rPr>
  </w:style>
  <w:style w:type="paragraph" w:customStyle="1" w:styleId="73">
    <w:name w:val="正文 + 楷体_GB2312"/>
    <w:basedOn w:val="1"/>
    <w:autoRedefine/>
    <w:qFormat/>
    <w:uiPriority w:val="99"/>
    <w:pPr>
      <w:widowControl/>
      <w:jc w:val="left"/>
    </w:pPr>
    <w:rPr>
      <w:rFonts w:ascii="楷体_GB2312" w:eastAsia="楷体_GB2312" w:cs="Arial"/>
      <w:kern w:val="0"/>
      <w:sz w:val="24"/>
    </w:rPr>
  </w:style>
  <w:style w:type="paragraph" w:customStyle="1" w:styleId="74">
    <w:name w:val="xl45"/>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75">
    <w:name w:val="xl3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color w:val="000000"/>
      <w:kern w:val="0"/>
      <w:sz w:val="20"/>
      <w:szCs w:val="20"/>
    </w:rPr>
  </w:style>
  <w:style w:type="paragraph" w:customStyle="1" w:styleId="76">
    <w:name w:val="列出段落1"/>
    <w:basedOn w:val="1"/>
    <w:autoRedefine/>
    <w:qFormat/>
    <w:uiPriority w:val="34"/>
    <w:pPr>
      <w:ind w:firstLine="420" w:firstLineChars="200"/>
    </w:pPr>
    <w:rPr>
      <w:rFonts w:ascii="Calibri" w:hAnsi="Calibri"/>
      <w:szCs w:val="22"/>
    </w:rPr>
  </w:style>
  <w:style w:type="paragraph" w:customStyle="1" w:styleId="77">
    <w:name w:val="xl2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cs="Arial Unicode MS"/>
      <w:b/>
      <w:bCs/>
      <w:color w:val="000000"/>
      <w:kern w:val="0"/>
      <w:sz w:val="20"/>
      <w:szCs w:val="20"/>
    </w:rPr>
  </w:style>
  <w:style w:type="paragraph" w:customStyle="1" w:styleId="78">
    <w:name w:val="xl46"/>
    <w:basedOn w:val="1"/>
    <w:autoRedefine/>
    <w:qFormat/>
    <w:uiPriority w:val="99"/>
    <w:pPr>
      <w:widowControl/>
      <w:pBdr>
        <w:top w:val="single" w:color="auto" w:sz="4" w:space="0"/>
        <w:bottom w:val="single" w:color="auto" w:sz="4" w:space="0"/>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79">
    <w:name w:val="xl2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color w:val="000000"/>
      <w:kern w:val="0"/>
      <w:sz w:val="20"/>
      <w:szCs w:val="20"/>
    </w:rPr>
  </w:style>
  <w:style w:type="paragraph" w:customStyle="1" w:styleId="80">
    <w:name w:val="font6"/>
    <w:basedOn w:val="1"/>
    <w:autoRedefine/>
    <w:qFormat/>
    <w:uiPriority w:val="99"/>
    <w:pPr>
      <w:widowControl/>
      <w:spacing w:before="100" w:beforeAutospacing="1" w:after="100" w:afterAutospacing="1"/>
      <w:jc w:val="left"/>
    </w:pPr>
    <w:rPr>
      <w:rFonts w:ascii="宋体" w:hAnsi="宋体" w:cs="宋体"/>
      <w:kern w:val="0"/>
      <w:sz w:val="20"/>
      <w:szCs w:val="20"/>
    </w:rPr>
  </w:style>
  <w:style w:type="paragraph" w:customStyle="1" w:styleId="81">
    <w:name w:val="Char Char Char1"/>
    <w:basedOn w:val="1"/>
    <w:autoRedefine/>
    <w:qFormat/>
    <w:uiPriority w:val="99"/>
    <w:rPr>
      <w:rFonts w:ascii="Tahoma" w:hAnsi="Tahoma"/>
      <w:sz w:val="24"/>
      <w:szCs w:val="20"/>
    </w:rPr>
  </w:style>
  <w:style w:type="paragraph" w:customStyle="1" w:styleId="82">
    <w:name w:val="xl3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20"/>
      <w:szCs w:val="20"/>
    </w:rPr>
  </w:style>
  <w:style w:type="paragraph" w:customStyle="1" w:styleId="83">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84">
    <w:name w:val="xl23"/>
    <w:basedOn w:val="1"/>
    <w:autoRedefine/>
    <w:qFormat/>
    <w:uiPriority w:val="99"/>
    <w:pPr>
      <w:widowControl/>
      <w:spacing w:before="100" w:beforeAutospacing="1" w:after="100" w:afterAutospacing="1" w:line="360" w:lineRule="auto"/>
      <w:textAlignment w:val="top"/>
    </w:pPr>
    <w:rPr>
      <w:kern w:val="0"/>
      <w:sz w:val="24"/>
      <w:szCs w:val="20"/>
    </w:rPr>
  </w:style>
  <w:style w:type="paragraph" w:customStyle="1" w:styleId="85">
    <w:name w:val="标题1-附件"/>
    <w:basedOn w:val="2"/>
    <w:autoRedefine/>
    <w:qFormat/>
    <w:uiPriority w:val="99"/>
    <w:pPr>
      <w:jc w:val="left"/>
    </w:pPr>
    <w:rPr>
      <w:sz w:val="24"/>
      <w:szCs w:val="24"/>
    </w:rPr>
  </w:style>
  <w:style w:type="paragraph" w:customStyle="1" w:styleId="86">
    <w:name w:val="default"/>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87">
    <w:name w:val="项目编号1"/>
    <w:basedOn w:val="1"/>
    <w:autoRedefine/>
    <w:qFormat/>
    <w:uiPriority w:val="99"/>
    <w:pPr>
      <w:numPr>
        <w:ilvl w:val="0"/>
        <w:numId w:val="1"/>
      </w:numPr>
      <w:spacing w:before="100" w:beforeAutospacing="1" w:after="100" w:afterAutospacing="1" w:line="360" w:lineRule="auto"/>
    </w:pPr>
    <w:rPr>
      <w:sz w:val="24"/>
    </w:rPr>
  </w:style>
  <w:style w:type="paragraph" w:customStyle="1" w:styleId="88">
    <w:name w:val="Char Char Char Char Char Char Char"/>
    <w:basedOn w:val="1"/>
    <w:autoRedefine/>
    <w:qFormat/>
    <w:uiPriority w:val="99"/>
    <w:pPr>
      <w:snapToGrid w:val="0"/>
      <w:spacing w:line="360" w:lineRule="auto"/>
      <w:ind w:firstLine="200" w:firstLineChars="200"/>
    </w:pPr>
    <w:rPr>
      <w:rFonts w:eastAsia="仿宋_GB2312"/>
      <w:sz w:val="24"/>
    </w:rPr>
  </w:style>
  <w:style w:type="paragraph" w:customStyle="1" w:styleId="89">
    <w:name w:val="font8"/>
    <w:basedOn w:val="1"/>
    <w:autoRedefine/>
    <w:qFormat/>
    <w:uiPriority w:val="99"/>
    <w:pPr>
      <w:widowControl/>
      <w:spacing w:before="100" w:beforeAutospacing="1" w:after="100" w:afterAutospacing="1"/>
      <w:jc w:val="left"/>
    </w:pPr>
    <w:rPr>
      <w:kern w:val="0"/>
      <w:sz w:val="36"/>
      <w:szCs w:val="36"/>
    </w:rPr>
  </w:style>
  <w:style w:type="paragraph" w:customStyle="1" w:styleId="90">
    <w:name w:val="xl43"/>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color w:val="000000"/>
      <w:kern w:val="0"/>
      <w:sz w:val="20"/>
      <w:szCs w:val="20"/>
    </w:rPr>
  </w:style>
  <w:style w:type="paragraph" w:customStyle="1" w:styleId="91">
    <w:name w:val="font9"/>
    <w:basedOn w:val="1"/>
    <w:autoRedefine/>
    <w:qFormat/>
    <w:uiPriority w:val="99"/>
    <w:pPr>
      <w:widowControl/>
      <w:spacing w:before="100" w:beforeAutospacing="1" w:after="100" w:afterAutospacing="1"/>
      <w:jc w:val="left"/>
    </w:pPr>
    <w:rPr>
      <w:rFonts w:ascii="宋体" w:hAnsi="宋体" w:cs="Arial Unicode MS"/>
      <w:color w:val="000000"/>
      <w:kern w:val="0"/>
      <w:sz w:val="20"/>
      <w:szCs w:val="20"/>
    </w:rPr>
  </w:style>
  <w:style w:type="paragraph" w:customStyle="1" w:styleId="92">
    <w:name w:val="Char Char Char1 Char2"/>
    <w:basedOn w:val="1"/>
    <w:autoRedefine/>
    <w:qFormat/>
    <w:uiPriority w:val="99"/>
    <w:rPr>
      <w:rFonts w:ascii="Tahoma" w:hAnsi="Tahoma"/>
      <w:sz w:val="24"/>
      <w:szCs w:val="20"/>
    </w:rPr>
  </w:style>
  <w:style w:type="paragraph" w:customStyle="1" w:styleId="93">
    <w:name w:val="xl5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cs="Arial Unicode MS"/>
      <w:b/>
      <w:bCs/>
      <w:color w:val="000000"/>
      <w:kern w:val="0"/>
      <w:sz w:val="20"/>
      <w:szCs w:val="20"/>
    </w:rPr>
  </w:style>
  <w:style w:type="paragraph" w:customStyle="1" w:styleId="94">
    <w:name w:val="Char Char Char"/>
    <w:basedOn w:val="1"/>
    <w:autoRedefine/>
    <w:qFormat/>
    <w:uiPriority w:val="99"/>
    <w:rPr>
      <w:rFonts w:ascii="Tahoma" w:hAnsi="Tahoma"/>
      <w:sz w:val="24"/>
      <w:szCs w:val="20"/>
    </w:rPr>
  </w:style>
  <w:style w:type="paragraph" w:customStyle="1" w:styleId="95">
    <w:name w:val="Char Char Char Char Char Char Char1"/>
    <w:basedOn w:val="1"/>
    <w:autoRedefine/>
    <w:qFormat/>
    <w:uiPriority w:val="99"/>
    <w:pPr>
      <w:snapToGrid w:val="0"/>
      <w:spacing w:line="360" w:lineRule="auto"/>
      <w:ind w:firstLine="200" w:firstLineChars="200"/>
    </w:pPr>
    <w:rPr>
      <w:rFonts w:eastAsia="仿宋_GB2312"/>
      <w:sz w:val="24"/>
    </w:rPr>
  </w:style>
  <w:style w:type="paragraph" w:customStyle="1" w:styleId="96">
    <w:name w:val="正文列项_字母"/>
    <w:basedOn w:val="1"/>
    <w:autoRedefine/>
    <w:qFormat/>
    <w:uiPriority w:val="99"/>
    <w:pPr>
      <w:numPr>
        <w:ilvl w:val="6"/>
        <w:numId w:val="2"/>
      </w:numPr>
      <w:autoSpaceDE w:val="0"/>
      <w:autoSpaceDN w:val="0"/>
      <w:spacing w:line="460" w:lineRule="exact"/>
      <w:ind w:left="480" w:leftChars="300" w:hanging="180" w:hangingChars="180"/>
      <w:outlineLvl w:val="6"/>
    </w:pPr>
    <w:rPr>
      <w:rFonts w:ascii="宋体"/>
      <w:kern w:val="0"/>
      <w:sz w:val="28"/>
      <w:szCs w:val="20"/>
    </w:rPr>
  </w:style>
  <w:style w:type="paragraph" w:customStyle="1" w:styleId="97">
    <w:name w:val="Default"/>
    <w:autoRedefine/>
    <w:qFormat/>
    <w:uiPriority w:val="99"/>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98">
    <w:name w:val="正文须知-2级"/>
    <w:basedOn w:val="1"/>
    <w:autoRedefine/>
    <w:qFormat/>
    <w:uiPriority w:val="99"/>
    <w:pPr>
      <w:numPr>
        <w:ilvl w:val="1"/>
        <w:numId w:val="3"/>
      </w:numPr>
      <w:adjustRightInd w:val="0"/>
      <w:snapToGrid w:val="0"/>
      <w:spacing w:line="300" w:lineRule="auto"/>
    </w:pPr>
    <w:rPr>
      <w:rFonts w:ascii="宋体" w:hAnsi="Calibri"/>
      <w:sz w:val="24"/>
      <w:szCs w:val="21"/>
    </w:rPr>
  </w:style>
  <w:style w:type="paragraph" w:customStyle="1" w:styleId="99">
    <w:name w:val="xl36"/>
    <w:basedOn w:val="1"/>
    <w:autoRedefine/>
    <w:qFormat/>
    <w:uiPriority w:val="99"/>
    <w:pPr>
      <w:widowControl/>
      <w:spacing w:before="100" w:beforeAutospacing="1" w:after="100" w:afterAutospacing="1"/>
      <w:jc w:val="center"/>
    </w:pPr>
    <w:rPr>
      <w:rFonts w:ascii="Arial Unicode MS" w:hAnsi="Arial Unicode MS" w:cs="Arial Unicode MS"/>
      <w:color w:val="000000"/>
      <w:kern w:val="0"/>
      <w:sz w:val="20"/>
      <w:szCs w:val="20"/>
    </w:rPr>
  </w:style>
  <w:style w:type="paragraph" w:customStyle="1" w:styleId="100">
    <w:name w:val="22222222222222"/>
    <w:basedOn w:val="1"/>
    <w:autoRedefine/>
    <w:qFormat/>
    <w:uiPriority w:val="99"/>
    <w:pPr>
      <w:widowControl/>
      <w:adjustRightInd w:val="0"/>
      <w:spacing w:line="360" w:lineRule="auto"/>
      <w:ind w:firstLine="480" w:firstLineChars="200"/>
      <w:jc w:val="left"/>
    </w:pPr>
    <w:rPr>
      <w:color w:val="FF0000"/>
      <w:kern w:val="0"/>
      <w:sz w:val="24"/>
      <w:szCs w:val="20"/>
    </w:rPr>
  </w:style>
  <w:style w:type="paragraph" w:customStyle="1" w:styleId="101">
    <w:name w:val="样式 宋体 五号 行距: 单倍行距"/>
    <w:basedOn w:val="1"/>
    <w:autoRedefine/>
    <w:qFormat/>
    <w:uiPriority w:val="99"/>
    <w:pPr>
      <w:adjustRightInd w:val="0"/>
      <w:jc w:val="left"/>
      <w:textAlignment w:val="baseline"/>
    </w:pPr>
    <w:rPr>
      <w:rFonts w:ascii="宋体" w:hAnsi="宋体"/>
      <w:kern w:val="0"/>
      <w:szCs w:val="20"/>
    </w:rPr>
  </w:style>
  <w:style w:type="paragraph" w:customStyle="1" w:styleId="102">
    <w:name w:val="三级条标题"/>
    <w:basedOn w:val="103"/>
    <w:next w:val="1"/>
    <w:autoRedefine/>
    <w:qFormat/>
    <w:uiPriority w:val="99"/>
    <w:pPr>
      <w:numPr>
        <w:ilvl w:val="3"/>
        <w:numId w:val="2"/>
      </w:numPr>
      <w:tabs>
        <w:tab w:val="left" w:pos="360"/>
        <w:tab w:val="left" w:pos="840"/>
      </w:tabs>
      <w:ind w:left="0"/>
      <w:outlineLvl w:val="3"/>
    </w:pPr>
  </w:style>
  <w:style w:type="paragraph" w:customStyle="1" w:styleId="103">
    <w:name w:val="二级条标题"/>
    <w:basedOn w:val="104"/>
    <w:next w:val="1"/>
    <w:autoRedefine/>
    <w:qFormat/>
    <w:uiPriority w:val="99"/>
    <w:pPr>
      <w:numPr>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99"/>
    <w:pPr>
      <w:numPr>
        <w:ilvl w:val="1"/>
      </w:numPr>
      <w:tabs>
        <w:tab w:val="left" w:pos="360"/>
        <w:tab w:val="left" w:pos="840"/>
      </w:tabs>
      <w:ind w:left="0" w:hanging="840"/>
      <w:outlineLvl w:val="1"/>
    </w:pPr>
  </w:style>
  <w:style w:type="paragraph" w:customStyle="1" w:styleId="105">
    <w:name w:val="章标题"/>
    <w:next w:val="1"/>
    <w:autoRedefine/>
    <w:qFormat/>
    <w:uiPriority w:val="99"/>
    <w:pPr>
      <w:numPr>
        <w:ilvl w:val="0"/>
        <w:numId w:val="2"/>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项目符号1"/>
    <w:basedOn w:val="107"/>
    <w:autoRedefine/>
    <w:qFormat/>
    <w:uiPriority w:val="99"/>
    <w:pPr>
      <w:ind w:left="-25" w:firstLine="0"/>
    </w:pPr>
  </w:style>
  <w:style w:type="paragraph" w:customStyle="1" w:styleId="107">
    <w:name w:val="正文文本样式"/>
    <w:basedOn w:val="1"/>
    <w:autoRedefine/>
    <w:qFormat/>
    <w:uiPriority w:val="99"/>
    <w:pPr>
      <w:spacing w:line="360" w:lineRule="auto"/>
      <w:ind w:firstLine="482"/>
    </w:pPr>
    <w:rPr>
      <w:rFonts w:cs="宋体"/>
      <w:sz w:val="24"/>
      <w:szCs w:val="20"/>
    </w:rPr>
  </w:style>
  <w:style w:type="paragraph" w:customStyle="1" w:styleId="108">
    <w:name w:val="标准正文"/>
    <w:next w:val="18"/>
    <w:autoRedefine/>
    <w:qFormat/>
    <w:uiPriority w:val="99"/>
    <w:pPr>
      <w:widowControl w:val="0"/>
      <w:spacing w:before="60" w:after="60" w:line="360" w:lineRule="auto"/>
      <w:ind w:firstLine="482"/>
      <w:jc w:val="both"/>
    </w:pPr>
    <w:rPr>
      <w:rFonts w:ascii="Times New Roman" w:hAnsi="Times New Roman" w:eastAsia="宋体" w:cs="Times New Roman"/>
      <w:kern w:val="2"/>
      <w:sz w:val="24"/>
      <w:lang w:val="en-US" w:eastAsia="zh-CN" w:bidi="ar-SA"/>
    </w:rPr>
  </w:style>
  <w:style w:type="paragraph" w:customStyle="1" w:styleId="109">
    <w:name w:val="Char Char41"/>
    <w:basedOn w:val="1"/>
    <w:autoRedefine/>
    <w:qFormat/>
    <w:uiPriority w:val="99"/>
    <w:pPr>
      <w:widowControl/>
      <w:spacing w:line="400" w:lineRule="exact"/>
      <w:jc w:val="center"/>
    </w:pPr>
  </w:style>
  <w:style w:type="paragraph" w:customStyle="1" w:styleId="110">
    <w:name w:val="List Paragraph1"/>
    <w:basedOn w:val="1"/>
    <w:autoRedefine/>
    <w:qFormat/>
    <w:uiPriority w:val="99"/>
    <w:pPr>
      <w:ind w:firstLine="420" w:firstLineChars="200"/>
    </w:pPr>
    <w:rPr>
      <w:rFonts w:ascii="Calibri" w:hAnsi="Calibri"/>
      <w:szCs w:val="22"/>
    </w:rPr>
  </w:style>
  <w:style w:type="paragraph" w:customStyle="1" w:styleId="111">
    <w:name w:val="Char3"/>
    <w:basedOn w:val="1"/>
    <w:autoRedefine/>
    <w:qFormat/>
    <w:uiPriority w:val="99"/>
    <w:pPr>
      <w:tabs>
        <w:tab w:val="left" w:pos="360"/>
      </w:tabs>
    </w:pPr>
    <w:rPr>
      <w:sz w:val="24"/>
    </w:rPr>
  </w:style>
  <w:style w:type="paragraph" w:customStyle="1" w:styleId="112">
    <w:name w:val="图例"/>
    <w:basedOn w:val="1"/>
    <w:autoRedefine/>
    <w:qFormat/>
    <w:uiPriority w:val="0"/>
    <w:pPr>
      <w:spacing w:before="120" w:after="120" w:line="360" w:lineRule="auto"/>
      <w:jc w:val="center"/>
    </w:pPr>
    <w:rPr>
      <w:rFonts w:eastAsia="仿宋_GB2312"/>
      <w:b/>
      <w:sz w:val="24"/>
      <w:szCs w:val="20"/>
    </w:rPr>
  </w:style>
  <w:style w:type="paragraph" w:customStyle="1" w:styleId="113">
    <w:name w:val="Char21"/>
    <w:basedOn w:val="1"/>
    <w:autoRedefine/>
    <w:qFormat/>
    <w:uiPriority w:val="99"/>
    <w:rPr>
      <w:rFonts w:ascii="Tahoma" w:hAnsi="Tahoma"/>
      <w:sz w:val="24"/>
      <w:szCs w:val="20"/>
    </w:rPr>
  </w:style>
  <w:style w:type="paragraph" w:customStyle="1" w:styleId="114">
    <w:name w:val="Char Char Char2"/>
    <w:basedOn w:val="1"/>
    <w:autoRedefine/>
    <w:qFormat/>
    <w:uiPriority w:val="99"/>
    <w:rPr>
      <w:rFonts w:ascii="Tahoma" w:hAnsi="Tahoma"/>
      <w:sz w:val="24"/>
      <w:szCs w:val="20"/>
    </w:rPr>
  </w:style>
  <w:style w:type="paragraph" w:customStyle="1" w:styleId="115">
    <w:name w:val="xl44"/>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16">
    <w:name w:val="xl4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kern w:val="0"/>
      <w:sz w:val="20"/>
      <w:szCs w:val="20"/>
    </w:rPr>
  </w:style>
  <w:style w:type="paragraph" w:customStyle="1" w:styleId="117">
    <w:name w:val="xl4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b/>
      <w:bCs/>
      <w:color w:val="000000"/>
      <w:kern w:val="0"/>
      <w:sz w:val="22"/>
      <w:szCs w:val="22"/>
    </w:rPr>
  </w:style>
  <w:style w:type="paragraph" w:customStyle="1" w:styleId="118">
    <w:name w:val="Char Char Char1 Char1"/>
    <w:basedOn w:val="1"/>
    <w:autoRedefine/>
    <w:qFormat/>
    <w:uiPriority w:val="99"/>
    <w:rPr>
      <w:rFonts w:ascii="Tahoma" w:hAnsi="Tahoma"/>
      <w:sz w:val="24"/>
      <w:szCs w:val="20"/>
    </w:rPr>
  </w:style>
  <w:style w:type="paragraph" w:customStyle="1" w:styleId="119">
    <w:name w:val="Char Char4"/>
    <w:basedOn w:val="1"/>
    <w:autoRedefine/>
    <w:qFormat/>
    <w:uiPriority w:val="99"/>
    <w:pPr>
      <w:widowControl/>
      <w:spacing w:line="400" w:lineRule="exact"/>
      <w:jc w:val="center"/>
    </w:pPr>
  </w:style>
  <w:style w:type="paragraph" w:customStyle="1" w:styleId="120">
    <w:name w:val="Table Paragraph"/>
    <w:basedOn w:val="1"/>
    <w:autoRedefine/>
    <w:qFormat/>
    <w:uiPriority w:val="99"/>
    <w:pPr>
      <w:autoSpaceDE w:val="0"/>
      <w:autoSpaceDN w:val="0"/>
      <w:jc w:val="left"/>
    </w:pPr>
    <w:rPr>
      <w:rFonts w:ascii="宋体" w:hAnsi="宋体" w:cs="宋体"/>
      <w:kern w:val="0"/>
      <w:sz w:val="22"/>
      <w:szCs w:val="22"/>
      <w:lang w:eastAsia="en-US"/>
    </w:rPr>
  </w:style>
  <w:style w:type="paragraph" w:customStyle="1" w:styleId="121">
    <w:name w:val="字元 字元1"/>
    <w:basedOn w:val="1"/>
    <w:autoRedefine/>
    <w:qFormat/>
    <w:uiPriority w:val="99"/>
    <w:rPr>
      <w:rFonts w:ascii="Tahoma" w:hAnsi="Tahoma"/>
      <w:sz w:val="24"/>
      <w:szCs w:val="20"/>
    </w:rPr>
  </w:style>
  <w:style w:type="paragraph" w:customStyle="1" w:styleId="122">
    <w:name w:val="background1"/>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23">
    <w:name w:val="xl5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cs="Arial Unicode MS"/>
      <w:b/>
      <w:bCs/>
      <w:color w:val="000000"/>
      <w:kern w:val="0"/>
      <w:sz w:val="20"/>
      <w:szCs w:val="20"/>
    </w:rPr>
  </w:style>
  <w:style w:type="paragraph" w:customStyle="1" w:styleId="124">
    <w:name w:val="Char Char1 Char Char Char Char Char Char1"/>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25">
    <w:name w:val="Char3 Char Char Char2"/>
    <w:basedOn w:val="1"/>
    <w:autoRedefine/>
    <w:qFormat/>
    <w:uiPriority w:val="99"/>
    <w:rPr>
      <w:rFonts w:ascii="Tahoma" w:hAnsi="Tahoma"/>
      <w:sz w:val="24"/>
      <w:szCs w:val="20"/>
    </w:rPr>
  </w:style>
  <w:style w:type="paragraph" w:customStyle="1" w:styleId="126">
    <w:name w:val="xl37"/>
    <w:basedOn w:val="1"/>
    <w:autoRedefine/>
    <w:qFormat/>
    <w:uiPriority w:val="99"/>
    <w:pPr>
      <w:widowControl/>
      <w:spacing w:before="100" w:beforeAutospacing="1" w:after="100" w:afterAutospacing="1"/>
      <w:jc w:val="left"/>
    </w:pPr>
    <w:rPr>
      <w:rFonts w:ascii="Arial Unicode MS" w:hAnsi="Arial Unicode MS" w:cs="Arial Unicode MS"/>
      <w:color w:val="000000"/>
      <w:kern w:val="0"/>
      <w:sz w:val="20"/>
      <w:szCs w:val="20"/>
    </w:rPr>
  </w:style>
  <w:style w:type="paragraph" w:customStyle="1" w:styleId="127">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2"/>
      <w:szCs w:val="22"/>
    </w:rPr>
  </w:style>
  <w:style w:type="paragraph" w:customStyle="1" w:styleId="128">
    <w:name w:val="Char3 Char Char Char1"/>
    <w:basedOn w:val="1"/>
    <w:autoRedefine/>
    <w:qFormat/>
    <w:uiPriority w:val="99"/>
    <w:rPr>
      <w:rFonts w:ascii="Tahoma" w:hAnsi="Tahoma"/>
      <w:sz w:val="24"/>
      <w:szCs w:val="20"/>
    </w:rPr>
  </w:style>
  <w:style w:type="paragraph" w:customStyle="1" w:styleId="129">
    <w:name w:val="默认段落字体 Para Char Char Char Char"/>
    <w:basedOn w:val="1"/>
    <w:autoRedefine/>
    <w:qFormat/>
    <w:uiPriority w:val="99"/>
    <w:rPr>
      <w:rFonts w:ascii="Arial" w:hAnsi="Arial" w:cs="Arial"/>
      <w:szCs w:val="21"/>
    </w:rPr>
  </w:style>
  <w:style w:type="paragraph" w:customStyle="1" w:styleId="130">
    <w:name w:val="正文列项_数字"/>
    <w:basedOn w:val="1"/>
    <w:autoRedefine/>
    <w:qFormat/>
    <w:uiPriority w:val="99"/>
    <w:pPr>
      <w:numPr>
        <w:ilvl w:val="7"/>
        <w:numId w:val="2"/>
      </w:numPr>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_Style 160"/>
    <w:autoRedefine/>
    <w:qFormat/>
    <w:uiPriority w:val="99"/>
    <w:rPr>
      <w:rFonts w:ascii="Times New Roman" w:hAnsi="Times New Roman" w:eastAsia="宋体" w:cs="Times New Roman"/>
      <w:kern w:val="2"/>
      <w:sz w:val="21"/>
      <w:szCs w:val="24"/>
      <w:lang w:val="en-US" w:eastAsia="zh-CN" w:bidi="ar-SA"/>
    </w:rPr>
  </w:style>
  <w:style w:type="paragraph" w:customStyle="1" w:styleId="132">
    <w:name w:val="xl3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cs="Arial Unicode MS"/>
      <w:color w:val="000000"/>
      <w:kern w:val="0"/>
      <w:sz w:val="20"/>
      <w:szCs w:val="20"/>
    </w:rPr>
  </w:style>
  <w:style w:type="paragraph" w:customStyle="1" w:styleId="133">
    <w:name w:val="正文文本样式 加粗"/>
    <w:basedOn w:val="107"/>
    <w:autoRedefine/>
    <w:qFormat/>
    <w:uiPriority w:val="99"/>
    <w:rPr>
      <w:b/>
    </w:rPr>
  </w:style>
  <w:style w:type="paragraph" w:customStyle="1" w:styleId="134">
    <w:name w:val="样式 标题 2 + 宋体 五号 行距: 单倍行距"/>
    <w:basedOn w:val="3"/>
    <w:autoRedefine/>
    <w:qFormat/>
    <w:uiPriority w:val="99"/>
    <w:pPr>
      <w:numPr>
        <w:ilvl w:val="1"/>
        <w:numId w:val="4"/>
      </w:numPr>
      <w:tabs>
        <w:tab w:val="left" w:pos="768"/>
      </w:tabs>
      <w:spacing w:before="260" w:after="260" w:line="240" w:lineRule="auto"/>
      <w:jc w:val="left"/>
      <w:textAlignment w:val="baseline"/>
    </w:pPr>
    <w:rPr>
      <w:rFonts w:ascii="宋体" w:hAnsi="宋体" w:eastAsia="宋体"/>
      <w:bCs/>
      <w:sz w:val="21"/>
    </w:rPr>
  </w:style>
  <w:style w:type="paragraph" w:customStyle="1" w:styleId="135">
    <w:name w:val="Char Char Char Char Char Char Char Char Char Char2"/>
    <w:basedOn w:val="1"/>
    <w:autoRedefine/>
    <w:qFormat/>
    <w:uiPriority w:val="99"/>
    <w:rPr>
      <w:rFonts w:ascii="宋体" w:hAnsi="宋体" w:cs="Courier New"/>
      <w:sz w:val="32"/>
      <w:szCs w:val="32"/>
    </w:rPr>
  </w:style>
  <w:style w:type="paragraph" w:customStyle="1" w:styleId="136">
    <w:name w:val="项目编号2"/>
    <w:basedOn w:val="87"/>
    <w:autoRedefine/>
    <w:qFormat/>
    <w:uiPriority w:val="99"/>
    <w:pPr>
      <w:numPr>
        <w:numId w:val="5"/>
      </w:numPr>
    </w:pPr>
  </w:style>
  <w:style w:type="paragraph" w:customStyle="1" w:styleId="137">
    <w:name w:val="图文"/>
    <w:basedOn w:val="1"/>
    <w:autoRedefine/>
    <w:qFormat/>
    <w:uiPriority w:val="99"/>
    <w:pPr>
      <w:adjustRightInd w:val="0"/>
      <w:snapToGrid w:val="0"/>
      <w:spacing w:after="50" w:line="360" w:lineRule="auto"/>
    </w:pPr>
    <w:rPr>
      <w:sz w:val="24"/>
    </w:rPr>
  </w:style>
  <w:style w:type="paragraph" w:customStyle="1" w:styleId="138">
    <w:name w:val="五级条标题"/>
    <w:basedOn w:val="139"/>
    <w:next w:val="1"/>
    <w:autoRedefine/>
    <w:qFormat/>
    <w:uiPriority w:val="99"/>
    <w:pPr>
      <w:numPr>
        <w:ilvl w:val="5"/>
      </w:numPr>
      <w:tabs>
        <w:tab w:val="left" w:pos="360"/>
        <w:tab w:val="left" w:pos="840"/>
      </w:tabs>
      <w:ind w:left="0"/>
      <w:outlineLvl w:val="5"/>
    </w:pPr>
  </w:style>
  <w:style w:type="paragraph" w:customStyle="1" w:styleId="139">
    <w:name w:val="四级条标题"/>
    <w:basedOn w:val="102"/>
    <w:next w:val="1"/>
    <w:autoRedefine/>
    <w:qFormat/>
    <w:uiPriority w:val="99"/>
    <w:pPr>
      <w:numPr>
        <w:ilvl w:val="4"/>
      </w:numPr>
      <w:ind w:left="0"/>
      <w:outlineLvl w:val="4"/>
    </w:pPr>
  </w:style>
  <w:style w:type="paragraph" w:customStyle="1" w:styleId="140">
    <w:name w:val="??"/>
    <w:autoRedefine/>
    <w:qFormat/>
    <w:uiPriority w:val="99"/>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无标题条"/>
    <w:next w:val="1"/>
    <w:autoRedefine/>
    <w:qFormat/>
    <w:uiPriority w:val="99"/>
    <w:pPr>
      <w:jc w:val="both"/>
    </w:pPr>
    <w:rPr>
      <w:rFonts w:ascii="Times New Roman" w:hAnsi="Times New Roman" w:eastAsia="宋体" w:cs="Times New Roman"/>
      <w:sz w:val="21"/>
      <w:lang w:val="en-US" w:eastAsia="zh-CN" w:bidi="ar-SA"/>
    </w:rPr>
  </w:style>
  <w:style w:type="paragraph" w:customStyle="1" w:styleId="142">
    <w:name w:val="xl4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color w:val="000000"/>
      <w:kern w:val="0"/>
      <w:sz w:val="20"/>
      <w:szCs w:val="20"/>
    </w:rPr>
  </w:style>
  <w:style w:type="paragraph" w:customStyle="1" w:styleId="143">
    <w:name w:val="xl3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44">
    <w:name w:val="项目编号3"/>
    <w:basedOn w:val="107"/>
    <w:autoRedefine/>
    <w:qFormat/>
    <w:uiPriority w:val="99"/>
    <w:pPr>
      <w:numPr>
        <w:ilvl w:val="0"/>
        <w:numId w:val="6"/>
      </w:numPr>
    </w:pPr>
  </w:style>
  <w:style w:type="paragraph" w:customStyle="1" w:styleId="145">
    <w:name w:val="正文文本缩进2"/>
    <w:basedOn w:val="1"/>
    <w:autoRedefine/>
    <w:qFormat/>
    <w:uiPriority w:val="99"/>
    <w:pPr>
      <w:spacing w:line="480" w:lineRule="exact"/>
      <w:ind w:firstLine="480" w:firstLineChars="200"/>
    </w:pPr>
    <w:rPr>
      <w:rFonts w:ascii="宋体" w:hAnsi="宋体"/>
      <w:kern w:val="0"/>
      <w:sz w:val="24"/>
      <w:lang w:val="zh-CN"/>
    </w:rPr>
  </w:style>
  <w:style w:type="paragraph" w:customStyle="1" w:styleId="146">
    <w:name w:val="xl35"/>
    <w:basedOn w:val="1"/>
    <w:autoRedefine/>
    <w:qFormat/>
    <w:uiPriority w:val="99"/>
    <w:pPr>
      <w:widowControl/>
      <w:spacing w:before="100" w:beforeAutospacing="1" w:after="100" w:afterAutospacing="1"/>
      <w:jc w:val="left"/>
    </w:pPr>
    <w:rPr>
      <w:rFonts w:ascii="Arial Unicode MS" w:hAnsi="Arial Unicode MS" w:cs="Arial Unicode MS"/>
      <w:color w:val="000000"/>
      <w:kern w:val="0"/>
      <w:sz w:val="20"/>
      <w:szCs w:val="20"/>
    </w:rPr>
  </w:style>
  <w:style w:type="paragraph" w:customStyle="1" w:styleId="147">
    <w:name w:val="Char Char Char Char Char Char Char2"/>
    <w:basedOn w:val="1"/>
    <w:autoRedefine/>
    <w:qFormat/>
    <w:uiPriority w:val="99"/>
    <w:pPr>
      <w:snapToGrid w:val="0"/>
      <w:spacing w:line="360" w:lineRule="auto"/>
      <w:ind w:firstLine="200" w:firstLineChars="200"/>
    </w:pPr>
    <w:rPr>
      <w:rFonts w:eastAsia="仿宋_GB2312"/>
      <w:sz w:val="24"/>
    </w:rPr>
  </w:style>
  <w:style w:type="paragraph" w:customStyle="1" w:styleId="148">
    <w:name w:val="Char Char Char Char Char Char Char Char Char Char Char Char Char Char Char Char1"/>
    <w:basedOn w:val="1"/>
    <w:autoRedefine/>
    <w:qFormat/>
    <w:uiPriority w:val="99"/>
    <w:pPr>
      <w:widowControl/>
      <w:spacing w:after="160" w:line="240" w:lineRule="exact"/>
      <w:jc w:val="center"/>
    </w:pPr>
    <w:rPr>
      <w:rFonts w:ascii="宋体" w:hAnsi="宋体"/>
      <w:b/>
      <w:kern w:val="0"/>
      <w:sz w:val="30"/>
      <w:szCs w:val="30"/>
      <w:lang w:eastAsia="en-US"/>
    </w:rPr>
  </w:style>
  <w:style w:type="paragraph" w:customStyle="1" w:styleId="149">
    <w:name w:val="Char"/>
    <w:basedOn w:val="1"/>
    <w:autoRedefine/>
    <w:qFormat/>
    <w:uiPriority w:val="99"/>
    <w:pPr>
      <w:tabs>
        <w:tab w:val="left" w:pos="360"/>
      </w:tabs>
    </w:pPr>
    <w:rPr>
      <w:sz w:val="24"/>
    </w:rPr>
  </w:style>
  <w:style w:type="paragraph" w:customStyle="1" w:styleId="150">
    <w:name w:val="正文 + 宋体"/>
    <w:basedOn w:val="1"/>
    <w:autoRedefine/>
    <w:qFormat/>
    <w:uiPriority w:val="99"/>
    <w:pPr>
      <w:widowControl/>
      <w:ind w:left="360" w:hanging="360"/>
      <w:jc w:val="left"/>
    </w:pPr>
    <w:rPr>
      <w:rFonts w:ascii="宋体" w:hAnsi="宋体" w:cs="宋体"/>
      <w:b/>
      <w:bCs/>
      <w:color w:val="000000"/>
      <w:kern w:val="0"/>
      <w:sz w:val="18"/>
      <w:szCs w:val="18"/>
    </w:rPr>
  </w:style>
  <w:style w:type="paragraph" w:customStyle="1" w:styleId="151">
    <w:name w:val="Char2 Char Char Char Char Char Char"/>
    <w:basedOn w:val="1"/>
    <w:autoRedefine/>
    <w:qFormat/>
    <w:uiPriority w:val="99"/>
    <w:pPr>
      <w:widowControl/>
      <w:spacing w:line="400" w:lineRule="exact"/>
      <w:jc w:val="center"/>
    </w:pPr>
  </w:style>
  <w:style w:type="paragraph" w:customStyle="1" w:styleId="152">
    <w:name w:val="Char Char Char Char Char Char Char Char Char Char Char Char Char Char Char Char"/>
    <w:basedOn w:val="1"/>
    <w:autoRedefine/>
    <w:qFormat/>
    <w:uiPriority w:val="99"/>
    <w:pPr>
      <w:widowControl/>
      <w:spacing w:after="160" w:line="240" w:lineRule="exact"/>
      <w:jc w:val="center"/>
    </w:pPr>
    <w:rPr>
      <w:rFonts w:ascii="宋体" w:hAnsi="宋体"/>
      <w:b/>
      <w:kern w:val="0"/>
      <w:sz w:val="30"/>
      <w:szCs w:val="30"/>
      <w:lang w:eastAsia="en-US"/>
    </w:rPr>
  </w:style>
  <w:style w:type="paragraph" w:customStyle="1" w:styleId="153">
    <w:name w:val="正文缩进2"/>
    <w:basedOn w:val="1"/>
    <w:autoRedefine/>
    <w:qFormat/>
    <w:uiPriority w:val="99"/>
    <w:pPr>
      <w:widowControl/>
      <w:adjustRightInd w:val="0"/>
      <w:snapToGrid w:val="0"/>
      <w:spacing w:line="480" w:lineRule="exact"/>
      <w:ind w:firstLine="567"/>
    </w:pPr>
    <w:rPr>
      <w:rFonts w:ascii="宋体"/>
      <w:color w:val="000000"/>
      <w:kern w:val="28"/>
      <w:sz w:val="28"/>
      <w:szCs w:val="20"/>
      <w:lang w:val="zh-CN"/>
    </w:rPr>
  </w:style>
  <w:style w:type="paragraph" w:customStyle="1" w:styleId="154">
    <w:name w:val="Char3 Char Char Char"/>
    <w:basedOn w:val="1"/>
    <w:autoRedefine/>
    <w:qFormat/>
    <w:uiPriority w:val="99"/>
    <w:rPr>
      <w:rFonts w:ascii="Tahoma" w:hAnsi="Tahoma"/>
      <w:sz w:val="24"/>
      <w:szCs w:val="20"/>
    </w:rPr>
  </w:style>
  <w:style w:type="paragraph" w:customStyle="1" w:styleId="155">
    <w:name w:val="图中文字"/>
    <w:basedOn w:val="1"/>
    <w:autoRedefine/>
    <w:qFormat/>
    <w:uiPriority w:val="99"/>
    <w:pPr>
      <w:adjustRightInd w:val="0"/>
      <w:snapToGrid w:val="0"/>
      <w:spacing w:line="240" w:lineRule="atLeast"/>
      <w:jc w:val="center"/>
    </w:pPr>
    <w:rPr>
      <w:sz w:val="24"/>
      <w:szCs w:val="20"/>
    </w:rPr>
  </w:style>
  <w:style w:type="paragraph" w:customStyle="1" w:styleId="156">
    <w:name w:val="font7"/>
    <w:basedOn w:val="1"/>
    <w:autoRedefine/>
    <w:qFormat/>
    <w:uiPriority w:val="99"/>
    <w:pPr>
      <w:widowControl/>
      <w:spacing w:before="100" w:beforeAutospacing="1" w:after="100" w:afterAutospacing="1"/>
      <w:jc w:val="left"/>
    </w:pPr>
    <w:rPr>
      <w:b/>
      <w:bCs/>
      <w:color w:val="000000"/>
      <w:kern w:val="0"/>
      <w:sz w:val="20"/>
      <w:szCs w:val="20"/>
    </w:rPr>
  </w:style>
  <w:style w:type="paragraph" w:customStyle="1" w:styleId="157">
    <w:name w:val="Char Char1 Char Char Char Char Char Char"/>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58">
    <w:name w:val="字元 字元"/>
    <w:basedOn w:val="1"/>
    <w:autoRedefine/>
    <w:qFormat/>
    <w:uiPriority w:val="99"/>
    <w:rPr>
      <w:rFonts w:ascii="Tahoma" w:hAnsi="Tahoma"/>
      <w:sz w:val="24"/>
      <w:szCs w:val="20"/>
    </w:rPr>
  </w:style>
  <w:style w:type="paragraph" w:customStyle="1" w:styleId="159">
    <w:name w:val="缺省文本"/>
    <w:basedOn w:val="1"/>
    <w:autoRedefine/>
    <w:qFormat/>
    <w:uiPriority w:val="99"/>
    <w:pPr>
      <w:autoSpaceDE w:val="0"/>
      <w:autoSpaceDN w:val="0"/>
      <w:adjustRightInd w:val="0"/>
      <w:jc w:val="left"/>
    </w:pPr>
    <w:rPr>
      <w:kern w:val="0"/>
      <w:sz w:val="24"/>
    </w:rPr>
  </w:style>
  <w:style w:type="paragraph" w:customStyle="1" w:styleId="160">
    <w:name w:val="xl5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cs="Arial Unicode MS"/>
      <w:b/>
      <w:bCs/>
      <w:color w:val="000000"/>
      <w:kern w:val="0"/>
      <w:sz w:val="16"/>
      <w:szCs w:val="16"/>
    </w:rPr>
  </w:style>
  <w:style w:type="paragraph" w:customStyle="1" w:styleId="161">
    <w:name w:val="1名"/>
    <w:basedOn w:val="1"/>
    <w:autoRedefine/>
    <w:qFormat/>
    <w:uiPriority w:val="99"/>
    <w:pPr>
      <w:numPr>
        <w:ilvl w:val="0"/>
        <w:numId w:val="7"/>
      </w:numPr>
      <w:spacing w:before="120"/>
    </w:pPr>
    <w:rPr>
      <w:rFonts w:ascii="宋体"/>
      <w:sz w:val="28"/>
      <w:szCs w:val="20"/>
    </w:rPr>
  </w:style>
  <w:style w:type="paragraph" w:customStyle="1" w:styleId="162">
    <w:name w:val="Char1"/>
    <w:basedOn w:val="1"/>
    <w:autoRedefine/>
    <w:qFormat/>
    <w:uiPriority w:val="99"/>
    <w:pPr>
      <w:tabs>
        <w:tab w:val="left" w:pos="360"/>
      </w:tabs>
    </w:pPr>
    <w:rPr>
      <w:sz w:val="24"/>
    </w:rPr>
  </w:style>
  <w:style w:type="paragraph" w:customStyle="1" w:styleId="163">
    <w:name w:val="Char Char Char Char Char Char Char Char Char Char1"/>
    <w:basedOn w:val="1"/>
    <w:autoRedefine/>
    <w:qFormat/>
    <w:uiPriority w:val="99"/>
    <w:rPr>
      <w:rFonts w:ascii="宋体" w:hAnsi="宋体" w:cs="Courier New"/>
      <w:sz w:val="32"/>
      <w:szCs w:val="32"/>
    </w:rPr>
  </w:style>
  <w:style w:type="paragraph" w:customStyle="1" w:styleId="164">
    <w:name w:val="Char Char1"/>
    <w:basedOn w:val="14"/>
    <w:autoRedefine/>
    <w:qFormat/>
    <w:uiPriority w:val="99"/>
    <w:rPr>
      <w:rFonts w:ascii="Tahoma" w:hAnsi="Tahoma"/>
      <w:sz w:val="24"/>
    </w:rPr>
  </w:style>
  <w:style w:type="paragraph" w:customStyle="1" w:styleId="165">
    <w:name w:val="字元 字元2"/>
    <w:basedOn w:val="1"/>
    <w:autoRedefine/>
    <w:qFormat/>
    <w:uiPriority w:val="99"/>
    <w:rPr>
      <w:rFonts w:ascii="Tahoma" w:hAnsi="Tahoma"/>
      <w:sz w:val="24"/>
      <w:szCs w:val="20"/>
    </w:rPr>
  </w:style>
  <w:style w:type="paragraph" w:customStyle="1" w:styleId="166">
    <w:name w:val="Char22"/>
    <w:basedOn w:val="1"/>
    <w:autoRedefine/>
    <w:qFormat/>
    <w:uiPriority w:val="99"/>
    <w:rPr>
      <w:rFonts w:ascii="Tahoma" w:hAnsi="Tahoma"/>
      <w:sz w:val="24"/>
      <w:szCs w:val="20"/>
    </w:rPr>
  </w:style>
  <w:style w:type="paragraph" w:customStyle="1" w:styleId="167">
    <w:name w:val="正文文本首行缩进 21"/>
    <w:basedOn w:val="55"/>
    <w:autoRedefine/>
    <w:qFormat/>
    <w:uiPriority w:val="99"/>
    <w:pPr>
      <w:tabs>
        <w:tab w:val="left" w:pos="5580"/>
      </w:tabs>
      <w:spacing w:after="120" w:line="240" w:lineRule="auto"/>
      <w:ind w:left="420" w:leftChars="200" w:firstLine="420"/>
    </w:pPr>
    <w:rPr>
      <w:b/>
      <w:bCs/>
      <w:sz w:val="21"/>
      <w:szCs w:val="20"/>
    </w:rPr>
  </w:style>
  <w:style w:type="paragraph" w:customStyle="1" w:styleId="168">
    <w:name w:val="xl47"/>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169">
    <w:name w:val="xl3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color w:val="000000"/>
      <w:kern w:val="0"/>
      <w:sz w:val="16"/>
      <w:szCs w:val="16"/>
    </w:rPr>
  </w:style>
  <w:style w:type="paragraph" w:customStyle="1" w:styleId="170">
    <w:name w:val="正文须知-1级"/>
    <w:basedOn w:val="1"/>
    <w:next w:val="1"/>
    <w:autoRedefine/>
    <w:qFormat/>
    <w:uiPriority w:val="99"/>
    <w:pPr>
      <w:numPr>
        <w:ilvl w:val="0"/>
        <w:numId w:val="3"/>
      </w:numPr>
      <w:adjustRightInd w:val="0"/>
      <w:snapToGrid w:val="0"/>
      <w:spacing w:line="300" w:lineRule="auto"/>
    </w:pPr>
    <w:rPr>
      <w:rFonts w:ascii="宋体" w:hAnsi="Calibri"/>
      <w:sz w:val="24"/>
      <w:szCs w:val="21"/>
    </w:rPr>
  </w:style>
  <w:style w:type="paragraph" w:customStyle="1" w:styleId="171">
    <w:name w:val="Char Char1 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172">
    <w:name w:val="xl41"/>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cs="Arial Unicode MS"/>
      <w:color w:val="000000"/>
      <w:kern w:val="0"/>
      <w:sz w:val="20"/>
      <w:szCs w:val="20"/>
    </w:rPr>
  </w:style>
  <w:style w:type="paragraph" w:customStyle="1" w:styleId="173">
    <w:name w:val="xl3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color w:val="000000"/>
      <w:kern w:val="0"/>
      <w:sz w:val="20"/>
      <w:szCs w:val="20"/>
    </w:rPr>
  </w:style>
  <w:style w:type="paragraph" w:customStyle="1" w:styleId="174">
    <w:name w:val="Char Char Char Char Char Char Char Char Char Char"/>
    <w:basedOn w:val="1"/>
    <w:autoRedefine/>
    <w:qFormat/>
    <w:uiPriority w:val="99"/>
  </w:style>
  <w:style w:type="paragraph" w:customStyle="1" w:styleId="175">
    <w:name w:val="xl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176">
    <w:name w:val="样式2"/>
    <w:basedOn w:val="39"/>
    <w:autoRedefine/>
    <w:qFormat/>
    <w:uiPriority w:val="99"/>
    <w:pPr>
      <w:spacing w:line="360" w:lineRule="auto"/>
      <w:jc w:val="center"/>
    </w:pPr>
    <w:rPr>
      <w:sz w:val="24"/>
    </w:rPr>
  </w:style>
  <w:style w:type="paragraph" w:customStyle="1" w:styleId="177">
    <w:name w:val="xl4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color w:val="000000"/>
      <w:kern w:val="0"/>
      <w:sz w:val="22"/>
      <w:szCs w:val="22"/>
    </w:rPr>
  </w:style>
  <w:style w:type="paragraph" w:customStyle="1" w:styleId="178">
    <w:name w:val="xl3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color w:val="000000"/>
      <w:kern w:val="0"/>
      <w:sz w:val="20"/>
      <w:szCs w:val="20"/>
    </w:rPr>
  </w:style>
  <w:style w:type="paragraph" w:customStyle="1" w:styleId="179">
    <w:name w:val="文档正文"/>
    <w:basedOn w:val="1"/>
    <w:autoRedefine/>
    <w:qFormat/>
    <w:uiPriority w:val="99"/>
    <w:pPr>
      <w:snapToGrid w:val="0"/>
      <w:spacing w:before="120" w:after="120" w:line="180" w:lineRule="auto"/>
    </w:pPr>
    <w:rPr>
      <w:rFonts w:ascii="Arial" w:hAnsi="Arial"/>
      <w:szCs w:val="20"/>
    </w:rPr>
  </w:style>
  <w:style w:type="paragraph" w:customStyle="1" w:styleId="180">
    <w:name w:val="列出段落2"/>
    <w:basedOn w:val="1"/>
    <w:autoRedefine/>
    <w:qFormat/>
    <w:uiPriority w:val="99"/>
    <w:pPr>
      <w:ind w:firstLine="420" w:firstLineChars="200"/>
    </w:pPr>
    <w:rPr>
      <w:rFonts w:ascii="Calibri" w:hAnsi="Calibri"/>
      <w:szCs w:val="22"/>
    </w:rPr>
  </w:style>
  <w:style w:type="paragraph" w:customStyle="1" w:styleId="181">
    <w:name w:val="xl5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b/>
      <w:bCs/>
      <w:color w:val="000000"/>
      <w:kern w:val="0"/>
      <w:sz w:val="32"/>
      <w:szCs w:val="32"/>
    </w:rPr>
  </w:style>
  <w:style w:type="paragraph" w:customStyle="1" w:styleId="182">
    <w:name w:val="xl2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183">
    <w:name w:val="xl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4">
    <w:name w:val="Char2 Char Char Char Char Char Char1"/>
    <w:basedOn w:val="1"/>
    <w:autoRedefine/>
    <w:qFormat/>
    <w:uiPriority w:val="99"/>
    <w:pPr>
      <w:widowControl/>
      <w:spacing w:line="400" w:lineRule="exact"/>
      <w:jc w:val="center"/>
    </w:pPr>
  </w:style>
  <w:style w:type="paragraph" w:customStyle="1" w:styleId="185">
    <w:name w:val="正文须知-3级"/>
    <w:basedOn w:val="1"/>
    <w:autoRedefine/>
    <w:qFormat/>
    <w:uiPriority w:val="99"/>
    <w:pPr>
      <w:numPr>
        <w:ilvl w:val="2"/>
        <w:numId w:val="3"/>
      </w:numPr>
      <w:adjustRightInd w:val="0"/>
      <w:snapToGrid w:val="0"/>
      <w:spacing w:line="300" w:lineRule="auto"/>
      <w:ind w:hanging="355" w:hangingChars="355"/>
    </w:pPr>
    <w:rPr>
      <w:rFonts w:ascii="宋体" w:hAnsi="Calibri"/>
      <w:sz w:val="24"/>
      <w:szCs w:val="21"/>
    </w:rPr>
  </w:style>
  <w:style w:type="paragraph" w:customStyle="1" w:styleId="186">
    <w:name w:val="修订2"/>
    <w:autoRedefine/>
    <w:semiHidden/>
    <w:qFormat/>
    <w:uiPriority w:val="99"/>
    <w:rPr>
      <w:rFonts w:ascii="Times New Roman" w:hAnsi="Times New Roman" w:eastAsia="宋体" w:cs="Times New Roman"/>
      <w:kern w:val="2"/>
      <w:sz w:val="21"/>
      <w:szCs w:val="24"/>
      <w:lang w:val="en-US" w:eastAsia="zh-CN" w:bidi="ar-SA"/>
    </w:rPr>
  </w:style>
  <w:style w:type="paragraph" w:customStyle="1" w:styleId="187">
    <w:name w:val="索引 11"/>
    <w:basedOn w:val="1"/>
    <w:next w:val="1"/>
    <w:autoRedefine/>
    <w:qFormat/>
    <w:uiPriority w:val="99"/>
    <w:rPr>
      <w:szCs w:val="20"/>
    </w:rPr>
  </w:style>
  <w:style w:type="paragraph" w:customStyle="1" w:styleId="188">
    <w:name w:val="正文 + 小四"/>
    <w:basedOn w:val="1"/>
    <w:autoRedefine/>
    <w:qFormat/>
    <w:uiPriority w:val="0"/>
    <w:pPr>
      <w:jc w:val="left"/>
    </w:pPr>
    <w:rPr>
      <w:b/>
      <w:sz w:val="24"/>
    </w:rPr>
  </w:style>
  <w:style w:type="paragraph" w:customStyle="1" w:styleId="189">
    <w:name w:val="正文 A"/>
    <w:next w:val="57"/>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190">
    <w:name w:val="样式 首行缩进:  2 字符1"/>
    <w:basedOn w:val="1"/>
    <w:autoRedefine/>
    <w:qFormat/>
    <w:uiPriority w:val="0"/>
    <w:pPr>
      <w:spacing w:line="360" w:lineRule="auto"/>
      <w:ind w:firstLine="200" w:firstLineChars="200"/>
    </w:pPr>
    <w:rPr>
      <w:rFonts w:cs="宋体"/>
      <w:sz w:val="28"/>
      <w:szCs w:val="20"/>
    </w:rPr>
  </w:style>
  <w:style w:type="paragraph" w:customStyle="1" w:styleId="191">
    <w:name w:val="__正文"/>
    <w:basedOn w:val="1"/>
    <w:next w:val="1"/>
    <w:autoRedefine/>
    <w:qFormat/>
    <w:uiPriority w:val="0"/>
    <w:pPr>
      <w:spacing w:line="360" w:lineRule="auto"/>
    </w:pPr>
  </w:style>
  <w:style w:type="paragraph" w:customStyle="1" w:styleId="192">
    <w:name w:val="TOC 标题1"/>
    <w:basedOn w:val="2"/>
    <w:next w:val="1"/>
    <w:autoRedefine/>
    <w:unhideWhenUsed/>
    <w:qFormat/>
    <w:uiPriority w:val="39"/>
    <w:pPr>
      <w:widowControl/>
      <w:adjustRightInd/>
      <w:spacing w:after="0" w:line="259" w:lineRule="auto"/>
      <w:jc w:val="left"/>
      <w:outlineLvl w:val="9"/>
    </w:pPr>
    <w:rPr>
      <w:rFonts w:ascii="Cambria" w:hAnsi="Cambria" w:cs="黑体"/>
      <w:b w:val="0"/>
      <w:color w:val="365F90"/>
      <w:kern w:val="0"/>
      <w:szCs w:val="32"/>
    </w:rPr>
  </w:style>
  <w:style w:type="paragraph" w:customStyle="1" w:styleId="193">
    <w:name w:val="列出段落3"/>
    <w:basedOn w:val="1"/>
    <w:autoRedefine/>
    <w:qFormat/>
    <w:uiPriority w:val="0"/>
    <w:pPr>
      <w:ind w:firstLine="420" w:firstLineChars="200"/>
    </w:pPr>
    <w:rPr>
      <w:szCs w:val="22"/>
    </w:rPr>
  </w:style>
  <w:style w:type="character" w:customStyle="1" w:styleId="194">
    <w:name w:val="标题 2 Char"/>
    <w:autoRedefine/>
    <w:qFormat/>
    <w:uiPriority w:val="99"/>
    <w:rPr>
      <w:rFonts w:ascii="Arial" w:hAnsi="Arial" w:eastAsia="黑体"/>
      <w:b/>
      <w:sz w:val="30"/>
      <w:lang w:val="en-US" w:eastAsia="zh-CN"/>
    </w:rPr>
  </w:style>
  <w:style w:type="character" w:customStyle="1" w:styleId="195">
    <w:name w:val="正文文本缩进 字符"/>
    <w:link w:val="18"/>
    <w:autoRedefine/>
    <w:qFormat/>
    <w:locked/>
    <w:uiPriority w:val="99"/>
    <w:rPr>
      <w:rFonts w:eastAsia="宋体"/>
      <w:kern w:val="2"/>
      <w:sz w:val="24"/>
      <w:lang w:val="en-US" w:eastAsia="zh-CN"/>
    </w:rPr>
  </w:style>
  <w:style w:type="character" w:customStyle="1" w:styleId="196">
    <w:name w:val="正文文本首行缩进 2 字符"/>
    <w:basedOn w:val="195"/>
    <w:link w:val="42"/>
    <w:autoRedefine/>
    <w:qFormat/>
    <w:locked/>
    <w:uiPriority w:val="99"/>
    <w:rPr>
      <w:rFonts w:eastAsia="宋体"/>
      <w:kern w:val="2"/>
      <w:sz w:val="24"/>
      <w:lang w:val="en-US" w:eastAsia="zh-CN"/>
    </w:rPr>
  </w:style>
  <w:style w:type="character" w:customStyle="1" w:styleId="197">
    <w:name w:val="标题 1 字符"/>
    <w:link w:val="2"/>
    <w:autoRedefine/>
    <w:qFormat/>
    <w:locked/>
    <w:uiPriority w:val="99"/>
    <w:rPr>
      <w:rFonts w:ascii="宋体"/>
      <w:b/>
      <w:kern w:val="44"/>
      <w:sz w:val="32"/>
    </w:rPr>
  </w:style>
  <w:style w:type="character" w:customStyle="1" w:styleId="198">
    <w:name w:val="标题 2 字符"/>
    <w:link w:val="3"/>
    <w:autoRedefine/>
    <w:qFormat/>
    <w:locked/>
    <w:uiPriority w:val="99"/>
    <w:rPr>
      <w:rFonts w:ascii="Arial" w:hAnsi="Arial" w:eastAsia="黑体"/>
      <w:b/>
      <w:sz w:val="30"/>
      <w:lang w:val="en-US" w:eastAsia="zh-CN"/>
    </w:rPr>
  </w:style>
  <w:style w:type="character" w:customStyle="1" w:styleId="199">
    <w:name w:val="标题 3 字符"/>
    <w:link w:val="4"/>
    <w:autoRedefine/>
    <w:qFormat/>
    <w:locked/>
    <w:uiPriority w:val="99"/>
    <w:rPr>
      <w:rFonts w:ascii="宋体" w:eastAsia="宋体"/>
      <w:b/>
      <w:sz w:val="24"/>
      <w:u w:val="single"/>
      <w:lang w:val="en-US" w:eastAsia="zh-CN"/>
    </w:rPr>
  </w:style>
  <w:style w:type="character" w:customStyle="1" w:styleId="200">
    <w:name w:val="正文缩进 字符"/>
    <w:link w:val="5"/>
    <w:autoRedefine/>
    <w:qFormat/>
    <w:locked/>
    <w:uiPriority w:val="99"/>
    <w:rPr>
      <w:rFonts w:ascii="宋体" w:eastAsia="宋体"/>
      <w:kern w:val="2"/>
      <w:sz w:val="24"/>
      <w:lang w:val="en-US" w:eastAsia="zh-CN"/>
    </w:rPr>
  </w:style>
  <w:style w:type="character" w:customStyle="1" w:styleId="201">
    <w:name w:val="标题 4 字符"/>
    <w:link w:val="6"/>
    <w:autoRedefine/>
    <w:qFormat/>
    <w:locked/>
    <w:uiPriority w:val="99"/>
    <w:rPr>
      <w:rFonts w:ascii="Arial" w:hAnsi="Arial" w:eastAsia="黑体"/>
      <w:b/>
      <w:sz w:val="28"/>
    </w:rPr>
  </w:style>
  <w:style w:type="character" w:customStyle="1" w:styleId="202">
    <w:name w:val="标题 5 字符"/>
    <w:link w:val="7"/>
    <w:autoRedefine/>
    <w:qFormat/>
    <w:locked/>
    <w:uiPriority w:val="99"/>
    <w:rPr>
      <w:b/>
      <w:sz w:val="28"/>
    </w:rPr>
  </w:style>
  <w:style w:type="character" w:customStyle="1" w:styleId="203">
    <w:name w:val="标题 6 字符"/>
    <w:link w:val="8"/>
    <w:autoRedefine/>
    <w:qFormat/>
    <w:locked/>
    <w:uiPriority w:val="99"/>
    <w:rPr>
      <w:rFonts w:ascii="Arial" w:hAnsi="Arial" w:eastAsia="黑体"/>
      <w:b/>
      <w:sz w:val="24"/>
    </w:rPr>
  </w:style>
  <w:style w:type="character" w:customStyle="1" w:styleId="204">
    <w:name w:val="标题 7 字符"/>
    <w:link w:val="9"/>
    <w:autoRedefine/>
    <w:qFormat/>
    <w:locked/>
    <w:uiPriority w:val="99"/>
    <w:rPr>
      <w:b/>
      <w:sz w:val="24"/>
    </w:rPr>
  </w:style>
  <w:style w:type="character" w:customStyle="1" w:styleId="205">
    <w:name w:val="标题 8 字符"/>
    <w:link w:val="10"/>
    <w:autoRedefine/>
    <w:qFormat/>
    <w:locked/>
    <w:uiPriority w:val="99"/>
    <w:rPr>
      <w:rFonts w:ascii="Arial" w:hAnsi="Arial" w:eastAsia="黑体"/>
      <w:sz w:val="24"/>
    </w:rPr>
  </w:style>
  <w:style w:type="character" w:customStyle="1" w:styleId="206">
    <w:name w:val="标题 9 字符"/>
    <w:link w:val="11"/>
    <w:autoRedefine/>
    <w:qFormat/>
    <w:locked/>
    <w:uiPriority w:val="99"/>
    <w:rPr>
      <w:rFonts w:ascii="Arial" w:hAnsi="Arial" w:eastAsia="黑体"/>
      <w:sz w:val="21"/>
    </w:rPr>
  </w:style>
  <w:style w:type="character" w:customStyle="1" w:styleId="207">
    <w:name w:val="文档结构图 字符"/>
    <w:link w:val="14"/>
    <w:autoRedefine/>
    <w:qFormat/>
    <w:locked/>
    <w:uiPriority w:val="0"/>
    <w:rPr>
      <w:kern w:val="2"/>
      <w:sz w:val="24"/>
      <w:shd w:val="clear" w:color="auto" w:fill="000080"/>
    </w:rPr>
  </w:style>
  <w:style w:type="character" w:customStyle="1" w:styleId="208">
    <w:name w:val="批注文字 字符1"/>
    <w:link w:val="15"/>
    <w:autoRedefine/>
    <w:qFormat/>
    <w:locked/>
    <w:uiPriority w:val="99"/>
    <w:rPr>
      <w:kern w:val="2"/>
      <w:sz w:val="24"/>
    </w:rPr>
  </w:style>
  <w:style w:type="character" w:customStyle="1" w:styleId="209">
    <w:name w:val="正文文本 3 字符"/>
    <w:link w:val="16"/>
    <w:autoRedefine/>
    <w:qFormat/>
    <w:locked/>
    <w:uiPriority w:val="99"/>
    <w:rPr>
      <w:kern w:val="2"/>
      <w:sz w:val="16"/>
    </w:rPr>
  </w:style>
  <w:style w:type="character" w:customStyle="1" w:styleId="210">
    <w:name w:val="正文文本 字符"/>
    <w:link w:val="17"/>
    <w:autoRedefine/>
    <w:qFormat/>
    <w:locked/>
    <w:uiPriority w:val="99"/>
    <w:rPr>
      <w:rFonts w:ascii="宋体" w:eastAsia="宋体"/>
      <w:kern w:val="2"/>
      <w:sz w:val="24"/>
    </w:rPr>
  </w:style>
  <w:style w:type="character" w:customStyle="1" w:styleId="211">
    <w:name w:val="纯文本 字符2"/>
    <w:link w:val="23"/>
    <w:autoRedefine/>
    <w:qFormat/>
    <w:locked/>
    <w:uiPriority w:val="99"/>
    <w:rPr>
      <w:rFonts w:ascii="宋体" w:hAnsi="Courier New" w:eastAsia="宋体"/>
      <w:kern w:val="2"/>
      <w:sz w:val="21"/>
    </w:rPr>
  </w:style>
  <w:style w:type="character" w:customStyle="1" w:styleId="212">
    <w:name w:val="日期 字符"/>
    <w:link w:val="25"/>
    <w:autoRedefine/>
    <w:qFormat/>
    <w:locked/>
    <w:uiPriority w:val="99"/>
    <w:rPr>
      <w:rFonts w:ascii="仿宋_GB2312" w:hAnsi="宋体" w:eastAsia="仿宋_GB2312"/>
      <w:color w:val="000000"/>
      <w:kern w:val="2"/>
      <w:sz w:val="24"/>
    </w:rPr>
  </w:style>
  <w:style w:type="character" w:customStyle="1" w:styleId="213">
    <w:name w:val="正文文本缩进 2 字符"/>
    <w:link w:val="26"/>
    <w:autoRedefine/>
    <w:qFormat/>
    <w:locked/>
    <w:uiPriority w:val="99"/>
    <w:rPr>
      <w:rFonts w:ascii="仿宋_GB2312" w:eastAsia="仿宋_GB2312"/>
      <w:kern w:val="2"/>
      <w:sz w:val="24"/>
    </w:rPr>
  </w:style>
  <w:style w:type="character" w:customStyle="1" w:styleId="214">
    <w:name w:val="批注框文本 字符"/>
    <w:link w:val="27"/>
    <w:autoRedefine/>
    <w:qFormat/>
    <w:locked/>
    <w:uiPriority w:val="99"/>
    <w:rPr>
      <w:kern w:val="2"/>
      <w:sz w:val="18"/>
    </w:rPr>
  </w:style>
  <w:style w:type="character" w:customStyle="1" w:styleId="215">
    <w:name w:val="页脚 字符"/>
    <w:link w:val="28"/>
    <w:autoRedefine/>
    <w:qFormat/>
    <w:locked/>
    <w:uiPriority w:val="99"/>
    <w:rPr>
      <w:rFonts w:ascii="宋体" w:eastAsia="宋体"/>
      <w:sz w:val="18"/>
      <w:lang w:val="en-US" w:eastAsia="zh-CN"/>
    </w:rPr>
  </w:style>
  <w:style w:type="character" w:customStyle="1" w:styleId="216">
    <w:name w:val="页眉 字符"/>
    <w:link w:val="30"/>
    <w:autoRedefine/>
    <w:qFormat/>
    <w:locked/>
    <w:uiPriority w:val="99"/>
    <w:rPr>
      <w:rFonts w:eastAsia="宋体"/>
      <w:kern w:val="2"/>
      <w:sz w:val="18"/>
      <w:lang w:val="en-US" w:eastAsia="zh-CN"/>
    </w:rPr>
  </w:style>
  <w:style w:type="character" w:customStyle="1" w:styleId="217">
    <w:name w:val="正文文本缩进 3 字符"/>
    <w:link w:val="34"/>
    <w:autoRedefine/>
    <w:qFormat/>
    <w:locked/>
    <w:uiPriority w:val="99"/>
    <w:rPr>
      <w:rFonts w:ascii="宋体"/>
      <w:sz w:val="24"/>
    </w:rPr>
  </w:style>
  <w:style w:type="character" w:customStyle="1" w:styleId="218">
    <w:name w:val="HTML 预设格式 字符"/>
    <w:link w:val="37"/>
    <w:autoRedefine/>
    <w:qFormat/>
    <w:locked/>
    <w:uiPriority w:val="0"/>
    <w:rPr>
      <w:rFonts w:ascii="宋体" w:eastAsia="宋体"/>
      <w:sz w:val="24"/>
    </w:rPr>
  </w:style>
  <w:style w:type="character" w:customStyle="1" w:styleId="219">
    <w:name w:val="标题 字符"/>
    <w:link w:val="40"/>
    <w:autoRedefine/>
    <w:qFormat/>
    <w:locked/>
    <w:uiPriority w:val="99"/>
    <w:rPr>
      <w:b/>
      <w:kern w:val="2"/>
      <w:sz w:val="32"/>
    </w:rPr>
  </w:style>
  <w:style w:type="character" w:customStyle="1" w:styleId="220">
    <w:name w:val="批注主题 字符"/>
    <w:link w:val="41"/>
    <w:autoRedefine/>
    <w:qFormat/>
    <w:locked/>
    <w:uiPriority w:val="99"/>
    <w:rPr>
      <w:rFonts w:ascii="Times New Roman" w:hAnsi="Times New Roman" w:eastAsia="宋体"/>
      <w:b/>
      <w:kern w:val="2"/>
      <w:sz w:val="24"/>
      <w:lang w:val="en-US" w:eastAsia="zh-CN"/>
    </w:rPr>
  </w:style>
  <w:style w:type="character" w:customStyle="1" w:styleId="221">
    <w:name w:val="正文文本缩进 Char1"/>
    <w:link w:val="55"/>
    <w:autoRedefine/>
    <w:qFormat/>
    <w:locked/>
    <w:uiPriority w:val="99"/>
    <w:rPr>
      <w:rFonts w:ascii="宋体" w:hAnsi="宋体" w:eastAsia="宋体"/>
      <w:sz w:val="24"/>
    </w:rPr>
  </w:style>
  <w:style w:type="character" w:customStyle="1" w:styleId="222">
    <w:name w:val="Char Char11"/>
    <w:autoRedefine/>
    <w:qFormat/>
    <w:uiPriority w:val="99"/>
    <w:rPr>
      <w:rFonts w:ascii="宋体" w:eastAsia="宋体"/>
      <w:b/>
      <w:sz w:val="24"/>
      <w:u w:val="single"/>
      <w:lang w:val="en-US" w:eastAsia="zh-CN"/>
    </w:rPr>
  </w:style>
  <w:style w:type="character" w:customStyle="1" w:styleId="223">
    <w:name w:val="正文缩进 Char"/>
    <w:autoRedefine/>
    <w:qFormat/>
    <w:uiPriority w:val="0"/>
    <w:rPr>
      <w:rFonts w:ascii="宋体" w:eastAsia="宋体"/>
      <w:kern w:val="2"/>
      <w:sz w:val="24"/>
      <w:lang w:val="en-US" w:eastAsia="zh-CN"/>
    </w:rPr>
  </w:style>
  <w:style w:type="character" w:customStyle="1" w:styleId="224">
    <w:name w:val="locality"/>
    <w:autoRedefine/>
    <w:qFormat/>
    <w:uiPriority w:val="99"/>
  </w:style>
  <w:style w:type="character" w:customStyle="1" w:styleId="225">
    <w:name w:val="普通文字1 Char1"/>
    <w:autoRedefine/>
    <w:qFormat/>
    <w:uiPriority w:val="99"/>
    <w:rPr>
      <w:rFonts w:ascii="宋体" w:hAnsi="Courier New" w:eastAsia="宋体"/>
      <w:kern w:val="2"/>
      <w:sz w:val="21"/>
      <w:lang w:val="en-US" w:eastAsia="zh-CN"/>
    </w:rPr>
  </w:style>
  <w:style w:type="character" w:customStyle="1" w:styleId="226">
    <w:name w:val="Char Char111"/>
    <w:autoRedefine/>
    <w:qFormat/>
    <w:uiPriority w:val="99"/>
    <w:rPr>
      <w:rFonts w:ascii="宋体" w:eastAsia="宋体"/>
      <w:b/>
      <w:sz w:val="24"/>
      <w:u w:val="single"/>
      <w:lang w:val="en-US" w:eastAsia="zh-CN"/>
    </w:rPr>
  </w:style>
  <w:style w:type="character" w:customStyle="1" w:styleId="227">
    <w:name w:val="chanpin拷贝"/>
    <w:autoRedefine/>
    <w:qFormat/>
    <w:uiPriority w:val="99"/>
  </w:style>
  <w:style w:type="character" w:customStyle="1" w:styleId="228">
    <w:name w:val="纯文本 字符1"/>
    <w:autoRedefine/>
    <w:qFormat/>
    <w:uiPriority w:val="99"/>
    <w:rPr>
      <w:rFonts w:ascii="宋体" w:hAnsi="Courier New"/>
    </w:rPr>
  </w:style>
  <w:style w:type="character" w:customStyle="1" w:styleId="229">
    <w:name w:val="注释 Char"/>
    <w:link w:val="56"/>
    <w:autoRedefine/>
    <w:qFormat/>
    <w:locked/>
    <w:uiPriority w:val="99"/>
    <w:rPr>
      <w:rFonts w:ascii="宋体" w:eastAsia="宋体"/>
      <w:kern w:val="2"/>
      <w:sz w:val="21"/>
    </w:rPr>
  </w:style>
  <w:style w:type="character" w:customStyle="1" w:styleId="230">
    <w:name w:val="页脚 Char"/>
    <w:autoRedefine/>
    <w:qFormat/>
    <w:uiPriority w:val="99"/>
    <w:rPr>
      <w:rFonts w:ascii="宋体" w:eastAsia="宋体"/>
      <w:sz w:val="18"/>
      <w:lang w:val="en-US" w:eastAsia="zh-CN"/>
    </w:rPr>
  </w:style>
  <w:style w:type="character" w:customStyle="1" w:styleId="231">
    <w:name w:val="段1 Char"/>
    <w:autoRedefine/>
    <w:qFormat/>
    <w:uiPriority w:val="99"/>
    <w:rPr>
      <w:rFonts w:ascii="宋体" w:eastAsia="宋体"/>
      <w:sz w:val="24"/>
      <w:lang w:val="en-US" w:eastAsia="zh-CN"/>
    </w:rPr>
  </w:style>
  <w:style w:type="character" w:customStyle="1" w:styleId="232">
    <w:name w:val="标题 3 Char Char"/>
    <w:autoRedefine/>
    <w:qFormat/>
    <w:uiPriority w:val="99"/>
    <w:rPr>
      <w:rFonts w:eastAsia="宋体"/>
      <w:b/>
      <w:kern w:val="2"/>
      <w:sz w:val="32"/>
      <w:lang w:val="en-US" w:eastAsia="zh-CN"/>
    </w:rPr>
  </w:style>
  <w:style w:type="character" w:customStyle="1" w:styleId="233">
    <w:name w:val="纯文本 Char1"/>
    <w:autoRedefine/>
    <w:qFormat/>
    <w:uiPriority w:val="0"/>
    <w:rPr>
      <w:rFonts w:ascii="宋体" w:hAnsi="Courier New" w:eastAsia="宋体"/>
      <w:kern w:val="2"/>
      <w:sz w:val="21"/>
      <w:lang w:val="en-US" w:eastAsia="zh-CN"/>
    </w:rPr>
  </w:style>
  <w:style w:type="character" w:customStyle="1" w:styleId="234">
    <w:name w:val="批注文字 Char"/>
    <w:autoRedefine/>
    <w:qFormat/>
    <w:uiPriority w:val="99"/>
    <w:rPr>
      <w:kern w:val="2"/>
      <w:sz w:val="24"/>
    </w:rPr>
  </w:style>
  <w:style w:type="character" w:customStyle="1" w:styleId="235">
    <w:name w:val="正文缩进 Char Char"/>
    <w:link w:val="57"/>
    <w:autoRedefine/>
    <w:qFormat/>
    <w:locked/>
    <w:uiPriority w:val="99"/>
    <w:rPr>
      <w:rFonts w:ascii="宋体" w:eastAsia="宋体"/>
      <w:snapToGrid w:val="0"/>
      <w:color w:val="000000"/>
      <w:kern w:val="28"/>
      <w:sz w:val="28"/>
    </w:rPr>
  </w:style>
  <w:style w:type="character" w:customStyle="1" w:styleId="236">
    <w:name w:val="title4"/>
    <w:autoRedefine/>
    <w:qFormat/>
    <w:uiPriority w:val="99"/>
    <w:rPr>
      <w:b/>
      <w:color w:val="1D87B3"/>
      <w:sz w:val="15"/>
    </w:rPr>
  </w:style>
  <w:style w:type="character" w:customStyle="1" w:styleId="237">
    <w:name w:val="c21"/>
    <w:autoRedefine/>
    <w:qFormat/>
    <w:uiPriority w:val="99"/>
    <w:rPr>
      <w:rFonts w:ascii="??" w:hAnsi="??"/>
      <w:color w:val="000000"/>
      <w:sz w:val="20"/>
      <w:u w:val="none"/>
    </w:rPr>
  </w:style>
  <w:style w:type="character" w:customStyle="1" w:styleId="238">
    <w:name w:val="正文小标题 Char"/>
    <w:link w:val="58"/>
    <w:autoRedefine/>
    <w:qFormat/>
    <w:locked/>
    <w:uiPriority w:val="99"/>
    <w:rPr>
      <w:rFonts w:ascii="宋体" w:eastAsia="宋体"/>
      <w:b/>
      <w:i/>
      <w:color w:val="FF0000"/>
      <w:kern w:val="2"/>
      <w:sz w:val="24"/>
    </w:rPr>
  </w:style>
  <w:style w:type="character" w:customStyle="1" w:styleId="239">
    <w:name w:val="street-address"/>
    <w:autoRedefine/>
    <w:qFormat/>
    <w:uiPriority w:val="99"/>
  </w:style>
  <w:style w:type="character" w:customStyle="1" w:styleId="240">
    <w:name w:val="正文大标题 Char"/>
    <w:link w:val="59"/>
    <w:autoRedefine/>
    <w:qFormat/>
    <w:locked/>
    <w:uiPriority w:val="99"/>
    <w:rPr>
      <w:rFonts w:ascii="宋体" w:eastAsia="宋体"/>
      <w:b/>
      <w:color w:val="000000"/>
      <w:kern w:val="2"/>
      <w:sz w:val="21"/>
    </w:rPr>
  </w:style>
  <w:style w:type="character" w:customStyle="1" w:styleId="241">
    <w:name w:val="正文文本缩进 Char"/>
    <w:autoRedefine/>
    <w:qFormat/>
    <w:uiPriority w:val="99"/>
    <w:rPr>
      <w:rFonts w:eastAsia="宋体"/>
      <w:kern w:val="2"/>
      <w:sz w:val="24"/>
      <w:lang w:val="en-US" w:eastAsia="zh-CN"/>
    </w:rPr>
  </w:style>
  <w:style w:type="character" w:customStyle="1" w:styleId="242">
    <w:name w:val="页眉 Char"/>
    <w:autoRedefine/>
    <w:qFormat/>
    <w:uiPriority w:val="99"/>
    <w:rPr>
      <w:rFonts w:eastAsia="宋体"/>
      <w:kern w:val="2"/>
      <w:sz w:val="18"/>
      <w:lang w:val="en-US" w:eastAsia="zh-CN"/>
    </w:rPr>
  </w:style>
  <w:style w:type="character" w:customStyle="1" w:styleId="243">
    <w:name w:val="txt"/>
    <w:autoRedefine/>
    <w:qFormat/>
    <w:uiPriority w:val="99"/>
  </w:style>
  <w:style w:type="character" w:customStyle="1" w:styleId="244">
    <w:name w:val="列表段落 字符"/>
    <w:link w:val="245"/>
    <w:autoRedefine/>
    <w:qFormat/>
    <w:uiPriority w:val="34"/>
    <w:rPr>
      <w:rFonts w:ascii="Calibri" w:hAnsi="Calibri" w:eastAsia="宋体"/>
      <w:kern w:val="2"/>
      <w:sz w:val="22"/>
      <w:lang w:val="en-US" w:eastAsia="zh-CN"/>
    </w:rPr>
  </w:style>
  <w:style w:type="paragraph" w:styleId="245">
    <w:name w:val="List Paragraph"/>
    <w:basedOn w:val="1"/>
    <w:link w:val="244"/>
    <w:autoRedefine/>
    <w:qFormat/>
    <w:uiPriority w:val="34"/>
    <w:pPr>
      <w:ind w:firstLine="420" w:firstLineChars="200"/>
    </w:pPr>
    <w:rPr>
      <w:rFonts w:ascii="Calibri" w:hAnsi="Calibri"/>
      <w:sz w:val="22"/>
      <w:szCs w:val="20"/>
    </w:rPr>
  </w:style>
  <w:style w:type="character" w:customStyle="1" w:styleId="246">
    <w:name w:val="标题 3 Char"/>
    <w:autoRedefine/>
    <w:qFormat/>
    <w:uiPriority w:val="99"/>
    <w:rPr>
      <w:rFonts w:ascii="宋体" w:eastAsia="宋体"/>
      <w:b/>
      <w:sz w:val="24"/>
      <w:u w:val="single"/>
      <w:lang w:val="en-US" w:eastAsia="zh-CN"/>
    </w:rPr>
  </w:style>
  <w:style w:type="character" w:customStyle="1" w:styleId="247">
    <w:name w:val="正文格式 Char"/>
    <w:link w:val="60"/>
    <w:autoRedefine/>
    <w:qFormat/>
    <w:locked/>
    <w:uiPriority w:val="99"/>
    <w:rPr>
      <w:rFonts w:ascii="宋体" w:eastAsia="宋体"/>
      <w:sz w:val="24"/>
    </w:rPr>
  </w:style>
  <w:style w:type="character" w:customStyle="1" w:styleId="248">
    <w:name w:val="标题 2 Char Char"/>
    <w:autoRedefine/>
    <w:qFormat/>
    <w:uiPriority w:val="99"/>
    <w:rPr>
      <w:rFonts w:ascii="Arial" w:hAnsi="Arial" w:eastAsia="黑体"/>
      <w:b/>
      <w:kern w:val="2"/>
      <w:sz w:val="32"/>
      <w:lang w:val="en-US" w:eastAsia="zh-CN"/>
    </w:rPr>
  </w:style>
  <w:style w:type="character" w:customStyle="1" w:styleId="249">
    <w:name w:val="正文重点 Char"/>
    <w:link w:val="61"/>
    <w:autoRedefine/>
    <w:qFormat/>
    <w:locked/>
    <w:uiPriority w:val="99"/>
    <w:rPr>
      <w:b/>
      <w:sz w:val="24"/>
    </w:rPr>
  </w:style>
  <w:style w:type="character" w:customStyle="1" w:styleId="250">
    <w:name w:val="标题 Char"/>
    <w:autoRedefine/>
    <w:qFormat/>
    <w:uiPriority w:val="99"/>
    <w:rPr>
      <w:b/>
      <w:kern w:val="2"/>
      <w:sz w:val="32"/>
    </w:rPr>
  </w:style>
  <w:style w:type="character" w:customStyle="1" w:styleId="251">
    <w:name w:val="列出段落 Char1"/>
    <w:link w:val="62"/>
    <w:autoRedefine/>
    <w:qFormat/>
    <w:locked/>
    <w:uiPriority w:val="99"/>
    <w:rPr>
      <w:rFonts w:ascii="Calibri" w:hAnsi="Calibri" w:eastAsia="宋体"/>
      <w:kern w:val="2"/>
      <w:sz w:val="22"/>
      <w:lang w:val="en-US" w:eastAsia="zh-CN"/>
    </w:rPr>
  </w:style>
  <w:style w:type="character" w:customStyle="1" w:styleId="252">
    <w:name w:val="纯文本 字符"/>
    <w:autoRedefine/>
    <w:qFormat/>
    <w:uiPriority w:val="99"/>
    <w:rPr>
      <w:rFonts w:ascii="宋体" w:hAnsi="Courier New" w:eastAsia="宋体"/>
      <w:kern w:val="2"/>
      <w:sz w:val="21"/>
      <w:lang w:val="en-US" w:eastAsia="zh-CN"/>
    </w:rPr>
  </w:style>
  <w:style w:type="character" w:customStyle="1" w:styleId="253">
    <w:name w:val="bjh-p"/>
    <w:autoRedefine/>
    <w:qFormat/>
    <w:uiPriority w:val="99"/>
  </w:style>
  <w:style w:type="character" w:customStyle="1" w:styleId="254">
    <w:name w:val="中等深浅网格 1 - 强调文字颜色 2 Char"/>
    <w:link w:val="63"/>
    <w:autoRedefine/>
    <w:qFormat/>
    <w:locked/>
    <w:uiPriority w:val="99"/>
    <w:rPr>
      <w:kern w:val="2"/>
      <w:sz w:val="24"/>
      <w:lang w:val="zh-CN" w:eastAsia="zh-CN"/>
    </w:rPr>
  </w:style>
  <w:style w:type="character" w:customStyle="1" w:styleId="255">
    <w:name w:val="apple-style-span"/>
    <w:autoRedefine/>
    <w:qFormat/>
    <w:uiPriority w:val="99"/>
  </w:style>
  <w:style w:type="character" w:customStyle="1" w:styleId="256">
    <w:name w:val="批注文字 字符"/>
    <w:autoRedefine/>
    <w:qFormat/>
    <w:uiPriority w:val="99"/>
    <w:rPr>
      <w:rFonts w:ascii="Times New Roman" w:hAnsi="Times New Roman" w:eastAsia="宋体"/>
      <w:sz w:val="24"/>
      <w:lang w:val="en-US" w:eastAsia="zh-CN"/>
    </w:rPr>
  </w:style>
  <w:style w:type="character" w:customStyle="1" w:styleId="257">
    <w:name w:val="black1"/>
    <w:autoRedefine/>
    <w:qFormat/>
    <w:uiPriority w:val="99"/>
    <w:rPr>
      <w:color w:val="000000"/>
    </w:rPr>
  </w:style>
  <w:style w:type="character" w:customStyle="1" w:styleId="258">
    <w:name w:val="正文表格 Char"/>
    <w:link w:val="64"/>
    <w:autoRedefine/>
    <w:qFormat/>
    <w:locked/>
    <w:uiPriority w:val="99"/>
    <w:rPr>
      <w:rFonts w:ascii="宋体" w:eastAsia="宋体"/>
      <w:color w:val="000000"/>
      <w:kern w:val="2"/>
      <w:sz w:val="21"/>
    </w:rPr>
  </w:style>
  <w:style w:type="character" w:customStyle="1" w:styleId="259">
    <w:name w:val="chanpin1"/>
    <w:autoRedefine/>
    <w:qFormat/>
    <w:uiPriority w:val="99"/>
    <w:rPr>
      <w:rFonts w:ascii="??" w:hAnsi="??"/>
      <w:color w:val="000000"/>
      <w:sz w:val="20"/>
      <w:u w:val="none"/>
    </w:rPr>
  </w:style>
  <w:style w:type="character" w:customStyle="1" w:styleId="260">
    <w:name w:val="纯文本 Char"/>
    <w:autoRedefine/>
    <w:qFormat/>
    <w:uiPriority w:val="99"/>
    <w:rPr>
      <w:rFonts w:ascii="宋体" w:hAnsi="Courier New" w:eastAsia="宋体"/>
      <w:kern w:val="2"/>
      <w:sz w:val="21"/>
    </w:rPr>
  </w:style>
  <w:style w:type="character" w:customStyle="1" w:styleId="261">
    <w:name w:val="font21"/>
    <w:autoRedefine/>
    <w:qFormat/>
    <w:uiPriority w:val="99"/>
    <w:rPr>
      <w:rFonts w:ascii="宋体" w:hAnsi="宋体" w:eastAsia="宋体" w:cs="宋体"/>
      <w:color w:val="000000"/>
      <w:sz w:val="20"/>
      <w:szCs w:val="20"/>
      <w:u w:val="none"/>
    </w:rPr>
  </w:style>
  <w:style w:type="character" w:customStyle="1" w:styleId="262">
    <w:name w:val="font51"/>
    <w:autoRedefine/>
    <w:qFormat/>
    <w:uiPriority w:val="99"/>
    <w:rPr>
      <w:rFonts w:ascii="宋体" w:hAnsi="宋体" w:eastAsia="宋体" w:cs="宋体"/>
      <w:color w:val="FF0000"/>
      <w:sz w:val="20"/>
      <w:szCs w:val="20"/>
      <w:u w:val="none"/>
    </w:rPr>
  </w:style>
  <w:style w:type="character" w:customStyle="1" w:styleId="263">
    <w:name w:val="font61"/>
    <w:autoRedefine/>
    <w:qFormat/>
    <w:uiPriority w:val="99"/>
    <w:rPr>
      <w:rFonts w:ascii="宋体" w:hAnsi="宋体" w:eastAsia="宋体" w:cs="宋体"/>
      <w:color w:val="000000"/>
      <w:sz w:val="20"/>
      <w:szCs w:val="20"/>
      <w:u w:val="none"/>
    </w:rPr>
  </w:style>
  <w:style w:type="character" w:customStyle="1" w:styleId="264">
    <w:name w:val="font171"/>
    <w:autoRedefine/>
    <w:qFormat/>
    <w:uiPriority w:val="99"/>
    <w:rPr>
      <w:rFonts w:ascii="Times New Roman" w:hAnsi="Times New Roman" w:cs="Times New Roman"/>
      <w:color w:val="000000"/>
      <w:sz w:val="20"/>
      <w:szCs w:val="20"/>
      <w:u w:val="none"/>
    </w:rPr>
  </w:style>
  <w:style w:type="character" w:customStyle="1" w:styleId="265">
    <w:name w:val="font121"/>
    <w:autoRedefine/>
    <w:qFormat/>
    <w:uiPriority w:val="99"/>
    <w:rPr>
      <w:rFonts w:ascii="宋体" w:hAnsi="宋体" w:eastAsia="宋体" w:cs="宋体"/>
      <w:color w:val="000000"/>
      <w:sz w:val="20"/>
      <w:szCs w:val="20"/>
      <w:u w:val="none"/>
    </w:rPr>
  </w:style>
  <w:style w:type="character" w:customStyle="1" w:styleId="266">
    <w:name w:val="font41"/>
    <w:autoRedefine/>
    <w:qFormat/>
    <w:uiPriority w:val="99"/>
    <w:rPr>
      <w:rFonts w:ascii="Arial" w:hAnsi="Arial" w:cs="Arial"/>
      <w:color w:val="000000"/>
      <w:sz w:val="20"/>
      <w:szCs w:val="20"/>
      <w:u w:val="none"/>
    </w:rPr>
  </w:style>
  <w:style w:type="character" w:customStyle="1" w:styleId="267">
    <w:name w:val="font31"/>
    <w:autoRedefine/>
    <w:qFormat/>
    <w:uiPriority w:val="99"/>
    <w:rPr>
      <w:rFonts w:ascii="宋体" w:hAnsi="宋体" w:eastAsia="宋体" w:cs="宋体"/>
      <w:b/>
      <w:bCs/>
      <w:color w:val="000000"/>
      <w:sz w:val="24"/>
      <w:szCs w:val="24"/>
      <w:u w:val="none"/>
    </w:rPr>
  </w:style>
  <w:style w:type="character" w:customStyle="1" w:styleId="268">
    <w:name w:val="next"/>
    <w:basedOn w:val="46"/>
    <w:autoRedefine/>
    <w:qFormat/>
    <w:uiPriority w:val="0"/>
    <w:rPr>
      <w:rFonts w:ascii="微软雅黑" w:hAnsi="微软雅黑" w:eastAsia="微软雅黑" w:cs="微软雅黑"/>
      <w:sz w:val="21"/>
      <w:szCs w:val="21"/>
    </w:rPr>
  </w:style>
  <w:style w:type="character" w:customStyle="1" w:styleId="269">
    <w:name w:val="next1"/>
    <w:basedOn w:val="46"/>
    <w:autoRedefine/>
    <w:qFormat/>
    <w:uiPriority w:val="0"/>
    <w:rPr>
      <w:color w:val="888888"/>
    </w:rPr>
  </w:style>
  <w:style w:type="character" w:customStyle="1" w:styleId="270">
    <w:name w:val="prev"/>
    <w:basedOn w:val="46"/>
    <w:autoRedefine/>
    <w:qFormat/>
    <w:uiPriority w:val="0"/>
    <w:rPr>
      <w:rFonts w:hint="eastAsia" w:ascii="微软雅黑" w:hAnsi="微软雅黑" w:eastAsia="微软雅黑" w:cs="微软雅黑"/>
      <w:sz w:val="21"/>
      <w:szCs w:val="21"/>
    </w:rPr>
  </w:style>
  <w:style w:type="character" w:customStyle="1" w:styleId="271">
    <w:name w:val="prev1"/>
    <w:basedOn w:val="46"/>
    <w:autoRedefine/>
    <w:qFormat/>
    <w:uiPriority w:val="0"/>
    <w:rPr>
      <w:color w:val="325594"/>
      <w:shd w:val="clear" w:color="auto" w:fill="F5F5F5"/>
    </w:rPr>
  </w:style>
  <w:style w:type="character" w:customStyle="1" w:styleId="272">
    <w:name w:val="displayarti"/>
    <w:basedOn w:val="46"/>
    <w:autoRedefine/>
    <w:qFormat/>
    <w:uiPriority w:val="0"/>
    <w:rPr>
      <w:color w:val="FFFFFF"/>
      <w:shd w:val="clear" w:color="auto" w:fill="A00000"/>
    </w:rPr>
  </w:style>
  <w:style w:type="character" w:customStyle="1" w:styleId="273">
    <w:name w:val="redfilenumber"/>
    <w:basedOn w:val="46"/>
    <w:autoRedefine/>
    <w:qFormat/>
    <w:uiPriority w:val="0"/>
    <w:rPr>
      <w:color w:val="BA2636"/>
      <w:sz w:val="18"/>
      <w:szCs w:val="18"/>
    </w:rPr>
  </w:style>
  <w:style w:type="character" w:customStyle="1" w:styleId="274">
    <w:name w:val="redfilefwwh"/>
    <w:basedOn w:val="46"/>
    <w:autoRedefine/>
    <w:qFormat/>
    <w:uiPriority w:val="0"/>
    <w:rPr>
      <w:color w:val="BA2636"/>
      <w:sz w:val="18"/>
      <w:szCs w:val="18"/>
    </w:rPr>
  </w:style>
  <w:style w:type="character" w:customStyle="1" w:styleId="275">
    <w:name w:val="gjfg"/>
    <w:basedOn w:val="46"/>
    <w:autoRedefine/>
    <w:qFormat/>
    <w:uiPriority w:val="0"/>
  </w:style>
  <w:style w:type="character" w:customStyle="1" w:styleId="276">
    <w:name w:val="qxdate"/>
    <w:basedOn w:val="46"/>
    <w:autoRedefine/>
    <w:qFormat/>
    <w:uiPriority w:val="0"/>
    <w:rPr>
      <w:color w:val="333333"/>
      <w:sz w:val="18"/>
      <w:szCs w:val="18"/>
    </w:rPr>
  </w:style>
  <w:style w:type="character" w:customStyle="1" w:styleId="277">
    <w:name w:val="cfdate"/>
    <w:basedOn w:val="46"/>
    <w:autoRedefine/>
    <w:qFormat/>
    <w:uiPriority w:val="0"/>
    <w:rPr>
      <w:color w:val="333333"/>
      <w:sz w:val="18"/>
      <w:szCs w:val="18"/>
    </w:rPr>
  </w:style>
  <w:style w:type="character" w:customStyle="1" w:styleId="278">
    <w:name w:val="无"/>
    <w:autoRedefine/>
    <w:qFormat/>
    <w:uiPriority w:val="0"/>
  </w:style>
  <w:style w:type="character" w:customStyle="1" w:styleId="279">
    <w:name w:val="NormalCharacter"/>
    <w:autoRedefine/>
    <w:semiHidden/>
    <w:qFormat/>
    <w:uiPriority w:val="0"/>
  </w:style>
  <w:style w:type="table" w:customStyle="1" w:styleId="280">
    <w:name w:val="Table Normal1"/>
    <w:autoRedefine/>
    <w:qFormat/>
    <w:uiPriority w:val="99"/>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81">
    <w:name w:val="not([class*=suffix])"/>
    <w:basedOn w:val="46"/>
    <w:autoRedefine/>
    <w:qFormat/>
    <w:uiPriority w:val="0"/>
  </w:style>
  <w:style w:type="character" w:customStyle="1" w:styleId="282">
    <w:name w:val="not([class*=suffix])1"/>
    <w:basedOn w:val="46"/>
    <w:autoRedefine/>
    <w:qFormat/>
    <w:uiPriority w:val="0"/>
    <w:rPr>
      <w:sz w:val="19"/>
      <w:szCs w:val="19"/>
    </w:rPr>
  </w:style>
  <w:style w:type="paragraph" w:customStyle="1" w:styleId="283">
    <w:name w:val="Table Text"/>
    <w:basedOn w:val="1"/>
    <w:autoRedefine/>
    <w:semiHidden/>
    <w:qFormat/>
    <w:uiPriority w:val="0"/>
    <w:rPr>
      <w:rFonts w:ascii="宋体" w:hAnsi="宋体" w:cs="宋体"/>
      <w:szCs w:val="21"/>
      <w:lang w:eastAsia="en-US"/>
    </w:rPr>
  </w:style>
  <w:style w:type="table" w:customStyle="1" w:styleId="284">
    <w:name w:val="Table Normal"/>
    <w:autoRedefine/>
    <w:semiHidden/>
    <w:unhideWhenUsed/>
    <w:qFormat/>
    <w:uiPriority w:val="0"/>
    <w:tblPr>
      <w:tblCellMar>
        <w:top w:w="0" w:type="dxa"/>
        <w:left w:w="0" w:type="dxa"/>
        <w:bottom w:w="0" w:type="dxa"/>
        <w:right w:w="0" w:type="dxa"/>
      </w:tblCellMar>
    </w:tblPr>
  </w:style>
  <w:style w:type="paragraph" w:customStyle="1" w:styleId="285">
    <w:name w:val="ZW 4L P1.5 2W"/>
    <w:basedOn w:val="1"/>
    <w:qFormat/>
    <w:uiPriority w:val="0"/>
    <w:pPr>
      <w:spacing w:line="360" w:lineRule="auto"/>
      <w:ind w:firstLine="48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B7EDE2-595D-40C3-BA00-8A893A3EEB80}">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149</Pages>
  <Words>82818</Words>
  <Characters>93418</Characters>
  <Lines>699</Lines>
  <Paragraphs>196</Paragraphs>
  <TotalTime>5</TotalTime>
  <ScaleCrop>false</ScaleCrop>
  <LinksUpToDate>false</LinksUpToDate>
  <CharactersWithSpaces>98942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2023-12-26T02:12:00Z</dcterms:created>
  <dc:creator>尹皓</dc:creator>
  <cp:lastModifiedBy>tjzb</cp:lastModifiedBy>
  <cp:lastPrinted>2023-06-27T07:49:00Z</cp:lastPrinted>
  <dcterms:modified xsi:type="dcterms:W3CDTF">2024-07-18T04:02:48Z</dcterms:modified>
  <dc:title>02年杜范本稿</dc:title>
  <cp:revision>483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82A8C36C8A6A4EC9A6C35593DEDFE11D_13</vt:lpwstr>
  </property>
</Properties>
</file>